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 · Dr. José Antonio Ondiviela García · Miguel Ángel Domínguez Castellano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Otras aportaciones: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personal técnico del Ayuntamiento de Pozuelo de Alarcón, con el contraste de la práctica municipal y la lectura crítica del borrador. Sus nombres se incorporarán en la siguiente versión, una vez recabado el consentimiento expreso de cada uno.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del Ayuntamiento de Pozuelo de Alarcón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 y no expresa la posición de la Corporación; ningún órgano de contratación, intervención o asesoría jurídica se ha pronunciado sobre él. Es una propuesta técnica publicada para el debate y la reutilización.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Y no es sólo municipal: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está parametrizado para cualquier administración —los órganos, umbrales, categorías de seguridad y plazos son parámetros con valor recomendado, no valores fijos—, de modo que sirve igual a un ayuntamiento, a una diputación, a una comunidad autónoma o a un organismo estatal, cambiando quién firma cada cosa. Se publica con licencia CC BY 4.0 para que se copie, se adapte y se mejore.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Qué se puede hacer desde hoy, y qué no.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La mayoría de las cláusulas —y las de más valor económico: reversibilidad, propiedad intelectual, acceso al dato, ENS bien redactado— se anclan por vía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normativa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funcional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necesitan ningún acuerdo previo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basta motivarlas en la memoria del expediente con datos propios. Sólo las de origen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institucional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que ninguna norma impone y ningún gestor pide, necesitan el acuerdo del órgano de gobierno, que no es un permiso sino la prueba documental de su necesidad. De las seis cláusulas del piloto mínimo,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cinco no dependen de ese acuerdo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Lo que sí está pendiente a la fecha de corte —acuerdo del órgano de gobierno, consulta preliminar del mercado documentada y declaraciones de conflicto de interés firmadas— limita el uso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este documento como modelo aprobado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la potestad de nadie para escribir buenas cláusulas en su pliego. Y las declaraciones de conflicto de interés se firman para que nadie pueda pedir ni obtener ventaja en un pliego: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impiden a ningún colaborador presentarse a una licitación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¿Y si el órgano de gobierno no aprueba nada?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Se puede hacer casi todo igual. Lo de origen normativo y funcional entra hoy, motivado con datos propios en la memoria del expediente. Lo que necesita anclaje institucional —el catálogo anual de exigencias del Anexo V— no exige un acuerdo </w:t>
      </w:r>
      <w:r>
        <w:rPr>
          <w:rFonts w:ascii="Calibri" w:cs="Calibri" w:eastAsia="Calibri" w:hAnsi="Calibri"/>
          <w:i/>
          <w:iCs/>
          <w:color w:val="22201D"/>
          <w:sz w:val="21"/>
          <w:szCs w:val="21"/>
        </w:rPr>
        <w:t xml:space="preserve">nuevo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sirve cualquier plan, estrategia u ordenanza ya aprobada que fije esa política. Si no existe ninguna, caben la reanclaje por vía funcional con datos del servicio, la aprobación del Anexo V por resolución del órgano competente, o posponer esa única cláusula y aplicar el resto. Lo que no cabe es rellenar la ficha con una frase genérica: eso es justificación estereotipada. El desarrollo está en la Parte IV, §M1.2 bis.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el Ayuntamiento licita con pliegos propios —el caso ordinario—,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catálogo entra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En un contrato menor no hay documento contractual donde incorporar condiciones especiales, penalidades u obligaciones esenciales, pero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sí es exigible la lista cerrada de exigencias normativas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 la Parte V, §V.7.1: lo que la ley ya impone se pide igual.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También caben aquí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dentro del margen que el instrumento de origen deje: elegir entre las opciones que el catálogo del acuerdo marco ya ofrezca; usar los extremos que expresamente reserve a la fase de contrato basado —incluida la nueva licitación entre adjudicatarios, cuando esté prevista—; y trasladar por escrito la necesidad al órgano titular del acuerdo marco para la siguiente licitación. Lo único vedado es añadir obligaciones que el instrumento de origen no permita.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tercera dificultad del §M1.1: que el grado de abstracción es demasiado alto mientras no se vea el catálogo funcionando sobre un caso.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</dc:creator>
  <dc:description>Guía ejecutiva de 20 páginas para revisar el catálogo de cláusulas de IA y deep tech</dc:description>
  <cp:lastModifiedBy>Un-named</cp:lastModifiedBy>
  <cp:revision>1</cp:revision>
  <dcterms:created xsi:type="dcterms:W3CDTF">2026-09-07T17:09:01.244Z</dcterms:created>
  <dcterms:modified xsi:type="dcterms:W3CDTF">2026-09-07T17:09:01.245Z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