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personas que lo firman, a título particular. Quienes de</w:t>
      </w:r>
    </w:p>
    <w:p>
      <w:pPr>
        <w:spacing w:after="140" w:line="276"/>
      </w:pPr>
      <w:r>
        <w:rPr>
          <w:rFonts w:ascii="Calibri" w:cs="Calibri" w:eastAsia="Calibri" w:hAnsi="Calibri"/>
          <w:sz w:val="21"/>
          <w:szCs w:val="21"/>
        </w:rPr>
        <w:t xml:space="preserve">ellas ejercen un cargo o un puesto público lo hacen aquí a título personal, no en su condición</w:t>
      </w:r>
    </w:p>
    <w:p>
      <w:pPr>
        <w:spacing w:after="140" w:line="276"/>
      </w:pPr>
      <w:r>
        <w:rPr>
          <w:rFonts w:ascii="Calibri" w:cs="Calibri" w:eastAsia="Calibri" w:hAnsi="Calibri"/>
          <w:sz w:val="21"/>
          <w:szCs w:val="21"/>
        </w:rPr>
        <w:t xml:space="preserve">oficial, y su firma no compromete a ninguna administración.</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Sobre la tercera, y porque se presume lo contrario: esas declaraciones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w:t>
      </w:r>
      <w:r>
        <w:rPr>
          <w:rFonts w:ascii="Calibri" w:cs="Calibri" w:eastAsia="Calibri" w:hAnsi="Calibri"/>
          <w:b/>
          <w:bCs/>
          <w:sz w:val="21"/>
          <w:szCs w:val="21"/>
        </w:rPr>
        <w:t xml:space="preserve">No excluyen a ningún colaborador de presentarse a una licitación</w:t>
      </w:r>
      <w:r>
        <w:rPr>
          <w:rFonts w:ascii="Calibri" w:cs="Calibri" w:eastAsia="Calibri" w:hAnsi="Calibri"/>
          <w:sz w:val="21"/>
          <w:szCs w:val="21"/>
        </w:rPr>
        <w:t xml:space="preserve"> que aplique este catálogo. El detalle, en la Parte IV, §M7.3, medida 8.</w:t>
      </w: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varias personas, cada una desde su oficio, con tres firmantes y las aportaciones técnicas que se citan al final.</w:t>
      </w:r>
    </w:p>
    <w:p>
      <w:pPr>
        <w:spacing w:after="140" w:line="276"/>
      </w:pPr>
      <w:hyperlink w:history="1" r:id="rIdhkwukmm1uubfxwrztvjjz">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hyperlink w:history="1" r:id="rIdjz1jv6bg_b3f9bnym518z">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kddsjohdlasu9scsa1ovy">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Otras aportaciones.</w:t>
      </w:r>
      <w:r>
        <w:rPr>
          <w:rFonts w:ascii="Calibri" w:cs="Calibri" w:eastAsia="Calibri" w:hAnsi="Calibri"/>
          <w:sz w:val="21"/>
          <w:szCs w:val="21"/>
        </w:rPr>
        <w:t xml:space="preserve"> En el trabajo han colaborado personal técnico del Ayuntamiento de Pozuelo de</w:t>
      </w:r>
    </w:p>
    <w:p>
      <w:pPr>
        <w:spacing w:after="140" w:line="276"/>
      </w:pPr>
      <w:r>
        <w:rPr>
          <w:rFonts w:ascii="Calibri" w:cs="Calibri" w:eastAsia="Calibri" w:hAnsi="Calibri"/>
          <w:sz w:val="21"/>
          <w:szCs w:val="21"/>
        </w:rPr>
        <w:t xml:space="preserve">Alarcón, cuya aportación —el contraste de la práctica municipal y la lectura crítica del borrador—</w:t>
      </w:r>
    </w:p>
    <w:p>
      <w:pPr>
        <w:spacing w:after="140" w:line="276"/>
      </w:pPr>
      <w:r>
        <w:rPr>
          <w:rFonts w:ascii="Calibri" w:cs="Calibri" w:eastAsia="Calibri" w:hAnsi="Calibri"/>
          <w:sz w:val="21"/>
          <w:szCs w:val="21"/>
        </w:rPr>
        <w:t xml:space="preserve">está reconocida y ha cambiado el documento. Sus nombres </w:t>
      </w:r>
      <w:r>
        <w:rPr>
          <w:rFonts w:ascii="Calibri" w:cs="Calibri" w:eastAsia="Calibri" w:hAnsi="Calibri"/>
          <w:b/>
          <w:bCs/>
          <w:sz w:val="21"/>
          <w:szCs w:val="21"/>
        </w:rPr>
        <w:t xml:space="preserve">no se publican todavía</w:t>
      </w:r>
      <w:r>
        <w:rPr>
          <w:rFonts w:ascii="Calibri" w:cs="Calibri" w:eastAsia="Calibri" w:hAnsi="Calibri"/>
          <w:sz w:val="21"/>
          <w:szCs w:val="21"/>
        </w:rPr>
        <w:t xml:space="preserve">: se incorporarán</w:t>
      </w:r>
    </w:p>
    <w:p>
      <w:pPr>
        <w:spacing w:after="140" w:line="276"/>
      </w:pPr>
      <w:r>
        <w:rPr>
          <w:rFonts w:ascii="Calibri" w:cs="Calibri" w:eastAsia="Calibri" w:hAnsi="Calibri"/>
          <w:sz w:val="21"/>
          <w:szCs w:val="21"/>
        </w:rPr>
        <w:t xml:space="preserve">en la siguiente versión, una vez recabado de cada uno el consentimiento expreso. Se hace constar aquí</w:t>
      </w:r>
    </w:p>
    <w:p>
      <w:pPr>
        <w:spacing w:after="140" w:line="276"/>
      </w:pPr>
      <w:r>
        <w:rPr>
          <w:rFonts w:ascii="Calibri" w:cs="Calibri" w:eastAsia="Calibri" w:hAnsi="Calibri"/>
          <w:sz w:val="21"/>
          <w:szCs w:val="21"/>
        </w:rPr>
        <w:t xml:space="preserve">para que la omisión no se lea como que no existieron.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personas que lo firman,</w:t>
      </w:r>
    </w:p>
    <w:p>
      <w:pPr>
        <w:spacing w:after="140" w:line="276"/>
      </w:pPr>
      <w:r>
        <w:rPr>
          <w:rFonts w:ascii="Calibri" w:cs="Calibri" w:eastAsia="Calibri" w:hAnsi="Calibri"/>
          <w:sz w:val="21"/>
          <w:szCs w:val="21"/>
        </w:rPr>
        <w:t xml:space="preserve">a título particular; quienes ejercen un cargo o un puesto público lo hacen aquí a título personal.</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ese Ayuntamiento —ni de ningún otro—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ct09uqdja_hwcbsevcmhr">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70ynz0dbdserf-h1ajihk">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hwbo1vc-two6jfill44hs">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swap-ju7yfb7r3hyt1o-o">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efwbrqpwbeu7vosms-l92">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dbvk6z3mxwmspf1exwdzp">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sk1ngrp9vjq1wethealkm">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jwjl-ljiz1jcta6phc_jp">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j762vwlw2dbhvw08tliaa">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hngmc9obz7w5wv-t5zrcc">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g1u1r34xguir_xxfcrzii">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vxax3pzwnradxhn6cckan">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uptmk1xiptum4qfx53hpf">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oulvoabrdn3v3li3v2qqy">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fb8m-xfin0-bfbs36kg_l">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jsxcugpgfy4gy0rzs33sy">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kjxnorrs19_bskll4qink">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bohyebfiktpl5onrth0q">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1m8tsz1nppv-67bt6h8z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gtoa8ksw_xmmezaw_-cho">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oimou1lxmn_ssct1m-xty">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jopy-fnrvxcbklmr5fnnk">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ermjy48f0l1sz276opuum">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xwb-rhbefsyhcorhfulfz">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vttqf5itir-gie6qtyguh">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jijntw_m897xpi4qt5kt7">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66rs76ssmyburc2y6hwxx">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dzittsncjrcoad6_ywlrn">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3gz8kbly6ferzuqp18nz5">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knktycvuitzfaokpjsvae">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vzvnkohowadhw1k_rxiuj">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azy87qronhq5mbnrnm30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sguobftygvhtnxtx29avr">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z39yulosul-wu1ydtsz8-">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0bfmad9jwnffedbuzkem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odhsldspuj8recre51uom">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i_9q4gnfnj2xqij2tixfh">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tatzo6qo6sswyhu4rhtnl">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c2f-koojtlf0c2zs8ptmh">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k7p4vdvvd5qfwqbzz4pzp">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05-g9qspakbvx6tedxyim">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1pij04wsx4afdruulik20">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vuvyxphpvzja-op_qub4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M1.2 bis · Y si el órgano de gobierno no aprueba nada</w:t>
      </w:r>
    </w:p>
    <w:p>
      <w:pPr>
        <w:spacing w:after="140" w:line="276"/>
      </w:pPr>
      <w:r>
        <w:rPr>
          <w:rFonts w:ascii="Calibri" w:cs="Calibri" w:eastAsia="Calibri" w:hAnsi="Calibri"/>
          <w:sz w:val="21"/>
          <w:szCs w:val="21"/>
        </w:rPr>
        <w:t xml:space="preserve">Es la pregunta que hace cualquiera que tenga que aplicar esto de verdad, y merece respuesta directa</w:t>
      </w:r>
    </w:p>
    <w:p>
      <w:pPr>
        <w:spacing w:after="140" w:line="276"/>
      </w:pPr>
      <w:r>
        <w:rPr>
          <w:rFonts w:ascii="Calibri" w:cs="Calibri" w:eastAsia="Calibri" w:hAnsi="Calibri"/>
          <w:sz w:val="21"/>
          <w:szCs w:val="21"/>
        </w:rPr>
        <w:t xml:space="preserve">en vez de una remisión: **¿y si el ayuntamiento no quiere aprobar ninguna política digital, pero sí</w:t>
      </w:r>
    </w:p>
    <w:p>
      <w:pPr>
        <w:spacing w:after="140" w:line="276"/>
      </w:pPr>
      <w:r>
        <w:rPr>
          <w:rFonts w:ascii="Calibri" w:cs="Calibri" w:eastAsia="Calibri" w:hAnsi="Calibri"/>
          <w:sz w:val="21"/>
          <w:szCs w:val="21"/>
        </w:rPr>
        <w:t xml:space="preserve">quiere usar el catálogo y poner exigencias tecnológicas?**</w:t>
      </w:r>
    </w:p>
    <w:p>
      <w:pPr>
        <w:spacing w:after="140" w:line="276"/>
      </w:pPr>
      <w:r>
        <w:rPr>
          <w:rFonts w:ascii="Calibri" w:cs="Calibri" w:eastAsia="Calibri" w:hAnsi="Calibri"/>
          <w:sz w:val="21"/>
          <w:szCs w:val="21"/>
        </w:rPr>
        <w:t xml:space="preserve">La respuesta corta: </w:t>
      </w:r>
      <w:r>
        <w:rPr>
          <w:rFonts w:ascii="Calibri" w:cs="Calibri" w:eastAsia="Calibri" w:hAnsi="Calibri"/>
          <w:b/>
          <w:bCs/>
          <w:sz w:val="21"/>
          <w:szCs w:val="21"/>
        </w:rPr>
        <w:t xml:space="preserve">se puede hacer casi todo, y lo que no, tiene tres salidas antes de renunciar.</w:t>
      </w:r>
    </w:p>
    <w:p>
      <w:pPr>
        <w:spacing w:after="140" w:line="276"/>
      </w:pPr>
      <w:r>
        <w:rPr>
          <w:rFonts w:ascii="Calibri" w:cs="Calibri" w:eastAsia="Calibri" w:hAnsi="Calibri"/>
          <w:b/>
          <w:bCs/>
          <w:sz w:val="21"/>
          <w:szCs w:val="21"/>
        </w:rPr>
        <w:t xml:space="preserve">Primero, lo que no depende de nadie.</w:t>
      </w:r>
      <w:r>
        <w:rPr>
          <w:rFonts w:ascii="Calibri" w:cs="Calibri" w:eastAsia="Calibri" w:hAnsi="Calibri"/>
          <w:sz w:val="21"/>
          <w:szCs w:val="21"/>
        </w:rPr>
        <w:t xml:space="preserve"> Todo lo de origen normativo o funcional entra hoy, motivado</w:t>
      </w:r>
    </w:p>
    <w:p>
      <w:pPr>
        <w:spacing w:after="140" w:line="276"/>
      </w:pPr>
      <w:r>
        <w:rPr>
          <w:rFonts w:ascii="Calibri" w:cs="Calibri" w:eastAsia="Calibri" w:hAnsi="Calibri"/>
          <w:sz w:val="21"/>
          <w:szCs w:val="21"/>
        </w:rPr>
        <w:t xml:space="preserve">en la memoria del expediente con datos propios. Es la mayor parte del catálogo y la de más valor</w:t>
      </w:r>
    </w:p>
    <w:p>
      <w:pPr>
        <w:spacing w:after="140" w:line="276"/>
      </w:pPr>
      <w:r>
        <w:rPr>
          <w:rFonts w:ascii="Calibri" w:cs="Calibri" w:eastAsia="Calibri" w:hAnsi="Calibri"/>
          <w:sz w:val="21"/>
          <w:szCs w:val="21"/>
        </w:rPr>
        <w:t xml:space="preserve">económico: reversibilidad, propiedad intelectual y licencia mínima, acceso de los órganos de control</w:t>
      </w:r>
    </w:p>
    <w:p>
      <w:pPr>
        <w:spacing w:after="140" w:line="276"/>
      </w:pPr>
      <w:r>
        <w:rPr>
          <w:rFonts w:ascii="Calibri" w:cs="Calibri" w:eastAsia="Calibri" w:hAnsi="Calibri"/>
          <w:sz w:val="21"/>
          <w:szCs w:val="21"/>
        </w:rPr>
        <w:t xml:space="preserve">al dato, ENS bien redactado, equivalencia y prueba, penalidades tipificadas. De las seis cláusulas</w:t>
      </w:r>
    </w:p>
    <w:p>
      <w:pPr>
        <w:spacing w:after="140" w:line="276"/>
      </w:pPr>
      <w:r>
        <w:rPr>
          <w:rFonts w:ascii="Calibri" w:cs="Calibri" w:eastAsia="Calibri" w:hAnsi="Calibri"/>
          <w:sz w:val="21"/>
          <w:szCs w:val="21"/>
        </w:rPr>
        <w:t xml:space="preserve">del subconjunto mínimo del §VI.2.2, </w:t>
      </w:r>
      <w:r>
        <w:rPr>
          <w:rFonts w:ascii="Calibri" w:cs="Calibri" w:eastAsia="Calibri" w:hAnsi="Calibri"/>
          <w:b/>
          <w:bCs/>
          <w:sz w:val="21"/>
          <w:szCs w:val="21"/>
        </w:rPr>
        <w:t xml:space="preserve">cinco</w:t>
      </w:r>
      <w:r>
        <w:rPr>
          <w:rFonts w:ascii="Calibri" w:cs="Calibri" w:eastAsia="Calibri" w:hAnsi="Calibri"/>
          <w:sz w:val="21"/>
          <w:szCs w:val="21"/>
        </w:rPr>
        <w:t xml:space="preserve"> se sostienen así.</w:t>
      </w:r>
    </w:p>
    <w:p>
      <w:pPr>
        <w:spacing w:after="140" w:line="276"/>
      </w:pPr>
      <w:r>
        <w:rPr>
          <w:rFonts w:ascii="Calibri" w:cs="Calibri" w:eastAsia="Calibri" w:hAnsi="Calibri"/>
          <w:b/>
          <w:bCs/>
          <w:sz w:val="21"/>
          <w:szCs w:val="21"/>
        </w:rPr>
        <w:t xml:space="preserve">Segundo, lo que sí necesita anclaje institucional</w:t>
      </w:r>
      <w:r>
        <w:rPr>
          <w:rFonts w:ascii="Calibri" w:cs="Calibri" w:eastAsia="Calibri" w:hAnsi="Calibri"/>
          <w:sz w:val="21"/>
          <w:szCs w:val="21"/>
        </w:rPr>
        <w:t xml:space="preserve"> —el catálogo anual de exigencias tecnológicas</w:t>
      </w:r>
    </w:p>
    <w:p>
      <w:pPr>
        <w:spacing w:after="140" w:line="276"/>
      </w:pPr>
      <w:r>
        <w:rPr>
          <w:rFonts w:ascii="Calibri" w:cs="Calibri" w:eastAsia="Calibri" w:hAnsi="Calibri"/>
          <w:sz w:val="21"/>
          <w:szCs w:val="21"/>
        </w:rPr>
        <w:t xml:space="preserve">del Anexo V y la interfaz de acceso para agentes más allá del control interno— no exige</w:t>
      </w:r>
    </w:p>
    <w:p>
      <w:pPr>
        <w:spacing w:after="140" w:line="276"/>
      </w:pPr>
      <w:r>
        <w:rPr>
          <w:rFonts w:ascii="Calibri" w:cs="Calibri" w:eastAsia="Calibri" w:hAnsi="Calibri"/>
          <w:sz w:val="21"/>
          <w:szCs w:val="21"/>
        </w:rPr>
        <w:t xml:space="preserve">necesariamente un acuerdo </w:t>
      </w:r>
      <w:r>
        <w:rPr>
          <w:rFonts w:ascii="Calibri" w:cs="Calibri" w:eastAsia="Calibri" w:hAnsi="Calibri"/>
          <w:i/>
          <w:iCs/>
          <w:sz w:val="21"/>
          <w:szCs w:val="21"/>
        </w:rPr>
        <w:t xml:space="preserve">nuevo</w:t>
      </w:r>
      <w:r>
        <w:rPr>
          <w:rFonts w:ascii="Calibri" w:cs="Calibri" w:eastAsia="Calibri" w:hAnsi="Calibri"/>
          <w:sz w:val="21"/>
          <w:szCs w:val="21"/>
        </w:rPr>
        <w:t xml:space="preserve">. Exige **un acto de la administración, con rango suficiente, que</w:t>
      </w:r>
    </w:p>
    <w:p>
      <w:pPr>
        <w:spacing w:after="140" w:line="276"/>
      </w:pPr>
      <w:r>
        <w:rPr>
          <w:rFonts w:ascii="Calibri" w:cs="Calibri" w:eastAsia="Calibri" w:hAnsi="Calibri"/>
          <w:sz w:val="21"/>
          <w:szCs w:val="21"/>
        </w:rPr>
        <w:t xml:space="preserve">fije esa política**. Antes de pedir uno, búsquese si ya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En ese caso la ficha del Anexo II no invoca un documento técnico de una concejalía: **invoca una</w:t>
      </w:r>
    </w:p>
    <w:p>
      <w:pPr>
        <w:spacing w:after="140" w:line="276"/>
      </w:pPr>
      <w:r>
        <w:rPr>
          <w:rFonts w:ascii="Calibri" w:cs="Calibri" w:eastAsia="Calibri" w:hAnsi="Calibri"/>
          <w:sz w:val="21"/>
          <w:szCs w:val="21"/>
        </w:rPr>
        <w:t xml:space="preserve">política ya aprobada**, y el §M1.2.c) queda satisfecho sin volver a la Junta.</w:t>
      </w:r>
    </w:p>
    <w:p>
      <w:pPr>
        <w:spacing w:after="140" w:line="276"/>
      </w:pPr>
      <w:r>
        <w:rPr>
          <w:rFonts w:ascii="Calibri" w:cs="Calibri" w:eastAsia="Calibri" w:hAnsi="Calibri"/>
          <w:b/>
          <w:bCs/>
          <w:sz w:val="21"/>
          <w:szCs w:val="21"/>
        </w:rPr>
        <w:t xml:space="preserve">Tercero, si no existe nada de eso</w:t>
      </w:r>
      <w:r>
        <w:rPr>
          <w:rFonts w:ascii="Calibri" w:cs="Calibri" w:eastAsia="Calibri" w:hAnsi="Calibri"/>
          <w:sz w:val="21"/>
          <w:szCs w:val="21"/>
        </w:rPr>
        <w:t xml:space="preserve">, quedan tres caminos, en este orden:</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Muchas exigencias que parecen institucionales lo</w:t>
      </w:r>
    </w:p>
    <w:p>
      <w:pPr>
        <w:spacing w:after="140" w:line="276"/>
      </w:pPr>
      <w:r>
        <w:rPr>
          <w:rFonts w:ascii="Calibri" w:cs="Calibri" w:eastAsia="Calibri" w:hAnsi="Calibri"/>
          <w:sz w:val="21"/>
          <w:szCs w:val="21"/>
        </w:rPr>
        <w:t xml:space="preserve">dejan de ser en cuanto el gestor pone datos encima: número de peticiones al año y plazo medio de</w:t>
      </w:r>
    </w:p>
    <w:p>
      <w:pPr>
        <w:spacing w:after="140" w:line="276"/>
      </w:pPr>
      <w:r>
        <w:rPr>
          <w:rFonts w:ascii="Calibri" w:cs="Calibri" w:eastAsia="Calibri" w:hAnsi="Calibri"/>
          <w:sz w:val="21"/>
          <w:szCs w:val="21"/>
        </w:rPr>
        <w:t xml:space="preserve">respuesta actual, coste estimado del cambio de proveedor, horas dedicadas a una tramitación. El</w:t>
      </w:r>
    </w:p>
    <w:p>
      <w:pPr>
        <w:spacing w:after="140" w:line="276"/>
      </w:pPr>
      <w:r>
        <w:rPr>
          <w:rFonts w:ascii="Calibri" w:cs="Calibri" w:eastAsia="Calibri" w:hAnsi="Calibri"/>
          <w:sz w:val="21"/>
          <w:szCs w:val="21"/>
        </w:rPr>
        <w:t xml:space="preserve">§M1.2.b) es una vía tan legítima como el acuerdo, y a menudo más sólida ante un tribunal, porque</w:t>
      </w:r>
    </w:p>
    <w:p>
      <w:pPr>
        <w:spacing w:after="140" w:line="276"/>
      </w:pPr>
      <w:r>
        <w:rPr>
          <w:rFonts w:ascii="Calibri" w:cs="Calibri" w:eastAsia="Calibri" w:hAnsi="Calibri"/>
          <w:sz w:val="21"/>
          <w:szCs w:val="21"/>
        </w:rPr>
        <w:t xml:space="preserve">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del ejercicio por resolución del órgano competente</w:t>
      </w:r>
      <w:r>
        <w:rPr>
          <w:rFonts w:ascii="Calibri" w:cs="Calibri" w:eastAsia="Calibri" w:hAnsi="Calibri"/>
          <w:sz w:val="21"/>
          <w:szCs w:val="21"/>
        </w:rPr>
        <w:t xml:space="preserve">, sin plan municipal</w:t>
      </w:r>
    </w:p>
    <w:p>
      <w:pPr>
        <w:spacing w:after="140" w:line="276"/>
      </w:pPr>
      <w:r>
        <w:rPr>
          <w:rFonts w:ascii="Calibri" w:cs="Calibri" w:eastAsia="Calibri" w:hAnsi="Calibri"/>
          <w:sz w:val="21"/>
          <w:szCs w:val="21"/>
        </w:rPr>
        <w:t xml:space="preserve">previo, motivándola en la memoria y publicándola con su contraste de mercado (Anexo XV). Es menos</w:t>
      </w:r>
    </w:p>
    <w:p>
      <w:pPr>
        <w:spacing w:after="140" w:line="276"/>
      </w:pPr>
      <w:r>
        <w:rPr>
          <w:rFonts w:ascii="Calibri" w:cs="Calibri" w:eastAsia="Calibri" w:hAnsi="Calibri"/>
          <w:sz w:val="21"/>
          <w:szCs w:val="21"/>
        </w:rPr>
        <w:t xml:space="preserve">sólido que un acuerdo de gobierno —lo dice el §M8— pero es un acto administrativo con</w:t>
      </w:r>
    </w:p>
    <w:p>
      <w:pPr>
        <w:spacing w:after="140" w:line="276"/>
      </w:pPr>
      <w:r>
        <w:rPr>
          <w:rFonts w:ascii="Calibri" w:cs="Calibri" w:eastAsia="Calibri" w:hAnsi="Calibri"/>
          <w:sz w:val="21"/>
          <w:szCs w:val="21"/>
        </w:rPr>
        <w:t xml:space="preserve">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Y si tampoco eso</w:t>
      </w:r>
      <w:r>
        <w:rPr>
          <w:rFonts w:ascii="Calibri" w:cs="Calibri" w:eastAsia="Calibri" w:hAnsi="Calibri"/>
          <w:sz w:val="21"/>
          <w:szCs w:val="21"/>
        </w:rPr>
        <w:t xml:space="preserve">: incorpórese el subconjunto mínimo sin ADM-2·v3 y déjese constancia en la</w:t>
      </w:r>
    </w:p>
    <w:p>
      <w:pPr>
        <w:spacing w:after="140" w:line="276"/>
      </w:pPr>
      <w:r>
        <w:rPr>
          <w:rFonts w:ascii="Calibri" w:cs="Calibri" w:eastAsia="Calibri" w:hAnsi="Calibri"/>
          <w:sz w:val="21"/>
          <w:szCs w:val="21"/>
        </w:rPr>
        <w:t xml:space="preserve">memoria de que la exigencia tecnológica se pospone por falta de anclaje. Es preferible un</w:t>
      </w:r>
    </w:p>
    <w:p>
      <w:pPr>
        <w:spacing w:after="140" w:line="276"/>
      </w:pPr>
      <w:r>
        <w:rPr>
          <w:rFonts w:ascii="Calibri" w:cs="Calibri" w:eastAsia="Calibri" w:hAnsi="Calibri"/>
          <w:sz w:val="21"/>
          <w:szCs w:val="21"/>
        </w:rPr>
        <w:t xml:space="preserve">expediente con cinco cláusulas defendibles que uno con seis y una recurrible.</w:t>
      </w:r>
    </w:p>
    <w:p>
      <w:pPr>
        <w:spacing w:after="140" w:line="276"/>
      </w:pPr>
      <w:r>
        <w:rPr>
          <w:rFonts w:ascii="Calibri" w:cs="Calibri" w:eastAsia="Calibri" w:hAnsi="Calibri"/>
          <w:b/>
          <w:bCs/>
          <w:sz w:val="21"/>
          <w:szCs w:val="21"/>
        </w:rPr>
        <w:t xml:space="preserve">Lo que no se debe hacer, y es la tentación.</w:t>
      </w:r>
      <w:r>
        <w:rPr>
          <w:rFonts w:ascii="Calibri" w:cs="Calibri" w:eastAsia="Calibri" w:hAnsi="Calibri"/>
          <w:sz w:val="21"/>
          <w:szCs w:val="21"/>
        </w:rPr>
        <w:t xml:space="preserve"> Incorporar el Anexo V igualmente, rellenando la ficha</w:t>
      </w:r>
    </w:p>
    <w:p>
      <w:pPr>
        <w:spacing w:after="140" w:line="276"/>
      </w:pPr>
      <w:r>
        <w:rPr>
          <w:rFonts w:ascii="Calibri" w:cs="Calibri" w:eastAsia="Calibri" w:hAnsi="Calibri"/>
          <w:sz w:val="21"/>
          <w:szCs w:val="21"/>
        </w:rPr>
        <w:t xml:space="preserve">con una frase genérica del tipo «conviene que las aplicaciones municipales sean interoperables con</w:t>
      </w:r>
    </w:p>
    <w:p>
      <w:pPr>
        <w:spacing w:after="140" w:line="276"/>
      </w:pPr>
      <w:r>
        <w:rPr>
          <w:rFonts w:ascii="Calibri" w:cs="Calibri" w:eastAsia="Calibri" w:hAnsi="Calibri"/>
          <w:sz w:val="21"/>
          <w:szCs w:val="21"/>
        </w:rPr>
        <w:t xml:space="preserve">agentes de inteligencia artificial». Ese párrafo se repite idéntico en todos los expedientes, y es la</w:t>
      </w:r>
    </w:p>
    <w:p>
      <w:pPr>
        <w:spacing w:after="140" w:line="276"/>
      </w:pPr>
      <w:r>
        <w:rPr>
          <w:rFonts w:ascii="Calibri" w:cs="Calibri" w:eastAsia="Calibri" w:hAnsi="Calibri"/>
          <w:sz w:val="21"/>
          <w:szCs w:val="21"/>
        </w:rPr>
        <w:t xml:space="preserve">definición de justificación estereotipada que un tribunal rechaza. Sin anclaje, la cláusula no se</w:t>
      </w:r>
    </w:p>
    <w:p>
      <w:pPr>
        <w:spacing w:after="140" w:line="276"/>
      </w:pPr>
      <w:r>
        <w:rPr>
          <w:rFonts w:ascii="Calibri" w:cs="Calibri" w:eastAsia="Calibri" w:hAnsi="Calibri"/>
          <w:sz w:val="21"/>
          <w:szCs w:val="21"/>
        </w:rPr>
        <w:t xml:space="preserve">disfraza: se pospone.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Lo que la declaración NO hace: limitar el derecho a licitar.</w:t>
      </w:r>
      <w:r>
        <w:rPr>
          <w:rFonts w:ascii="Calibri" w:cs="Calibri" w:eastAsia="Calibri" w:hAnsi="Calibri"/>
          <w:sz w:val="21"/>
          <w:szCs w:val="21"/>
        </w:rPr>
        <w:t xml:space="preserve"> Conviene decirlo expresamente, porque se presume lo contrario. Las declaraciones del Anexo IX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y para que el conflicto esté sobre la mesa antes de que nadie tenga que preguntarlo. </w:t>
      </w:r>
      <w:r>
        <w:rPr>
          <w:rFonts w:ascii="Calibri" w:cs="Calibri" w:eastAsia="Calibri" w:hAnsi="Calibri"/>
          <w:b/>
          <w:bCs/>
          <w:sz w:val="21"/>
          <w:szCs w:val="21"/>
        </w:rPr>
        <w:t xml:space="preserve">No excluyen a ningún colaborador de presentarse a una licitación que aplique este catálogo</w:t>
      </w:r>
      <w:r>
        <w:rPr>
          <w:rFonts w:ascii="Calibri" w:cs="Calibri" w:eastAsia="Calibri" w:hAnsi="Calibri"/>
          <w:sz w:val="21"/>
          <w:szCs w:val="21"/>
        </w:rPr>
        <w:t xml:space="preserve">, ni por sí ni en unión temporal de empresas. Una autolimitación de ese alcance no la exige la ley, restringiría la concurrencia que este catálogo quiere ensanchar y castigaría precisamente a quien ha puesto su conocimiento en abierto. Lo que sí se exige es lo de los puntos 2, 4 y 10: que ninguna exigencia esté escrita para favorecer a nadie, que no se puntúe la tenencia previa y que conste quién propuso cada cosa.</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f76pgtiqaaslgq_wkcaid">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ngcqws9xue5gy0tsrcblg">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hkwukmm1uubfxwrztvjjz" Type="http://schemas.openxmlformats.org/officeDocument/2006/relationships/hyperlink" Target="https://www.pozuelodealarcon.org/tu-ayuntamiento/organizacion-municipal/trayectoria-profesional-delfina-lafuente-veira" TargetMode="External"/><Relationship Id="rIdjz1jv6bg_b3f9bnym518z" Type="http://schemas.openxmlformats.org/officeDocument/2006/relationships/hyperlink" Target="https://www.ufv.es/una-nueva-definicion-para-las-ciudades-que-transformaran-el-mundo-noticias-actualidad/" TargetMode="External"/><Relationship Id="rIdkddsjohdlasu9scsa1ovy" Type="http://schemas.openxmlformats.org/officeDocument/2006/relationships/hyperlink" Target="https://miguelangeldominguez.info" TargetMode="External"/><Relationship Id="rIdct09uqdja_hwcbsevcmhr" Type="http://schemas.openxmlformats.org/officeDocument/2006/relationships/hyperlink" Target="https://www.comunidad.madrid/tacp/sites/default/files/resolucion_383-2024_expediente_383-2024.pdf" TargetMode="External"/><Relationship Id="rId70ynz0dbdserf-h1ajihk" Type="http://schemas.openxmlformats.org/officeDocument/2006/relationships/hyperlink" Target="https://www.hacienda.gob.es/dgpatrimonio/junta%20consultiva/informes/informes2026/informe202518modificaciones204y205delalcsp.pdf" TargetMode="External"/><Relationship Id="rIdhwbo1vc-two6jfill44hs" Type="http://schemas.openxmlformats.org/officeDocument/2006/relationships/hyperlink" Target="https://contratos-publicos.comunidad.madrid/media/827829/download" TargetMode="External"/><Relationship Id="rIdswap-ju7yfb7r3hyt1o-o" Type="http://schemas.openxmlformats.org/officeDocument/2006/relationships/hyperlink" Target="https://www.boe.es/buscar/act.php?id=BOE-A-2017-12902" TargetMode="External"/><Relationship Id="rIdefwbrqpwbeu7vosms-l92" Type="http://schemas.openxmlformats.org/officeDocument/2006/relationships/hyperlink" Target="https://www.boe.es/buscar/doc.php?id=DOUE-L-2025-81543" TargetMode="External"/><Relationship Id="rIddbvk6z3mxwmspf1exwdzp" Type="http://schemas.openxmlformats.org/officeDocument/2006/relationships/hyperlink" Target="https://www.boe.es/buscar/doc.php?id=BOE-A-2016-11098" TargetMode="External"/><Relationship Id="rIdsk1ngrp9vjq1wethealkm" Type="http://schemas.openxmlformats.org/officeDocument/2006/relationships/hyperlink" Target="https://www.boe.es/buscar/doc.php?id=DOUE-L-2026-81147" TargetMode="External"/><Relationship Id="rIdjwjl-ljiz1jcta6phc_jp" Type="http://schemas.openxmlformats.org/officeDocument/2006/relationships/hyperlink" Target="https://www.comunidad.madrid/tacp/sites/default/files/resolucion_383-2024_expediente_383-2024.pdf" TargetMode="External"/><Relationship Id="rIdj762vwlw2dbhvw08tliaa" Type="http://schemas.openxmlformats.org/officeDocument/2006/relationships/hyperlink" Target="https://www.boe.es/buscar/doc.php?id=DOUE-L-2026-81147" TargetMode="External"/><Relationship Id="rIdhngmc9obz7w5wv-t5zrcc" Type="http://schemas.openxmlformats.org/officeDocument/2006/relationships/hyperlink" Target="https://www.linuxfoundation.org/press/linux-foundation-announces-the-formation-of-the-agentic-ai-foundation" TargetMode="External"/><Relationship Id="rIdg1u1r34xguir_xxfcrzii" Type="http://schemas.openxmlformats.org/officeDocument/2006/relationships/hyperlink" Target="https://single-market-economy.ec.europa.eu/single-market/european-standards/ict-standardisation/ict-technical-specifications_en" TargetMode="External"/><Relationship Id="rIdvxax3pzwnradxhn6cckan" Type="http://schemas.openxmlformats.org/officeDocument/2006/relationships/hyperlink" Target="https://www.hacienda.gob.es/TACRC/Resoluciones/A%C3%B1o%202022/Recurso%200998-2022%20(Res%201113" TargetMode="External"/><Relationship Id="rIduptmk1xiptum4qfx53hpf" Type="http://schemas.openxmlformats.org/officeDocument/2006/relationships/hyperlink" Target="https://www.comunidad.madrid/tacp/sites/default/files/resolucion_535-2025_expediente_526-2025.pdf" TargetMode="External"/><Relationship Id="rIdoulvoabrdn3v3li3v2qqy" Type="http://schemas.openxmlformats.org/officeDocument/2006/relationships/hyperlink" Target="https://eur-lex.europa.eu/legal-content/ES/TXT/HTML/?uri=CELEX:62023CJ0424" TargetMode="External"/><Relationship Id="rIdfb8m-xfin0-bfbs36kg_l" Type="http://schemas.openxmlformats.org/officeDocument/2006/relationships/hyperlink" Target="https://eur-lex.europa.eu/legal-content/ES/TXT/HTML/?uri=CELEX:62017CJ0014" TargetMode="External"/><Relationship Id="rIdjsxcugpgfy4gy0rzs33sy" Type="http://schemas.openxmlformats.org/officeDocument/2006/relationships/hyperlink" Target="https://www.hacienda.gob.es/TACRC/Resoluciones/A%C3%B1o%202021/Recurso%201372-2021%20VAL%20314-2021%20(Res%201727" TargetMode="External"/><Relationship Id="rIdkjxnorrs19_bskll4qink" Type="http://schemas.openxmlformats.org/officeDocument/2006/relationships/hyperlink" Target="https://www.hacienda.gob.es/TACRC/Resoluciones/A%C3%B1o%202020/Recurso%200323-2020%20%20(Res%20549" TargetMode="External"/><Relationship Id="rId-bohyebfiktpl5onrth0q" Type="http://schemas.openxmlformats.org/officeDocument/2006/relationships/hyperlink" Target="https://www.comunidad.madrid/tacp/sites/default/files/resolucion_535-2025_expediente_526-2025.pdf" TargetMode="External"/><Relationship Id="rId1m8tsz1nppv-67bt6h8zc" Type="http://schemas.openxmlformats.org/officeDocument/2006/relationships/hyperlink" Target="https://www.comunidad.madrid/tacp/sites/default/files/resolucion_92-2024_recurso_070-2024_web.pdf" TargetMode="External"/><Relationship Id="rIdgtoa8ksw_xmmezaw_-cho" Type="http://schemas.openxmlformats.org/officeDocument/2006/relationships/hyperlink" Target="https://www.boe.es/buscar/act.php?id=BOE-A-2013-13722" TargetMode="External"/><Relationship Id="rIdoimou1lxmn_ssct1m-xty" Type="http://schemas.openxmlformats.org/officeDocument/2006/relationships/hyperlink" Target="https://www.boe.es/buscar/act.php?id=BOE-A-2015-10565" TargetMode="External"/><Relationship Id="rIdjopy-fnrvxcbklmr5fnnk" Type="http://schemas.openxmlformats.org/officeDocument/2006/relationships/hyperlink" Target="https://www.boe.es/buscar/act.php?id=BOE-A-2010-1331" TargetMode="External"/><Relationship Id="rIdermjy48f0l1sz276opuum" Type="http://schemas.openxmlformats.org/officeDocument/2006/relationships/hyperlink" Target="https://www.boe.es/buscar/act.php?id=BOE-A-2021-13749" TargetMode="External"/><Relationship Id="rIdxwb-rhbefsyhcorhfulfz" Type="http://schemas.openxmlformats.org/officeDocument/2006/relationships/hyperlink" Target="https://www.boe.es/buscar/act.php?id=BOE-A-2015-10565" TargetMode="External"/><Relationship Id="rIdvttqf5itir-gie6qtyguh" Type="http://schemas.openxmlformats.org/officeDocument/2006/relationships/hyperlink" Target="https://www.boe.es/buscar/act.php?id=BOE-A-2021-5032" TargetMode="External"/><Relationship Id="rIdjijntw_m897xpi4qt5kt7" Type="http://schemas.openxmlformats.org/officeDocument/2006/relationships/hyperlink" Target="https://www.boe.es/buscar/act.php?id=BOE-A-2015-10565" TargetMode="External"/><Relationship Id="rId66rs76ssmyburc2y6hwxx" Type="http://schemas.openxmlformats.org/officeDocument/2006/relationships/hyperlink" Target="https://www.boe.es/buscar/act.php?id=BOE-A-2021-5032" TargetMode="External"/><Relationship Id="rIddzittsncjrcoad6_ywlrn" Type="http://schemas.openxmlformats.org/officeDocument/2006/relationships/hyperlink" Target="https://www.boe.es/buscar/act.php?id=BOE-A-2015-10565" TargetMode="External"/><Relationship Id="rId3gz8kbly6ferzuqp18nz5" Type="http://schemas.openxmlformats.org/officeDocument/2006/relationships/hyperlink" Target="https://www.boe.es/buscar/act.php?id=BOE-A-2021-5032" TargetMode="External"/><Relationship Id="rIdknktycvuitzfaokpjsvae" Type="http://schemas.openxmlformats.org/officeDocument/2006/relationships/hyperlink" Target="https://www.boe.es/buscar/act.php?id=BOE-A-2010-1331" TargetMode="External"/><Relationship Id="rIdvzvnkohowadhw1k_rxiuj" Type="http://schemas.openxmlformats.org/officeDocument/2006/relationships/hyperlink" Target="https://www.comunidad.madrid/tacp/sites/default/files/resolucion_383-2024_expediente_383-2024.pdf" TargetMode="External"/><Relationship Id="rIdazy87qronhq5mbnrnm30e" Type="http://schemas.openxmlformats.org/officeDocument/2006/relationships/hyperlink" Target="https://www.comunidad.madrid/tacp/sites/default/files/resolucion_383-2024_expediente_383-2024.pdf" TargetMode="External"/><Relationship Id="rIdsguobftygvhtnxtx29avr" Type="http://schemas.openxmlformats.org/officeDocument/2006/relationships/hyperlink" Target="https://www.comunidad.madrid/tacp/sites/default/files/resolucion_535-2025_expediente_526-2025.pdf" TargetMode="External"/><Relationship Id="rIdz39yulosul-wu1ydtsz8-" Type="http://schemas.openxmlformats.org/officeDocument/2006/relationships/hyperlink" Target="https://www.hacienda.gob.es/tacrc/resoluciones/a%C3%B1o%202019/recurso%200557-2019%20val%20113-2019%20(res%20786" TargetMode="External"/><Relationship Id="rId0bfmad9jwnffedbuzkemx" Type="http://schemas.openxmlformats.org/officeDocument/2006/relationships/hyperlink" Target="https://www.hacienda.gob.es/TACRC/Resoluciones/A%C3%B1o%202021/Recurso%201372-2021%20VAL%20314-2021%20(Res%201727" TargetMode="External"/><Relationship Id="rIdodhsldspuj8recre51uom" Type="http://schemas.openxmlformats.org/officeDocument/2006/relationships/hyperlink" Target="https://tienda.aenor.com/p/norma-une-en-iso-iec-42001-2026-n0075951" TargetMode="External"/><Relationship Id="rIdi_9q4gnfnj2xqij2tixfh" Type="http://schemas.openxmlformats.org/officeDocument/2006/relationships/hyperlink" Target="https://www.euskadi.eus/contenidos/informacion/kpecpe_oarc_memorias_doctrina/eu_def/adjuntos/Doktrina-2018-2023.pdf" TargetMode="External"/><Relationship Id="rIdtatzo6qo6sswyhu4rhtnl" Type="http://schemas.openxmlformats.org/officeDocument/2006/relationships/hyperlink" Target="https://www.hacienda.gob.es/TACRC/Resoluciones/A%C3%B1o%202022/Recurso%200998-2022%20(Res%201113" TargetMode="External"/><Relationship Id="rIdc2f-koojtlf0c2zs8ptmh" Type="http://schemas.openxmlformats.org/officeDocument/2006/relationships/hyperlink" Target="https://www.hacienda.gob.es/tacrc/resoluciones/a%C3%B1o%202022/recurso%200846-2022%20(res%201287" TargetMode="External"/><Relationship Id="rIdk7p4vdvvd5qfwqbzz4pzp" Type="http://schemas.openxmlformats.org/officeDocument/2006/relationships/hyperlink" Target="https://www.hacienda.gob.es/TACRC/Documentos/RESOLUCIONES%20DE%20PLENO%202022/Resoluci%C3%B3n%20Recurso%20842-2022%20(Res%201111" TargetMode="External"/><Relationship Id="rId05-g9qspakbvx6tedxyim" Type="http://schemas.openxmlformats.org/officeDocument/2006/relationships/hyperlink" Target="https://contratacion.castillalamancha.es/sites/default/files/infocontrataclm/descargar_consulta_019-2022.pdf" TargetMode="External"/><Relationship Id="rId1pij04wsx4afdruulik20" Type="http://schemas.openxmlformats.org/officeDocument/2006/relationships/hyperlink" Target="http://www.contratosdelsectorpublico.es/DocumentosWEB/02TribunalesContractuales/TACP%20Aragon/TACP%20Arag%C3%B3n%2076-2015.pdf" TargetMode="External"/><Relationship Id="rIdvuvyxphpvzja-op_qub4j" Type="http://schemas.openxmlformats.org/officeDocument/2006/relationships/hyperlink" Target="https://www.hacienda.gob.es/TACRC/Documentos/RESOLUCIONES%20DE%20PLENO%202022/Resoluci%C3%B3n%20Recurso%20842-2022%20(Res%201111" TargetMode="External"/><Relationship Id="rIdf76pgtiqaaslgq_wkcaid" Type="http://schemas.openxmlformats.org/officeDocument/2006/relationships/hyperlink" Target="https://www.comunidad.madrid/tacp/sites/default/files/resolucion_383-2024_expediente_383-2024.pdf" TargetMode="External"/><Relationship Id="rIdngcqws9xue5gy0tsrcblg" Type="http://schemas.openxmlformats.org/officeDocument/2006/relationships/hyperlink" Target="https://www.comunidad.madrid/tacp/sites/default/files/resolucion_383-2024_expediente_383-2024.pdf"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2026-09-07T17:09:01.527Z</dcterms:created>
  <dcterms:modified xsi:type="dcterms:W3CDTF">2026-09-07T17:09:01.528Z</dcterms:modified>
</cp:coreProperties>
</file>

<file path=docProps/custom.xml><?xml version="1.0" encoding="utf-8"?>
<Properties xmlns="http://schemas.openxmlformats.org/officeDocument/2006/custom-properties" xmlns:vt="http://schemas.openxmlformats.org/officeDocument/2006/docPropsVTypes"/>
</file>