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10 de septiembre de 2026</w:t>
      </w:r>
    </w:p>
    <w:p>
      <w:pPr>
        <w:spacing w:after="140" w:line="276"/>
      </w:pPr>
      <w:r>
        <w:rPr>
          <w:rFonts w:ascii="Calibri" w:cs="Calibri" w:eastAsia="Calibri" w:hAnsi="Calibri"/>
          <w:b/>
          <w:bCs/>
          <w:sz w:val="21"/>
          <w:szCs w:val="21"/>
        </w:rPr>
        <w:t xml:space="preserve">Qué ha aprobado alguna administración:</w:t>
      </w:r>
      <w:r>
        <w:rPr>
          <w:rFonts w:ascii="Calibri" w:cs="Calibri" w:eastAsia="Calibri" w:hAnsi="Calibri"/>
          <w:sz w:val="21"/>
          <w:szCs w:val="21"/>
        </w:rPr>
        <w:t xml:space="preserve"> nada. Este documento no es un acto administrativo, no ha</w:t>
      </w:r>
    </w:p>
    <w:p>
      <w:pPr>
        <w:spacing w:after="140" w:line="276"/>
      </w:pPr>
      <w:r>
        <w:rPr>
          <w:rFonts w:ascii="Calibri" w:cs="Calibri" w:eastAsia="Calibri" w:hAnsi="Calibri"/>
          <w:sz w:val="21"/>
          <w:szCs w:val="21"/>
        </w:rPr>
        <w:t xml:space="preserve">sido aprobado por ningún órgano de ninguna entidad pública y no vincula a ninguna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personas que lo firman, a título particular. Quienes de</w:t>
      </w:r>
    </w:p>
    <w:p>
      <w:pPr>
        <w:spacing w:after="140" w:line="276"/>
      </w:pPr>
      <w:r>
        <w:rPr>
          <w:rFonts w:ascii="Calibri" w:cs="Calibri" w:eastAsia="Calibri" w:hAnsi="Calibri"/>
          <w:sz w:val="21"/>
          <w:szCs w:val="21"/>
        </w:rPr>
        <w:t xml:space="preserve">ellas ejercen un cargo o un puesto público lo hacen aquí a título personal, no en su condición</w:t>
      </w:r>
    </w:p>
    <w:p>
      <w:pPr>
        <w:spacing w:after="140" w:line="276"/>
      </w:pPr>
      <w:r>
        <w:rPr>
          <w:rFonts w:ascii="Calibri" w:cs="Calibri" w:eastAsia="Calibri" w:hAnsi="Calibri"/>
          <w:sz w:val="21"/>
          <w:szCs w:val="21"/>
        </w:rPr>
        <w:t xml:space="preserve">oficial, y su firma no compromete a ninguna administración.</w:t>
      </w:r>
    </w:p>
    <w:p>
      <w:pPr>
        <w:spacing w:after="140" w:line="276"/>
      </w:pPr>
      <w:r>
        <w:rPr>
          <w:rFonts w:ascii="Calibri" w:cs="Calibri" w:eastAsia="Calibri" w:hAnsi="Calibri"/>
          <w:b/>
          <w:bCs/>
          <w:sz w:val="21"/>
          <w:szCs w:val="21"/>
        </w:rPr>
        <w:t xml:space="preserve">Qué falta, y qué NO condiciona.</w:t>
      </w:r>
      <w:r>
        <w:rPr>
          <w:rFonts w:ascii="Calibri" w:cs="Calibri" w:eastAsia="Calibri" w:hAnsi="Calibri"/>
          <w:sz w:val="21"/>
          <w:szCs w:val="21"/>
        </w:rPr>
        <w:t xml:space="preserve"> Conviene separarlo, porque se confunde. Estas tres condiciones</w:t>
      </w:r>
    </w:p>
    <w:p>
      <w:pPr>
        <w:spacing w:after="140" w:line="276"/>
      </w:pPr>
      <w:r>
        <w:rPr>
          <w:rFonts w:ascii="Calibri" w:cs="Calibri" w:eastAsia="Calibri" w:hAnsi="Calibri"/>
          <w:sz w:val="21"/>
          <w:szCs w:val="21"/>
        </w:rPr>
        <w:t xml:space="preserve">limitan el uso de </w:t>
      </w:r>
      <w:r>
        <w:rPr>
          <w:rFonts w:ascii="Calibri" w:cs="Calibri" w:eastAsia="Calibri" w:hAnsi="Calibri"/>
          <w:b/>
          <w:bCs/>
          <w:sz w:val="21"/>
          <w:szCs w:val="21"/>
        </w:rPr>
        <w:t xml:space="preserve">este documento como modelo aprobado</w:t>
      </w:r>
      <w:r>
        <w:rPr>
          <w:rFonts w:ascii="Calibri" w:cs="Calibri" w:eastAsia="Calibri" w:hAnsi="Calibri"/>
          <w:sz w:val="21"/>
          <w:szCs w:val="21"/>
        </w:rPr>
        <w:t xml:space="preserve">; no limitan la potestad de nadie para</w:t>
      </w:r>
    </w:p>
    <w:p>
      <w:pPr>
        <w:spacing w:after="140" w:line="276"/>
      </w:pPr>
      <w:r>
        <w:rPr>
          <w:rFonts w:ascii="Calibri" w:cs="Calibri" w:eastAsia="Calibri" w:hAnsi="Calibri"/>
          <w:sz w:val="21"/>
          <w:szCs w:val="21"/>
        </w:rPr>
        <w:t xml:space="preserve">escribir buenas cláusulas en su propio pliego. La mayoría del catálogo —y la de más valor económico:</w:t>
      </w:r>
    </w:p>
    <w:p>
      <w:pPr>
        <w:spacing w:after="140" w:line="276"/>
      </w:pPr>
      <w:r>
        <w:rPr>
          <w:rFonts w:ascii="Calibri" w:cs="Calibri" w:eastAsia="Calibri" w:hAnsi="Calibri"/>
          <w:sz w:val="21"/>
          <w:szCs w:val="21"/>
        </w:rPr>
        <w:t xml:space="preserve">reversibilidad, propiedad intelectual, acceso al dato, ENS bien redactado— se ancla por vía</w:t>
      </w:r>
    </w:p>
    <w:p>
      <w:pPr>
        <w:spacing w:after="140" w:line="276"/>
      </w:pPr>
      <w:r>
        <w:rPr>
          <w:rFonts w:ascii="Calibri" w:cs="Calibri" w:eastAsia="Calibri" w:hAnsi="Calibri"/>
          <w:b/>
          <w:bCs/>
          <w:sz w:val="21"/>
          <w:szCs w:val="21"/>
        </w:rPr>
        <w:t xml:space="preserve">normativa</w:t>
      </w:r>
      <w:r>
        <w:rPr>
          <w:rFonts w:ascii="Calibri" w:cs="Calibri" w:eastAsia="Calibri" w:hAnsi="Calibri"/>
          <w:sz w:val="21"/>
          <w:szCs w:val="21"/>
        </w:rPr>
        <w:t xml:space="preserve"> o </w:t>
      </w:r>
      <w:r>
        <w:rPr>
          <w:rFonts w:ascii="Calibri" w:cs="Calibri" w:eastAsia="Calibri" w:hAnsi="Calibri"/>
          <w:b/>
          <w:bCs/>
          <w:sz w:val="21"/>
          <w:szCs w:val="21"/>
        </w:rPr>
        <w:t xml:space="preserve">funcional</w:t>
      </w:r>
      <w:r>
        <w:rPr>
          <w:rFonts w:ascii="Calibri" w:cs="Calibri" w:eastAsia="Calibri" w:hAnsi="Calibri"/>
          <w:sz w:val="21"/>
          <w:szCs w:val="21"/>
        </w:rPr>
        <w:t xml:space="preserve"> y </w:t>
      </w:r>
      <w:r>
        <w:rPr>
          <w:rFonts w:ascii="Calibri" w:cs="Calibri" w:eastAsia="Calibri" w:hAnsi="Calibri"/>
          <w:b/>
          <w:bCs/>
          <w:sz w:val="21"/>
          <w:szCs w:val="21"/>
        </w:rPr>
        <w:t xml:space="preserve">no necesita ningún acuerdo previo</w:t>
      </w:r>
      <w:r>
        <w:rPr>
          <w:rFonts w:ascii="Calibri" w:cs="Calibri" w:eastAsia="Calibri" w:hAnsi="Calibri"/>
          <w:sz w:val="21"/>
          <w:szCs w:val="21"/>
        </w:rPr>
        <w:t xml:space="preserve">: basta con motivarla en la</w:t>
      </w:r>
    </w:p>
    <w:p>
      <w:pPr>
        <w:spacing w:after="140" w:line="276"/>
      </w:pPr>
      <w:r>
        <w:rPr>
          <w:rFonts w:ascii="Calibri" w:cs="Calibri" w:eastAsia="Calibri" w:hAnsi="Calibri"/>
          <w:sz w:val="21"/>
          <w:szCs w:val="21"/>
        </w:rPr>
        <w:t xml:space="preserve">memoria del expediente con datos propios. Sólo las cláusulas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—aquellas</w:t>
      </w:r>
    </w:p>
    <w:p>
      <w:pPr>
        <w:spacing w:after="140" w:line="276"/>
      </w:pPr>
      <w:r>
        <w:rPr>
          <w:rFonts w:ascii="Calibri" w:cs="Calibri" w:eastAsia="Calibri" w:hAnsi="Calibri"/>
          <w:sz w:val="21"/>
          <w:szCs w:val="21"/>
        </w:rPr>
        <w:t xml:space="preserve">que ninguna norma impone y ningún gestor pide— necesitan el acuerdo del órgano de gobierno, que no</w:t>
      </w:r>
    </w:p>
    <w:p>
      <w:pPr>
        <w:spacing w:after="140" w:line="276"/>
      </w:pPr>
      <w:r>
        <w:rPr>
          <w:rFonts w:ascii="Calibri" w:cs="Calibri" w:eastAsia="Calibri" w:hAnsi="Calibri"/>
          <w:sz w:val="21"/>
          <w:szCs w:val="21"/>
        </w:rPr>
        <w:t xml:space="preserve">es un permiso sino su prueba documental de necesidad (§M1.2). De las seis cláusulas del subconjunto</w:t>
      </w:r>
    </w:p>
    <w:p>
      <w:pPr>
        <w:spacing w:after="140" w:line="276"/>
      </w:pPr>
      <w:r>
        <w:rPr>
          <w:rFonts w:ascii="Calibri" w:cs="Calibri" w:eastAsia="Calibri" w:hAnsi="Calibri"/>
          <w:sz w:val="21"/>
          <w:szCs w:val="21"/>
        </w:rPr>
        <w:t xml:space="preserve">mínimo del §VI.2.2, </w:t>
      </w:r>
      <w:r>
        <w:rPr>
          <w:rFonts w:ascii="Calibri" w:cs="Calibri" w:eastAsia="Calibri" w:hAnsi="Calibri"/>
          <w:b/>
          <w:bCs/>
          <w:sz w:val="21"/>
          <w:szCs w:val="21"/>
        </w:rPr>
        <w:t xml:space="preserve">cinco no dependen de ese acuerdo</w:t>
      </w:r>
      <w:r>
        <w:rPr>
          <w:rFonts w:ascii="Calibri" w:cs="Calibri" w:eastAsia="Calibri" w:hAnsi="Calibri"/>
          <w:sz w:val="21"/>
          <w:szCs w:val="21"/>
        </w:rPr>
        <w:t xml:space="preserve">; sólo ADM-2·v3 con su Anexo V.</w:t>
      </w:r>
    </w:p>
    <w:p>
      <w:pPr>
        <w:spacing w:after="140" w:line="276"/>
      </w:pPr>
      <w:r>
        <w:rPr>
          <w:rFonts w:ascii="Calibri" w:cs="Calibri" w:eastAsia="Calibri" w:hAnsi="Calibri"/>
          <w:sz w:val="21"/>
          <w:szCs w:val="21"/>
        </w:rPr>
        <w:t xml:space="preserve">Dicho eso, las tres condiciones suspensivas que la propia memoria justificativa enumera (Parte IV,</w:t>
      </w:r>
    </w:p>
    <w:p>
      <w:pPr>
        <w:spacing w:after="140" w:line="276"/>
      </w:pPr>
      <w:r>
        <w:rPr>
          <w:rFonts w:ascii="Calibri" w:cs="Calibri" w:eastAsia="Calibri" w:hAnsi="Calibri"/>
          <w:sz w:val="21"/>
          <w:szCs w:val="21"/>
        </w:rPr>
        <w:t xml:space="preserve">§M11, filas 1 a 3) son: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10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Sobre la tercera, y porque se presume lo contrario: esas declaraciones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w:t>
      </w:r>
      <w:r>
        <w:rPr>
          <w:rFonts w:ascii="Calibri" w:cs="Calibri" w:eastAsia="Calibri" w:hAnsi="Calibri"/>
          <w:b/>
          <w:bCs/>
          <w:sz w:val="21"/>
          <w:szCs w:val="21"/>
        </w:rPr>
        <w:t xml:space="preserve">No excluyen a ningún colaborador de presentarse a una licitación</w:t>
      </w:r>
      <w:r>
        <w:rPr>
          <w:rFonts w:ascii="Calibri" w:cs="Calibri" w:eastAsia="Calibri" w:hAnsi="Calibri"/>
          <w:sz w:val="21"/>
          <w:szCs w:val="21"/>
        </w:rPr>
        <w:t xml:space="preserve"> que aplique este catálogo. El detalle, en la Parte IV, §M7.3, medida 8.</w:t>
      </w: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citarse como modelo aprobado ni servir de aval</w:t>
      </w:r>
      <w:r>
        <w:rPr>
          <w:rFonts w:ascii="Calibri" w:cs="Calibri" w:eastAsia="Calibri" w:hAnsi="Calibri"/>
          <w:sz w:val="21"/>
          <w:szCs w:val="21"/>
        </w:rPr>
        <w:t xml:space="preserve"> en un expediente que supere el</w:t>
      </w:r>
    </w:p>
    <w:p>
      <w:pPr>
        <w:spacing w:after="140" w:line="276"/>
      </w:pPr>
      <w:r>
        <w:rPr>
          <w:rFonts w:ascii="Calibri" w:cs="Calibri" w:eastAsia="Calibri" w:hAnsi="Calibri"/>
          <w:sz w:val="21"/>
          <w:szCs w:val="21"/>
        </w:rPr>
        <w:t xml:space="preserve">umbral del recurso especial. Lo que sí puede hacerse desde el primer día es **usar sus soluciones de</w:t>
      </w:r>
    </w:p>
    <w:p>
      <w:pPr>
        <w:spacing w:after="140" w:line="276"/>
      </w:pPr>
      <w:r>
        <w:rPr>
          <w:rFonts w:ascii="Calibri" w:cs="Calibri" w:eastAsia="Calibri" w:hAnsi="Calibri"/>
          <w:sz w:val="21"/>
          <w:szCs w:val="21"/>
        </w:rPr>
        <w:t xml:space="preserve">redacción**, sosteniendo cada exigencia en la memoria del expediente con datos propios y sin</w:t>
      </w:r>
    </w:p>
    <w:p>
      <w:pPr>
        <w:spacing w:after="140" w:line="276"/>
      </w:pPr>
      <w:r>
        <w:rPr>
          <w:rFonts w:ascii="Calibri" w:cs="Calibri" w:eastAsia="Calibri" w:hAnsi="Calibri"/>
          <w:sz w:val="21"/>
          <w:szCs w:val="21"/>
        </w:rPr>
        <w:t xml:space="preserve">remitirse a este documento. Es más: el propio catálogo insiste en que una memoria que se limite a</w:t>
      </w:r>
    </w:p>
    <w:p>
      <w:pPr>
        <w:spacing w:after="140" w:line="276"/>
      </w:pPr>
      <w:r>
        <w:rPr>
          <w:rFonts w:ascii="Calibri" w:cs="Calibri" w:eastAsia="Calibri" w:hAnsi="Calibri"/>
          <w:sz w:val="21"/>
          <w:szCs w:val="21"/>
        </w:rPr>
        <w:t xml:space="preserve">remitirse a él es una justificación estereotipada.</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nace este catálogo</w:t>
      </w:r>
    </w:p>
    <w:p>
      <w:pPr>
        <w:spacing w:after="140" w:line="276"/>
      </w:pPr>
      <w:r>
        <w:rPr>
          <w:rFonts w:ascii="Calibri" w:cs="Calibri" w:eastAsia="Calibri" w:hAnsi="Calibri"/>
          <w:sz w:val="21"/>
          <w:szCs w:val="21"/>
        </w:rPr>
        <w:t xml:space="preserve">En el marco de las funciones de análisis y mejora continua de los procedimientos de contratación</w:t>
      </w:r>
    </w:p>
    <w:p>
      <w:pPr>
        <w:spacing w:after="140" w:line="276"/>
      </w:pPr>
      <w:r>
        <w:rPr>
          <w:rFonts w:ascii="Calibri" w:cs="Calibri" w:eastAsia="Calibri" w:hAnsi="Calibri"/>
          <w:sz w:val="21"/>
          <w:szCs w:val="21"/>
        </w:rPr>
        <w:t xml:space="preserve">pública, los servicios técnicos municipales de una entidad local pusieron de manifiesto la necesidad</w:t>
      </w:r>
    </w:p>
    <w:p>
      <w:pPr>
        <w:spacing w:after="140" w:line="276"/>
      </w:pPr>
      <w:r>
        <w:rPr>
          <w:rFonts w:ascii="Calibri" w:cs="Calibri" w:eastAsia="Calibri" w:hAnsi="Calibri"/>
          <w:sz w:val="21"/>
          <w:szCs w:val="21"/>
        </w:rPr>
        <w:t xml:space="preserve">de disponer de criterios y cláusulas específicas que permitieran abordar los retos derivados de la</w:t>
      </w:r>
    </w:p>
    <w:p>
      <w:pPr>
        <w:spacing w:after="140" w:line="276"/>
      </w:pPr>
      <w:r>
        <w:rPr>
          <w:rFonts w:ascii="Calibri" w:cs="Calibri" w:eastAsia="Calibri" w:hAnsi="Calibri"/>
          <w:sz w:val="21"/>
          <w:szCs w:val="21"/>
        </w:rPr>
        <w:t xml:space="preserve">rápida evolución de las tecnologías de inteligencia artificial y de su creciente incidencia en la</w:t>
      </w:r>
    </w:p>
    <w:p>
      <w:pPr>
        <w:spacing w:after="140" w:line="276"/>
      </w:pPr>
      <w:r>
        <w:rPr>
          <w:rFonts w:ascii="Calibri" w:cs="Calibri" w:eastAsia="Calibri" w:hAnsi="Calibri"/>
          <w:sz w:val="21"/>
          <w:szCs w:val="21"/>
        </w:rPr>
        <w:t xml:space="preserve">ejecución de los contratos públicos.</w:t>
      </w:r>
    </w:p>
    <w:p>
      <w:pPr>
        <w:spacing w:after="140" w:line="276"/>
      </w:pPr>
      <w:r>
        <w:rPr>
          <w:rFonts w:ascii="Calibri" w:cs="Calibri" w:eastAsia="Calibri" w:hAnsi="Calibri"/>
          <w:sz w:val="21"/>
          <w:szCs w:val="21"/>
        </w:rPr>
        <w:t xml:space="preserve">Esas necesidades fueron trasladadas a la Concejalía competente, que constató la conveniencia de</w:t>
      </w:r>
    </w:p>
    <w:p>
      <w:pPr>
        <w:spacing w:after="140" w:line="276"/>
      </w:pPr>
      <w:r>
        <w:rPr>
          <w:rFonts w:ascii="Calibri" w:cs="Calibri" w:eastAsia="Calibri" w:hAnsi="Calibri"/>
          <w:sz w:val="21"/>
          <w:szCs w:val="21"/>
        </w:rPr>
        <w:t xml:space="preserve">promover herramientas de apoyo capaces de incorporar garantías jurídicas, técnicas y de gobernanza a</w:t>
      </w:r>
    </w:p>
    <w:p>
      <w:pPr>
        <w:spacing w:after="140" w:line="276"/>
      </w:pPr>
      <w:r>
        <w:rPr>
          <w:rFonts w:ascii="Calibri" w:cs="Calibri" w:eastAsia="Calibri" w:hAnsi="Calibri"/>
          <w:sz w:val="21"/>
          <w:szCs w:val="21"/>
        </w:rPr>
        <w:t xml:space="preserve">los futuros pliegos, especialmente en los ámbitos afectados por el uso directo o indirecto de</w:t>
      </w:r>
    </w:p>
    <w:p>
      <w:pPr>
        <w:spacing w:after="140" w:line="276"/>
      </w:pPr>
      <w:r>
        <w:rPr>
          <w:rFonts w:ascii="Calibri" w:cs="Calibri" w:eastAsia="Calibri" w:hAnsi="Calibri"/>
          <w:sz w:val="21"/>
          <w:szCs w:val="21"/>
        </w:rPr>
        <w:t xml:space="preserve">soluciones basadas en inteligencia artificial. Para dar respuesta a esa necesidad, la Concejalía</w:t>
      </w:r>
    </w:p>
    <w:p>
      <w:pPr>
        <w:spacing w:after="140" w:line="276"/>
      </w:pPr>
      <w:r>
        <w:rPr>
          <w:rFonts w:ascii="Calibri" w:cs="Calibri" w:eastAsia="Calibri" w:hAnsi="Calibri"/>
          <w:sz w:val="21"/>
          <w:szCs w:val="21"/>
        </w:rPr>
        <w:t xml:space="preserve">solicitó la colaboración de dos profesionales externos con experiencia acreditada en tecnologías</w:t>
      </w:r>
    </w:p>
    <w:p>
      <w:pPr>
        <w:spacing w:after="140" w:line="276"/>
      </w:pPr>
      <w:r>
        <w:rPr>
          <w:rFonts w:ascii="Calibri" w:cs="Calibri" w:eastAsia="Calibri" w:hAnsi="Calibri"/>
          <w:sz w:val="21"/>
          <w:szCs w:val="21"/>
        </w:rPr>
        <w:t xml:space="preserve">emergentes: un profesor universitario especializado en innovación tecnológica y un experto en</w:t>
      </w:r>
    </w:p>
    <w:p>
      <w:pPr>
        <w:spacing w:after="140" w:line="276"/>
      </w:pPr>
      <w:r>
        <w:rPr>
          <w:rFonts w:ascii="Calibri" w:cs="Calibri" w:eastAsia="Calibri" w:hAnsi="Calibri"/>
          <w:sz w:val="21"/>
          <w:szCs w:val="21"/>
        </w:rPr>
        <w:t xml:space="preserve">inteligencia artificial, blockchain y ecosistemas digitales.</w:t>
      </w:r>
    </w:p>
    <w:p>
      <w:pPr>
        <w:spacing w:after="140" w:line="276"/>
      </w:pPr>
      <w:r>
        <w:rPr>
          <w:rFonts w:ascii="Calibri" w:cs="Calibri" w:eastAsia="Calibri" w:hAnsi="Calibri"/>
          <w:b/>
          <w:bCs/>
          <w:sz w:val="21"/>
          <w:szCs w:val="21"/>
        </w:rPr>
        <w:t xml:space="preserve">La participación de ambos ha sido enteramente altruista</w:t>
      </w:r>
      <w:r>
        <w:rPr>
          <w:rFonts w:ascii="Calibri" w:cs="Calibri" w:eastAsia="Calibri" w:hAnsi="Calibri"/>
          <w:sz w:val="21"/>
          <w:szCs w:val="21"/>
        </w:rPr>
        <w:t xml:space="preserve">: sin contraprestación económica alguna,</w:t>
      </w:r>
    </w:p>
    <w:p>
      <w:pPr>
        <w:spacing w:after="140" w:line="276"/>
      </w:pPr>
      <w:r>
        <w:rPr>
          <w:rFonts w:ascii="Calibri" w:cs="Calibri" w:eastAsia="Calibri" w:hAnsi="Calibri"/>
          <w:sz w:val="21"/>
          <w:szCs w:val="21"/>
        </w:rPr>
        <w:t xml:space="preserve">sin vinculación contractual con la Administración y sin ánimo de lucro. La elaboración de este</w:t>
      </w:r>
    </w:p>
    <w:p>
      <w:pPr>
        <w:spacing w:after="140" w:line="276"/>
      </w:pPr>
      <w:r>
        <w:rPr>
          <w:rFonts w:ascii="Calibri" w:cs="Calibri" w:eastAsia="Calibri" w:hAnsi="Calibri"/>
          <w:sz w:val="21"/>
          <w:szCs w:val="21"/>
        </w:rPr>
        <w:t xml:space="preserve">documento no genera obligación económica para ninguna administración, ni derecho de explotación o</w:t>
      </w:r>
    </w:p>
    <w:p>
      <w:pPr>
        <w:spacing w:after="140" w:line="276"/>
      </w:pPr>
      <w:r>
        <w:rPr>
          <w:rFonts w:ascii="Calibri" w:cs="Calibri" w:eastAsia="Calibri" w:hAnsi="Calibri"/>
          <w:sz w:val="21"/>
          <w:szCs w:val="21"/>
        </w:rPr>
        <w:t xml:space="preserve">exclusividad a favor de sus autores.</w:t>
      </w:r>
    </w:p>
    <w:p>
      <w:pPr>
        <w:spacing w:after="140" w:line="276"/>
      </w:pPr>
      <w:r>
        <w:rPr>
          <w:rFonts w:ascii="Calibri" w:cs="Calibri" w:eastAsia="Calibri" w:hAnsi="Calibri"/>
          <w:sz w:val="21"/>
          <w:szCs w:val="21"/>
        </w:rPr>
        <w:t xml:space="preserve">El resultado es un catálogo de cláusulas tipo de </w:t>
      </w:r>
      <w:r>
        <w:rPr>
          <w:rFonts w:ascii="Calibri" w:cs="Calibri" w:eastAsia="Calibri" w:hAnsi="Calibri"/>
          <w:b/>
          <w:bCs/>
          <w:sz w:val="21"/>
          <w:szCs w:val="21"/>
        </w:rPr>
        <w:t xml:space="preserve">carácter orientativo</w:t>
      </w:r>
      <w:r>
        <w:rPr>
          <w:rFonts w:ascii="Calibri" w:cs="Calibri" w:eastAsia="Calibri" w:hAnsi="Calibri"/>
          <w:sz w:val="21"/>
          <w:szCs w:val="21"/>
        </w:rPr>
        <w:t xml:space="preserve">, concebido como instrumento</w:t>
      </w:r>
    </w:p>
    <w:p>
      <w:pPr>
        <w:spacing w:after="140" w:line="276"/>
      </w:pPr>
      <w:r>
        <w:rPr>
          <w:rFonts w:ascii="Calibri" w:cs="Calibri" w:eastAsia="Calibri" w:hAnsi="Calibri"/>
          <w:sz w:val="21"/>
          <w:szCs w:val="21"/>
        </w:rPr>
        <w:t xml:space="preserve">de apoyo para redactar y revisar pliegos y contratos administrativos. Es una labor de recopilación,</w:t>
      </w:r>
    </w:p>
    <w:p>
      <w:pPr>
        <w:spacing w:after="140" w:line="276"/>
      </w:pPr>
      <w:r>
        <w:rPr>
          <w:rFonts w:ascii="Calibri" w:cs="Calibri" w:eastAsia="Calibri" w:hAnsi="Calibri"/>
          <w:sz w:val="21"/>
          <w:szCs w:val="21"/>
        </w:rPr>
        <w:t xml:space="preserve">análisis, adaptación y sistematización de criterios, buenas prácticas y conocimientos técnicos y</w:t>
      </w:r>
    </w:p>
    <w:p>
      <w:pPr>
        <w:spacing w:after="140" w:line="276"/>
      </w:pPr>
      <w:r>
        <w:rPr>
          <w:rFonts w:ascii="Calibri" w:cs="Calibri" w:eastAsia="Calibri" w:hAnsi="Calibri"/>
          <w:sz w:val="21"/>
          <w:szCs w:val="21"/>
        </w:rPr>
        <w:t xml:space="preserve">jurídicos ya existentes en el ámbito de la contratación pública y las tecnologías digitales, sin que</w:t>
      </w:r>
    </w:p>
    <w:p>
      <w:pPr>
        <w:spacing w:after="140" w:line="276"/>
      </w:pPr>
      <w:r>
        <w:rPr>
          <w:rFonts w:ascii="Calibri" w:cs="Calibri" w:eastAsia="Calibri" w:hAnsi="Calibri"/>
          <w:sz w:val="21"/>
          <w:szCs w:val="21"/>
        </w:rPr>
        <w:t xml:space="preserve">resulte posible ni necesario identificar individualmente el origen de cada formulación, y sin</w:t>
      </w:r>
    </w:p>
    <w:p>
      <w:pPr>
        <w:spacing w:after="140" w:line="276"/>
      </w:pPr>
      <w:r>
        <w:rPr>
          <w:rFonts w:ascii="Calibri" w:cs="Calibri" w:eastAsia="Calibri" w:hAnsi="Calibri"/>
          <w:sz w:val="21"/>
          <w:szCs w:val="21"/>
        </w:rPr>
        <w:t xml:space="preserve">perjuicio de los derechos de propiedad intelectual que pudieran corresponder a terceros sobre obras</w:t>
      </w:r>
    </w:p>
    <w:p>
      <w:pPr>
        <w:spacing w:after="140" w:line="276"/>
      </w:pPr>
      <w:r>
        <w:rPr>
          <w:rFonts w:ascii="Calibri" w:cs="Calibri" w:eastAsia="Calibri" w:hAnsi="Calibri"/>
          <w:sz w:val="21"/>
          <w:szCs w:val="21"/>
        </w:rPr>
        <w:t xml:space="preserve">o contenidos específicamente protegidos.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varias personas, cada una desde su oficio, con las firmas que constan</w:t>
      </w:r>
    </w:p>
    <w:p>
      <w:pPr>
        <w:spacing w:after="140" w:line="276"/>
      </w:pPr>
      <w:r>
        <w:rPr>
          <w:rFonts w:ascii="Calibri" w:cs="Calibri" w:eastAsia="Calibri" w:hAnsi="Calibri"/>
          <w:sz w:val="21"/>
          <w:szCs w:val="21"/>
        </w:rPr>
        <w:t xml:space="preserve">a continuación y el reconocimiento colectivo que se recoge al final.</w:t>
      </w:r>
    </w:p>
    <w:p>
      <w:pPr>
        <w:spacing w:after="140" w:line="276"/>
      </w:pPr>
      <w:hyperlink w:history="1" r:id="rIdkkohghs5xftt1vpbun0ge">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bhfmpxrnoccmmadygtnro">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hyperlink w:history="1" r:id="rIda-5t5xgb-waoyjkbeocey">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w:t>
      </w:r>
      <w:r>
        <w:rPr>
          <w:rFonts w:ascii="Calibri" w:cs="Calibri" w:eastAsia="Calibri" w:hAnsi="Calibri"/>
          <w:b/>
          <w:bCs/>
          <w:sz w:val="21"/>
          <w:szCs w:val="21"/>
        </w:rPr>
        <w:t xml:space="preserve">co-impulsora del proyecto.</w:t>
      </w:r>
      <w:r>
        <w:rPr>
          <w:rFonts w:ascii="Calibri" w:cs="Calibri" w:eastAsia="Calibri" w:hAnsi="Calibri"/>
          <w:sz w:val="21"/>
          <w:szCs w:val="21"/>
        </w:rPr>
        <w:t xml:space="preserve"> Concejal de Administración Digital,</w:t>
      </w:r>
    </w:p>
    <w:p>
      <w:pPr>
        <w:spacing w:after="140" w:line="276"/>
      </w:pPr>
      <w:r>
        <w:rPr>
          <w:rFonts w:ascii="Calibri" w:cs="Calibri" w:eastAsia="Calibri" w:hAnsi="Calibri"/>
          <w:sz w:val="21"/>
          <w:szCs w:val="21"/>
        </w:rPr>
        <w:t xml:space="preserve">Calidad e Innovación del Ayuntamiento de Pozuelo de Alarcón. Funcionaria de carrera de la</w:t>
      </w:r>
    </w:p>
    <w:p>
      <w:pPr>
        <w:spacing w:after="140" w:line="276"/>
      </w:pPr>
      <w:r>
        <w:rPr>
          <w:rFonts w:ascii="Calibri" w:cs="Calibri" w:eastAsia="Calibri" w:hAnsi="Calibri"/>
          <w:sz w:val="21"/>
          <w:szCs w:val="21"/>
        </w:rPr>
        <w:t xml:space="preserve">Administración General del Estado durante casi cuatro décadas antes de asumir la delegación. Firma</w:t>
      </w:r>
    </w:p>
    <w:p>
      <w:pPr>
        <w:spacing w:after="140" w:line="276"/>
      </w:pPr>
      <w:r>
        <w:rPr>
          <w:rFonts w:ascii="Calibri" w:cs="Calibri" w:eastAsia="Calibri" w:hAnsi="Calibri"/>
          <w:sz w:val="21"/>
          <w:szCs w:val="21"/>
        </w:rPr>
        <w:t xml:space="preserve">aquí a título personal: su firma no compromete a ninguna administración.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una administración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r>
        <w:rPr>
          <w:rFonts w:ascii="Calibri" w:cs="Calibri" w:eastAsia="Calibri" w:hAnsi="Calibri"/>
          <w:b/>
          <w:bCs/>
          <w:sz w:val="21"/>
          <w:szCs w:val="21"/>
        </w:rPr>
        <w:t xml:space="preserve">Y quien viene después: </w:t>
      </w:r>
      <w:hyperlink w:history="1" r:id="rId9qvg_m-ehjv4qnzczyt4r">
        <w:r>
          <w:rPr>
            <w:rFonts w:ascii="Calibri" w:cs="Calibri" w:eastAsia="Calibri" w:hAnsi="Calibri"/>
            <w:b/>
            <w:bCs/>
            <w:color w:val="2F5496"/>
            <w:sz w:val="21"/>
            <w:szCs w:val="21"/>
            <w:u w:val="single"/>
          </w:rPr>
          <w:t xml:space="preserve">Luis Garvía Vega</w:t>
        </w:r>
      </w:hyperlink>
      <w:r>
        <w:rPr>
          <w:rFonts w:ascii="Calibri" w:cs="Calibri" w:eastAsia="Calibri" w:hAnsi="Calibri"/>
          <w:sz w:val="21"/>
          <w:szCs w:val="21"/>
        </w:rPr>
        <w:t xml:space="preserve"> — doctor en</w:t>
      </w:r>
    </w:p>
    <w:p>
      <w:pPr>
        <w:spacing w:after="140" w:line="276"/>
      </w:pPr>
      <w:r>
        <w:rPr>
          <w:rFonts w:ascii="Calibri" w:cs="Calibri" w:eastAsia="Calibri" w:hAnsi="Calibri"/>
          <w:sz w:val="21"/>
          <w:szCs w:val="21"/>
        </w:rPr>
        <w:t xml:space="preserve">Finanzas y director del Máster en Gestión de Riesgos Financieros de ICADE (Universidad Pontificia</w:t>
      </w:r>
    </w:p>
    <w:p>
      <w:pPr>
        <w:spacing w:after="140" w:line="276"/>
      </w:pPr>
      <w:r>
        <w:rPr>
          <w:rFonts w:ascii="Calibri" w:cs="Calibri" w:eastAsia="Calibri" w:hAnsi="Calibri"/>
          <w:sz w:val="21"/>
          <w:szCs w:val="21"/>
        </w:rPr>
        <w:t xml:space="preserve">Comillas). No ha participado en este catálogo. Se incorpora al proyecto para preparar, junto con</w:t>
      </w:r>
    </w:p>
    <w:p>
      <w:pPr>
        <w:spacing w:after="140" w:line="276"/>
      </w:pPr>
      <w:r>
        <w:rPr>
          <w:rFonts w:ascii="Calibri" w:cs="Calibri" w:eastAsia="Calibri" w:hAnsi="Calibri"/>
          <w:sz w:val="21"/>
          <w:szCs w:val="21"/>
        </w:rPr>
        <w:t xml:space="preserve">José Antonio Ondiviela, una </w:t>
      </w:r>
      <w:r>
        <w:rPr>
          <w:rFonts w:ascii="Calibri" w:cs="Calibri" w:eastAsia="Calibri" w:hAnsi="Calibri"/>
          <w:b/>
          <w:bCs/>
          <w:sz w:val="21"/>
          <w:szCs w:val="21"/>
        </w:rPr>
        <w:t xml:space="preserve">publicación académica</w:t>
      </w:r>
      <w:r>
        <w:rPr>
          <w:rFonts w:ascii="Calibri" w:cs="Calibri" w:eastAsia="Calibri" w:hAnsi="Calibri"/>
          <w:sz w:val="21"/>
          <w:szCs w:val="21"/>
        </w:rPr>
        <w:t xml:space="preserve"> sobre lo que este trabajo ha dejado ver: que</w:t>
      </w:r>
    </w:p>
    <w:p>
      <w:pPr>
        <w:spacing w:after="140" w:line="276"/>
      </w:pPr>
      <w:r>
        <w:rPr>
          <w:rFonts w:ascii="Calibri" w:cs="Calibri" w:eastAsia="Calibri" w:hAnsi="Calibri"/>
          <w:b/>
          <w:bCs/>
          <w:sz w:val="21"/>
          <w:szCs w:val="21"/>
        </w:rPr>
        <w:t xml:space="preserve">no es un problema de falta de recursos, sino de gestión eficiente de los recursos</w:t>
      </w:r>
      <w:r>
        <w:rPr>
          <w:rFonts w:ascii="Calibri" w:cs="Calibri" w:eastAsia="Calibri" w:hAnsi="Calibri"/>
          <w:sz w:val="21"/>
          <w:szCs w:val="21"/>
        </w:rPr>
        <w:t xml:space="preserve">, y que la</w:t>
      </w:r>
    </w:p>
    <w:p>
      <w:pPr>
        <w:spacing w:after="140" w:line="276"/>
      </w:pPr>
      <w:r>
        <w:rPr>
          <w:rFonts w:ascii="Calibri" w:cs="Calibri" w:eastAsia="Calibri" w:hAnsi="Calibri"/>
          <w:sz w:val="21"/>
          <w:szCs w:val="21"/>
        </w:rPr>
        <w:t xml:space="preserve">eficiencia de la contratación pública condiciona la del conjunto del sector público. Delfina Lafuente</w:t>
      </w:r>
    </w:p>
    <w:p>
      <w:pPr>
        <w:spacing w:after="140" w:line="276"/>
      </w:pPr>
      <w:r>
        <w:rPr>
          <w:rFonts w:ascii="Calibri" w:cs="Calibri" w:eastAsia="Calibri" w:hAnsi="Calibri"/>
          <w:sz w:val="21"/>
          <w:szCs w:val="21"/>
        </w:rPr>
        <w:t xml:space="preserve">y Miguel Ángel Domínguez, que no son académicos, colaborarán en ella aportando el caso y la práctica.</w:t>
      </w:r>
    </w:p>
    <w:p>
      <w:pPr>
        <w:spacing w:after="140" w:line="276"/>
      </w:pPr>
      <w:r>
        <w:rPr>
          <w:rFonts w:ascii="Calibri" w:cs="Calibri" w:eastAsia="Calibri" w:hAnsi="Calibri"/>
          <w:sz w:val="21"/>
          <w:szCs w:val="21"/>
        </w:rPr>
        <w:t xml:space="preserve">Se dice aquí para que se sepa hacia dónde va esto, y con tres precisiones: esa publicación es un</w:t>
      </w:r>
    </w:p>
    <w:p>
      <w:pPr>
        <w:spacing w:after="140" w:line="276"/>
      </w:pPr>
      <w:r>
        <w:rPr>
          <w:rFonts w:ascii="Calibri" w:cs="Calibri" w:eastAsia="Calibri" w:hAnsi="Calibri"/>
          <w:b/>
          <w:bCs/>
          <w:sz w:val="21"/>
          <w:szCs w:val="21"/>
        </w:rPr>
        <w:t xml:space="preserve">trabajo distinto</w:t>
      </w:r>
      <w:r>
        <w:rPr>
          <w:rFonts w:ascii="Calibri" w:cs="Calibri" w:eastAsia="Calibri" w:hAnsi="Calibri"/>
          <w:sz w:val="21"/>
          <w:szCs w:val="21"/>
        </w:rPr>
        <w:t xml:space="preserve"> de este catálogo, se firmará por separado y **nada de lo que aquí se afirma</w:t>
      </w:r>
    </w:p>
    <w:p>
      <w:pPr>
        <w:spacing w:after="140" w:line="276"/>
      </w:pPr>
      <w:r>
        <w:rPr>
          <w:rFonts w:ascii="Calibri" w:cs="Calibri" w:eastAsia="Calibri" w:hAnsi="Calibri"/>
          <w:sz w:val="21"/>
          <w:szCs w:val="21"/>
        </w:rPr>
        <w:t xml:space="preserve">depende de ella</w:t>
      </w:r>
      <w:r>
        <w:rPr>
          <w:rFonts w:ascii="Calibri" w:cs="Calibri" w:eastAsia="Calibri" w:hAnsi="Calibri"/>
          <w:b/>
          <w:bCs/>
          <w:sz w:val="21"/>
          <w:szCs w:val="21"/>
        </w:rPr>
        <w:t xml:space="preserve">; y se hará </w:t>
      </w:r>
      <w:r>
        <w:rPr>
          <w:rFonts w:ascii="Calibri" w:cs="Calibri" w:eastAsia="Calibri" w:hAnsi="Calibri"/>
          <w:sz w:val="21"/>
          <w:szCs w:val="21"/>
        </w:rPr>
        <w:t xml:space="preserve">desligada de cualquier administración**.</w:t>
      </w:r>
    </w:p>
    <w:p>
      <w:pPr>
        <w:spacing w:after="140" w:line="276"/>
      </w:pPr>
      <w:r>
        <w:rPr>
          <w:rFonts w:ascii="Calibri" w:cs="Calibri" w:eastAsia="Calibri" w:hAnsi="Calibri"/>
          <w:b/>
          <w:bCs/>
          <w:sz w:val="21"/>
          <w:szCs w:val="21"/>
        </w:rPr>
        <w:t xml:space="preserve">Reconocimiento a los servicios técnicos municipales.</w:t>
      </w:r>
      <w:r>
        <w:rPr>
          <w:rFonts w:ascii="Calibri" w:cs="Calibri" w:eastAsia="Calibri" w:hAnsi="Calibri"/>
          <w:sz w:val="21"/>
          <w:szCs w:val="21"/>
        </w:rPr>
        <w:t xml:space="preserve"> Este catálogo no habría tomado esta forma</w:t>
      </w:r>
    </w:p>
    <w:p>
      <w:pPr>
        <w:spacing w:after="140" w:line="276"/>
      </w:pPr>
      <w:r>
        <w:rPr>
          <w:rFonts w:ascii="Calibri" w:cs="Calibri" w:eastAsia="Calibri" w:hAnsi="Calibri"/>
          <w:sz w:val="21"/>
          <w:szCs w:val="21"/>
        </w:rPr>
        <w:t xml:space="preserve">sin el trabajo de los servicios técnicos municipales de la entidad de la que nace: suyos son el</w:t>
      </w:r>
    </w:p>
    <w:p>
      <w:pPr>
        <w:spacing w:after="140" w:line="276"/>
      </w:pPr>
      <w:r>
        <w:rPr>
          <w:rFonts w:ascii="Calibri" w:cs="Calibri" w:eastAsia="Calibri" w:hAnsi="Calibri"/>
          <w:sz w:val="21"/>
          <w:szCs w:val="21"/>
        </w:rPr>
        <w:t xml:space="preserve">contraste con la práctica real de la contratación y la lectura crítica de los borradores, y ambos han</w:t>
      </w:r>
    </w:p>
    <w:p>
      <w:pPr>
        <w:spacing w:after="140" w:line="276"/>
      </w:pPr>
      <w:r>
        <w:rPr>
          <w:rFonts w:ascii="Calibri" w:cs="Calibri" w:eastAsia="Calibri" w:hAnsi="Calibri"/>
          <w:sz w:val="21"/>
          <w:szCs w:val="21"/>
        </w:rPr>
        <w:t xml:space="preserve">cambiado el documento. Su aportación se reconoce aquí </w:t>
      </w:r>
      <w:r>
        <w:rPr>
          <w:rFonts w:ascii="Calibri" w:cs="Calibri" w:eastAsia="Calibri" w:hAnsi="Calibri"/>
          <w:b/>
          <w:bCs/>
          <w:sz w:val="21"/>
          <w:szCs w:val="21"/>
        </w:rPr>
        <w:t xml:space="preserve">de forma colectiva y deliberada</w:t>
      </w:r>
      <w:r>
        <w:rPr>
          <w:rFonts w:ascii="Calibri" w:cs="Calibri" w:eastAsia="Calibri" w:hAnsi="Calibri"/>
          <w:sz w:val="21"/>
          <w:szCs w:val="21"/>
        </w:rPr>
        <w:t xml:space="preserve">: se hizo en</w:t>
      </w:r>
    </w:p>
    <w:p>
      <w:pPr>
        <w:spacing w:after="140" w:line="276"/>
      </w:pPr>
      <w:r>
        <w:rPr>
          <w:rFonts w:ascii="Calibri" w:cs="Calibri" w:eastAsia="Calibri" w:hAnsi="Calibri"/>
          <w:sz w:val="21"/>
          <w:szCs w:val="21"/>
        </w:rPr>
        <w:t xml:space="preserve">el ejercicio de sus funciones y en beneficio del interés general, y ninguno de ellos tiene por qué</w:t>
      </w:r>
    </w:p>
    <w:p>
      <w:pPr>
        <w:spacing w:after="140" w:line="276"/>
      </w:pPr>
      <w:r>
        <w:rPr>
          <w:rFonts w:ascii="Calibri" w:cs="Calibri" w:eastAsia="Calibri" w:hAnsi="Calibri"/>
          <w:sz w:val="21"/>
          <w:szCs w:val="21"/>
        </w:rPr>
        <w:t xml:space="preserve">aparecer citado a título individual en un documento que se publica en abierto. La omisión de sus</w:t>
      </w:r>
    </w:p>
    <w:p>
      <w:pPr>
        <w:spacing w:after="140" w:line="276"/>
      </w:pPr>
      <w:r>
        <w:rPr>
          <w:rFonts w:ascii="Calibri" w:cs="Calibri" w:eastAsia="Calibri" w:hAnsi="Calibri"/>
          <w:sz w:val="21"/>
          <w:szCs w:val="21"/>
        </w:rPr>
        <w:t xml:space="preserve">nombres no significa que no existieran; significa exactamente lo contrario.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 ninguna administración.</w:t>
      </w:r>
      <w:r>
        <w:rPr>
          <w:rFonts w:ascii="Calibri" w:cs="Calibri" w:eastAsia="Calibri" w:hAnsi="Calibri"/>
          <w:sz w:val="21"/>
          <w:szCs w:val="21"/>
        </w:rPr>
        <w:t xml:space="preserve"> No ha sido aprobado por</w:t>
      </w:r>
    </w:p>
    <w:p>
      <w:pPr>
        <w:spacing w:after="140" w:line="276"/>
      </w:pPr>
      <w:r>
        <w:rPr>
          <w:rFonts w:ascii="Calibri" w:cs="Calibri" w:eastAsia="Calibri" w:hAnsi="Calibri"/>
          <w:sz w:val="21"/>
          <w:szCs w:val="21"/>
        </w:rPr>
        <w:t xml:space="preserve">ningún órgano municipal, autonómico ni estatal, no vincula a ninguna entidad, no forma parte de</w:t>
      </w:r>
    </w:p>
    <w:p>
      <w:pPr>
        <w:spacing w:after="140" w:line="276"/>
      </w:pPr>
      <w:r>
        <w:rPr>
          <w:rFonts w:ascii="Calibri" w:cs="Calibri" w:eastAsia="Calibri" w:hAnsi="Calibri"/>
          <w:sz w:val="21"/>
          <w:szCs w:val="21"/>
        </w:rPr>
        <w:t xml:space="preserve">ningún expediente y no expresa la posición de ninguna Corporación. Es un trabajo profesional de las</w:t>
      </w:r>
    </w:p>
    <w:p>
      <w:pPr>
        <w:spacing w:after="140" w:line="276"/>
      </w:pPr>
      <w:r>
        <w:rPr>
          <w:rFonts w:ascii="Calibri" w:cs="Calibri" w:eastAsia="Calibri" w:hAnsi="Calibri"/>
          <w:sz w:val="21"/>
          <w:szCs w:val="21"/>
        </w:rPr>
        <w:t xml:space="preserve">personas que lo firman, a título particular; quienes ejercen un cargo o un puesto público lo hacen</w:t>
      </w:r>
    </w:p>
    <w:p>
      <w:pPr>
        <w:spacing w:after="140" w:line="276"/>
      </w:pPr>
      <w:r>
        <w:rPr>
          <w:rFonts w:ascii="Calibri" w:cs="Calibri" w:eastAsia="Calibri" w:hAnsi="Calibri"/>
          <w:sz w:val="21"/>
          <w:szCs w:val="21"/>
        </w:rPr>
        <w:t xml:space="preserve">aquí a título personal.</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ninguna administración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Licencia, copia y mejora</w:t>
      </w:r>
    </w:p>
    <w:p>
      <w:pPr>
        <w:spacing w:after="140" w:line="276"/>
      </w:pPr>
      <w:r>
        <w:rPr>
          <w:rFonts w:ascii="Calibri" w:cs="Calibri" w:eastAsia="Calibri" w:hAnsi="Calibri"/>
          <w:sz w:val="21"/>
          <w:szCs w:val="21"/>
        </w:rPr>
        <w:t xml:space="preserve">Este material se publica bajo **[Creative Commons Reconocimiento 4.0 Internacional (CC BY</w:t>
      </w:r>
    </w:p>
    <w:p>
      <w:pPr>
        <w:spacing w:after="140" w:line="276"/>
      </w:pPr>
      <w:r>
        <w:rPr>
          <w:rFonts w:ascii="Calibri" w:cs="Calibri" w:eastAsia="Calibri" w:hAnsi="Calibri"/>
          <w:sz w:val="21"/>
          <w:szCs w:val="21"/>
        </w:rPr>
        <w:t xml:space="preserve">4.0)](https://creativecommons.org/licenses/by/4.0/deed.es)**. En términos prácticos: puede copiarlo,</w:t>
      </w:r>
    </w:p>
    <w:p>
      <w:pPr>
        <w:spacing w:after="140" w:line="276"/>
      </w:pPr>
      <w:r>
        <w:rPr>
          <w:rFonts w:ascii="Calibri" w:cs="Calibri" w:eastAsia="Calibri" w:hAnsi="Calibri"/>
          <w:sz w:val="21"/>
          <w:szCs w:val="21"/>
        </w:rPr>
        <w:t xml:space="preserve">adaptarlo, traducirlo, incorporarlo a sus pliegos y usarlo con fines comerciales, sin pedir permiso a</w:t>
      </w:r>
    </w:p>
    <w:p>
      <w:pPr>
        <w:spacing w:after="140" w:line="276"/>
      </w:pPr>
      <w:r>
        <w:rPr>
          <w:rFonts w:ascii="Calibri" w:cs="Calibri" w:eastAsia="Calibri" w:hAnsi="Calibri"/>
          <w:sz w:val="21"/>
          <w:szCs w:val="21"/>
        </w:rPr>
        <w:t xml:space="preserve">nadie y sin pagar nada. </w:t>
      </w:r>
      <w:r>
        <w:rPr>
          <w:rFonts w:ascii="Calibri" w:cs="Calibri" w:eastAsia="Calibri" w:hAnsi="Calibri"/>
          <w:b/>
          <w:bCs/>
          <w:sz w:val="21"/>
          <w:szCs w:val="21"/>
        </w:rPr>
        <w:t xml:space="preserve">La única condición es citar la procedencia.</w:t>
      </w:r>
      <w:r>
        <w:rPr>
          <w:rFonts w:ascii="Calibri" w:cs="Calibri" w:eastAsia="Calibri" w:hAnsi="Calibri"/>
          <w:sz w:val="21"/>
          <w:szCs w:val="21"/>
        </w:rPr>
        <w:t xml:space="preserve"> No hay que compartir las</w:t>
      </w:r>
    </w:p>
    <w:p>
      <w:pPr>
        <w:spacing w:after="140" w:line="276"/>
      </w:pPr>
      <w:r>
        <w:rPr>
          <w:rFonts w:ascii="Calibri" w:cs="Calibri" w:eastAsia="Calibri" w:hAnsi="Calibri"/>
          <w:sz w:val="21"/>
          <w:szCs w:val="21"/>
        </w:rPr>
        <w:t xml:space="preserve">modificaciones bajo la misma licencia, no hay que avisar de su uso y no hay que pedir autorización</w:t>
      </w:r>
    </w:p>
    <w:p>
      <w:pPr>
        <w:spacing w:after="140" w:line="276"/>
      </w:pPr>
      <w:r>
        <w:rPr>
          <w:rFonts w:ascii="Calibri" w:cs="Calibri" w:eastAsia="Calibri" w:hAnsi="Calibri"/>
          <w:sz w:val="21"/>
          <w:szCs w:val="21"/>
        </w:rPr>
        <w:t xml:space="preserve">para adaptarlo.</w:t>
      </w:r>
    </w:p>
    <w:p>
      <w:pPr>
        <w:spacing w:after="140" w:line="276"/>
      </w:pPr>
      <w:r>
        <w:rPr>
          <w:rFonts w:ascii="Calibri" w:cs="Calibri" w:eastAsia="Calibri" w:hAnsi="Calibri"/>
          <w:b/>
          <w:bCs/>
          <w:sz w:val="21"/>
          <w:szCs w:val="21"/>
        </w:rPr>
        <w:t xml:space="preserve">Y puede mejorarlo sin permiso de nadie.</w:t>
      </w:r>
      <w:r>
        <w:rPr>
          <w:rFonts w:ascii="Calibri" w:cs="Calibri" w:eastAsia="Calibri" w:hAnsi="Calibri"/>
          <w:sz w:val="21"/>
          <w:szCs w:val="21"/>
        </w:rPr>
        <w:t xml:space="preserve"> El proyecto vive en un repositorio abierto</w:t>
      </w:r>
    </w:p>
    <w:p>
      <w:pPr>
        <w:spacing w:after="140" w:line="276"/>
      </w:pPr>
      <w:r>
        <w:rPr>
          <w:rFonts w:ascii="Calibri" w:cs="Calibri" w:eastAsia="Calibri" w:hAnsi="Calibri"/>
          <w:sz w:val="21"/>
          <w:szCs w:val="21"/>
        </w:rPr>
        <w:t xml:space="preserve">(</w:t>
      </w:r>
      <w:hyperlink w:history="1" r:id="rId_1yptl8vievn6sg1bmjqw">
        <w:r>
          <w:rPr>
            <w:rFonts w:ascii="Calibri" w:cs="Calibri" w:eastAsia="Calibri" w:hAnsi="Calibri"/>
            <w:color w:val="2F5496"/>
            <w:sz w:val="21"/>
            <w:szCs w:val="21"/>
            <w:u w:val="single"/>
          </w:rPr>
          <w:t xml:space="preserve">github.com/migueldadd4u/ai-clauses</w:t>
        </w:r>
      </w:hyperlink>
      <w:r>
        <w:rPr>
          <w:rFonts w:ascii="Calibri" w:cs="Calibri" w:eastAsia="Calibri" w:hAnsi="Calibri"/>
          <w:sz w:val="21"/>
          <w:szCs w:val="21"/>
        </w:rPr>
        <w:t xml:space="preserve">) con dos vías, y</w:t>
      </w:r>
    </w:p>
    <w:p>
      <w:pPr>
        <w:spacing w:after="140" w:line="276"/>
      </w:pPr>
      <w:r>
        <w:rPr>
          <w:rFonts w:ascii="Calibri" w:cs="Calibri" w:eastAsia="Calibri" w:hAnsi="Calibri"/>
          <w:sz w:val="21"/>
          <w:szCs w:val="21"/>
        </w:rPr>
        <w:t xml:space="preserve">conviene entender la diferencia porque son la razón de publicarlo así:</w:t>
      </w:r>
    </w:p>
    <w:p>
      <w:pPr>
        <w:pStyle w:val="ListParagraph"/>
        <w:numPr>
          <w:ilvl w:val="0"/>
          <w:numId w:val="1"/>
        </w:numPr>
        <w:spacing w:after="70" w:line="268"/>
      </w:pPr>
      <w:r>
        <w:rPr>
          <w:rFonts w:ascii="Calibri" w:cs="Calibri" w:eastAsia="Calibri" w:hAnsi="Calibri"/>
          <w:b/>
          <w:bCs/>
          <w:sz w:val="21"/>
          <w:szCs w:val="21"/>
        </w:rPr>
        <w:t xml:space="preserve">Proponer un cambio a este documento</w:t>
      </w:r>
      <w:r>
        <w:rPr>
          <w:rFonts w:ascii="Calibri" w:cs="Calibri" w:eastAsia="Calibri" w:hAnsi="Calibri"/>
          <w:sz w:val="21"/>
          <w:szCs w:val="21"/>
        </w:rPr>
        <w:t xml:space="preserve"> (una </w:t>
      </w:r>
      <w:r>
        <w:rPr>
          <w:rFonts w:ascii="Calibri" w:cs="Calibri" w:eastAsia="Calibri" w:hAnsi="Calibri"/>
          <w:i/>
          <w:iCs/>
          <w:sz w:val="21"/>
          <w:szCs w:val="21"/>
        </w:rPr>
        <w:t xml:space="preserve">pull request</w:t>
      </w:r>
      <w:r>
        <w:rPr>
          <w:rFonts w:ascii="Calibri" w:cs="Calibri" w:eastAsia="Calibri" w:hAnsi="Calibri"/>
          <w:sz w:val="21"/>
          <w:szCs w:val="21"/>
        </w:rPr>
        <w:t xml:space="preserve">): usted propone una redacción distinta</w:t>
      </w:r>
    </w:p>
    <w:p>
      <w:pPr>
        <w:spacing w:after="140" w:line="276"/>
      </w:pPr>
      <w:r>
        <w:rPr>
          <w:rFonts w:ascii="Calibri" w:cs="Calibri" w:eastAsia="Calibri" w:hAnsi="Calibri"/>
          <w:sz w:val="21"/>
          <w:szCs w:val="21"/>
        </w:rPr>
        <w:t xml:space="preserve">y quien mantiene el proyecto la acepta o no. Si la acepta, entra en el documento que todo el mundo</w:t>
      </w:r>
    </w:p>
    <w:p>
      <w:pPr>
        <w:spacing w:after="140" w:line="276"/>
      </w:pPr>
      <w:r>
        <w:rPr>
          <w:rFonts w:ascii="Calibri" w:cs="Calibri" w:eastAsia="Calibri" w:hAnsi="Calibri"/>
          <w:sz w:val="21"/>
          <w:szCs w:val="21"/>
        </w:rPr>
        <w:t xml:space="preserve">lee, con su autoría. Es la vía que interesa: quien redacta pliegos todos los días sabe cosas que</w:t>
      </w:r>
    </w:p>
    <w:p>
      <w:pPr>
        <w:spacing w:after="140" w:line="276"/>
      </w:pPr>
      <w:r>
        <w:rPr>
          <w:rFonts w:ascii="Calibri" w:cs="Calibri" w:eastAsia="Calibri" w:hAnsi="Calibri"/>
          <w:sz w:val="21"/>
          <w:szCs w:val="21"/>
        </w:rPr>
        <w:t xml:space="preserve">este catálogo no sabe.</w:t>
      </w:r>
    </w:p>
    <w:p>
      <w:pPr>
        <w:pStyle w:val="ListParagraph"/>
        <w:numPr>
          <w:ilvl w:val="0"/>
          <w:numId w:val="1"/>
        </w:numPr>
        <w:spacing w:after="70" w:line="268"/>
      </w:pPr>
      <w:r>
        <w:rPr>
          <w:rFonts w:ascii="Calibri" w:cs="Calibri" w:eastAsia="Calibri" w:hAnsi="Calibri"/>
          <w:b/>
          <w:bCs/>
          <w:sz w:val="21"/>
          <w:szCs w:val="21"/>
        </w:rPr>
        <w:t xml:space="preserve">Hacer su propia versión</w:t>
      </w:r>
      <w:r>
        <w:rPr>
          <w:rFonts w:ascii="Calibri" w:cs="Calibri" w:eastAsia="Calibri" w:hAnsi="Calibri"/>
          <w:sz w:val="21"/>
          <w:szCs w:val="21"/>
        </w:rPr>
        <w:t xml:space="preserve"> (un </w:t>
      </w:r>
      <w:r>
        <w:rPr>
          <w:rFonts w:ascii="Calibri" w:cs="Calibri" w:eastAsia="Calibri" w:hAnsi="Calibri"/>
          <w:i/>
          <w:iCs/>
          <w:sz w:val="21"/>
          <w:szCs w:val="21"/>
        </w:rPr>
        <w:t xml:space="preserve">fork</w:t>
      </w:r>
      <w:r>
        <w:rPr>
          <w:rFonts w:ascii="Calibri" w:cs="Calibri" w:eastAsia="Calibri" w:hAnsi="Calibri"/>
          <w:sz w:val="21"/>
          <w:szCs w:val="21"/>
        </w:rPr>
        <w:t xml:space="preserve">): se lleva el documento entero a un repositorio suyo y hace</w:t>
      </w:r>
    </w:p>
    <w:p>
      <w:pPr>
        <w:spacing w:after="140" w:line="276"/>
      </w:pPr>
      <w:r>
        <w:rPr>
          <w:rFonts w:ascii="Calibri" w:cs="Calibri" w:eastAsia="Calibri" w:hAnsi="Calibri"/>
          <w:sz w:val="21"/>
          <w:szCs w:val="21"/>
        </w:rPr>
        <w:t xml:space="preserve">con él lo que quiera, sin pedir permiso ni dar explicaciones. Esa versión es suya y sólo suya, y</w:t>
      </w:r>
    </w:p>
    <w:p>
      <w:pPr>
        <w:spacing w:after="140" w:line="276"/>
      </w:pPr>
      <w:r>
        <w:rPr>
          <w:rFonts w:ascii="Calibri" w:cs="Calibri" w:eastAsia="Calibri" w:hAnsi="Calibri"/>
          <w:b/>
          <w:bCs/>
          <w:sz w:val="21"/>
          <w:szCs w:val="21"/>
        </w:rPr>
        <w:t xml:space="preserve">los firmantes de este documento no responden de lo que diga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propuestas de cambio se revisan con un criterio único: que la redacción resista mejor un recurso</w:t>
      </w:r>
    </w:p>
    <w:p>
      <w:pPr>
        <w:spacing w:after="140" w:line="276"/>
      </w:pPr>
      <w:r>
        <w:rPr>
          <w:rFonts w:ascii="Calibri" w:cs="Calibri" w:eastAsia="Calibri" w:hAnsi="Calibri"/>
          <w:sz w:val="21"/>
          <w:szCs w:val="21"/>
        </w:rPr>
        <w:t xml:space="preserve">que la que hay. Las condiciones detalladas, en el archivo </w:t>
      </w:r>
      <w:r>
        <w:rPr>
          <w:rFonts w:ascii="Calibri" w:cs="Calibri" w:eastAsia="Calibri" w:hAnsi="Calibri"/>
          <w:color w:val="2F5496"/>
          <w:sz w:val="21"/>
          <w:szCs w:val="21"/>
        </w:rPr>
        <w:t xml:space="preserve">CONTRIBUTING.md</w:t>
      </w:r>
      <w:r>
        <w:rPr>
          <w:rFonts w:ascii="Calibri" w:cs="Calibri" w:eastAsia="Calibri" w:hAnsi="Calibri"/>
          <w:sz w:val="21"/>
          <w:szCs w:val="21"/>
        </w:rPr>
        <w:t xml:space="preserve"> del repositorio.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b/>
          <w:bCs/>
          <w:sz w:val="21"/>
          <w:szCs w:val="21"/>
        </w:rPr>
        <w:t xml:space="preserve">Dos puertas de entrada, y conviene saberlo antes de empezar.</w:t>
      </w:r>
      <w:r>
        <w:rPr>
          <w:rFonts w:ascii="Calibri" w:cs="Calibri" w:eastAsia="Calibri" w:hAnsi="Calibri"/>
          <w:sz w:val="21"/>
          <w:szCs w:val="21"/>
        </w:rPr>
        <w:t xml:space="preserve"> Esto nació como un catálogo de</w:t>
      </w:r>
    </w:p>
    <w:p>
      <w:pPr>
        <w:spacing w:after="140" w:line="276"/>
      </w:pPr>
      <w:r>
        <w:rPr>
          <w:rFonts w:ascii="Calibri" w:cs="Calibri" w:eastAsia="Calibri" w:hAnsi="Calibri"/>
          <w:sz w:val="21"/>
          <w:szCs w:val="21"/>
        </w:rPr>
        <w:t xml:space="preserve">cláusulas de inteligencia artificial, y eso es lo primero que ofrece. Pero para poder redactarlas</w:t>
      </w:r>
    </w:p>
    <w:p>
      <w:pPr>
        <w:spacing w:after="140" w:line="276"/>
      </w:pPr>
      <w:r>
        <w:rPr>
          <w:rFonts w:ascii="Calibri" w:cs="Calibri" w:eastAsia="Calibri" w:hAnsi="Calibri"/>
          <w:sz w:val="21"/>
          <w:szCs w:val="21"/>
        </w:rPr>
        <w:t xml:space="preserve">hubo que escribir entero el circuito del expediente que las sostiene: los veintiún documentos, quién</w:t>
      </w:r>
    </w:p>
    <w:p>
      <w:pPr>
        <w:spacing w:after="140" w:line="276"/>
      </w:pPr>
      <w:r>
        <w:rPr>
          <w:rFonts w:ascii="Calibri" w:cs="Calibri" w:eastAsia="Calibri" w:hAnsi="Calibri"/>
          <w:sz w:val="21"/>
          <w:szCs w:val="21"/>
        </w:rPr>
        <w:t xml:space="preserve">firma cada uno, en qué orden y qué tiene que decir. Ese circuito **no tiene nada de específico de la</w:t>
      </w:r>
    </w:p>
    <w:p>
      <w:pPr>
        <w:spacing w:after="140" w:line="276"/>
      </w:pPr>
      <w:r>
        <w:rPr>
          <w:rFonts w:ascii="Calibri" w:cs="Calibri" w:eastAsia="Calibri" w:hAnsi="Calibri"/>
          <w:sz w:val="21"/>
          <w:szCs w:val="21"/>
        </w:rPr>
        <w:t xml:space="preserve">inteligencia artificial**. Una cláusula es una cláusula: el camino que vale para meter una cláusula</w:t>
      </w:r>
    </w:p>
    <w:p>
      <w:pPr>
        <w:spacing w:after="140" w:line="276"/>
      </w:pPr>
      <w:r>
        <w:rPr>
          <w:rFonts w:ascii="Calibri" w:cs="Calibri" w:eastAsia="Calibri" w:hAnsi="Calibri"/>
          <w:sz w:val="21"/>
          <w:szCs w:val="21"/>
        </w:rPr>
        <w:t xml:space="preserve">de IA en un pliego vale igual para cualquier otra, conforme a la Ley 9/2017. De modo que este</w:t>
      </w:r>
    </w:p>
    <w:p>
      <w:pPr>
        <w:spacing w:after="140" w:line="276"/>
      </w:pPr>
      <w:r>
        <w:rPr>
          <w:rFonts w:ascii="Calibri" w:cs="Calibri" w:eastAsia="Calibri" w:hAnsi="Calibri"/>
          <w:sz w:val="21"/>
          <w:szCs w:val="21"/>
        </w:rPr>
        <w:t xml:space="preserve">documento es, a la vez, un catálogo de cláusulas y un manual de tramitación, y se puede entrar por</w:t>
      </w:r>
    </w:p>
    <w:p>
      <w:pPr>
        <w:spacing w:after="140" w:line="276"/>
      </w:pPr>
      <w:r>
        <w:rPr>
          <w:rFonts w:ascii="Calibri" w:cs="Calibri" w:eastAsia="Calibri" w:hAnsi="Calibri"/>
          <w:sz w:val="21"/>
          <w:szCs w:val="21"/>
        </w:rPr>
        <w:t xml:space="preserve">donde interese: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qué viene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dónde entrar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por </w:t>
            </w:r>
            <w:r>
              <w:rPr>
                <w:rFonts w:ascii="Calibri" w:cs="Calibri" w:eastAsia="Calibri" w:hAnsi="Calibri"/>
                <w:b/>
                <w:bCs/>
                <w:sz w:val="18"/>
                <w:szCs w:val="18"/>
              </w:rPr>
              <w:t xml:space="preserve">cláusulas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 Parte 0 → </w:t>
            </w:r>
            <w:r>
              <w:rPr>
                <w:rFonts w:ascii="Calibri" w:cs="Calibri" w:eastAsia="Calibri" w:hAnsi="Calibri"/>
                <w:b/>
                <w:bCs/>
                <w:sz w:val="18"/>
                <w:szCs w:val="18"/>
              </w:rPr>
              <w:t xml:space="preserve">Parte II</w:t>
            </w:r>
            <w:r>
              <w:rPr>
                <w:rFonts w:ascii="Calibri" w:cs="Calibri" w:eastAsia="Calibri" w:hAnsi="Calibri"/>
                <w:b w:val="false"/>
                <w:bCs w:val="false"/>
                <w:sz w:val="18"/>
                <w:szCs w:val="18"/>
              </w:rPr>
              <w:t xml:space="preserve"> (técnicas, PPT) y </w:t>
            </w:r>
            <w:r>
              <w:rPr>
                <w:rFonts w:ascii="Calibri" w:cs="Calibri" w:eastAsia="Calibri" w:hAnsi="Calibri"/>
                <w:b/>
                <w:bCs/>
                <w:sz w:val="18"/>
                <w:szCs w:val="18"/>
              </w:rPr>
              <w:t xml:space="preserve">Parte III</w:t>
            </w:r>
            <w:r>
              <w:rPr>
                <w:rFonts w:ascii="Calibri" w:cs="Calibri" w:eastAsia="Calibri" w:hAnsi="Calibri"/>
                <w:b w:val="false"/>
                <w:bCs w:val="false"/>
                <w:sz w:val="18"/>
                <w:szCs w:val="18"/>
              </w:rPr>
              <w:t xml:space="preserve"> (administrativas,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w:t>
            </w:r>
            <w:r>
              <w:rPr>
                <w:rFonts w:ascii="Calibri" w:cs="Calibri" w:eastAsia="Calibri" w:hAnsi="Calibri"/>
                <w:b/>
                <w:bCs/>
                <w:sz w:val="18"/>
                <w:szCs w:val="18"/>
              </w:rPr>
              <w:t xml:space="preserve">tramitar bien un expediente</w:t>
            </w:r>
            <w:r>
              <w:rPr>
                <w:rFonts w:ascii="Calibri" w:cs="Calibri" w:eastAsia="Calibri" w:hAnsi="Calibri"/>
                <w:b w:val="false"/>
                <w:bCs w:val="false"/>
                <w:sz w:val="18"/>
                <w:szCs w:val="18"/>
              </w:rPr>
              <w:t xml:space="preserve">, con cláusulas de IA o sin 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w:t>
            </w:r>
            <w:r>
              <w:rPr>
                <w:rFonts w:ascii="Calibri" w:cs="Calibri" w:eastAsia="Calibri" w:hAnsi="Calibri"/>
                <w:b w:val="false"/>
                <w:bCs w:val="false"/>
                <w:sz w:val="18"/>
                <w:szCs w:val="18"/>
              </w:rPr>
              <w:t xml:space="preserve"> (el circuito completo, documento a documento) → </w:t>
            </w:r>
            <w:r>
              <w:rPr>
                <w:rFonts w:ascii="Calibri" w:cs="Calibri" w:eastAsia="Calibri" w:hAnsi="Calibri"/>
                <w:b/>
                <w:bCs/>
                <w:sz w:val="18"/>
                <w:szCs w:val="18"/>
              </w:rPr>
              <w:t xml:space="preserve">Parte VI</w:t>
            </w:r>
            <w:r>
              <w:rPr>
                <w:rFonts w:ascii="Calibri" w:cs="Calibri" w:eastAsia="Calibri" w:hAnsi="Calibri"/>
                <w:b w:val="false"/>
                <w:bCs w:val="false"/>
                <w:sz w:val="18"/>
                <w:szCs w:val="18"/>
              </w:rPr>
              <w:t xml:space="preserve"> (ese circuito recorrido entero sobre un expediente simulado)</w:t>
            </w:r>
          </w:p>
        </w:tc>
      </w:tr>
    </w:tbl>
    <w:p>
      <w:pPr>
        <w:spacing w:after="200"/>
      </w:pP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de alcance limitado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pqylma6q58vl1eumshs3i">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Si alguna administración tuviera pliegos redactados citando los códigos de la versión 2.0, adviértase que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el régimen de un municipio de gran población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6tnv50mickj2amvhu3-yz">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iermikhn7iycmz6kbis46">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con alcance limitado, y qué sí cabe en cada uno</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w:t>
      </w:r>
      <w:r>
        <w:rPr>
          <w:rFonts w:ascii="Calibri" w:cs="Calibri" w:eastAsia="Calibri" w:hAnsi="Calibri"/>
          <w:b/>
          <w:bCs/>
          <w:sz w:val="21"/>
          <w:szCs w:val="21"/>
        </w:rPr>
        <w:t xml:space="preserve">Ninguno de los tres queda fuera del catálogo: en los tres cabe algo, y en dos de ellos bastante.</w:t>
      </w:r>
      <w:r>
        <w:rPr>
          <w:rFonts w:ascii="Calibri" w:cs="Calibri" w:eastAsia="Calibri" w:hAnsi="Calibri"/>
          <w:sz w:val="21"/>
          <w:szCs w:val="21"/>
        </w:rPr>
        <w:t xml:space="preserve"> Lo que cambia es el alcance, porque cambia el instrumento contractual disponible. Aquí se dice, caso por caso, hasta dónde llega y qué se puede hacer.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kqahehyjxlpxa9cvkezhu">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thyafkuno9bfp46of23cv">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un municipio de gran población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(Un municipio de gran población se rige por el Título X de la Ley 7/1985.)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un municipio de gran población,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nge7dcxyhopc7g9hv3c07">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una administración no sirve como Anexo V de ninguna otra.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pllzvjyfsdazrjexkix65">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los municipios de gran población,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_zlgpmc3h9slevsuj-b-z">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cn8f8zthnxtuv_w9ulodr">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mhnxdolce3v1cppbl2qzm">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ezpedcokw2sf8bp2scv6m">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nuoygpqzr3ftfhbkvuox5">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969s8in6hkf-2gnuktwyg">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tbaq4q7rep0_meh05qy-0">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bed-swkmdiupagpvncwn_">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mevsx5lajhicodxullhwc">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hkkotgwldr5kewoqcckm_">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el régimen concreto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8nu16020svjbqd_lxofb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itclgzvbfdzzoycmm_0k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utdqiyme5rd0gj-r0utgs">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rdwd658zzjep8rclo9f-b">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bpnsxgt0ibbnfsisilboy">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s0imc8jxvhv2v94emxkui">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mdijp5vltgfuqd2skt0x9">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stzj4do7xxw5hevwqwuci">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rwi8dyhdjftvtiaphch0t">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12yctkhojrkvqndhltkyw">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ddvrujnbwtecvmpwwhozo">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dkfzsdu4hdaj53xcr_nwl">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uraazc2zzzg1xxyzbojs6">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gkkltenksc_vevtlryij2">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rnjeytt31hhwclehqo3wq">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un municipio de gran población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rnjlnl-xo3gfwyvlbkdqy">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k6f7mxk9avtad5wjyfri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llidymudpmnsmmnfknv8g">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md6s30lx6u-tnoqi08fph">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w4qab7endis9heuxvwhw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nu9pza9bmd9yhfrdk9jxq">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mlkzqlliqto76wjzoxiyr">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yq9nqkk4jk1n5pmxknjiy">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f1nmpgvosrncfvdpdmqxn">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dmmsycmil3cytm2trii-3">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roywcvofp0emhmduqv-h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para las entidades locales de la Comunidad de Madrid, por ejemplo,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los municipios de gran población, la Junta de Gobierno Local, por su régimen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M1.2 bis · Y si el órgano de gobierno no aprueba nada</w:t>
      </w:r>
    </w:p>
    <w:p>
      <w:pPr>
        <w:spacing w:after="140" w:line="276"/>
      </w:pPr>
      <w:r>
        <w:rPr>
          <w:rFonts w:ascii="Calibri" w:cs="Calibri" w:eastAsia="Calibri" w:hAnsi="Calibri"/>
          <w:sz w:val="21"/>
          <w:szCs w:val="21"/>
        </w:rPr>
        <w:t xml:space="preserve">Es la pregunta que hace cualquiera que tenga que aplicar esto de verdad, y merece respuesta directa</w:t>
      </w:r>
    </w:p>
    <w:p>
      <w:pPr>
        <w:spacing w:after="140" w:line="276"/>
      </w:pPr>
      <w:r>
        <w:rPr>
          <w:rFonts w:ascii="Calibri" w:cs="Calibri" w:eastAsia="Calibri" w:hAnsi="Calibri"/>
          <w:sz w:val="21"/>
          <w:szCs w:val="21"/>
        </w:rPr>
        <w:t xml:space="preserve">en vez de una remisión: **¿y si el ayuntamiento no quiere aprobar ninguna política digital, pero sí</w:t>
      </w:r>
    </w:p>
    <w:p>
      <w:pPr>
        <w:spacing w:after="140" w:line="276"/>
      </w:pPr>
      <w:r>
        <w:rPr>
          <w:rFonts w:ascii="Calibri" w:cs="Calibri" w:eastAsia="Calibri" w:hAnsi="Calibri"/>
          <w:sz w:val="21"/>
          <w:szCs w:val="21"/>
        </w:rPr>
        <w:t xml:space="preserve">quiere usar el catálogo y poner exigencias tecnológicas?**</w:t>
      </w:r>
    </w:p>
    <w:p>
      <w:pPr>
        <w:spacing w:after="140" w:line="276"/>
      </w:pPr>
      <w:r>
        <w:rPr>
          <w:rFonts w:ascii="Calibri" w:cs="Calibri" w:eastAsia="Calibri" w:hAnsi="Calibri"/>
          <w:sz w:val="21"/>
          <w:szCs w:val="21"/>
        </w:rPr>
        <w:t xml:space="preserve">La respuesta corta: </w:t>
      </w:r>
      <w:r>
        <w:rPr>
          <w:rFonts w:ascii="Calibri" w:cs="Calibri" w:eastAsia="Calibri" w:hAnsi="Calibri"/>
          <w:b/>
          <w:bCs/>
          <w:sz w:val="21"/>
          <w:szCs w:val="21"/>
        </w:rPr>
        <w:t xml:space="preserve">se puede hacer casi todo, y lo que no, tiene tres salidas antes de renunciar.</w:t>
      </w:r>
    </w:p>
    <w:p>
      <w:pPr>
        <w:spacing w:after="140" w:line="276"/>
      </w:pPr>
      <w:r>
        <w:rPr>
          <w:rFonts w:ascii="Calibri" w:cs="Calibri" w:eastAsia="Calibri" w:hAnsi="Calibri"/>
          <w:b/>
          <w:bCs/>
          <w:sz w:val="21"/>
          <w:szCs w:val="21"/>
        </w:rPr>
        <w:t xml:space="preserve">Primero, lo que no depende de nadie.</w:t>
      </w:r>
      <w:r>
        <w:rPr>
          <w:rFonts w:ascii="Calibri" w:cs="Calibri" w:eastAsia="Calibri" w:hAnsi="Calibri"/>
          <w:sz w:val="21"/>
          <w:szCs w:val="21"/>
        </w:rPr>
        <w:t xml:space="preserve"> Todo lo de origen normativo o funcional entra hoy, motivado</w:t>
      </w:r>
    </w:p>
    <w:p>
      <w:pPr>
        <w:spacing w:after="140" w:line="276"/>
      </w:pPr>
      <w:r>
        <w:rPr>
          <w:rFonts w:ascii="Calibri" w:cs="Calibri" w:eastAsia="Calibri" w:hAnsi="Calibri"/>
          <w:sz w:val="21"/>
          <w:szCs w:val="21"/>
        </w:rPr>
        <w:t xml:space="preserve">en la memoria del expediente con datos propios. Es la mayor parte del catálogo y la de más valor</w:t>
      </w:r>
    </w:p>
    <w:p>
      <w:pPr>
        <w:spacing w:after="140" w:line="276"/>
      </w:pPr>
      <w:r>
        <w:rPr>
          <w:rFonts w:ascii="Calibri" w:cs="Calibri" w:eastAsia="Calibri" w:hAnsi="Calibri"/>
          <w:sz w:val="21"/>
          <w:szCs w:val="21"/>
        </w:rPr>
        <w:t xml:space="preserve">económico: reversibilidad, propiedad intelectual y licencia mínima, acceso de los órganos de control</w:t>
      </w:r>
    </w:p>
    <w:p>
      <w:pPr>
        <w:spacing w:after="140" w:line="276"/>
      </w:pPr>
      <w:r>
        <w:rPr>
          <w:rFonts w:ascii="Calibri" w:cs="Calibri" w:eastAsia="Calibri" w:hAnsi="Calibri"/>
          <w:sz w:val="21"/>
          <w:szCs w:val="21"/>
        </w:rPr>
        <w:t xml:space="preserve">al dato, ENS bien redactado, equivalencia y prueba, penalidades tipificadas. De las seis cláusulas</w:t>
      </w:r>
    </w:p>
    <w:p>
      <w:pPr>
        <w:spacing w:after="140" w:line="276"/>
      </w:pPr>
      <w:r>
        <w:rPr>
          <w:rFonts w:ascii="Calibri" w:cs="Calibri" w:eastAsia="Calibri" w:hAnsi="Calibri"/>
          <w:sz w:val="21"/>
          <w:szCs w:val="21"/>
        </w:rPr>
        <w:t xml:space="preserve">del subconjunto mínimo del §VI.2.2, </w:t>
      </w:r>
      <w:r>
        <w:rPr>
          <w:rFonts w:ascii="Calibri" w:cs="Calibri" w:eastAsia="Calibri" w:hAnsi="Calibri"/>
          <w:b/>
          <w:bCs/>
          <w:sz w:val="21"/>
          <w:szCs w:val="21"/>
        </w:rPr>
        <w:t xml:space="preserve">cinco</w:t>
      </w:r>
      <w:r>
        <w:rPr>
          <w:rFonts w:ascii="Calibri" w:cs="Calibri" w:eastAsia="Calibri" w:hAnsi="Calibri"/>
          <w:sz w:val="21"/>
          <w:szCs w:val="21"/>
        </w:rPr>
        <w:t xml:space="preserve"> se sostienen así.</w:t>
      </w:r>
    </w:p>
    <w:p>
      <w:pPr>
        <w:spacing w:after="140" w:line="276"/>
      </w:pPr>
      <w:r>
        <w:rPr>
          <w:rFonts w:ascii="Calibri" w:cs="Calibri" w:eastAsia="Calibri" w:hAnsi="Calibri"/>
          <w:b/>
          <w:bCs/>
          <w:sz w:val="21"/>
          <w:szCs w:val="21"/>
        </w:rPr>
        <w:t xml:space="preserve">Segundo, lo que sí necesita anclaje institucional</w:t>
      </w:r>
      <w:r>
        <w:rPr>
          <w:rFonts w:ascii="Calibri" w:cs="Calibri" w:eastAsia="Calibri" w:hAnsi="Calibri"/>
          <w:sz w:val="21"/>
          <w:szCs w:val="21"/>
        </w:rPr>
        <w:t xml:space="preserve"> —el catálogo anual de exigencias tecnológicas</w:t>
      </w:r>
    </w:p>
    <w:p>
      <w:pPr>
        <w:spacing w:after="140" w:line="276"/>
      </w:pPr>
      <w:r>
        <w:rPr>
          <w:rFonts w:ascii="Calibri" w:cs="Calibri" w:eastAsia="Calibri" w:hAnsi="Calibri"/>
          <w:sz w:val="21"/>
          <w:szCs w:val="21"/>
        </w:rPr>
        <w:t xml:space="preserve">del Anexo V y la interfaz de acceso para agentes más allá del control interno— no exige</w:t>
      </w:r>
    </w:p>
    <w:p>
      <w:pPr>
        <w:spacing w:after="140" w:line="276"/>
      </w:pPr>
      <w:r>
        <w:rPr>
          <w:rFonts w:ascii="Calibri" w:cs="Calibri" w:eastAsia="Calibri" w:hAnsi="Calibri"/>
          <w:sz w:val="21"/>
          <w:szCs w:val="21"/>
        </w:rPr>
        <w:t xml:space="preserve">necesariamente un acuerdo </w:t>
      </w:r>
      <w:r>
        <w:rPr>
          <w:rFonts w:ascii="Calibri" w:cs="Calibri" w:eastAsia="Calibri" w:hAnsi="Calibri"/>
          <w:i/>
          <w:iCs/>
          <w:sz w:val="21"/>
          <w:szCs w:val="21"/>
        </w:rPr>
        <w:t xml:space="preserve">nuevo</w:t>
      </w:r>
      <w:r>
        <w:rPr>
          <w:rFonts w:ascii="Calibri" w:cs="Calibri" w:eastAsia="Calibri" w:hAnsi="Calibri"/>
          <w:sz w:val="21"/>
          <w:szCs w:val="21"/>
        </w:rPr>
        <w:t xml:space="preserve">. Exige **un acto de la administración, con rango suficiente, que</w:t>
      </w:r>
    </w:p>
    <w:p>
      <w:pPr>
        <w:spacing w:after="140" w:line="276"/>
      </w:pPr>
      <w:r>
        <w:rPr>
          <w:rFonts w:ascii="Calibri" w:cs="Calibri" w:eastAsia="Calibri" w:hAnsi="Calibri"/>
          <w:sz w:val="21"/>
          <w:szCs w:val="21"/>
        </w:rPr>
        <w:t xml:space="preserve">fije esa política**. Antes de pedir uno, búsquese si ya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ayuntamiento ya 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Sirve como anclaje si…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o estrategia de digitalización, transformación digital o administración electrónica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Contiene objetivos de interoperabilidad, automatización o soberanía del dato a los que la exigencia pueda reconducirse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ordenanza de administración electrónica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Prevé la relación por medios electrónicos y la interoperabilidad de sus sistemas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de gobierno abierto, de datos abiertos o una estrategia de ciudad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compromisos de publicación, reutilización o explotación del dato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acuerdo de adhesión a un marco supramunicipal (ENS, ENI, plan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compromiso alcanza a los sistemas objeto del contrato</w:t>
            </w:r>
          </w:p>
        </w:tc>
      </w:tr>
    </w:tbl>
    <w:p>
      <w:pPr>
        <w:spacing w:after="200"/>
      </w:pPr>
    </w:p>
    <w:p>
      <w:pPr>
        <w:spacing w:after="140" w:line="276"/>
      </w:pPr>
      <w:r>
        <w:rPr>
          <w:rFonts w:ascii="Calibri" w:cs="Calibri" w:eastAsia="Calibri" w:hAnsi="Calibri"/>
          <w:sz w:val="21"/>
          <w:szCs w:val="21"/>
        </w:rPr>
        <w:t xml:space="preserve">En ese caso la ficha del Anexo II no invoca un documento técnico de una concejalía: **invoca una</w:t>
      </w:r>
    </w:p>
    <w:p>
      <w:pPr>
        <w:spacing w:after="140" w:line="276"/>
      </w:pPr>
      <w:r>
        <w:rPr>
          <w:rFonts w:ascii="Calibri" w:cs="Calibri" w:eastAsia="Calibri" w:hAnsi="Calibri"/>
          <w:sz w:val="21"/>
          <w:szCs w:val="21"/>
        </w:rPr>
        <w:t xml:space="preserve">política ya aprobada**, y el §M1.2.c) queda satisfecho sin volver a la Junta.</w:t>
      </w:r>
    </w:p>
    <w:p>
      <w:pPr>
        <w:spacing w:after="140" w:line="276"/>
      </w:pPr>
      <w:r>
        <w:rPr>
          <w:rFonts w:ascii="Calibri" w:cs="Calibri" w:eastAsia="Calibri" w:hAnsi="Calibri"/>
          <w:b/>
          <w:bCs/>
          <w:sz w:val="21"/>
          <w:szCs w:val="21"/>
        </w:rPr>
        <w:t xml:space="preserve">Tercero, si no existe nada de eso</w:t>
      </w:r>
      <w:r>
        <w:rPr>
          <w:rFonts w:ascii="Calibri" w:cs="Calibri" w:eastAsia="Calibri" w:hAnsi="Calibri"/>
          <w:sz w:val="21"/>
          <w:szCs w:val="21"/>
        </w:rPr>
        <w:t xml:space="preserve">, quedan tres caminos, en este orden:</w:t>
      </w:r>
    </w:p>
    <w:p>
      <w:pPr>
        <w:pStyle w:val="ListParagraph"/>
        <w:numPr>
          <w:ilvl w:val="0"/>
          <w:numId w:val="2"/>
        </w:numPr>
        <w:spacing w:after="70" w:line="268"/>
      </w:pPr>
      <w:r>
        <w:rPr>
          <w:rFonts w:ascii="Calibri" w:cs="Calibri" w:eastAsia="Calibri" w:hAnsi="Calibri"/>
          <w:b/>
          <w:bCs/>
          <w:sz w:val="21"/>
          <w:szCs w:val="21"/>
        </w:rPr>
        <w:t xml:space="preserve">Reanclar por vía funcional lo que se pueda.</w:t>
      </w:r>
      <w:r>
        <w:rPr>
          <w:rFonts w:ascii="Calibri" w:cs="Calibri" w:eastAsia="Calibri" w:hAnsi="Calibri"/>
          <w:sz w:val="21"/>
          <w:szCs w:val="21"/>
        </w:rPr>
        <w:t xml:space="preserve"> Muchas exigencias que parecen institucionales lo</w:t>
      </w:r>
    </w:p>
    <w:p>
      <w:pPr>
        <w:spacing w:after="140" w:line="276"/>
      </w:pPr>
      <w:r>
        <w:rPr>
          <w:rFonts w:ascii="Calibri" w:cs="Calibri" w:eastAsia="Calibri" w:hAnsi="Calibri"/>
          <w:sz w:val="21"/>
          <w:szCs w:val="21"/>
        </w:rPr>
        <w:t xml:space="preserve">dejan de ser en cuanto el gestor pone datos encima: número de peticiones al año y plazo medio de</w:t>
      </w:r>
    </w:p>
    <w:p>
      <w:pPr>
        <w:spacing w:after="140" w:line="276"/>
      </w:pPr>
      <w:r>
        <w:rPr>
          <w:rFonts w:ascii="Calibri" w:cs="Calibri" w:eastAsia="Calibri" w:hAnsi="Calibri"/>
          <w:sz w:val="21"/>
          <w:szCs w:val="21"/>
        </w:rPr>
        <w:t xml:space="preserve">respuesta actual, coste estimado del cambio de proveedor, horas dedicadas a una tramitación. El</w:t>
      </w:r>
    </w:p>
    <w:p>
      <w:pPr>
        <w:spacing w:after="140" w:line="276"/>
      </w:pPr>
      <w:r>
        <w:rPr>
          <w:rFonts w:ascii="Calibri" w:cs="Calibri" w:eastAsia="Calibri" w:hAnsi="Calibri"/>
          <w:sz w:val="21"/>
          <w:szCs w:val="21"/>
        </w:rPr>
        <w:t xml:space="preserve">§M1.2.b) es una vía tan legítima como el acuerdo, y a menudo más sólida ante un tribunal, porque</w:t>
      </w:r>
    </w:p>
    <w:p>
      <w:pPr>
        <w:spacing w:after="140" w:line="276"/>
      </w:pPr>
      <w:r>
        <w:rPr>
          <w:rFonts w:ascii="Calibri" w:cs="Calibri" w:eastAsia="Calibri" w:hAnsi="Calibri"/>
          <w:sz w:val="21"/>
          <w:szCs w:val="21"/>
        </w:rPr>
        <w:t xml:space="preserve">la necesidad se acredita con hechos del propio servicio y no con una declaración de intenciones.</w:t>
      </w:r>
    </w:p>
    <w:p>
      <w:pPr>
        <w:pStyle w:val="ListParagraph"/>
        <w:numPr>
          <w:ilvl w:val="0"/>
          <w:numId w:val="2"/>
        </w:numPr>
        <w:spacing w:after="70" w:line="268"/>
      </w:pPr>
      <w:r>
        <w:rPr>
          <w:rFonts w:ascii="Calibri" w:cs="Calibri" w:eastAsia="Calibri" w:hAnsi="Calibri"/>
          <w:b/>
          <w:bCs/>
          <w:sz w:val="21"/>
          <w:szCs w:val="21"/>
        </w:rPr>
        <w:t xml:space="preserve">Aprobar el Anexo V del ejercicio por resolución del órgano competente</w:t>
      </w:r>
      <w:r>
        <w:rPr>
          <w:rFonts w:ascii="Calibri" w:cs="Calibri" w:eastAsia="Calibri" w:hAnsi="Calibri"/>
          <w:sz w:val="21"/>
          <w:szCs w:val="21"/>
        </w:rPr>
        <w:t xml:space="preserve">, sin plan municipal</w:t>
      </w:r>
    </w:p>
    <w:p>
      <w:pPr>
        <w:spacing w:after="140" w:line="276"/>
      </w:pPr>
      <w:r>
        <w:rPr>
          <w:rFonts w:ascii="Calibri" w:cs="Calibri" w:eastAsia="Calibri" w:hAnsi="Calibri"/>
          <w:sz w:val="21"/>
          <w:szCs w:val="21"/>
        </w:rPr>
        <w:t xml:space="preserve">previo, motivándola en la memoria y publicándola con su contraste de mercado (Anexo XV). Es menos</w:t>
      </w:r>
    </w:p>
    <w:p>
      <w:pPr>
        <w:spacing w:after="140" w:line="276"/>
      </w:pPr>
      <w:r>
        <w:rPr>
          <w:rFonts w:ascii="Calibri" w:cs="Calibri" w:eastAsia="Calibri" w:hAnsi="Calibri"/>
          <w:sz w:val="21"/>
          <w:szCs w:val="21"/>
        </w:rPr>
        <w:t xml:space="preserve">sólido que un acuerdo de gobierno —lo dice el §M8— pero es un acto administrativo con</w:t>
      </w:r>
    </w:p>
    <w:p>
      <w:pPr>
        <w:spacing w:after="140" w:line="276"/>
      </w:pPr>
      <w:r>
        <w:rPr>
          <w:rFonts w:ascii="Calibri" w:cs="Calibri" w:eastAsia="Calibri" w:hAnsi="Calibri"/>
          <w:sz w:val="21"/>
          <w:szCs w:val="21"/>
        </w:rPr>
        <w:t xml:space="preserve">responsable, y sostiene la exigencia mientras nadie lo recurra.</w:t>
      </w:r>
    </w:p>
    <w:p>
      <w:pPr>
        <w:pStyle w:val="ListParagraph"/>
        <w:numPr>
          <w:ilvl w:val="0"/>
          <w:numId w:val="2"/>
        </w:numPr>
        <w:spacing w:after="70" w:line="268"/>
      </w:pPr>
      <w:r>
        <w:rPr>
          <w:rFonts w:ascii="Calibri" w:cs="Calibri" w:eastAsia="Calibri" w:hAnsi="Calibri"/>
          <w:b/>
          <w:bCs/>
          <w:sz w:val="21"/>
          <w:szCs w:val="21"/>
        </w:rPr>
        <w:t xml:space="preserve">Y si tampoco eso</w:t>
      </w:r>
      <w:r>
        <w:rPr>
          <w:rFonts w:ascii="Calibri" w:cs="Calibri" w:eastAsia="Calibri" w:hAnsi="Calibri"/>
          <w:sz w:val="21"/>
          <w:szCs w:val="21"/>
        </w:rPr>
        <w:t xml:space="preserve">: incorpórese el subconjunto mínimo sin ADM-2·v3 y déjese constancia en la</w:t>
      </w:r>
    </w:p>
    <w:p>
      <w:pPr>
        <w:spacing w:after="140" w:line="276"/>
      </w:pPr>
      <w:r>
        <w:rPr>
          <w:rFonts w:ascii="Calibri" w:cs="Calibri" w:eastAsia="Calibri" w:hAnsi="Calibri"/>
          <w:sz w:val="21"/>
          <w:szCs w:val="21"/>
        </w:rPr>
        <w:t xml:space="preserve">memoria de que la exigencia tecnológica se pospone por falta de anclaje. Es preferible un</w:t>
      </w:r>
    </w:p>
    <w:p>
      <w:pPr>
        <w:spacing w:after="140" w:line="276"/>
      </w:pPr>
      <w:r>
        <w:rPr>
          <w:rFonts w:ascii="Calibri" w:cs="Calibri" w:eastAsia="Calibri" w:hAnsi="Calibri"/>
          <w:sz w:val="21"/>
          <w:szCs w:val="21"/>
        </w:rPr>
        <w:t xml:space="preserve">expediente con cinco cláusulas defendibles que uno con seis y una recurrible.</w:t>
      </w:r>
    </w:p>
    <w:p>
      <w:pPr>
        <w:spacing w:after="140" w:line="276"/>
      </w:pPr>
      <w:r>
        <w:rPr>
          <w:rFonts w:ascii="Calibri" w:cs="Calibri" w:eastAsia="Calibri" w:hAnsi="Calibri"/>
          <w:b/>
          <w:bCs/>
          <w:sz w:val="21"/>
          <w:szCs w:val="21"/>
        </w:rPr>
        <w:t xml:space="preserve">Lo que no se debe hacer, y es la tentación.</w:t>
      </w:r>
      <w:r>
        <w:rPr>
          <w:rFonts w:ascii="Calibri" w:cs="Calibri" w:eastAsia="Calibri" w:hAnsi="Calibri"/>
          <w:sz w:val="21"/>
          <w:szCs w:val="21"/>
        </w:rPr>
        <w:t xml:space="preserve"> Incorporar el Anexo V igualmente, rellenando la ficha</w:t>
      </w:r>
    </w:p>
    <w:p>
      <w:pPr>
        <w:spacing w:after="140" w:line="276"/>
      </w:pPr>
      <w:r>
        <w:rPr>
          <w:rFonts w:ascii="Calibri" w:cs="Calibri" w:eastAsia="Calibri" w:hAnsi="Calibri"/>
          <w:sz w:val="21"/>
          <w:szCs w:val="21"/>
        </w:rPr>
        <w:t xml:space="preserve">con una frase genérica del tipo «conviene que las aplicaciones municipales sean interoperables con</w:t>
      </w:r>
    </w:p>
    <w:p>
      <w:pPr>
        <w:spacing w:after="140" w:line="276"/>
      </w:pPr>
      <w:r>
        <w:rPr>
          <w:rFonts w:ascii="Calibri" w:cs="Calibri" w:eastAsia="Calibri" w:hAnsi="Calibri"/>
          <w:sz w:val="21"/>
          <w:szCs w:val="21"/>
        </w:rPr>
        <w:t xml:space="preserve">agentes de inteligencia artificial». Ese párrafo se repite idéntico en todos los expedientes, y es la</w:t>
      </w:r>
    </w:p>
    <w:p>
      <w:pPr>
        <w:spacing w:after="140" w:line="276"/>
      </w:pPr>
      <w:r>
        <w:rPr>
          <w:rFonts w:ascii="Calibri" w:cs="Calibri" w:eastAsia="Calibri" w:hAnsi="Calibri"/>
          <w:sz w:val="21"/>
          <w:szCs w:val="21"/>
        </w:rPr>
        <w:t xml:space="preserve">definición de justificación estereotipada que un tribunal rechaza. Sin anclaje, la cláusula no se</w:t>
      </w:r>
    </w:p>
    <w:p>
      <w:pPr>
        <w:spacing w:after="140" w:line="276"/>
      </w:pPr>
      <w:r>
        <w:rPr>
          <w:rFonts w:ascii="Calibri" w:cs="Calibri" w:eastAsia="Calibri" w:hAnsi="Calibri"/>
          <w:sz w:val="21"/>
          <w:szCs w:val="21"/>
        </w:rPr>
        <w:t xml:space="preserve">disfraza: se pospone.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Lo que la declaración NO hace: limitar el derecho a licitar.</w:t>
      </w:r>
      <w:r>
        <w:rPr>
          <w:rFonts w:ascii="Calibri" w:cs="Calibri" w:eastAsia="Calibri" w:hAnsi="Calibri"/>
          <w:sz w:val="21"/>
          <w:szCs w:val="21"/>
        </w:rPr>
        <w:t xml:space="preserve"> Conviene decirlo expresamente, porque se presume lo contrario. Las declaraciones del Anexo IX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y para que el conflicto esté sobre la mesa antes de que nadie tenga que preguntarlo. </w:t>
      </w:r>
      <w:r>
        <w:rPr>
          <w:rFonts w:ascii="Calibri" w:cs="Calibri" w:eastAsia="Calibri" w:hAnsi="Calibri"/>
          <w:b/>
          <w:bCs/>
          <w:sz w:val="21"/>
          <w:szCs w:val="21"/>
        </w:rPr>
        <w:t xml:space="preserve">No excluyen a ningún colaborador de presentarse a una licitación que aplique este catálogo</w:t>
      </w:r>
      <w:r>
        <w:rPr>
          <w:rFonts w:ascii="Calibri" w:cs="Calibri" w:eastAsia="Calibri" w:hAnsi="Calibri"/>
          <w:sz w:val="21"/>
          <w:szCs w:val="21"/>
        </w:rPr>
        <w:t xml:space="preserve">, ni por sí ni en unión temporal de empresas. Una autolimitación de ese alcance no la exige la ley, restringiría la concurrencia que este catálogo quiere ensanchar y castigaría precisamente a quien ha puesto su conocimiento en abierto. Lo que sí se exige es lo de los puntos 2, 4 y 10: que ninguna exigencia esté escrita para favorecer a nadie, que no se puntúe la tenencia previa y que conste quién propuso cada cosa.</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el régimen de un municipio de gran población aparece en la última columna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un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un municipio de gran población,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una entidad local de la Comunidad de Madrid</w:t>
      </w:r>
      <w:r>
        <w:rPr>
          <w:rFonts w:ascii="Calibri" w:cs="Calibri" w:eastAsia="Calibri" w:hAnsi="Calibri"/>
          <w:sz w:val="21"/>
          <w:szCs w:val="21"/>
        </w:rPr>
        <w:t xml:space="preserve">, y salvo que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lbxykvythzjokjrjpkefn">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 qué cabe en cada uno: algo en los tres, aunque menos que en un procedimiento abierto con pliegos propios.</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prdowa0w8s5r31hpeuin4">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Como </w:t>
      </w:r>
      <w:r>
        <w:rPr>
          <w:rFonts w:ascii="Calibri" w:cs="Calibri" w:eastAsia="Calibri" w:hAnsi="Calibri"/>
          <w:b/>
          <w:bCs/>
          <w:sz w:val="21"/>
          <w:szCs w:val="21"/>
        </w:rPr>
        <w:t xml:space="preserve">primer</w:t>
      </w:r>
      <w:r>
        <w:rPr>
          <w:rFonts w:ascii="Calibri" w:cs="Calibri" w:eastAsia="Calibri" w:hAnsi="Calibri"/>
          <w:sz w:val="21"/>
          <w:szCs w:val="21"/>
        </w:rPr>
        <w:t xml:space="preserve"> piloto son peores candidatos —que no es lo mismo que estar excluidos— los contratos</w:t>
      </w:r>
    </w:p>
    <w:p>
      <w:pPr>
        <w:spacing w:after="140" w:line="276"/>
      </w:pPr>
      <w:r>
        <w:rPr>
          <w:rFonts w:ascii="Calibri" w:cs="Calibri" w:eastAsia="Calibri" w:hAnsi="Calibri"/>
          <w:sz w:val="21"/>
          <w:szCs w:val="21"/>
        </w:rPr>
        <w:t xml:space="preserve">menores, los basados en acuerdo marco, las adhesiones a central de compra y las prórrogas de</w:t>
      </w:r>
    </w:p>
    <w:p>
      <w:pPr>
        <w:spacing w:after="140" w:line="276"/>
      </w:pPr>
      <w:r>
        <w:rPr>
          <w:rFonts w:ascii="Calibri" w:cs="Calibri" w:eastAsia="Calibri" w:hAnsi="Calibri"/>
          <w:sz w:val="21"/>
          <w:szCs w:val="21"/>
        </w:rPr>
        <w:t xml:space="preserve">contratos vivos: en todos ellos el margen del catálogo es más estrecho y el piloto probaría menos.</w:t>
      </w:r>
    </w:p>
    <w:p>
      <w:pPr>
        <w:spacing w:after="140" w:line="276"/>
      </w:pPr>
      <w:r>
        <w:rPr>
          <w:rFonts w:ascii="Calibri" w:cs="Calibri" w:eastAsia="Calibri" w:hAnsi="Calibri"/>
          <w:sz w:val="21"/>
          <w:szCs w:val="21"/>
        </w:rPr>
        <w:t xml:space="preserve">Pero </w:t>
      </w:r>
      <w:r>
        <w:rPr>
          <w:rFonts w:ascii="Calibri" w:cs="Calibri" w:eastAsia="Calibri" w:hAnsi="Calibri"/>
          <w:b/>
          <w:bCs/>
          <w:sz w:val="21"/>
          <w:szCs w:val="21"/>
        </w:rPr>
        <w:t xml:space="preserve">ninguno queda fuera del catálogo</w:t>
      </w:r>
      <w:r>
        <w:rPr>
          <w:rFonts w:ascii="Calibri" w:cs="Calibri" w:eastAsia="Calibri" w:hAnsi="Calibri"/>
          <w:sz w:val="21"/>
          <w:szCs w:val="21"/>
        </w:rPr>
        <w:t xml:space="preserve">, y la Parte I dice de cada uno qué sí cabe: en el contrato</w:t>
      </w:r>
    </w:p>
    <w:p>
      <w:pPr>
        <w:spacing w:after="140" w:line="276"/>
      </w:pPr>
      <w:r>
        <w:rPr>
          <w:rFonts w:ascii="Calibri" w:cs="Calibri" w:eastAsia="Calibri" w:hAnsi="Calibri"/>
          <w:sz w:val="21"/>
          <w:szCs w:val="21"/>
        </w:rPr>
        <w:t xml:space="preserve">menor, la lista cerrada de exigencias normativas (§V.7.1), porque lo que la ley impone se pide igual;</w:t>
      </w:r>
    </w:p>
    <w:p>
      <w:pPr>
        <w:spacing w:after="140" w:line="276"/>
      </w:pPr>
      <w:r>
        <w:rPr>
          <w:rFonts w:ascii="Calibri" w:cs="Calibri" w:eastAsia="Calibri" w:hAnsi="Calibri"/>
          <w:sz w:val="21"/>
          <w:szCs w:val="21"/>
        </w:rPr>
        <w:t xml:space="preserve">en el acuerdo marco y la adhesión, elegir entre las opciones ya previstas, usar los extremos que el</w:t>
      </w:r>
    </w:p>
    <w:p>
      <w:pPr>
        <w:spacing w:after="140" w:line="276"/>
      </w:pPr>
      <w:r>
        <w:rPr>
          <w:rFonts w:ascii="Calibri" w:cs="Calibri" w:eastAsia="Calibri" w:hAnsi="Calibri"/>
          <w:sz w:val="21"/>
          <w:szCs w:val="21"/>
        </w:rPr>
        <w:t xml:space="preserve">instrumento reserve a la fase de contrato basado —incluida la nueva licitación entre adjudicatarios—</w:t>
      </w:r>
    </w:p>
    <w:p>
      <w:pPr>
        <w:spacing w:after="140" w:line="276"/>
      </w:pPr>
      <w:r>
        <w:rPr>
          <w:rFonts w:ascii="Calibri" w:cs="Calibri" w:eastAsia="Calibri" w:hAnsi="Calibri"/>
          <w:sz w:val="21"/>
          <w:szCs w:val="21"/>
        </w:rPr>
        <w:t xml:space="preserve">y trasladar la necesidad al órgano titular para la siguiente licitación; en la prórroga, comprobar lo</w:t>
      </w:r>
    </w:p>
    <w:p>
      <w:pPr>
        <w:spacing w:after="140" w:line="276"/>
      </w:pPr>
      <w:r>
        <w:rPr>
          <w:rFonts w:ascii="Calibri" w:cs="Calibri" w:eastAsia="Calibri" w:hAnsi="Calibri"/>
          <w:sz w:val="21"/>
          <w:szCs w:val="21"/>
        </w:rPr>
        <w:t xml:space="preserve">ya exigible y preparar con tiempo la contratación sucesora.</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mide lo que</w:t>
      </w:r>
    </w:p>
    <w:p>
      <w:pPr>
        <w:spacing w:after="140" w:line="276"/>
      </w:pPr>
      <w:r>
        <w:rPr>
          <w:rFonts w:ascii="Calibri" w:cs="Calibri" w:eastAsia="Calibri" w:hAnsi="Calibri"/>
          <w:sz w:val="21"/>
          <w:szCs w:val="21"/>
        </w:rPr>
        <w:t xml:space="preserve">el catálogo rinde en contratos menores, en los basados en acuerdo marco o en adhesiones a centrales</w:t>
      </w:r>
    </w:p>
    <w:p>
      <w:pPr>
        <w:spacing w:after="140" w:line="276"/>
      </w:pPr>
      <w:r>
        <w:rPr>
          <w:rFonts w:ascii="Calibri" w:cs="Calibri" w:eastAsia="Calibri" w:hAnsi="Calibri"/>
          <w:sz w:val="21"/>
          <w:szCs w:val="21"/>
        </w:rPr>
        <w:t xml:space="preserve">de compra, ni en prórrogas de contratos vivos. En todos ellos **sí cabe aplicarlo, con el alcance que</w:t>
      </w:r>
    </w:p>
    <w:p>
      <w:pPr>
        <w:spacing w:after="140" w:line="276"/>
      </w:pPr>
      <w:r>
        <w:rPr>
          <w:rFonts w:ascii="Calibri" w:cs="Calibri" w:eastAsia="Calibri" w:hAnsi="Calibri"/>
          <w:sz w:val="21"/>
          <w:szCs w:val="21"/>
        </w:rPr>
        <w:t xml:space="preserve">detalla la Parte I**; lo que falta es experiencia sobre cómo se comporta ahí.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kohghs5xftt1vpbun0ge" Type="http://schemas.openxmlformats.org/officeDocument/2006/relationships/hyperlink" Target="https://www.ufv.es/una-nueva-definicion-para-las-ciudades-que-transformaran-el-mundo-noticias-actualidad/" TargetMode="External"/><Relationship Id="rIdbhfmpxrnoccmmadygtnro" Type="http://schemas.openxmlformats.org/officeDocument/2006/relationships/hyperlink" Target="https://miguelangeldominguez.info" TargetMode="External"/><Relationship Id="rIda-5t5xgb-waoyjkbeocey" Type="http://schemas.openxmlformats.org/officeDocument/2006/relationships/hyperlink" Target="https://www.pozuelodealarcon.org/tu-ayuntamiento/organizacion-municipal/trayectoria-profesional-delfina-lafuente-veira" TargetMode="External"/><Relationship Id="rId9qvg_m-ehjv4qnzczyt4r" Type="http://schemas.openxmlformats.org/officeDocument/2006/relationships/hyperlink" Target="https://www.linkedin.com/in/garvia/" TargetMode="External"/><Relationship Id="rId_1yptl8vievn6sg1bmjqw" Type="http://schemas.openxmlformats.org/officeDocument/2006/relationships/hyperlink" Target="https://github.com/migueldadd4u/ai-clauses" TargetMode="External"/><Relationship Id="rIdpqylma6q58vl1eumshs3i" Type="http://schemas.openxmlformats.org/officeDocument/2006/relationships/hyperlink" Target="https://www.comunidad.madrid/tacp/sites/default/files/resolucion_383-2024_expediente_383-2024.pdf" TargetMode="External"/><Relationship Id="rId6tnv50mickj2amvhu3-yz" Type="http://schemas.openxmlformats.org/officeDocument/2006/relationships/hyperlink" Target="https://www.hacienda.gob.es/dgpatrimonio/junta%20consultiva/informes/informes2026/informe202518modificaciones204y205delalcsp.pdf" TargetMode="External"/><Relationship Id="rIdiermikhn7iycmz6kbis46" Type="http://schemas.openxmlformats.org/officeDocument/2006/relationships/hyperlink" Target="https://contratos-publicos.comunidad.madrid/media/827829/download" TargetMode="External"/><Relationship Id="rIdkqahehyjxlpxa9cvkezhu" Type="http://schemas.openxmlformats.org/officeDocument/2006/relationships/hyperlink" Target="https://www.boe.es/buscar/act.php?id=BOE-A-2017-12902" TargetMode="External"/><Relationship Id="rIdthyafkuno9bfp46of23cv" Type="http://schemas.openxmlformats.org/officeDocument/2006/relationships/hyperlink" Target="https://www.boe.es/buscar/doc.php?id=DOUE-L-2025-81543" TargetMode="External"/><Relationship Id="rIdnge7dcxyhopc7g9hv3c07" Type="http://schemas.openxmlformats.org/officeDocument/2006/relationships/hyperlink" Target="https://www.boe.es/buscar/doc.php?id=BOE-A-2016-11098" TargetMode="External"/><Relationship Id="rIdpllzvjyfsdazrjexkix65" Type="http://schemas.openxmlformats.org/officeDocument/2006/relationships/hyperlink" Target="https://www.boe.es/buscar/doc.php?id=DOUE-L-2026-81147" TargetMode="External"/><Relationship Id="rId_zlgpmc3h9slevsuj-b-z" Type="http://schemas.openxmlformats.org/officeDocument/2006/relationships/hyperlink" Target="https://www.comunidad.madrid/tacp/sites/default/files/resolucion_383-2024_expediente_383-2024.pdf" TargetMode="External"/><Relationship Id="rIdcn8f8zthnxtuv_w9ulodr" Type="http://schemas.openxmlformats.org/officeDocument/2006/relationships/hyperlink" Target="https://www.boe.es/buscar/doc.php?id=DOUE-L-2026-81147" TargetMode="External"/><Relationship Id="rIdmhnxdolce3v1cppbl2qzm" Type="http://schemas.openxmlformats.org/officeDocument/2006/relationships/hyperlink" Target="https://www.linuxfoundation.org/press/linux-foundation-announces-the-formation-of-the-agentic-ai-foundation" TargetMode="External"/><Relationship Id="rIdezpedcokw2sf8bp2scv6m" Type="http://schemas.openxmlformats.org/officeDocument/2006/relationships/hyperlink" Target="https://single-market-economy.ec.europa.eu/single-market/european-standards/ict-standardisation/ict-technical-specifications_en" TargetMode="External"/><Relationship Id="rIdnuoygpqzr3ftfhbkvuox5" Type="http://schemas.openxmlformats.org/officeDocument/2006/relationships/hyperlink" Target="https://www.hacienda.gob.es/TACRC/Resoluciones/A%C3%B1o%202022/Recurso%200998-2022%20(Res%201113" TargetMode="External"/><Relationship Id="rId969s8in6hkf-2gnuktwyg" Type="http://schemas.openxmlformats.org/officeDocument/2006/relationships/hyperlink" Target="https://www.comunidad.madrid/tacp/sites/default/files/resolucion_535-2025_expediente_526-2025.pdf" TargetMode="External"/><Relationship Id="rIdtbaq4q7rep0_meh05qy-0" Type="http://schemas.openxmlformats.org/officeDocument/2006/relationships/hyperlink" Target="https://eur-lex.europa.eu/legal-content/ES/TXT/HTML/?uri=CELEX:62023CJ0424" TargetMode="External"/><Relationship Id="rIdbed-swkmdiupagpvncwn_" Type="http://schemas.openxmlformats.org/officeDocument/2006/relationships/hyperlink" Target="https://eur-lex.europa.eu/legal-content/ES/TXT/HTML/?uri=CELEX:62017CJ0014" TargetMode="External"/><Relationship Id="rIdmevsx5lajhicodxullhwc" Type="http://schemas.openxmlformats.org/officeDocument/2006/relationships/hyperlink" Target="https://www.hacienda.gob.es/TACRC/Resoluciones/A%C3%B1o%202021/Recurso%201372-2021%20VAL%20314-2021%20(Res%201727" TargetMode="External"/><Relationship Id="rIdhkkotgwldr5kewoqcckm_" Type="http://schemas.openxmlformats.org/officeDocument/2006/relationships/hyperlink" Target="https://www.hacienda.gob.es/TACRC/Resoluciones/A%C3%B1o%202020/Recurso%200323-2020%20%20(Res%20549" TargetMode="External"/><Relationship Id="rId8nu16020svjbqd_lxofbf" Type="http://schemas.openxmlformats.org/officeDocument/2006/relationships/hyperlink" Target="https://www.comunidad.madrid/tacp/sites/default/files/resolucion_535-2025_expediente_526-2025.pdf" TargetMode="External"/><Relationship Id="rIditclgzvbfdzzoycmm_0kj" Type="http://schemas.openxmlformats.org/officeDocument/2006/relationships/hyperlink" Target="https://www.comunidad.madrid/tacp/sites/default/files/resolucion_92-2024_recurso_070-2024_web.pdf" TargetMode="External"/><Relationship Id="rIdutdqiyme5rd0gj-r0utgs" Type="http://schemas.openxmlformats.org/officeDocument/2006/relationships/hyperlink" Target="https://www.boe.es/buscar/act.php?id=BOE-A-2013-13722" TargetMode="External"/><Relationship Id="rIdrdwd658zzjep8rclo9f-b" Type="http://schemas.openxmlformats.org/officeDocument/2006/relationships/hyperlink" Target="https://www.boe.es/buscar/act.php?id=BOE-A-2015-10565" TargetMode="External"/><Relationship Id="rIdbpnsxgt0ibbnfsisilboy" Type="http://schemas.openxmlformats.org/officeDocument/2006/relationships/hyperlink" Target="https://www.boe.es/buscar/act.php?id=BOE-A-2010-1331" TargetMode="External"/><Relationship Id="rIds0imc8jxvhv2v94emxkui" Type="http://schemas.openxmlformats.org/officeDocument/2006/relationships/hyperlink" Target="https://www.boe.es/buscar/act.php?id=BOE-A-2021-13749" TargetMode="External"/><Relationship Id="rIdmdijp5vltgfuqd2skt0x9" Type="http://schemas.openxmlformats.org/officeDocument/2006/relationships/hyperlink" Target="https://www.boe.es/buscar/act.php?id=BOE-A-2015-10565" TargetMode="External"/><Relationship Id="rIdstzj4do7xxw5hevwqwuci" Type="http://schemas.openxmlformats.org/officeDocument/2006/relationships/hyperlink" Target="https://www.boe.es/buscar/act.php?id=BOE-A-2021-5032" TargetMode="External"/><Relationship Id="rIdrwi8dyhdjftvtiaphch0t" Type="http://schemas.openxmlformats.org/officeDocument/2006/relationships/hyperlink" Target="https://www.boe.es/buscar/act.php?id=BOE-A-2015-10565" TargetMode="External"/><Relationship Id="rId12yctkhojrkvqndhltkyw" Type="http://schemas.openxmlformats.org/officeDocument/2006/relationships/hyperlink" Target="https://www.boe.es/buscar/act.php?id=BOE-A-2021-5032" TargetMode="External"/><Relationship Id="rIdddvrujnbwtecvmpwwhozo" Type="http://schemas.openxmlformats.org/officeDocument/2006/relationships/hyperlink" Target="https://www.boe.es/buscar/act.php?id=BOE-A-2015-10565" TargetMode="External"/><Relationship Id="rIddkfzsdu4hdaj53xcr_nwl" Type="http://schemas.openxmlformats.org/officeDocument/2006/relationships/hyperlink" Target="https://www.boe.es/buscar/act.php?id=BOE-A-2021-5032" TargetMode="External"/><Relationship Id="rIduraazc2zzzg1xxyzbojs6" Type="http://schemas.openxmlformats.org/officeDocument/2006/relationships/hyperlink" Target="https://www.boe.es/buscar/act.php?id=BOE-A-2010-1331" TargetMode="External"/><Relationship Id="rIdgkkltenksc_vevtlryij2" Type="http://schemas.openxmlformats.org/officeDocument/2006/relationships/hyperlink" Target="https://www.comunidad.madrid/tacp/sites/default/files/resolucion_383-2024_expediente_383-2024.pdf" TargetMode="External"/><Relationship Id="rIdrnjeytt31hhwclehqo3wq" Type="http://schemas.openxmlformats.org/officeDocument/2006/relationships/hyperlink" Target="https://www.comunidad.madrid/tacp/sites/default/files/resolucion_383-2024_expediente_383-2024.pdf" TargetMode="External"/><Relationship Id="rIdrnjlnl-xo3gfwyvlbkdqy" Type="http://schemas.openxmlformats.org/officeDocument/2006/relationships/hyperlink" Target="https://www.comunidad.madrid/tacp/sites/default/files/resolucion_535-2025_expediente_526-2025.pdf" TargetMode="External"/><Relationship Id="rIdk6f7mxk9avtad5wjyfrij" Type="http://schemas.openxmlformats.org/officeDocument/2006/relationships/hyperlink" Target="https://www.hacienda.gob.es/tacrc/resoluciones/a%C3%B1o%202019/recurso%200557-2019%20val%20113-2019%20(res%20786" TargetMode="External"/><Relationship Id="rIdllidymudpmnsmmnfknv8g" Type="http://schemas.openxmlformats.org/officeDocument/2006/relationships/hyperlink" Target="https://www.hacienda.gob.es/TACRC/Resoluciones/A%C3%B1o%202021/Recurso%201372-2021%20VAL%20314-2021%20(Res%201727" TargetMode="External"/><Relationship Id="rIdmd6s30lx6u-tnoqi08fph" Type="http://schemas.openxmlformats.org/officeDocument/2006/relationships/hyperlink" Target="https://tienda.aenor.com/p/norma-une-en-iso-iec-42001-2026-n0075951" TargetMode="External"/><Relationship Id="rIdw4qab7endis9heuxvwhwf" Type="http://schemas.openxmlformats.org/officeDocument/2006/relationships/hyperlink" Target="https://www.euskadi.eus/contenidos/informacion/kpecpe_oarc_memorias_doctrina/eu_def/adjuntos/Doktrina-2018-2023.pdf" TargetMode="External"/><Relationship Id="rIdnu9pza9bmd9yhfrdk9jxq" Type="http://schemas.openxmlformats.org/officeDocument/2006/relationships/hyperlink" Target="https://www.hacienda.gob.es/TACRC/Resoluciones/A%C3%B1o%202022/Recurso%200998-2022%20(Res%201113" TargetMode="External"/><Relationship Id="rIdmlkzqlliqto76wjzoxiyr" Type="http://schemas.openxmlformats.org/officeDocument/2006/relationships/hyperlink" Target="https://www.hacienda.gob.es/tacrc/resoluciones/a%C3%B1o%202022/recurso%200846-2022%20(res%201287" TargetMode="External"/><Relationship Id="rIdyq9nqkk4jk1n5pmxknjiy" Type="http://schemas.openxmlformats.org/officeDocument/2006/relationships/hyperlink" Target="https://www.hacienda.gob.es/TACRC/Documentos/RESOLUCIONES%20DE%20PLENO%202022/Resoluci%C3%B3n%20Recurso%20842-2022%20(Res%201111" TargetMode="External"/><Relationship Id="rIdf1nmpgvosrncfvdpdmqxn" Type="http://schemas.openxmlformats.org/officeDocument/2006/relationships/hyperlink" Target="https://contratacion.castillalamancha.es/sites/default/files/infocontrataclm/descargar_consulta_019-2022.pdf" TargetMode="External"/><Relationship Id="rIddmmsycmil3cytm2trii-3" Type="http://schemas.openxmlformats.org/officeDocument/2006/relationships/hyperlink" Target="http://www.contratosdelsectorpublico.es/DocumentosWEB/02TribunalesContractuales/TACP%20Aragon/TACP%20Arag%C3%B3n%2076-2015.pdf" TargetMode="External"/><Relationship Id="rIdroywcvofp0emhmduqv-ht" Type="http://schemas.openxmlformats.org/officeDocument/2006/relationships/hyperlink" Target="https://www.hacienda.gob.es/TACRC/Documentos/RESOLUCIONES%20DE%20PLENO%202022/Resoluci%C3%B3n%20Recurso%20842-2022%20(Res%201111" TargetMode="External"/><Relationship Id="rIdlbxykvythzjokjrjpkefn" Type="http://schemas.openxmlformats.org/officeDocument/2006/relationships/hyperlink" Target="https://www.comunidad.madrid/tacp/sites/default/files/resolucion_383-2024_expediente_383-2024.pdf" TargetMode="External"/><Relationship Id="rIdprdowa0w8s5r31hpeuin4" Type="http://schemas.openxmlformats.org/officeDocument/2006/relationships/hyperlink" Target="https://www.comunidad.madrid/tacp/sites/default/files/resolucion_383-2024_expediente_383-2024.pdf" TargetMode="External"/><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2026-09-10T19:50:54.403Z</dcterms:created>
  <dcterms:modified xsi:type="dcterms:W3CDTF">2026-09-10T19:50:54.404Z</dcterms:modified>
</cp:coreProperties>
</file>

<file path=docProps/custom.xml><?xml version="1.0" encoding="utf-8"?>
<Properties xmlns="http://schemas.openxmlformats.org/officeDocument/2006/custom-properties" xmlns:vt="http://schemas.openxmlformats.org/officeDocument/2006/docPropsVTypes"/>
</file>