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GuideTitle"/>
      </w:pPr>
      <w:r>
        <w:rPr>
          <w:rFonts w:ascii="Georgia" w:cs="Georgia" w:eastAsia="Georgia" w:hAnsi="Georgia"/>
          <w:b/>
          <w:bCs/>
          <w:color w:val="1F3864"/>
        </w:rPr>
        <w:t xml:space="preserve">AI Clauses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Guía municipal de decisión y aplicación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Cómo elegir, motivar, copiar y verificar cláusulas de inteligencia artificial y deep tech en contratación pública — y, de paso, cómo tramitar el expediente que las sostiene</w:t>
      </w:r>
    </w:p>
    <w:p>
      <w:pPr>
        <w:pStyle w:val="GuideQuote"/>
        <w:pBdr>
          <w:left w:val="single" w:color="2F5597" w:sz="16" w:space="8"/>
        </w:pBdr>
      </w:pPr>
      <w:r>
        <w:rPr>
          <w:rFonts w:ascii="Calibri" w:cs="Calibri" w:eastAsia="Calibri" w:hAnsi="Calibri"/>
          <w:b/>
          <w:bCs/>
          <w:i/>
          <w:iCs/>
          <w:color w:val="323A46"/>
          <w:sz w:val="20"/>
          <w:szCs w:val="20"/>
        </w:rPr>
        <w:t xml:space="preserve">Dos puertas de entrada.</w:t>
      </w:r>
      <w:r>
        <w:rPr>
          <w:rFonts w:ascii="Calibri" w:cs="Calibri" w:eastAsia="Calibri" w:hAnsi="Calibri"/>
          <w:i/>
          <w:iCs/>
          <w:color w:val="323A46"/>
          <w:sz w:val="20"/>
          <w:szCs w:val="20"/>
        </w:rPr>
        <w:t xml:space="preserve"> Esto nació como catálogo de cláusulas de IA, pero para redactarlas hubo que escribir entero el circuito del expediente: los veintiún documentos, quién firma cada uno y en qué orden. Ese circuito no tiene nada de específico de la IA y sirve para cualquier otra cláusula conforme a la Ley 9/2017. Quien venga a por cláusulas de IA lea esta guía de principio a fin; quien venga a tramitar bien un expediente vaya a la Parte V del clausulado y al ejemplo completo de la Parte VI.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Versión 3.0 · Fecha de corte normativa y doctrinal: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1 de septiembre de 2026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Autoría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Dr. José Antonio Ondiviela García · Miguel Ángel Domínguez Castellano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firmantes ·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Delfina Lafuente Veira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Concejal de Administración Digital, Calidad e Innovación del Ayuntamiento de Pozuelo de Alarcón,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co-impulsora del proyecto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a título personal.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Reconocimiento a los servicios técnicos municipales: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suyos son el contraste con la práctica real de la contratación y la lectura crítica de los borradores, y han cambiado el documento. Se reconoce de forma colectiva y deliberada.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Estado del documento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Este catálogo nace de un problema real de gestión municipal, pero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es un documento oficial de ninguna administración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ha sido aprobado por ningún órgano municipal, autonómico ni estatal y no expresa la posición de ninguna Corporación; ningún órgano de contratación, intervención o asesoría jurídica se ha pronunciado sobre él. Es una propuesta técnica publicada para el debate y la reutilización.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Y no es sólo municipal: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está parametrizado para cualquier administración —los órganos, umbrales, categorías de seguridad y plazos son parámetros con valor recomendado, no valores fijos—, de modo que sirve igual a un ayuntamiento, a una diputación, a una comunidad autónoma o a un organismo estatal, cambiando quién firma cada cosa. Se publica con licencia CC BY 4.0 para que se copie, se adapte y se mejore. El caso trabajado de la Parte VI es un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expediente simulado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no corresponde a ninguna licitación real, en curso ni en preparación, y sus cifras están construidas para el ejemplo.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Qué se puede hacer desde hoy, y qué no.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La mayoría de las cláusulas —y las de más valor económico: reversibilidad, propiedad intelectual, acceso al dato, ENS bien redactado— se anclan por vía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normativa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funcional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y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necesitan ningún acuerdo previo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basta motivarlas en la memoria del expediente con datos propios. Sólo las de origen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institucional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que ninguna norma impone y ningún gestor pide, necesitan el acuerdo del órgano de gobierno, que no es un permiso sino la prueba documental de su necesidad. De las seis cláusulas del piloto mínimo,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cinco no dependen de ese acuerdo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.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Lo que sí está pendiente a la fecha de corte —acuerdo del órgano de gobierno, consulta preliminar del mercado documentada y declaraciones de conflicto de interés firmadas— limita el uso de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este documento como modelo aprobado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la potestad de nadie para escribir buenas cláusulas en su pliego. Y las declaraciones de conflicto de interés se firman para que nadie pueda pedir ni obtener ventaja en un pliego: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impiden a ningún colaborador presentarse a una licitación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¿Y si el órgano de gobierno no aprueba nada?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Se puede hacer casi todo igual. Lo de origen normativo y funcional entra hoy, motivado con datos propios en la memoria del expediente. Lo que necesita anclaje institucional —el catálogo anual de exigencias del Anexo V— no exige un acuerdo </w:t>
      </w:r>
      <w:r>
        <w:rPr>
          <w:rFonts w:ascii="Calibri" w:cs="Calibri" w:eastAsia="Calibri" w:hAnsi="Calibri"/>
          <w:i/>
          <w:iCs/>
          <w:color w:val="22201D"/>
          <w:sz w:val="21"/>
          <w:szCs w:val="21"/>
        </w:rPr>
        <w:t xml:space="preserve">nuevo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sirve cualquier plan, estrategia u ordenanza ya aprobada que fije esa política. Si no existe ninguna, caben la reanclaje por vía funcional con datos del servicio, la aprobación del Anexo V por resolución del órgano competente, o posponer esa única cláusula y aplicar el resto. Lo que no cabe es rellenar la ficha con una frase genérica: eso es justificación estereotipada. El desarrollo está en la Parte IV, §M1.2 bis.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Ruta rápida por perfil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Concejalía y órgano de contratación: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2 a 8,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Quien redacta pliegos, asesoría jurídica o secretaría: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 a 13 y 16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Control interno: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3, 5 a 8, 12,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Servicios técnicos y TI: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5, 8 a 16, 18 y 19.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Fuentes completas: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autoría y condiciones de uso; Parte 0, apertura y §§0.1–0.3; Parte IV, §M11; README, «Estado de este documento».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problema: el contrato dura más que la tecnología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ayuntamiento contrata un sistema de contabilidad, padrón, tributos, patrimonio o atención ciudadana por varios años. El día de la firma puede estar actualizado. Durante la ejecución aparecen capacidades que no existían o no podían describirse al redactar el pliego. Si el contrato no las prevé de forma exigible, quedan tres salidas: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Pagar dos veces: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contratar aparte la modernización de lo ya adquirido.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Aguantar: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prestar el servicio con una herramienta que envejece durante el contrato.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Quedar cautivo: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cambiar de proveedor porque migrar datos, configuraciones y desarrollos resulta demasiado costoso.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Pedir simplemente que la solución «se mantenga actualizada» no resuelve nada. La empresa no puede poner precio a una obligación cuyo contenido futuro desconoce; el Ayuntamiento no puede comprobarla con un criterio objetivo; y una obligación indeterminada no se vuelve válida por añadirle una penalidad.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respuesta del catálogo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vez de comprar una evolución futura indefinida, el pliego compra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capacidades concretas, fechadas, presupuestables y verificables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Cada capacidad tiene plazo, criterio de aceptación, medio de acreditación, actor municipal que la comprueba y consecuencia tasada si se incumple. El Anexo V se revisa para las licitaciones siguientes, pero la versión incorporada a un contrato permanece invariable durante toda su vigencia.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segunda mitad de la solución no habla de IA, sino de competencia: titularidad de los datos y desarrollos específicos, interoperabilidad, inventario de componentes, reversibilidad, acceso de los órganos de control y salida ordenada. El objetivo es que la licitación siguiente no esté decidida de hecho por la dependencia del proveedor anterior.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decisión municipal no es «adoptar todas las cláusulas». Es construir un circuito que permita incorporar sólo las necesarias y dejar fuera las demás.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resumen en dos páginas; Parte 0, §0.2; Parte IV, §§M1.1 y M3; Parte I, §7.4.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es, qué no es y qué puede prometer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Es un catálogo de aplicación motivada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cláusula entrega siete piezas en el mismo orden: texto para el pliego; ubicación; necesidad y fundamento; acreditación; verificación; consecuencia; y supuestos en los que no se aplica. El expediente toma únicamente las piezas que su necesidad concreta justifica.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No es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norma: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obliga por figurar en este documento.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pliego ni un pliego-tipo: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decisión y la adaptación pertenecen a cada expediente.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instrucción transversal: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ninguna cláusula entra «por si acaso» o porque la llevara el contrato anterior.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La memoria justificativa del contrato: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motivación debe escribirse en el expediente antes de publicar; no puede completarse cuando llega un recurso.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contrato de resultados tecnológicos: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garantiza la evolución del mercado ni promete incorporar cualquier novedad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sí está diseñado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exigencia debe tener un origen de necesidad identificado; un único instrumento contractual; prueba y verificación con actor y periodicidad; consecuencia tasada; y dependencias conocidas. Si una pieza cae, las demás se conservan salvo que aquélla sea presupuesto necesario de otra.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no se promete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promete que ningún tribunal pueda anular un pliego. A la fecha de corte no consta doctrina específica sobre varias de estas figuras. El primer recurso sobre ellas creará precedente. La defensa reside en la motivación y en el expediente, no en una garantía editorial.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puede publicarse para el debate, pero no debe aplicarse mientras sigan pendientes el acuerdo institucional, la consulta preliminar del mercado y las declaraciones de conflicto de interés. Publicar no es aplicar.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§§0.1 y 0.3; Parte I, §§1.2–1.4 y 7.8; Parte IV, §§M8 y M11;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Primera decisión: ¿este contrato admite el catálogo?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Use este recorrido antes de abrir una ficha.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sistema de información municipal o tratamiento de información municipal?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no lo hay, el catálogo no se aplica. En obras y concesiones sólo alcanza al componente de sistemas de información.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pliegos propios?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el Ayuntamiento licita con pliegos propios —el caso ordinario—,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catálogo entra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En un contrato menor no hay documento contractual donde incorporar condiciones especiales, penalidades u obligaciones esenciales, pero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sí es exigible la lista cerrada de exigencias normativas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 la Parte V, §V.7.1: lo que la ley ya impone se pide igual.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contrato basado en acuerdo marco o una adhesión a una central?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También caben aquí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dentro del margen que el instrumento de origen deje: elegir entre las opciones que el catálogo del acuerdo marco ya ofrezca; usar los extremos que expresamente reserve a la fase de contrato basado —incluida la nueva licitación entre adjudicatarios, cuando esté prevista—; y trasladar por escrito la necesidad al órgano titular del acuerdo marco para la siguiente licitación. Lo único vedado es añadir obligaciones que el instrumento de origen no permita.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una prórroga?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prórroga continúa el contrato en las mismas condiciones. No introduce un Anexo V posterior ni obligaciones nuevas. Sí debe comprobarse lo ya exigible y preparar con tiempo la contratación sucesora.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procedimiento con pliego propio y componente tecnológico?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Puede iniciarse la selección motivada, sin que el tipo o la cuantía activen por sí solos ninguna cláusula.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 común cuando la respuesta es «ahora no»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se documenta aunque el instrumento no permita atenderla. Un informe breve que identifique la necesidad, explique la limitación y la traslade a la contratación siguiente permite justificar la decisión presente y preparar la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prohibido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fracciona un objeto para llevarlo a contrato menor; no se añaden obligaciones nuevas a una prórroga; y no se convierte una aceptación informal del proveedor en obligación contractual. Lo que no está en el instrumento aplicable no es exigible ni penalizable.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§§2.1–2.4; Parte 0, §0.6; Parte V, §V.7; Anexo XXIV.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 la necesidad a una cláusula defendible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no nace de marcar una casilla. Primero se identifica y documenta; después la Ficha de Aplicabilidad la traduce en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orígenes, sin una cuarta vía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Origen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Cuándo existe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Quién lo acredita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 · Normativo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Una norma impone un deber municipal que requiere colaboración del contratista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Servicio competente por la materia, con cita del precepto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F ·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 servicio gestor necesita la capacidad para prestar su servicio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Gestor del contrato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I · Institucional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No la impone una norma ni la pide el gestor; deriva de una política municipal aprobada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Acuerdo del órgano de gobierno e informe del servicio promotor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institucional no se sostiene con una frase genérica sobre transformación digital. Requiere un acto aprobado, publicado, fechado y aplicable al contrato. Sin él, la exigencia se marca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test del expediente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Para cada exigencia, la memoria debe mostrar una relación con el objeto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directa, clara y proporcional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La Ficha del Anexo II recoge seis extremos: necesidad; norma o acuerdo de origen; proporcionalidad; puesto que verifica; momento o periodicidad; y documento que deja evidencia. Una casilla vacía invalida la selección.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firma cambia según el origen. Una persona no puede declarar por sí sola necesidades normativas, funcionales e institucionales. Tampoco basta remitir a este catálogo: el catálogo explica; la memoria del contrato motiva.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Orden de trabajo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Informe de necesidad → origen y firma → Ficha de Aplicabilidad → memoria justificativa → pliegos.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Invertirlo produce una motivación construida hacia atrás y reconocible como texto estereotipado.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§§3.1–3.8; Parte V, §§V.2.2 y V.4.1–V.4.4; Anexos II, III y 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que debe existir antes de abrir expedientes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separa la gobernanza anual del trabajo de cada contrato. La primera evita que todos los expedientes repitan el mismo análisis y que una ambición tecnológica sin respaldo se disfrace de necesidad.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Ciclo anual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plan y el catálogo.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órgano de gobierno identifica objetivos, responsables y periodo de vigencia. El Anexo VIII ofrece el modelo de acuerdo.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Contrastar el mercado.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consulta preliminar se anuncia y documenta conforme al artículo 115 LCSP. No legitima especificaciones dirigidas y sus conclusiones no pueden dar ventaja a quienes participaron.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Anexo V del ejercicio.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entran capacidades concretas que el contraste permita formular con plazo y criterio de aceptación. El valor recomendado es que puedan cumplirlas al menos tres operadores; si hay menos, se aplazan.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Declarar conflictos y participación previa.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Cada interviniente firma su declaración antes de aprobar. Las medidas para evitar distorsiones se documentan y publican cuando proceda.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Revisar vigencia y parámetros.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actualizan calendario normativo, umbrales, equivalencias, valores recomendados y registro de versiones.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condiciones pendientes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 1 de septiembre de 2026 siguen pendientes: el acuerdo del órgano de gobierno; la consulta preliminar y el contraste documentado del Anexo V; y las declaraciones de conflicto de interés firmadas. Mientras falten, el catálogo puede difundirse y debatirse, pero sus cláusulas no deben incorporarse a un expediente.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revisión anual no cambia contratos vivos. Cada PPT transcribe físicamente la versión del Anexo V que le corresponde; esa versión queda cerrada durante el contrato y sus prórrogas.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§0.4, paso previo; Parte IV, §§M3, M7 y M11; Parte V, §V.8; Anexos VIII, IX, XI, XV y XXII.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circuito: 20 pasos y 21 documentos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expediente tiene tres tramos. Los pasos de un tramo pueden solaparse; los tramos no.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Tramo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Pasos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Resultado principal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 · Qué se necesita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A‑1 a A‑6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Necesidad, consulta de reutilización, ficha, categorización ENS, consulta de mercado y, si procede, conformidad del servicio verificador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B · Cómo se contrata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B‑1 a B‑8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Valor estimado, procedimiento, lotes, medios, criterios, conflictos, PPT, PCAP y memoria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C · Validación y publicación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C‑1 a C‑6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Informe jurídico, crédito, fiscalización, aprobación, anuncio y carpeta de defensa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Son veinte pasos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veintiún documentos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porque B‑7 produce dos pliegos. Dieciocho documentos los exige la normativa con independencia del catálogo. Éste añade tres: Ficha de Aplicabilidad, conformidad del servicio verificador cuando se supera el umbral de carga y carpeta de defensa.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Reglas que mantienen unido el expediente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Primero se redacta la necesidad y después se seleccionan cláusulas.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lo prepara el área gestora y el PCAP contratación; se designa una persona responsable de su coherencia.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SÍ aparece una vez y en el pliego correcto.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NO APLICA desaparece también de penalidades, esenciales, criterios, declaraciones y anexos relacionados.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carpeta de defensa se cierra antes de publicar. Si llega un recurso especial, el expediente y el informe del artículo 56.2 LCSP deben remitirse en dos días hábiles.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Los documentos que nacen públicos se redactan pensando en el párrafo que citará quien recurra.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V, §§V.1–V.3, especialmente V.2.1; Parte 0, §§0.4 y 0.5;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seleccionar las cláusulas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cuadro de intensidad ofrece un punto de partida; nunca sustituye a la Ficha de Aplicabilidad.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niveles orientativos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 · Mínimo: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obligaciones impuestas por norma y las que respondan al objeto. El contrato menor queda fuera del cuadro porque no tiene pliegos.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B · Estándar: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con sistema de información municipal, con equivalencia, interoperabilidad, seguridad, reversibilidad, seguimiento, penalidades, propiedad y acceso de control según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 · Reforzado: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armonizados, sistemas ENS MEDIA o ALTA o servicios especialmente críticos. Añade instrumentos de evolución, baremo reforzado e interfaz, siempre bajo sus condiciones propias.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DT‑2 y DT‑3 son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 por defecto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ADM‑9, ADM‑11 y ADM‑14 sólo entran si cumplen sus umbrales y presupuestos específicos. Subir de nivel se motiva; bajar no requiere justificar por qué se renuncia a una carga que el catálogo no impone.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Secuencia de selección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las necesidades ya escritas.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Asignar a cada una un único instrumento mediante el Anexo I.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Aplicar el nivel como orientación y comprobar las condiciones particulares.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Rellenar las seis casillas del Anexo II y estimar la carga por puesto.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Confirmar que el Ayuntamiento puede verificar lo elegido. A partir de 20 horas anuales se revisa o agrupa la carga; por encima de 40 se exige conformidad expresa del servicio verificador.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 para retirar todas las menciones dependientes de lo descartado.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Resultado correcto no significa «más cláusulas». Cuatro obligaciones comprobadas valen más que doce declaradas y toleradas. Si no hay actor, periodicidad o documento, la cláusula no entra.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§§1.3, 2.2 y 7.9; Parte V, §V.4.4; Anexos I, II y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de cláusulas técnicas: PPT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dice qué debe hacer la solución; el texto que obliga está en la Parte II.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Equivalencia y acreditación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Siempre que se cite producto, norma, red, protocolo o metodología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IA, IA generativa y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la solución incorpora o incorporará IA; calendario vigente en Anexo XIX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Evidencias e identidad verificable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necesidad expresa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Criptoagilidad poscuántica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riesgo y conservación lo justifican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Automatización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y numerada de procesos; mínimos no puntúan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Interoperabilidad y soberanía del dato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estándar; servicios comunes obligatorios no admiten equivalente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ENS y protección desde el diseño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Categoría resultante del análisis, nunca elegida de antemano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Interfaz para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reforzado y necesidad motivada; formulación funcional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Reversibilidad e inventario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Sistema municipal con datos o dependencia de salida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Exigencias del ejercicio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Anexo V transcrito, fechado y cerrado para el contrato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Todas siguen siete epígrafes. Una DT no impone por sí sola penalidades: el hecho debe figurar en ADM‑5. Al descartarla se ejecuta el Anexo VI. DT‑0 permanece si quedan referencias técnicas; excluir DT‑6 en un contrato con sistema de información exige motivación compatible con el artículo 2.3 del RD 311/2022.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§0.0, «Índice de las cláusulas»; Parte II, §§II.0–II.14; Anexos I, VI, XIX, XXI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I: ADM‑1 a ADM‑7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PCAP fija instrumentos, consecuencias y reglas de valoración.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Solvencia, medios y gobernanza de 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Elegir modalidad según objeto; no puntuar lo exigido como solvencia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Evolución tecnológica determinada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DT‑9 y Anexo V; nunca «lo necesario o conveniente»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Plazos y bolsa de servicios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Bolsa sólo en desarrollo o mantenimiento de aplicaciones, con precios unitarios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Responsable, comisión y seguimiento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Actor, periodicidad, acta y carga dimensionada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Penalidades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de hechos verificables; borrar filas de cláusulas no aplicadas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Esenciales y resolución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tasada; bloque legal sólo cuando concurre su presupuesto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Criterios de adjudicación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Baremo entero, precio incluido; mínimo obligatorio no puntúa</w:t>
            </w:r>
          </w:p>
        </w:tc>
      </w:tr>
    </w:tbl>
    <w:p>
      <w:pPr>
        <w:pStyle w:val="GuideTight"/>
      </w:pP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fronteras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Solvencia no es valoración.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capacidad mínima para licitar no recibe puntos.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Penalidad no es resolución.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ADM‑5 gradúa incumplimientos; ADM‑6 reserva la resolución a obligaciones enumeradas y exige ponderar sus efectos.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Plan no es ampliación.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Ordena hitos ya contratados; no añade prestaciones ajenas al Anexo V.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condición especial de ejecución incorporada debe aparecer una por una en el anuncio de licitación, además de en el PCAP. La omisión no se arregla después y puede afectar a la esencialidad declarada.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§§III.1–III.7; Parte I, §§7.3–7.6; Parte IV, §§M5 y M10.1; Anexos I, IV y XVII.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II: ADM‑8 a ADM‑14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Propiedad intelectual y licencia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Separa producto base, terceros y desarrollos municipales; dimensionar el uso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Demostración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Medio de comprobación, no criterio; recomendada desde 200.000 €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Plan Anual de Evolución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existe DT‑9 y Anexo V; no amplía el objeto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Depósito de código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 salvo cuatro circunstancias acumulativas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Acceso de órganos de control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adjudicatario opera el sistema o sus datos de ejecución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 sobre información municipal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contratista trata información municipal no pública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Modificación prevista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0 %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red de seguridad, nunca evolución ordinaria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ADM‑11 exige a la vez: disponibilidad ALTA, valor estimado superior a 300.000 €, servicio de su lista y ausencia acreditada de alternativa sustituible en menos de seis meses. Falta una, se marca NO APLICA.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ADM‑9 separa dos comprobaciones. La sesión, anterior al sobre de fórmulas, sólo confirma o retira D. C1, A y H se comprueban documentalmente para todas las ofertas admitidas antes de clasificarlas. Ninguna prueba añade puntos ni completa la oferta.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cero. Si entra, se formula con precisión y computa en el valor estimado: límite legal 20 % del precio inicial; recomendación 10 %. No sustituye una nueva licitación.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§§III.8–III.14 y cuadro de cierre; Parte IV, §§M5–M6; Anexos X, XIV,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Construir el baremo y comprobar las ofertas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baremo tecnológico es un bloque dentro del baremo del contrato. Debe sumar con el precio y con los criterios de la prestación principal hasta 100 puntos.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controles antes de publicar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mínimo no puntúa.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se valora el exceso sobre el PPT: más cobertura, mejor nivel de servicio, funciones o procesos adicionales, o un plazo inferior al máximo.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contenido, un instrumento.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Nada aparece a la vez como prescripción, solvencia, criterio y condición especial sobre el mismo nivel de exigencia.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Fórmula y juicio de valor viajan separados.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valora primero el juicio de valor y después se abre el sobre de fórmulas.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procedimiento admite el reparto.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el abierto simplificado, el juicio de valor no supera el 25 % con carácter general ni el 45 % en prestaciones intelectuales. Si la prestación es intelectual, los criterios cualitativos alcanzan al menos el 51 %.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Anexo IV revisa el baremo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no sólo el bloque de 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criterios que exigen cuidado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C1: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requisitos valorables del bloque B del Apéndice técnico 0.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Cmín = 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Ctecho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es el número de filas publicadas. Si el bloque está vacío, C1 se elimina.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funciones adicionales del bloque B del apéndice de interfaz, nunca las mínimas.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H: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procesos adicionales de la lista cerrada, no los mínimos de DT‑4.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valora lo descrito en la memoria técnica mediante rúbrica. La demostración sólo comprueba su exactitud.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de ADM‑9 no acredita solvencia ni excluye por sí sola. Lo declarado y no demostrado pierde los puntos correspondientes; lo mostrado pero no declarado no suma. C1, A y H conservan siempre su medio documental respecto de todas las ofertas admitidas.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ADM‑7 y ADM‑9; Parte I, §§7.3 y 7.8; Anexos IV, XVII, XX y XXV; Parte VI, §§VI.4.6 y VI.5.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Comprar evolución sin comprar incertidumbre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pieza central es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Anexo V del ejercicio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una relación de capacidades concretas, con plazo y criterio de aceptación. Se contrasta con el mercado, se aprueba para un periodo y se recorta al objeto de cada licitación.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entra en un contrato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Se transcribe físicamente dentro del PPT, con versión, fecha y órgano aprobante. Una remisión a un documento municipal revisable dejaría el objeto abierto.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versión transcrita permanece invariable durante el contrato y sus prórrogas. La revisión anual sólo rige licitaciones posteriores.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ADM‑2 convierte esas capacidades en compromiso de ejecución. Fuera de esa lista no existe evolución exigible al amparo del catálogo.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ADM‑10 ordena el seguimiento mediante un plan anual, pero sólo puede calendarizar obligaciones ya contratadas.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bolsa de servicios evolutivos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ADM‑3 ofrece una vía flexible para contratos de desarrollo o mantenimiento de aplicaciones. El objeto se descompone en unidades de actividad con precios unitarios ofertados en el Anexo X.3. Valor recomendado: 5 % del presupuesto base de la duración inicial, sin IVA; techo interno: 10 %.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horas no consumidas no se pagan. Cada petición la cursa el responsable del contrato con alcance, unidades, plazo, entregable y aceptación; nunca mediante dirección del personal del proveedor. La bolsa forma parte del presupuesto base y computa en el valor estimado.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última red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0 %. Sólo se incorpora cuando existe una necesidad identificada que el catálogo y la bolsa no cubren, hay precios unitarios y el expediente asume su coste y el efecto sobre los umbrales. No sirve para recuperar una obligación que se dejó indeterminada.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DT‑9; ADM‑2, ADM‑3, ADM‑10 y ADM‑14; Parte I, §7.4; Parte IV, §M6.5; Parte V, §V.8.5; Anexos V, X.3, XIV y 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Datos, propiedad, salida y acceso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dependencia del proveedor se evita antes de contratar. El pliego debe separar qué pertenece al Ayuntamiento, qué licencia recibe y qué conserva el fabricante.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capas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Datos y exportación.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exige interoperabilidad, documentación de interfaces y exportación en formato abierto. Los servicios comunes de uso obligatorio no se sustituyen por equivalentes privados.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Producto base.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ADM‑8 no convierte una licencia o suscripción estándar en propiedad municipal. La licencia se dimensiona por módulos, usuarios, instalaciones, territorio, plazo y entorno realmente contratados, incluida la reversión. Una transferencia del producto base requiere pacto expreso con quien pueda concederla.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Desarrollos específicos.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Código, configuraciones, parametrizaciones, lógica de negocio y documentación creados específicamente para el Ayuntamiento se delimitan con modalidades, territorio y plazo. La reutilización pública alcanza sólo a elementos de titularidad municipal.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Terceros.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adjudicatario no puede ceder derechos que no tiene. Debe mantener para el ámbito municipal las licencias de componentes de terceros necesarias durante la vigencia y la salida.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Reversibilidad comprobada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DT‑8 exige Inventario de Componentes, Plan y Dossier de Reversibilidad, entregas fechadas, exportación y ensayo real. La garantía empieza con el acta de reversión o con el vencimiento del plazo para levantarla, no con una fecha indeterminada.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ADM‑12 garantiza al control interno accesos incluidos en el precio —valor recomendado: tres—, diccionario de datos y exportación abierta. El acceso se mantiene durante prórrogas y, como referencia, tres meses tras la extinción o hasta el acta de reversión, lo que ocurra después.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depósito de código de ADM‑11 sólo entra bajo sus cuatro condiciones acumulativas; no reemplaza la reversibilidad ordinaria.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y DT‑8; ADM‑8, ADM‑11 y ADM‑12; Parte IV, §M5.4; Anexos X y XVIII.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IA, automatización y seguridad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Sistemas de IA y responsabilidad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DT‑1 obliga a inventariar y clasificar los sistemas, respetar prácticas prohibidas, aportar medios para la supervisión humana y aceptar cada funcionalidad antes de producción. El Ayuntamiento sigue siendo responsable del despliegue cuando así lo establece el Reglamento: el proveedor aporta instrucciones, registros, información técnica, suspensión y formación, pero no absorbe obligaciones indelegables.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decisiones con efecto jurídico o equivalente no se ejecutan únicamente de forma automatizada salvo habilitación aplicable. Cuando exista actuación administrativa automatizada, se identifican los órganos responsables y se facilita auditoría de los componentes desarrollados específicamente para el Ayuntamiento.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Automatización concreta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DT‑4 trabaja sobre una lista cerrada y numerada de procesos. Los mínimos son prescripciones y no puntúan; sólo los procesos adicionales de esa misma lista pueden alimentar el criterio H. «Avanzado» o «hiperautomatizado» no describen una obligación comprobable.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Seguridad determinada, no elegida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DT‑6 exige la categoría ENS que resulte del análisis conforme al RD 311/2022. BÁSICA se acredita mediante declaración basada en autoevaluación; MEDIA y ALTA, mediante certificación. Escribir «Nivel Alto» antes de analizar y motivar reproduce el defecto tratado en la Resolución 383/2024 del TACP Madrid.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Información municipal y herramientas externas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ADM‑13 distingue tres niveles: información municipal restringida, que sólo entra en sistemas autorizados y constituye obligación esencial; artefactos técnicos sin contenido restringido, sujetos a condiciones acreditables; e información propia del contratista, que queda fuera. El Anexo XVI aporta la política municipal recíproca.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DT‑7 define la interfaz por lo que debe hacer, no por un protocolo o fabricante. Su incorporación exige necesidad motivada y límites de operación, trazabilidad y suspensión.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DT‑1, DT‑4, DT‑6 y DT‑7; ADM‑13; Anexos XI, XVI, XIX y XXI.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Copiar al PPT y al PCAP sin romper el sistema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frontera física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catálogo, sólo el contenido situado entre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:::pliego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su cierre es texto contractual. Lo exterior explica, justifica o guía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debe acabar en un 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Los modelos de documentos del expediente usan otra marca: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INICIO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FIN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va a cada documento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PPT: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DT‑0 a DT‑9, referencias técnicas no normativas, definiciones aplicables y extracto vigente del Anexo XIX.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PCAP: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ADM‑1 a ADM‑14, baremo, consecuencias y el bloque obligatorio de interpretación e integración del §7.10.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Expediente: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necesidad, fichas, memoria, categorización, cálculo, declaraciones e informes. No se copian como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operaciones obligatorias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Copiar sólo la cláusula marcada SÍ y sustituir cada corchete. Todo parámetro lleva valor recomendado, pero la decisión es del órgano de contratación.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Mantener el código con versión: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DT‑7·v3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ADM‑2·v3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recortado, no incorporarlo por enlace o remisión variable.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VI: al borrar una cláusula se eliminan también penalidades, esenciales, criterios, declaración responsable y anexos que dependan de ella.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Componer los apéndices conforme al Anexo XXV: matriz funcional para C1; lista de procesos; e interfaz y exigencias del ejercicio en la sede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Antes del informe jurídico, una persona responsable de la coherencia PPT‑PCAP confirma que cada obligación tiene consecuencia correcta, que no queda ninguna penalidad sin obligación y que no se valora un mínimo técnico.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§7.10; Parte II, §II.0; Parte III, «Cómo se lee esta parte»; Parte V, §§V.1.1 y V.2.3; Anexos VI, X, XIX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Coste, capacidad y puertas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genera coste real: interfaz, entorno de pruebas, reversibilidad, bolsa, posible depósito y horas municipales. Las cifras orientativas sirven para dimensionar, no para fijar el presupuesto de un expediente; éste obtiene precios propios y desglosa el PBL conforme al artículo 100.2 LCSP.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que debe asumirse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preparación se estima en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21,5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primera vez y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10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expedientes siguientes del mismo tipo. La consulta de mercado y la revisión del Anexo V son tareas anuales separadas. Durante la ejecución, cada cláusula tiene actor, momento y documento. Si la carga supera 20 horas anuales se revisa la intensidad; por encima de 40 se necesita conformidad expresa del servicio verificador.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mirada del control interno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Crédito suficiente para todos los conceptos incorporados.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Estabilidad presupuestaria, sostenibilidad y compromisos plurianuales.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Valor estimado con prórrogas, bolsa y modificaciones.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Consulta al directorio general de aplicaciones cuando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Bolsa con precios unitarios, sin pago de horas no consumidas ni dirección de personal.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Actor y periodicidad para toda obligación esencial.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Acceso de control dimensionado e incluido en el precio.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Motivos para detener la elevación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eleva si falta motivación propia; la categoría ENS está elegida sin análisis; una exigencia carece de contraste cuando lo necesita; se duplica como dos instrumentos; no hay verificador; una condición especial falta en el anuncio; quedan menciones de una cláusula descartada; los umbrales están caducados; faltan declaraciones de conflicto; o la carpeta de defensa no está cerrada.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regla no es «justificar más» una carga inasumible. Es reducir el número de cláusulas hasta lo que pueda ejecutarse y comprobarse.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ADM‑4, epígrafe 5; Parte IV, §§M6 y M10; Parte V, §§V.6, V.9 y V.10; Anexo 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piloto: cómo elegirlo y por dónde empezar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Parte VI responde a la tercera dificultad del §M1.1: que el grado de abstracción es demasiado alto mientras no se vea el catálogo funcionando sobre un caso. Lo hace en dos piezas: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método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para elegir el contrato piloto, aplicable por cualquier administración, y un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ejemplo completo trabajado sobre un expediente simulado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—municipio, objeto, cifras y fechas construidos para el ejemplo, que no corresponden a ninguna licitación real, en curso ni en preparación—.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contrato sirve de piloto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Cinco condiciones, y si falla alguna conviene esperar al siguiente: hay un usuario del dato distinto del gestor con obligación legal propia de controlarlo; la prestación produce dato estructurado y verificable; el objeto no es crítico en disponibilidad; existe mercado plural para ese objeto; y está en preparación, no en licitación. Lo desaconsejan los contratos menores, los basados en acuerdo marco, las adhesiones a central de compra y las prórrogas.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subconjunto mínimo: seis cláusulas, no veinticuatro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primer expediente no incorpora el catálogo entero. Incorpora seis cláusulas que se sostienen solas y producen resultado verificable en el primer año: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ADM‑12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(acceso de los órganos de control al dato: empezar dando, no pidiendo),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(equivalencia y prueba: quita barreras, no las pone),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DT‑6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(ENS en la categoría que corresponda: obligación ya existente, bien redactada),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ADM‑8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(propiedad intelectual y licencia mínima: lo que no se pone no se recupera),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ADM‑2 con su Anexo 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(el núcleo, y sólo si el Anexo V está aprobado y publicado antes)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ADM‑5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lo que corresponda a las anteriores. Todo lo demás espera al informe de evaluación.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Decisiones previas del ejemplo trabajado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si el borrador está sin aprobar, aprobado pero no anunciado, o ya publicado. Cada situación tiene un cauce distinto de rectificación.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Calificar la prestación principal. El catálogo recomienda, para el perfil descrito, servicios con licencias o suscripción accesorias, pero la decisión debe motivarse con los datos reales.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once necesidades y su origen normativo, funcional o institucional.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la categoría ENS. La propuesta del caso es MEDIA, elevable sólo si el análisis firmado sitúa integridad o trazabilidad en ALTA.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 a los módulos alcanzados y a funciones concretas de interfaz.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Resultado de la ficha trabajada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 24 cláusulas,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 se aplican sin condición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 quedan condicionadas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al acuerdo del órgano de gobierno —DT‑7, DT‑9 y, con ellas, ADM‑2—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4 se marcan 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DT‑2, DT‑3, ADM‑11 y ADM‑14.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interfaz para agentes no se presenta como necesidad normativa ni pedida por el gestor. Es institucional y cae si no existe el acuerdo previo. ADM‑11 queda fuera porque la disponibilidad propuesta es MEDIA y sus cuatro condiciones son acumulativas. ADM‑14 queda fuera porque el Anexo V y la bolsa ya cubren la evolución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ejemplo enseña el orden de decisiones; sus conclusiones concretas no son una plantilla para otro contrato, y sus cifras no son un dato.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§§VI.1–VI.4.5; Anexos II, V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Piloto: baremo, prueba y aprendizaje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Baremo de 100 puntos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Bloque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Criterios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Puntos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Precio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 y precio unitario F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Calidad por fórmula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C1, C3, A, B y H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31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Juicio de valor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C2, C4, D y 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Total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/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100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variante abierta tiene 76 % automático y 24 % sujeto a juicio de valor. Los criterios de calidad suman 55 puntos. Nada puntúa por estar disponible el día de la oferta: C1 y A valoran compromisos dentro del plazo; B tiene suelo recomendado de seis meses.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funcional verifica sólo D, antes de abrir fórmulas. C1, A y H se comprueban documentalmente para todas las ofertas admitidas antes de clasificarlas. La sesión no añade puntos, no completa la oferta y no excluye por sí sola.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y realidad operativa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caso trabajado, la licitación requiere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33 y 53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municipales. La ejecución exige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177,5 y 217,5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primer año y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117,5 y 141,5 horas/año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después. Al superar 40 horas, la conformidad expresa del servicio verificador es obligatoria.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Rectificar y aprender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tabla VI.6 sirve a cualquier administración con pliegos ya redactados con la versión 2: identifica defectos P1 que se corrigen conjuntamente antes de aprobar, o por el cauce de rectificación que corresponda. No son una fe de erratas.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piloto se evalúa con dos informes: a los seis meses de publicar, concurrencia, consultas, recursos, exclusiones y tiempo de tramitación; a los doce meses de formalizar, cumplimiento, pruebas, incidencias, horas reales y uso del acceso de control. El resultado ajusta catálogo, Anexo V y parámetros.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§§VI.4.6–VI.4.10 y VI.5–VI.8; Anexos IV, XVII,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Los 25 anexos: caja de herramientas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decidir y motivar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Cuadro Maestro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de Aplicabilidad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Informe de necesidad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por criterio y comprobación del baremo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Acuerdo del órgano de gobierno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Conflicto de interés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Consulta preliminar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Prestaciones intelectuales.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redactar la licitación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Exigencias del ejercicio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Declaración del licitador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Plan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Fórmulas y ofertas anormales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transcribible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Demostración funcional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Apéndices técnicos.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verificar y gobernar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Dependencias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Parámetros, umbrales y precios unitarios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normativa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Aprobación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Actas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Certificaciones y equivalencias.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entender, adaptar y migrar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Correspondencia v2→v3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Glosario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Política municipal de IA generativa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formalizados con v2.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Siguiente acción para un expediente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Escriba el informe de necesidad sin abrir aún el catálogo de cláusulas.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Rellene el Anexo II y marque NO APLICA donde no haya origen, proporcionalidad o verificación.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Redacte PPT y PCAP copiando sólo los bloques de pliego y ejecute dependencias.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Complete coste, baremo, declaraciones y carpeta de defensa.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Pase íntegramente la lista V.10 antes del informe jurídico y la fiscalización.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documento completo es la fuente jurídica y técnica. Esta guía explica cómo navegarlo; no sustituye sus cláusulas, sus anexos ni los informes preceptivos. Se publica bajo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CC BY 4.0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con cita de autoría y sin garantía. Antes de reutilizarlo, compruebe versión, fecha de corte, umbrales y estado de las tres condiciones de aplicación.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§0.0; Parte V, §§V.8–V.10; Parte VII, Anexos I–XXV; autoría y condiciones de uso.</w:t>
      </w:r>
    </w:p>
    <w:sectPr>
      <w:headerReference w:type="default" r:id="rId7"/>
      <w:footerReference w:type="default" r:id="rId8"/>
      <w:pgSz w:w="11906" w:h="16838" w:orient="portrait"/>
      <w:pgMar w:top="900" w:right="900" w:bottom="900" w:left="90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Página </w:t>
    </w:r>
    <w:r>
      <w:rPr>
        <w:rFonts w:ascii="Calibri" w:cs="Calibri" w:eastAsia="Calibri" w:hAnsi="Calibri"/>
        <w:color w:val="5D657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D6573"/>
        <w:sz w:val="15"/>
        <w:szCs w:val="15"/>
      </w:rPr>
      <w:t xml:space="preserve"> de 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8" w:sz="4" w:space="3"/>
      </w:pBdr>
      <w:spacing w:after="80"/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AI Clauses · Guía municipal de decisión y aplicación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4"/>
    <w:lvlOverride w:ilvl="0">
      <w:startOverride w:val="1"/>
    </w:lvlOverride>
  </w:num>
  <w:num w:numId="7">
    <w:abstractNumId w:val="16"/>
    <w:lvlOverride w:ilvl="0">
      <w:startOverride w:val="1"/>
    </w:lvlOverride>
  </w:num>
  <w:num w:numId="8">
    <w:abstractNumId w:val="18"/>
    <w:lvlOverride w:ilvl="0">
      <w:startOverride w:val="1"/>
    </w:lvlOverride>
  </w:num>
  <w:num w:numId="9">
    <w:abstractNumId w:val="2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D"/>
        <w:sz w:val="20"/>
        <w:szCs w:val="20"/>
      </w:rPr>
    </w:rPrDefault>
    <w:pPrDefault>
      <w:pPr>
        <w:spacing w:after="80" w:line="259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GuideTitle">
    <w:name w:val="Guide Title"/>
    <w:basedOn w:val="Normal"/>
    <w:next w:val="GuideCoverText"/>
    <w:pPr>
      <w:keepNext/>
      <w:spacing w:after="260" w:before="500" w:line="250"/>
      <w:jc w:val="left"/>
    </w:pPr>
    <w:rPr>
      <w:rFonts w:ascii="Georgia" w:cs="Georgia" w:eastAsia="Georgia" w:hAnsi="Georgia"/>
      <w:b/>
      <w:bCs/>
      <w:color w:val="1F3864"/>
      <w:sz w:val="52"/>
      <w:szCs w:val="52"/>
    </w:rPr>
  </w:style>
  <w:style w:type="paragraph" w:styleId="GuideH1">
    <w:name w:val="Guide Heading 1"/>
    <w:basedOn w:val="Normal"/>
    <w:next w:val="GuideBody"/>
    <w:pPr>
      <w:keepNext/>
      <w:spacing w:after="150" w:before="80" w:line="240"/>
      <w:outlineLvl w:val="0"/>
    </w:pPr>
    <w:rPr>
      <w:rFonts w:ascii="Georgia" w:cs="Georgia" w:eastAsia="Georgia" w:hAnsi="Georgia"/>
      <w:b/>
      <w:bCs/>
      <w:color w:val="1F3864"/>
      <w:sz w:val="34"/>
      <w:szCs w:val="34"/>
    </w:rPr>
  </w:style>
  <w:style w:type="paragraph" w:styleId="GuideH2">
    <w:name w:val="Guide Heading 2"/>
    <w:basedOn w:val="Normal"/>
    <w:next w:val="GuideBody"/>
    <w:pPr>
      <w:keepNext/>
      <w:spacing w:after="70" w:before="130" w:line="240"/>
      <w:outlineLvl w:val="1"/>
    </w:pPr>
    <w:rPr>
      <w:rFonts w:ascii="Calibri" w:cs="Calibri" w:eastAsia="Calibri" w:hAnsi="Calibri"/>
      <w:b/>
      <w:bCs/>
      <w:color w:val="2F5597"/>
      <w:sz w:val="23"/>
      <w:szCs w:val="23"/>
    </w:rPr>
  </w:style>
  <w:style w:type="paragraph" w:styleId="GuideBody">
    <w:name w:val="Guide Body"/>
    <w:basedOn w:val="Normal"/>
    <w:next w:val="GuideBody"/>
    <w:pPr>
      <w:spacing w:after="80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CoverText">
    <w:name w:val="Guide Cover Text"/>
    <w:basedOn w:val="GuideBody"/>
    <w:next w:val="GuideCoverText"/>
    <w:pPr>
      <w:spacing w:after="105" w:before="0" w:line="268"/>
    </w:pPr>
    <w:rPr>
      <w:rFonts w:ascii="Calibri" w:cs="Calibri" w:eastAsia="Calibri" w:hAnsi="Calibri"/>
      <w:color w:val="22201D"/>
      <w:sz w:val="21"/>
      <w:szCs w:val="21"/>
    </w:rPr>
  </w:style>
  <w:style w:type="paragraph" w:styleId="GuideList">
    <w:name w:val="Guide List"/>
    <w:basedOn w:val="GuideBody"/>
    <w:next w:val="GuideList"/>
    <w:pPr>
      <w:spacing w:after="65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Quote">
    <w:name w:val="Guide Quote"/>
    <w:basedOn w:val="GuideBody"/>
    <w:next w:val="GuideBody"/>
    <w:pPr>
      <w:spacing w:after="100" w:before="80" w:line="259"/>
      <w:ind w:left="260" w:right="120"/>
    </w:pPr>
    <w:rPr>
      <w:rFonts w:ascii="Calibri" w:cs="Calibri" w:eastAsia="Calibri" w:hAnsi="Calibri"/>
      <w:i/>
      <w:iCs/>
      <w:color w:val="323A46"/>
      <w:sz w:val="20"/>
      <w:szCs w:val="20"/>
    </w:rPr>
  </w:style>
  <w:style w:type="paragraph" w:styleId="GuideTable">
    <w:name w:val="Guide Table"/>
    <w:basedOn w:val="Normal"/>
    <w:next w:val="GuideTable"/>
    <w:pPr>
      <w:spacing w:after="0" w:before="0" w:line="230"/>
    </w:pPr>
    <w:rPr>
      <w:rFonts w:ascii="Calibri" w:cs="Calibri" w:eastAsia="Calibri" w:hAnsi="Calibri"/>
      <w:color w:val="22201D"/>
      <w:sz w:val="16"/>
      <w:szCs w:val="16"/>
    </w:rPr>
  </w:style>
  <w:style w:type="paragraph" w:styleId="GuideTight">
    <w:name w:val="Guide Tight"/>
    <w:basedOn w:val="Normal"/>
    <w:next w:val="GuideBody"/>
    <w:pPr>
      <w:spacing w:after="45" w:before="0" w:line="120"/>
    </w:pPr>
    <w:rPr>
      <w:rFonts w:ascii="Calibri" w:cs="Calibri" w:eastAsia="Calibri" w:hAnsi="Calibri"/>
      <w:sz w:val="4"/>
      <w:szCs w:val="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Clauses · Guía municipal de decisión y aplicación</dc:title>
  <dc:creator>Delfina Lafuente Veira; José Antonio Ondiviela García; Miguel Ángel Domínguez Castellano</dc:creator>
  <dc:description>Guía ejecutiva de 20 páginas para revisar el catálogo de cláusulas de IA y deep tech</dc:description>
  <cp:lastModifiedBy>Un-named</cp:lastModifiedBy>
  <cp:revision>1</cp:revision>
  <dcterms:created xsi:type="dcterms:W3CDTF">2026-09-10T18:28:41.398Z</dcterms:created>
  <dcterms:modified xsi:type="dcterms:W3CDTF">2026-09-10T18:28:41.399Z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