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40"/>
        <w:jc w:val="center"/>
      </w:pPr>
      <w:r>
        <w:rPr>
          <w:rFonts w:ascii="Georgia" w:cs="Georgia" w:eastAsia="Georgia" w:hAnsi="Georgia"/>
          <w:b/>
          <w:bCs/>
          <w:color w:val="1F3864"/>
          <w:sz w:val="60"/>
          <w:szCs w:val="60"/>
        </w:rPr>
        <w:t xml:space="preserve">Cláusulas de Inteligencia Artificial y Deep Tech</w:t>
      </w:r>
    </w:p>
    <w:p>
      <w:pPr>
        <w:spacing w:after="900"/>
        <w:jc w:val="center"/>
      </w:pPr>
      <w:r>
        <w:rPr>
          <w:rFonts w:ascii="Georgia" w:cs="Georgia" w:eastAsia="Georgia" w:hAnsi="Georgia"/>
          <w:i/>
          <w:iCs/>
          <w:color w:val="595959"/>
          <w:sz w:val="28"/>
          <w:szCs w:val="28"/>
        </w:rPr>
        <w:t xml:space="preserve">Catálogo de cláusulas para pliegos de contratación pública</w:t>
      </w:r>
    </w:p>
    <w:p>
      <w:pPr>
        <w:spacing w:after="140"/>
        <w:jc w:val="center"/>
      </w:pPr>
      <w:r>
        <w:rPr>
          <w:rFonts w:ascii="Calibri" w:cs="Calibri" w:eastAsia="Calibri" w:hAnsi="Calibri"/>
          <w:color w:val="595959"/>
          <w:sz w:val="20"/>
          <w:szCs w:val="20"/>
        </w:rPr>
        <w:t xml:space="preserve">Versión 3.0 · septiembre de 2026</w:t>
      </w:r>
    </w:p>
    <w:p>
      <w:pPr>
        <w:spacing w:after="140"/>
        <w:jc w:val="center"/>
      </w:pPr>
      <w:r>
        <w:rPr>
          <w:rFonts w:ascii="Calibri" w:cs="Calibri" w:eastAsia="Calibri" w:hAnsi="Calibri"/>
          <w:color w:val="595959"/>
          <w:sz w:val="20"/>
          <w:szCs w:val="20"/>
        </w:rPr>
        <w:t xml:space="preserve">Documento de trabajo para su incorporación motivada a los Pliegos de Prescripciones Técnicas y de Cláusulas Administrativas Particulares, y para su fiscalización</w:t>
      </w:r>
    </w:p>
    <w:p>
      <w:pPr>
        <w:spacing w:after="140"/>
        <w:jc w:val="center"/>
      </w:pPr>
      <w:r>
        <w:rPr>
          <w:rFonts w:ascii="Calibri" w:cs="Calibri" w:eastAsia="Calibri" w:hAnsi="Calibri"/>
          <w:color w:val="595959"/>
          <w:sz w:val="20"/>
          <w:szCs w:val="20"/>
        </w:rPr>
        <w:t xml:space="preserve">Delfina Lafuente Veira · Dr. José Antonio Ondiviela García · Miguel Ángel Domínguez Castellano</w:t>
      </w:r>
    </w:p>
    <w:p>
      <w:pPr>
        <w:spacing w:after="140"/>
        <w:jc w:val="center"/>
      </w:pPr>
      <w:r>
        <w:rPr>
          <w:rFonts w:ascii="Calibri" w:cs="Calibri" w:eastAsia="Calibri" w:hAnsi="Calibri"/>
          <w:color w:val="595959"/>
          <w:sz w:val="20"/>
          <w:szCs w:val="20"/>
        </w:rPr>
        <w:t xml:space="preserve">Elaborado con asistencia de sistemas de inteligencia artificial. Véase la declaración de la primera sección, conforme al artículo 50 del Reglamento (UE) 2024/1689.</w:t>
      </w:r>
    </w:p>
    <w:p>
      <w:pPr>
        <w:spacing w:after="140"/>
        <w:jc w:val="center"/>
      </w:pPr>
      <w:r>
        <w:rPr>
          <w:rFonts w:ascii="Calibri" w:cs="Calibri" w:eastAsia="Calibri" w:hAnsi="Calibri"/>
          <w:color w:val="595959"/>
          <w:sz w:val="20"/>
          <w:szCs w:val="20"/>
        </w:rPr>
        <w:t xml:space="preserve">Se publica «tal cual» (as is). Léase y entiéndase antes de adaptarlo: no copie sin entender.</w:t>
      </w:r>
    </w:p>
    <w:p>
      <w:pPr>
        <w:spacing w:after="140"/>
        <w:jc w:val="center"/>
      </w:pPr>
      <w:r>
        <w:rPr>
          <w:rFonts w:ascii="Calibri" w:cs="Calibri" w:eastAsia="Calibri" w:hAnsi="Calibri"/>
          <w:color w:val="595959"/>
          <w:sz w:val="20"/>
          <w:szCs w:val="20"/>
        </w:rPr>
        <w:t xml:space="preserve">Licencia Creative Commons Attribution 4.0 Internacional</w:t>
      </w:r>
    </w:p>
    <w:p>
      <w:pPr>
        <w:spacing w:after="140"/>
        <w:jc w:val="center"/>
      </w:pPr>
      <w:r>
        <w:rPr>
          <w:rFonts w:ascii="Calibri" w:cs="Calibri" w:eastAsia="Calibri" w:hAnsi="Calibri"/>
          <w:color w:val="595959"/>
          <w:sz w:val="20"/>
          <w:szCs w:val="20"/>
        </w:rPr>
        <w:t xml:space="preserve">Fecha de corte de las referencias normativas y de doctrina: 1 de septiembre de 2026</w:t>
      </w:r>
    </w:p>
    <w:p>
      <w:r>
        <w:br w:type="page"/>
      </w:r>
    </w:p>
    <w:p>
      <w:pPr>
        <w:spacing w:after="300"/>
      </w:pPr>
      <w:r>
        <w:rPr>
          <w:rFonts w:ascii="Georgia" w:cs="Georgia" w:eastAsia="Georgia" w:hAnsi="Georgia"/>
          <w:b/>
          <w:bCs/>
          <w:color w:val="1F3864"/>
          <w:sz w:val="36"/>
          <w:szCs w:val="36"/>
        </w:rPr>
        <w:t xml:space="preserve">Índice</w:t>
      </w:r>
    </w:p>
    <w:sdt>
      <w:sdtPr>
        <w:alias w:val="Índice"/>
      </w:sdtPr>
      <w:sdtContent>
        <w:p>
          <w:r>
            <w:fldChar w:fldCharType="begin" w:dirty="true"/>
            <w:instrText xml:space="preserve">TOC \h \o "1-4"</w:instrText>
            <w:fldChar w:fldCharType="separate"/>
          </w:r>
        </w:p>
        <w:p>
          <w:r>
            <w:fldChar w:fldCharType="end"/>
          </w:r>
        </w:p>
      </w:sdtContent>
    </w:sdt>
    <w:p>
      <w:r>
        <w:br w:type="page"/>
      </w:r>
    </w:p>
    <w:p>
      <w:r>
        <w:br w:type="page"/>
      </w:r>
    </w:p>
    <w:p>
      <w:pPr>
        <w:pStyle w:val="Heading1"/>
        <w:keepNext/>
        <w:spacing w:after="240" w:before="200"/>
      </w:pPr>
      <w:r>
        <w:rPr>
          <w:rFonts w:ascii="Georgia" w:cs="Georgia" w:eastAsia="Georgia" w:hAnsi="Georgia"/>
          <w:b/>
          <w:bCs/>
          <w:color w:val="1F3864"/>
          <w:sz w:val="34"/>
          <w:szCs w:val="34"/>
        </w:rPr>
        <w:t xml:space="preserve">AUTORÍA, USO DE INTELIGENCIA ARTIFICIAL Y CONDICIONES DE USO</w:t>
      </w:r>
    </w:p>
    <w:p>
      <w:pPr>
        <w:spacing w:after="140" w:line="276"/>
      </w:pPr>
      <w:r>
        <w:rPr>
          <w:rFonts w:ascii="Calibri" w:cs="Calibri" w:eastAsia="Calibri" w:hAnsi="Calibri"/>
          <w:i/>
          <w:iCs/>
          <w:sz w:val="21"/>
          <w:szCs w:val="21"/>
        </w:rPr>
        <w:t xml:space="preserve">Esta sección forma parte del documento y se sitúa al principio, y no al final, por dos razones: la declaración de uso de inteligencia artificial debe facilitarse «de manera clara y distinguible a más tardar con ocasión de la primera interacción o exposición» (artículo 50.5 del Reglamento (UE) 2024/1689), y la advertencia sobre cómo debe usarse este material condiciona la lectura de todo lo que sigue.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Estado de este documento a 10 de septiembre de 2026</w:t>
      </w:r>
    </w:p>
    <w:p>
      <w:pPr>
        <w:spacing w:after="140" w:line="276"/>
      </w:pPr>
      <w:r>
        <w:rPr>
          <w:rFonts w:ascii="Calibri" w:cs="Calibri" w:eastAsia="Calibri" w:hAnsi="Calibri"/>
          <w:b/>
          <w:bCs/>
          <w:sz w:val="21"/>
          <w:szCs w:val="21"/>
        </w:rPr>
        <w:t xml:space="preserve">Qué ha aprobado alguna administración:</w:t>
      </w:r>
      <w:r>
        <w:rPr>
          <w:rFonts w:ascii="Calibri" w:cs="Calibri" w:eastAsia="Calibri" w:hAnsi="Calibri"/>
          <w:sz w:val="21"/>
          <w:szCs w:val="21"/>
        </w:rPr>
        <w:t xml:space="preserve"> nada. Este documento no es un acto administrativo, no ha sido aprobado por ningún órgano de ninguna entidad pública y no vincula a ninguna Corporación.</w:t>
      </w:r>
    </w:p>
    <w:p>
      <w:pPr>
        <w:spacing w:after="140" w:line="276"/>
      </w:pPr>
      <w:r>
        <w:rPr>
          <w:rFonts w:ascii="Calibri" w:cs="Calibri" w:eastAsia="Calibri" w:hAnsi="Calibri"/>
          <w:b/>
          <w:bCs/>
          <w:sz w:val="21"/>
          <w:szCs w:val="21"/>
        </w:rPr>
        <w:t xml:space="preserve">Qué es:</w:t>
      </w:r>
      <w:r>
        <w:rPr>
          <w:rFonts w:ascii="Calibri" w:cs="Calibri" w:eastAsia="Calibri" w:hAnsi="Calibri"/>
          <w:sz w:val="21"/>
          <w:szCs w:val="21"/>
        </w:rPr>
        <w:t xml:space="preserve"> un trabajo profesional de las personas que lo firman, a título particular. Quienes de ellas ejercen un cargo o un puesto público lo hacen aquí a título personal, no en su condición oficial, y su firma no compromete a ninguna administración.</w:t>
      </w:r>
    </w:p>
    <w:p>
      <w:pPr>
        <w:spacing w:after="140" w:line="276"/>
      </w:pPr>
      <w:r>
        <w:rPr>
          <w:rFonts w:ascii="Calibri" w:cs="Calibri" w:eastAsia="Calibri" w:hAnsi="Calibri"/>
          <w:b/>
          <w:bCs/>
          <w:sz w:val="21"/>
          <w:szCs w:val="21"/>
        </w:rPr>
        <w:t xml:space="preserve">Qué falta, y qué NO condiciona.</w:t>
      </w:r>
      <w:r>
        <w:rPr>
          <w:rFonts w:ascii="Calibri" w:cs="Calibri" w:eastAsia="Calibri" w:hAnsi="Calibri"/>
          <w:sz w:val="21"/>
          <w:szCs w:val="21"/>
        </w:rPr>
        <w:t xml:space="preserve"> Conviene separarlo, porque se confunde. Estas tres condiciones limitan el uso de </w:t>
      </w:r>
      <w:r>
        <w:rPr>
          <w:rFonts w:ascii="Calibri" w:cs="Calibri" w:eastAsia="Calibri" w:hAnsi="Calibri"/>
          <w:b/>
          <w:bCs/>
          <w:sz w:val="21"/>
          <w:szCs w:val="21"/>
        </w:rPr>
        <w:t xml:space="preserve">este documento como modelo aprobado</w:t>
      </w:r>
      <w:r>
        <w:rPr>
          <w:rFonts w:ascii="Calibri" w:cs="Calibri" w:eastAsia="Calibri" w:hAnsi="Calibri"/>
          <w:sz w:val="21"/>
          <w:szCs w:val="21"/>
        </w:rPr>
        <w:t xml:space="preserve">; no limitan la potestad de nadie para escribir buenas cláusulas en su propio pliego. La mayoría del catálogo —y la de más valor económico: reversibilidad, propiedad intelectual, acceso al dato, ENS bien redactado— se ancla por vía </w:t>
      </w:r>
      <w:r>
        <w:rPr>
          <w:rFonts w:ascii="Calibri" w:cs="Calibri" w:eastAsia="Calibri" w:hAnsi="Calibri"/>
          <w:b/>
          <w:bCs/>
          <w:sz w:val="21"/>
          <w:szCs w:val="21"/>
        </w:rPr>
        <w:t xml:space="preserve">normativa</w:t>
      </w:r>
      <w:r>
        <w:rPr>
          <w:rFonts w:ascii="Calibri" w:cs="Calibri" w:eastAsia="Calibri" w:hAnsi="Calibri"/>
          <w:sz w:val="21"/>
          <w:szCs w:val="21"/>
        </w:rPr>
        <w:t xml:space="preserve"> o </w:t>
      </w:r>
      <w:r>
        <w:rPr>
          <w:rFonts w:ascii="Calibri" w:cs="Calibri" w:eastAsia="Calibri" w:hAnsi="Calibri"/>
          <w:b/>
          <w:bCs/>
          <w:sz w:val="21"/>
          <w:szCs w:val="21"/>
        </w:rPr>
        <w:t xml:space="preserve">funcional</w:t>
      </w:r>
      <w:r>
        <w:rPr>
          <w:rFonts w:ascii="Calibri" w:cs="Calibri" w:eastAsia="Calibri" w:hAnsi="Calibri"/>
          <w:sz w:val="21"/>
          <w:szCs w:val="21"/>
        </w:rPr>
        <w:t xml:space="preserve"> y </w:t>
      </w:r>
      <w:r>
        <w:rPr>
          <w:rFonts w:ascii="Calibri" w:cs="Calibri" w:eastAsia="Calibri" w:hAnsi="Calibri"/>
          <w:b/>
          <w:bCs/>
          <w:sz w:val="21"/>
          <w:szCs w:val="21"/>
        </w:rPr>
        <w:t xml:space="preserve">no necesita ningún acuerdo previo</w:t>
      </w:r>
      <w:r>
        <w:rPr>
          <w:rFonts w:ascii="Calibri" w:cs="Calibri" w:eastAsia="Calibri" w:hAnsi="Calibri"/>
          <w:sz w:val="21"/>
          <w:szCs w:val="21"/>
        </w:rPr>
        <w:t xml:space="preserve">: basta con motivarla en la memoria del expediente con datos propios. Sólo las cláusulas de origen </w:t>
      </w:r>
      <w:r>
        <w:rPr>
          <w:rFonts w:ascii="Calibri" w:cs="Calibri" w:eastAsia="Calibri" w:hAnsi="Calibri"/>
          <w:b/>
          <w:bCs/>
          <w:sz w:val="21"/>
          <w:szCs w:val="21"/>
        </w:rPr>
        <w:t xml:space="preserve">institucional</w:t>
      </w:r>
      <w:r>
        <w:rPr>
          <w:rFonts w:ascii="Calibri" w:cs="Calibri" w:eastAsia="Calibri" w:hAnsi="Calibri"/>
          <w:sz w:val="21"/>
          <w:szCs w:val="21"/>
        </w:rPr>
        <w:t xml:space="preserve"> —aquellas que ninguna norma impone y ningún gestor pide— necesitan el acuerdo del órgano de gobierno, que no es un permiso sino su prueba documental de necesidad (§M1.2). De las seis cláusulas del subconjunto mínimo del §VI.2.2, </w:t>
      </w:r>
      <w:r>
        <w:rPr>
          <w:rFonts w:ascii="Calibri" w:cs="Calibri" w:eastAsia="Calibri" w:hAnsi="Calibri"/>
          <w:b/>
          <w:bCs/>
          <w:sz w:val="21"/>
          <w:szCs w:val="21"/>
        </w:rPr>
        <w:t xml:space="preserve">cinco no dependen de ese acuerdo</w:t>
      </w:r>
      <w:r>
        <w:rPr>
          <w:rFonts w:ascii="Calibri" w:cs="Calibri" w:eastAsia="Calibri" w:hAnsi="Calibri"/>
          <w:sz w:val="21"/>
          <w:szCs w:val="21"/>
        </w:rPr>
        <w:t xml:space="preserve">; sólo ADM-2·v3 con su Anexo V.</w:t>
      </w:r>
    </w:p>
    <w:p>
      <w:pPr>
        <w:spacing w:after="140" w:line="276"/>
      </w:pPr>
      <w:r>
        <w:rPr>
          <w:rFonts w:ascii="Calibri" w:cs="Calibri" w:eastAsia="Calibri" w:hAnsi="Calibri"/>
          <w:sz w:val="21"/>
          <w:szCs w:val="21"/>
        </w:rPr>
        <w:t xml:space="preserve">Dicho eso, las tres condiciones suspensivas que la propia memoria justificativa enumera (Parte IV, §M11, filas 1 a 3) son: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Condición suspensiva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Estado a 10 de septiembre de 2026</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Acuerdo del órgano de gobierno que apruebe el plan municipal, el catálogo y el Anexo V del ejercicio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Pendiente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Consulta preliminar del mercado publicada y contraste documentado del Anexo V (art. 115 LCSP)</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Pendiente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Declaraciones de conflicto de interés firmadas e incorporadas al expediente (arts. 64 y 70 LCSP)</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Pendiente</w:t>
            </w:r>
          </w:p>
        </w:tc>
      </w:tr>
    </w:tbl>
    <w:p>
      <w:pPr>
        <w:spacing w:after="200"/>
      </w:pPr>
    </w:p>
    <w:p>
      <w:pPr>
        <w:spacing w:after="140" w:line="276"/>
      </w:pPr>
      <w:r>
        <w:rPr>
          <w:rFonts w:ascii="Calibri" w:cs="Calibri" w:eastAsia="Calibri" w:hAnsi="Calibri"/>
          <w:b/>
          <w:bCs/>
          <w:sz w:val="21"/>
          <w:szCs w:val="21"/>
        </w:rPr>
        <w:t xml:space="preserve">Sobre la primera, y porque condiciona menos de lo que parece:</w:t>
      </w:r>
      <w:r>
        <w:rPr>
          <w:rFonts w:ascii="Calibri" w:cs="Calibri" w:eastAsia="Calibri" w:hAnsi="Calibri"/>
          <w:sz w:val="21"/>
          <w:szCs w:val="21"/>
        </w:rPr>
        <w:t xml:space="preserve"> el acuerdo del órgano de gobierno describe la situación ideal —que cada entidad cuente con su política digital anual y con su catálogo anual de exigencias, con el Anexo V actualizado—, pero </w:t>
      </w:r>
      <w:r>
        <w:rPr>
          <w:rFonts w:ascii="Calibri" w:cs="Calibri" w:eastAsia="Calibri" w:hAnsi="Calibri"/>
          <w:b/>
          <w:bCs/>
          <w:sz w:val="21"/>
          <w:szCs w:val="21"/>
        </w:rPr>
        <w:t xml:space="preserve">no es indispensable para aplicar este clausulado</w:t>
      </w:r>
      <w:r>
        <w:rPr>
          <w:rFonts w:ascii="Calibri" w:cs="Calibri" w:eastAsia="Calibri" w:hAnsi="Calibri"/>
          <w:sz w:val="21"/>
          <w:szCs w:val="21"/>
        </w:rPr>
        <w:t xml:space="preserve">. Cuando no exista esa política, o el Anexo V no se haya revisado, las exigencias tecnológicas que el contrato vaya a necesitar durante su vida pueden determinarse al redactar el pliego e incorporarse </w:t>
      </w:r>
      <w:r>
        <w:rPr>
          <w:rFonts w:ascii="Calibri" w:cs="Calibri" w:eastAsia="Calibri" w:hAnsi="Calibri"/>
          <w:b/>
          <w:bCs/>
          <w:sz w:val="21"/>
          <w:szCs w:val="21"/>
        </w:rPr>
        <w:t xml:space="preserve">como anexo del propio contrato</w:t>
      </w:r>
      <w:r>
        <w:rPr>
          <w:rFonts w:ascii="Calibri" w:cs="Calibri" w:eastAsia="Calibri" w:hAnsi="Calibri"/>
          <w:sz w:val="21"/>
          <w:szCs w:val="21"/>
        </w:rPr>
        <w:t xml:space="preserve">, sin citar este catálogo ni una política que no exista. Lo que desaparece entonces no es la exigencia, sino la remisión: la necesidad se motiva igualmente en la memoria del expediente, con datos propios. El desarrollo está en la Parte IV, §M1.2 bis.</w:t>
      </w:r>
    </w:p>
    <w:p>
      <w:pPr>
        <w:spacing w:after="140" w:line="276"/>
      </w:pPr>
      <w:r>
        <w:rPr>
          <w:rFonts w:ascii="Calibri" w:cs="Calibri" w:eastAsia="Calibri" w:hAnsi="Calibri"/>
          <w:sz w:val="21"/>
          <w:szCs w:val="21"/>
        </w:rPr>
        <w:t xml:space="preserve">Sobre la tercera, y porque se presume lo contrario: esas declaraciones se firman para que </w:t>
      </w:r>
      <w:r>
        <w:rPr>
          <w:rFonts w:ascii="Calibri" w:cs="Calibri" w:eastAsia="Calibri" w:hAnsi="Calibri"/>
          <w:b/>
          <w:bCs/>
          <w:sz w:val="21"/>
          <w:szCs w:val="21"/>
        </w:rPr>
        <w:t xml:space="preserve">nadie pueda pedir ni obtener ventaja en un pliego</w:t>
      </w:r>
      <w:r>
        <w:rPr>
          <w:rFonts w:ascii="Calibri" w:cs="Calibri" w:eastAsia="Calibri" w:hAnsi="Calibri"/>
          <w:sz w:val="21"/>
          <w:szCs w:val="21"/>
        </w:rPr>
        <w:t xml:space="preserve"> —ni puntuación a favor, ni requisitos escritos a su medida—. </w:t>
      </w:r>
      <w:r>
        <w:rPr>
          <w:rFonts w:ascii="Calibri" w:cs="Calibri" w:eastAsia="Calibri" w:hAnsi="Calibri"/>
          <w:b/>
          <w:bCs/>
          <w:sz w:val="21"/>
          <w:szCs w:val="21"/>
        </w:rPr>
        <w:t xml:space="preserve">No excluyen a ningún colaborador de presentarse a una licitación</w:t>
      </w:r>
      <w:r>
        <w:rPr>
          <w:rFonts w:ascii="Calibri" w:cs="Calibri" w:eastAsia="Calibri" w:hAnsi="Calibri"/>
          <w:sz w:val="21"/>
          <w:szCs w:val="21"/>
        </w:rPr>
        <w:t xml:space="preserve"> que aplique este catálogo. El detalle, en la Parte IV, §M7.3, medida 8.</w:t>
      </w:r>
    </w:p>
    <w:p>
      <w:pPr>
        <w:spacing w:after="140" w:line="276"/>
      </w:pPr>
      <w:r>
        <w:rPr>
          <w:rFonts w:ascii="Calibri" w:cs="Calibri" w:eastAsia="Calibri" w:hAnsi="Calibri"/>
          <w:sz w:val="21"/>
          <w:szCs w:val="21"/>
        </w:rPr>
        <w:t xml:space="preserve">Mientras las tres no consten cumplidas, este catálogo es una propuesta técnica publicada para el debate: </w:t>
      </w:r>
      <w:r>
        <w:rPr>
          <w:rFonts w:ascii="Calibri" w:cs="Calibri" w:eastAsia="Calibri" w:hAnsi="Calibri"/>
          <w:b/>
          <w:bCs/>
          <w:sz w:val="21"/>
          <w:szCs w:val="21"/>
        </w:rPr>
        <w:t xml:space="preserve">no debe citarse como modelo aprobado ni servir de aval</w:t>
      </w:r>
      <w:r>
        <w:rPr>
          <w:rFonts w:ascii="Calibri" w:cs="Calibri" w:eastAsia="Calibri" w:hAnsi="Calibri"/>
          <w:sz w:val="21"/>
          <w:szCs w:val="21"/>
        </w:rPr>
        <w:t xml:space="preserve"> en un expediente que supere el umbral del recurso especial. Lo que sí puede hacerse desde el primer día es </w:t>
      </w:r>
      <w:r>
        <w:rPr>
          <w:rFonts w:ascii="Calibri" w:cs="Calibri" w:eastAsia="Calibri" w:hAnsi="Calibri"/>
          <w:b/>
          <w:bCs/>
          <w:sz w:val="21"/>
          <w:szCs w:val="21"/>
        </w:rPr>
        <w:t xml:space="preserve">usar sus soluciones de redacción</w:t>
      </w:r>
      <w:r>
        <w:rPr>
          <w:rFonts w:ascii="Calibri" w:cs="Calibri" w:eastAsia="Calibri" w:hAnsi="Calibri"/>
          <w:sz w:val="21"/>
          <w:szCs w:val="21"/>
        </w:rPr>
        <w:t xml:space="preserve">, sosteniendo cada exigencia en la memoria del expediente con datos propios y sin remitirse a este documento. Es más: el propio catálogo insiste en que una memoria que se limite a remitirse a él es una justificación estereotipada.</w:t>
      </w:r>
    </w:p>
    <w:p>
      <w:pPr>
        <w:spacing w:after="140" w:line="276"/>
      </w:pPr>
      <w:r>
        <w:rPr>
          <w:rFonts w:ascii="Calibri" w:cs="Calibri" w:eastAsia="Calibri" w:hAnsi="Calibri"/>
          <w:b/>
          <w:bCs/>
          <w:sz w:val="21"/>
          <w:szCs w:val="21"/>
        </w:rPr>
        <w:t xml:space="preserve">Orden entre rectificación y publicación:</w:t>
      </w:r>
      <w:r>
        <w:rPr>
          <w:rFonts w:ascii="Calibri" w:cs="Calibri" w:eastAsia="Calibri" w:hAnsi="Calibri"/>
          <w:sz w:val="21"/>
          <w:szCs w:val="21"/>
        </w:rPr>
        <w:t xml:space="preserve"> la Parte VI, VI.7, adopta expresamente la regla de que quien adopte este catálogo ejecute las correcciones de prioridad P1 sobre sus pliegos vigentes </w:t>
      </w:r>
      <w:r>
        <w:rPr>
          <w:rFonts w:ascii="Calibri" w:cs="Calibri" w:eastAsia="Calibri" w:hAnsi="Calibri"/>
          <w:b/>
          <w:bCs/>
          <w:sz w:val="21"/>
          <w:szCs w:val="21"/>
        </w:rPr>
        <w:t xml:space="preserve">antes</w:t>
      </w:r>
      <w:r>
        <w:rPr>
          <w:rFonts w:ascii="Calibri" w:cs="Calibri" w:eastAsia="Calibri" w:hAnsi="Calibri"/>
          <w:sz w:val="21"/>
          <w:szCs w:val="21"/>
        </w:rPr>
        <w:t xml:space="preserve"> de publicarlo como modelo propio.</w:t>
      </w:r>
    </w:p>
    <w:p>
      <w:pPr>
        <w:spacing w:after="140" w:line="276"/>
      </w:pPr>
      <w:r>
        <w:rPr>
          <w:rFonts w:ascii="Calibri" w:cs="Calibri" w:eastAsia="Calibri" w:hAnsi="Calibri"/>
          <w:b/>
          <w:bCs/>
          <w:sz w:val="21"/>
          <w:szCs w:val="21"/>
        </w:rPr>
        <w:t xml:space="preserve">Quién responde de este documento:</w:t>
      </w:r>
      <w:r>
        <w:rPr>
          <w:rFonts w:ascii="Calibri" w:cs="Calibri" w:eastAsia="Calibri" w:hAnsi="Calibri"/>
          <w:sz w:val="21"/>
          <w:szCs w:val="21"/>
        </w:rPr>
        <w:t xml:space="preserve"> Miguel Ángel Domínguez Castellano, responsable editorial de la publicación.</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Cómo nace este catálogo</w:t>
      </w:r>
    </w:p>
    <w:p>
      <w:pPr>
        <w:spacing w:after="140" w:line="276"/>
      </w:pPr>
      <w:r>
        <w:rPr>
          <w:rFonts w:ascii="Calibri" w:cs="Calibri" w:eastAsia="Calibri" w:hAnsi="Calibri"/>
          <w:sz w:val="21"/>
          <w:szCs w:val="21"/>
        </w:rPr>
        <w:t xml:space="preserve">En el marco de las funciones de análisis y mejora continua de los procedimientos de contratación pública, los servicios técnicos municipales de una entidad local pusieron de manifiesto la necesidad de disponer de criterios y cláusulas específicas que permitieran abordar los retos derivados de la rápida evolución de las tecnologías de inteligencia artificial y de su creciente incidencia en la ejecución de los contratos públicos.</w:t>
      </w:r>
    </w:p>
    <w:p>
      <w:pPr>
        <w:spacing w:after="140" w:line="276"/>
      </w:pPr>
      <w:r>
        <w:rPr>
          <w:rFonts w:ascii="Calibri" w:cs="Calibri" w:eastAsia="Calibri" w:hAnsi="Calibri"/>
          <w:sz w:val="21"/>
          <w:szCs w:val="21"/>
        </w:rPr>
        <w:t xml:space="preserve">Esas necesidades fueron trasladadas a la Concejalía competente, que constató la conveniencia de promover herramientas de apoyo capaces de incorporar garantías jurídicas, técnicas y de gobernanza a los futuros pliegos, especialmente en los ámbitos afectados por el uso directo o indirecto de soluciones basadas en inteligencia artificial. Para dar respuesta a esa necesidad, la Concejalía solicitó la colaboración de dos profesionales externos con experiencia acreditada en tecnologías emergentes: un profesor universitario especializado en innovación tecnológica y un experto en inteligencia artificial, blockchain y ecosistemas digitales.</w:t>
      </w:r>
    </w:p>
    <w:p>
      <w:pPr>
        <w:spacing w:after="140" w:line="276"/>
      </w:pPr>
      <w:r>
        <w:rPr>
          <w:rFonts w:ascii="Calibri" w:cs="Calibri" w:eastAsia="Calibri" w:hAnsi="Calibri"/>
          <w:b/>
          <w:bCs/>
          <w:sz w:val="21"/>
          <w:szCs w:val="21"/>
        </w:rPr>
        <w:t xml:space="preserve">La participación de ambos ha sido enteramente altruista</w:t>
      </w:r>
      <w:r>
        <w:rPr>
          <w:rFonts w:ascii="Calibri" w:cs="Calibri" w:eastAsia="Calibri" w:hAnsi="Calibri"/>
          <w:sz w:val="21"/>
          <w:szCs w:val="21"/>
        </w:rPr>
        <w:t xml:space="preserve">: sin contraprestación económica alguna, sin vinculación contractual con la Administración y sin ánimo de lucro. La elaboración de este documento no genera obligación económica para ninguna administración, ni derecho de explotación o exclusividad a favor de sus autores.</w:t>
      </w:r>
    </w:p>
    <w:p>
      <w:pPr>
        <w:spacing w:after="140" w:line="276"/>
      </w:pPr>
      <w:r>
        <w:rPr>
          <w:rFonts w:ascii="Calibri" w:cs="Calibri" w:eastAsia="Calibri" w:hAnsi="Calibri"/>
          <w:sz w:val="21"/>
          <w:szCs w:val="21"/>
        </w:rPr>
        <w:t xml:space="preserve">El resultado es un catálogo de cláusulas tipo de </w:t>
      </w:r>
      <w:r>
        <w:rPr>
          <w:rFonts w:ascii="Calibri" w:cs="Calibri" w:eastAsia="Calibri" w:hAnsi="Calibri"/>
          <w:b/>
          <w:bCs/>
          <w:sz w:val="21"/>
          <w:szCs w:val="21"/>
        </w:rPr>
        <w:t xml:space="preserve">carácter orientativo</w:t>
      </w:r>
      <w:r>
        <w:rPr>
          <w:rFonts w:ascii="Calibri" w:cs="Calibri" w:eastAsia="Calibri" w:hAnsi="Calibri"/>
          <w:sz w:val="21"/>
          <w:szCs w:val="21"/>
        </w:rPr>
        <w:t xml:space="preserve">, concebido como instrumento de apoyo para redactar y revisar pliegos y contratos administrativos. Es una labor de recopilación, análisis, adaptación y sistematización de criterios, buenas prácticas y conocimientos técnicos y jurídicos ya existentes en el ámbito de la contratación pública y las tecnologías digitales, sin que resulte posible ni necesario identificar individualmente el origen de cada formulación, y sin perjuicio de los derechos de propiedad intelectual que pudieran corresponder a terceros sobre obras o contenidos específicamente protegidos.</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Quién ha hecho este trabajo</w:t>
      </w:r>
    </w:p>
    <w:p>
      <w:pPr>
        <w:spacing w:after="140" w:line="276"/>
      </w:pPr>
      <w:r>
        <w:rPr>
          <w:rFonts w:ascii="Calibri" w:cs="Calibri" w:eastAsia="Calibri" w:hAnsi="Calibri"/>
          <w:sz w:val="21"/>
          <w:szCs w:val="21"/>
        </w:rPr>
        <w:t xml:space="preserve">Este documento no es la aportación de un autor a un texto ajeno. Es el resultado de un trabajo conjunto de varios meses entre varias personas, cada una desde su oficio, con las firmas que constan a continuación y el reconocimiento colectivo que se recoge al final.</w:t>
      </w:r>
    </w:p>
    <w:p>
      <w:pPr>
        <w:spacing w:after="140" w:line="276"/>
      </w:pPr>
      <w:hyperlink w:history="1" r:id="rIdjbxajzsmrueiiug9sllz7">
        <w:r>
          <w:rPr>
            <w:rFonts w:ascii="Calibri" w:cs="Calibri" w:eastAsia="Calibri" w:hAnsi="Calibri"/>
            <w:b/>
            <w:bCs/>
            <w:color w:val="2F5496"/>
            <w:sz w:val="21"/>
            <w:szCs w:val="21"/>
            <w:u w:val="single"/>
          </w:rPr>
          <w:t xml:space="preserve">Dr. José Antonio Ondiviela García</w:t>
        </w:r>
      </w:hyperlink>
      <w:r>
        <w:rPr>
          <w:rFonts w:ascii="Calibri" w:cs="Calibri" w:eastAsia="Calibri" w:hAnsi="Calibri"/>
          <w:sz w:val="21"/>
          <w:szCs w:val="21"/>
        </w:rPr>
        <w:t xml:space="preserve"> — Profesor de la Escuela Politécnica Superior e investigador de la Universidad Francisco de Vitoria, donde dirige el Observatorio Mundial de Ciudades Atractivas. Casi tres décadas de trayectoria previa en la industria tecnológica internacional en el ámbito del sector público. </w:t>
      </w:r>
      <w:r>
        <w:rPr>
          <w:rFonts w:ascii="Calibri" w:cs="Calibri" w:eastAsia="Calibri" w:hAnsi="Calibri"/>
          <w:i/>
          <w:iCs/>
          <w:sz w:val="21"/>
          <w:szCs w:val="21"/>
        </w:rPr>
        <w:t xml:space="preserve">Perfil en la Universidad Francisco de Vitoria: https://www.ufv.es/una-nueva-definicion-para-las-ciudades-que-transformaran-el-mundo-noticias-actualidad/</w:t>
      </w:r>
    </w:p>
    <w:p>
      <w:pPr>
        <w:spacing w:after="140" w:line="276"/>
      </w:pPr>
      <w:r>
        <w:rPr>
          <w:rFonts w:ascii="Calibri" w:cs="Calibri" w:eastAsia="Calibri" w:hAnsi="Calibri"/>
          <w:sz w:val="21"/>
          <w:szCs w:val="21"/>
        </w:rPr>
        <w:t xml:space="preserve">Aportó la mirada del mercado, que es la que falta casi siempre en los pliegos: qué se le puede pedir de verdad a un fabricante de software y qué hará que sencillamente no se presente. Suyas son dos de las correcciones estructurales del documento —la delimitación de lo que se puede exigir sobre el código fuente y el depósito de código ante insolvencia del proveedor— y suya es la idea que resuelve el problema de fondo: dejar de comprar una evolución futura indefinida y pasar a un catálogo de exigencias concretas revisado cada año.</w:t>
      </w:r>
    </w:p>
    <w:p>
      <w:pPr>
        <w:spacing w:after="140" w:line="276"/>
      </w:pPr>
      <w:hyperlink w:history="1" r:id="rIdsafrcwdk2jgmsi54lynch">
        <w:r>
          <w:rPr>
            <w:rFonts w:ascii="Calibri" w:cs="Calibri" w:eastAsia="Calibri" w:hAnsi="Calibri"/>
            <w:b/>
            <w:bCs/>
            <w:color w:val="2F5496"/>
            <w:sz w:val="21"/>
            <w:szCs w:val="21"/>
            <w:u w:val="single"/>
          </w:rPr>
          <w:t xml:space="preserve">Miguel Ángel Domínguez Castellano</w:t>
        </w:r>
      </w:hyperlink>
      <w:r>
        <w:rPr>
          <w:rFonts w:ascii="Calibri" w:cs="Calibri" w:eastAsia="Calibri" w:hAnsi="Calibri"/>
          <w:sz w:val="21"/>
          <w:szCs w:val="21"/>
        </w:rPr>
        <w:t xml:space="preserve"> — CEO de Add4u, compañía de transformación digital de la Administración pública, y presidente de Alastria, el mayor ecosistema blockchain de España, cargo para el que fue reelegido por unanimidad en junio de 2025 con mandato hasta 2027. Preside también el Clúster de Blockchain de la Comunidad de Madrid e impulsa, desde Alastria, la Infraestructura de Servicios Blockchain de España (ISBE), que la propia Alastria ejecuta para la Comunidad de Madrid. Alastria forma parte del Consejo Asesor de Transformación Digital de la Comunidad de Madrid. </w:t>
      </w:r>
      <w:r>
        <w:rPr>
          <w:rFonts w:ascii="Calibri" w:cs="Calibri" w:eastAsia="Calibri" w:hAnsi="Calibri"/>
          <w:i/>
          <w:iCs/>
          <w:sz w:val="21"/>
          <w:szCs w:val="21"/>
        </w:rPr>
        <w:t xml:space="preserve">Web personal: https://miguelangeldominguez.info</w:t>
      </w:r>
    </w:p>
    <w:p>
      <w:pPr>
        <w:spacing w:after="140" w:line="276"/>
      </w:pPr>
      <w:r>
        <w:rPr>
          <w:rFonts w:ascii="Calibri" w:cs="Calibri" w:eastAsia="Calibri" w:hAnsi="Calibri"/>
          <w:sz w:val="21"/>
          <w:szCs w:val="21"/>
        </w:rPr>
        <w:t xml:space="preserve">Ha trabajado en el proyecto desde el lado de quien conoce las dos orillas: la de quien redacta pliegos y la de quien se presenta a ellos. De ahí vienen la insistencia en la reversibilidad y en la propiedad de los datos y de la lógica de negocio como cuestión de competencia y no de tecnología, la resistencia a puntuar la tenencia previa de una tecnología —que premia al que ya está dentro— y la decisión de publicarlo todo en abierto en lugar de conservarlo como activo de consultoría. Asume además la responsabilidad editorial de esta publicación.</w:t>
      </w:r>
    </w:p>
    <w:p>
      <w:pPr>
        <w:spacing w:after="140" w:line="276"/>
      </w:pPr>
      <w:hyperlink w:history="1" r:id="rIdq35wlk326nvjqyxr2gego">
        <w:r>
          <w:rPr>
            <w:rFonts w:ascii="Calibri" w:cs="Calibri" w:eastAsia="Calibri" w:hAnsi="Calibri"/>
            <w:b/>
            <w:bCs/>
            <w:color w:val="2F5496"/>
            <w:sz w:val="21"/>
            <w:szCs w:val="21"/>
            <w:u w:val="single"/>
          </w:rPr>
          <w:t xml:space="preserve">Delfina Lafuente Veira</w:t>
        </w:r>
      </w:hyperlink>
      <w:r>
        <w:rPr>
          <w:rFonts w:ascii="Calibri" w:cs="Calibri" w:eastAsia="Calibri" w:hAnsi="Calibri"/>
          <w:sz w:val="21"/>
          <w:szCs w:val="21"/>
        </w:rPr>
        <w:t xml:space="preserve"> — </w:t>
      </w:r>
      <w:r>
        <w:rPr>
          <w:rFonts w:ascii="Calibri" w:cs="Calibri" w:eastAsia="Calibri" w:hAnsi="Calibri"/>
          <w:b/>
          <w:bCs/>
          <w:sz w:val="21"/>
          <w:szCs w:val="21"/>
        </w:rPr>
        <w:t xml:space="preserve">co-impulsora del proyecto.</w:t>
      </w:r>
      <w:r>
        <w:rPr>
          <w:rFonts w:ascii="Calibri" w:cs="Calibri" w:eastAsia="Calibri" w:hAnsi="Calibri"/>
          <w:sz w:val="21"/>
          <w:szCs w:val="21"/>
        </w:rPr>
        <w:t xml:space="preserve"> Concejal de Administración Digital, Calidad e Innovación del Ayuntamiento de Pozuelo de Alarcón. Funcionaria de carrera de la Administración General del Estado durante casi cuatro décadas antes de asumir la delegación. Firma aquí a título personal: su firma no compromete a ninguna administración. </w:t>
      </w:r>
      <w:r>
        <w:rPr>
          <w:rFonts w:ascii="Calibri" w:cs="Calibri" w:eastAsia="Calibri" w:hAnsi="Calibri"/>
          <w:i/>
          <w:iCs/>
          <w:sz w:val="21"/>
          <w:szCs w:val="21"/>
        </w:rPr>
        <w:t xml:space="preserve">Trayectoria oficial: https://www.pozuelodealarcon.org/tu-ayuntamiento/organizacion-municipal/trayectoria-profesional-delfina-lafuente-veira</w:t>
      </w:r>
    </w:p>
    <w:p>
      <w:pPr>
        <w:spacing w:after="140" w:line="276"/>
      </w:pPr>
      <w:r>
        <w:rPr>
          <w:rFonts w:ascii="Calibri" w:cs="Calibri" w:eastAsia="Calibri" w:hAnsi="Calibri"/>
          <w:sz w:val="21"/>
          <w:szCs w:val="21"/>
        </w:rPr>
        <w:t xml:space="preserve">Es de quien nace el proyecto. Suya es la pregunta de partida —por qué una administración tiene que comprar dos veces la misma tecnología— y suya es la primera redacción del clausulado. Ha sido además quien lo ha sometido al contraste que ningún documento de consultoría recibe: escuchar a quienes conocen la práctica real de la contratación y recoger sus aportaciones íntegras, también las que obligaban a rehacer lo ya escrito. La versión que se publica existe porque ella hizo eso.</w:t>
      </w:r>
    </w:p>
    <w:p>
      <w:pPr>
        <w:spacing w:after="140" w:line="276"/>
      </w:pPr>
      <w:r>
        <w:rPr>
          <w:rFonts w:ascii="Calibri" w:cs="Calibri" w:eastAsia="Calibri" w:hAnsi="Calibri"/>
          <w:b/>
          <w:bCs/>
          <w:sz w:val="21"/>
          <w:szCs w:val="21"/>
        </w:rPr>
        <w:t xml:space="preserve">Y quien viene después: </w:t>
      </w:r>
      <w:hyperlink w:history="1" r:id="rId1v7srxbqgbmkvhauqqawn">
        <w:r>
          <w:rPr>
            <w:rFonts w:ascii="Calibri" w:cs="Calibri" w:eastAsia="Calibri" w:hAnsi="Calibri"/>
            <w:b/>
            <w:bCs/>
            <w:color w:val="2F5496"/>
            <w:sz w:val="21"/>
            <w:szCs w:val="21"/>
            <w:u w:val="single"/>
          </w:rPr>
          <w:t xml:space="preserve">Luis Garvía Vega</w:t>
        </w:r>
      </w:hyperlink>
      <w:r>
        <w:rPr>
          <w:rFonts w:ascii="Calibri" w:cs="Calibri" w:eastAsia="Calibri" w:hAnsi="Calibri"/>
          <w:sz w:val="21"/>
          <w:szCs w:val="21"/>
        </w:rPr>
        <w:t xml:space="preserve"> — doctor en Finanzas y director del Máster en Gestión de Riesgos Financieros de ICADE (Universidad Pontificia Comillas). No ha participado en este catálogo. Se incorpora al proyecto para preparar, junto con José Antonio Ondiviela, una </w:t>
      </w:r>
      <w:r>
        <w:rPr>
          <w:rFonts w:ascii="Calibri" w:cs="Calibri" w:eastAsia="Calibri" w:hAnsi="Calibri"/>
          <w:b/>
          <w:bCs/>
          <w:sz w:val="21"/>
          <w:szCs w:val="21"/>
        </w:rPr>
        <w:t xml:space="preserve">publicación académica</w:t>
      </w:r>
      <w:r>
        <w:rPr>
          <w:rFonts w:ascii="Calibri" w:cs="Calibri" w:eastAsia="Calibri" w:hAnsi="Calibri"/>
          <w:sz w:val="21"/>
          <w:szCs w:val="21"/>
        </w:rPr>
        <w:t xml:space="preserve"> sobre lo que este trabajo ha dejado ver: que </w:t>
      </w:r>
      <w:r>
        <w:rPr>
          <w:rFonts w:ascii="Calibri" w:cs="Calibri" w:eastAsia="Calibri" w:hAnsi="Calibri"/>
          <w:b/>
          <w:bCs/>
          <w:sz w:val="21"/>
          <w:szCs w:val="21"/>
        </w:rPr>
        <w:t xml:space="preserve">no es un problema de falta de recursos, sino de gestión eficiente de los recursos</w:t>
      </w:r>
      <w:r>
        <w:rPr>
          <w:rFonts w:ascii="Calibri" w:cs="Calibri" w:eastAsia="Calibri" w:hAnsi="Calibri"/>
          <w:sz w:val="21"/>
          <w:szCs w:val="21"/>
        </w:rPr>
        <w:t xml:space="preserve">, y que la eficiencia de la contratación pública condiciona la del conjunto del sector público. Delfina Lafuente y Miguel Ángel Domínguez, que no son académicos, colaborarán en ella aportando el caso y la práctica.</w:t>
      </w:r>
    </w:p>
    <w:p>
      <w:pPr>
        <w:spacing w:after="140" w:line="276"/>
      </w:pPr>
      <w:r>
        <w:rPr>
          <w:rFonts w:ascii="Calibri" w:cs="Calibri" w:eastAsia="Calibri" w:hAnsi="Calibri"/>
          <w:sz w:val="21"/>
          <w:szCs w:val="21"/>
        </w:rPr>
        <w:t xml:space="preserve">Se dice aquí para que se sepa hacia dónde va esto, y con tres precisiones: esa publicación es un </w:t>
      </w:r>
      <w:r>
        <w:rPr>
          <w:rFonts w:ascii="Calibri" w:cs="Calibri" w:eastAsia="Calibri" w:hAnsi="Calibri"/>
          <w:b/>
          <w:bCs/>
          <w:sz w:val="21"/>
          <w:szCs w:val="21"/>
        </w:rPr>
        <w:t xml:space="preserve">trabajo distinto</w:t>
      </w:r>
      <w:r>
        <w:rPr>
          <w:rFonts w:ascii="Calibri" w:cs="Calibri" w:eastAsia="Calibri" w:hAnsi="Calibri"/>
          <w:sz w:val="21"/>
          <w:szCs w:val="21"/>
        </w:rPr>
        <w:t xml:space="preserve"> de este catálogo, se firmará por separado y </w:t>
      </w:r>
      <w:r>
        <w:rPr>
          <w:rFonts w:ascii="Calibri" w:cs="Calibri" w:eastAsia="Calibri" w:hAnsi="Calibri"/>
          <w:b/>
          <w:bCs/>
          <w:sz w:val="21"/>
          <w:szCs w:val="21"/>
        </w:rPr>
        <w:t xml:space="preserve">nada de lo que aquí se afirma depende de ella</w:t>
      </w:r>
      <w:r>
        <w:rPr>
          <w:rFonts w:ascii="Calibri" w:cs="Calibri" w:eastAsia="Calibri" w:hAnsi="Calibri"/>
          <w:sz w:val="21"/>
          <w:szCs w:val="21"/>
        </w:rPr>
        <w:t xml:space="preserve">; y se hará </w:t>
      </w:r>
      <w:r>
        <w:rPr>
          <w:rFonts w:ascii="Calibri" w:cs="Calibri" w:eastAsia="Calibri" w:hAnsi="Calibri"/>
          <w:b/>
          <w:bCs/>
          <w:sz w:val="21"/>
          <w:szCs w:val="21"/>
        </w:rPr>
        <w:t xml:space="preserve">desligada de cualquier administración</w:t>
      </w:r>
      <w:r>
        <w:rPr>
          <w:rFonts w:ascii="Calibri" w:cs="Calibri" w:eastAsia="Calibri" w:hAnsi="Calibri"/>
          <w:sz w:val="21"/>
          <w:szCs w:val="21"/>
        </w:rPr>
        <w:t xml:space="preserv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Hacia dónde va esto: por qué habrá una publicación académica</w:t>
      </w:r>
    </w:p>
    <w:p>
      <w:pPr>
        <w:spacing w:after="140" w:line="276"/>
      </w:pPr>
      <w:r>
        <w:rPr>
          <w:rFonts w:ascii="Calibri" w:cs="Calibri" w:eastAsia="Calibri" w:hAnsi="Calibri"/>
          <w:sz w:val="21"/>
          <w:szCs w:val="21"/>
        </w:rPr>
        <w:t xml:space="preserve">Escribir este catálogo ha dejado a la vista algo más grande que el catálogo, y conviene decirlo aquí, donde se declara todo lo demás.</w:t>
      </w:r>
    </w:p>
    <w:p>
      <w:pPr>
        <w:spacing w:after="140" w:line="276"/>
      </w:pPr>
      <w:r>
        <w:rPr>
          <w:rFonts w:ascii="Calibri" w:cs="Calibri" w:eastAsia="Calibri" w:hAnsi="Calibri"/>
          <w:b/>
          <w:bCs/>
          <w:sz w:val="21"/>
          <w:szCs w:val="21"/>
        </w:rPr>
        <w:t xml:space="preserve">La contratación pública es la principal forma en que el sector público gasta el dinero de todos.</w:t>
      </w:r>
      <w:r>
        <w:rPr>
          <w:rFonts w:ascii="Calibri" w:cs="Calibri" w:eastAsia="Calibri" w:hAnsi="Calibri"/>
          <w:sz w:val="21"/>
          <w:szCs w:val="21"/>
        </w:rPr>
        <w:t xml:space="preserve"> No es un procedimiento administrativo entre otros: una vez dentro de una administración, casi nadie ejecuta el trabajo —se gestiona quién lo ejecuta—. Un ayuntamiento no tiene programadores: contrata empresas que programan. De modo que </w:t>
      </w:r>
      <w:r>
        <w:rPr>
          <w:rFonts w:ascii="Calibri" w:cs="Calibri" w:eastAsia="Calibri" w:hAnsi="Calibri"/>
          <w:b/>
          <w:bCs/>
          <w:sz w:val="21"/>
          <w:szCs w:val="21"/>
        </w:rPr>
        <w:t xml:space="preserve">la eficiencia de la contratación es, en buena medida, la eficiencia del sector público entero</w:t>
      </w:r>
      <w:r>
        <w:rPr>
          <w:rFonts w:ascii="Calibri" w:cs="Calibri" w:eastAsia="Calibri" w:hAnsi="Calibri"/>
          <w:sz w:val="21"/>
          <w:szCs w:val="21"/>
        </w:rPr>
        <w:t xml:space="preserve">, y lo que se pierde ahí no se recupera en ningún otro sitio.</w:t>
      </w:r>
    </w:p>
    <w:p>
      <w:pPr>
        <w:spacing w:after="140" w:line="276"/>
      </w:pPr>
      <w:r>
        <w:rPr>
          <w:rFonts w:ascii="Calibri" w:cs="Calibri" w:eastAsia="Calibri" w:hAnsi="Calibri"/>
          <w:b/>
          <w:bCs/>
          <w:sz w:val="21"/>
          <w:szCs w:val="21"/>
        </w:rPr>
        <w:t xml:space="preserve">Y hay una frase que se repite y que este trabajo desmiente:</w:t>
      </w:r>
      <w:r>
        <w:rPr>
          <w:rFonts w:ascii="Calibri" w:cs="Calibri" w:eastAsia="Calibri" w:hAnsi="Calibri"/>
          <w:sz w:val="21"/>
          <w:szCs w:val="21"/>
        </w:rPr>
        <w:t xml:space="preserve"> «es que no hay recursos». La dicen, por igual y con distinto acento, quien gobierna, quien está en la oposición, quien propone subir impuestos y quien se manifiesta para pedir que se gaste más. Todos coinciden en el diagnóstico, y el diagnóstico está mal. </w:t>
      </w:r>
      <w:r>
        <w:rPr>
          <w:rFonts w:ascii="Calibri" w:cs="Calibri" w:eastAsia="Calibri" w:hAnsi="Calibri"/>
          <w:b/>
          <w:bCs/>
          <w:sz w:val="21"/>
          <w:szCs w:val="21"/>
        </w:rPr>
        <w:t xml:space="preserve">Recursos hay. Lo que falla es la gestión eficiente de esos recursos.</w:t>
      </w:r>
      <w:r>
        <w:rPr>
          <w:rFonts w:ascii="Calibri" w:cs="Calibri" w:eastAsia="Calibri" w:hAnsi="Calibri"/>
          <w:sz w:val="21"/>
          <w:szCs w:val="21"/>
        </w:rPr>
        <w:t xml:space="preserve"> Ésa es la tesis de la publicación, y la razón de hacerla: porque mientras el problema se llame «falta de recursos», la solución que se busca es siempre más dinero, y no es ahí donde está.</w:t>
      </w:r>
    </w:p>
    <w:p>
      <w:pPr>
        <w:spacing w:after="140" w:line="276"/>
      </w:pPr>
      <w:r>
        <w:rPr>
          <w:rFonts w:ascii="Calibri" w:cs="Calibri" w:eastAsia="Calibri" w:hAnsi="Calibri"/>
          <w:sz w:val="21"/>
          <w:szCs w:val="21"/>
        </w:rPr>
        <w:t xml:space="preserve">Lo que este catálogo demuestra en pequeño —que un contrato mal construido paga dos veces la misma tecnología, deja cautiva a la administración y decide la licitación siguiente antes de publicarla— es un caso particular de eso. La publicación llevará el argumento a donde este documento no llega:</w:t>
      </w:r>
    </w:p>
    <w:p>
      <w:pPr>
        <w:pStyle w:val="ListParagraph"/>
        <w:numPr>
          <w:ilvl w:val="0"/>
          <w:numId w:val="1"/>
        </w:numPr>
        <w:spacing w:after="70" w:line="268"/>
      </w:pPr>
      <w:r>
        <w:rPr>
          <w:rFonts w:ascii="Calibri" w:cs="Calibri" w:eastAsia="Calibri" w:hAnsi="Calibri"/>
          <w:b/>
          <w:bCs/>
          <w:sz w:val="21"/>
          <w:szCs w:val="21"/>
        </w:rPr>
        <w:t xml:space="preserve">cómo se gestionan mejor los recursos públicos</w:t>
      </w:r>
      <w:r>
        <w:rPr>
          <w:rFonts w:ascii="Calibri" w:cs="Calibri" w:eastAsia="Calibri" w:hAnsi="Calibri"/>
          <w:sz w:val="21"/>
          <w:szCs w:val="21"/>
        </w:rPr>
        <w:t xml:space="preserve">, más allá de la redacción de una cláusula;</w:t>
      </w:r>
    </w:p>
    <w:p>
      <w:pPr>
        <w:pStyle w:val="ListParagraph"/>
        <w:numPr>
          <w:ilvl w:val="0"/>
          <w:numId w:val="1"/>
        </w:numPr>
        <w:spacing w:after="70" w:line="268"/>
      </w:pPr>
      <w:r>
        <w:rPr>
          <w:rFonts w:ascii="Calibri" w:cs="Calibri" w:eastAsia="Calibri" w:hAnsi="Calibri"/>
          <w:b/>
          <w:bCs/>
          <w:sz w:val="21"/>
          <w:szCs w:val="21"/>
        </w:rPr>
        <w:t xml:space="preserve">qué permite hoy la tecnología</w:t>
      </w:r>
      <w:r>
        <w:rPr>
          <w:rFonts w:ascii="Calibri" w:cs="Calibri" w:eastAsia="Calibri" w:hAnsi="Calibri"/>
          <w:sz w:val="21"/>
          <w:szCs w:val="21"/>
        </w:rPr>
        <w:t xml:space="preserve"> que hace cinco años no permitía —supervisión y análisis del dato en tiempo real, asistentes con memoria del expediente— y que cambia lo que es razonable exigir;</w:t>
      </w:r>
    </w:p>
    <w:p>
      <w:pPr>
        <w:pStyle w:val="ListParagraph"/>
        <w:numPr>
          <w:ilvl w:val="0"/>
          <w:numId w:val="1"/>
        </w:numPr>
        <w:spacing w:after="70" w:line="268"/>
      </w:pPr>
      <w:r>
        <w:rPr>
          <w:rFonts w:ascii="Calibri" w:cs="Calibri" w:eastAsia="Calibri" w:hAnsi="Calibri"/>
          <w:sz w:val="21"/>
          <w:szCs w:val="21"/>
        </w:rPr>
        <w:t xml:space="preserve">y </w:t>
      </w:r>
      <w:r>
        <w:rPr>
          <w:rFonts w:ascii="Calibri" w:cs="Calibri" w:eastAsia="Calibri" w:hAnsi="Calibri"/>
          <w:b/>
          <w:bCs/>
          <w:sz w:val="21"/>
          <w:szCs w:val="21"/>
        </w:rPr>
        <w:t xml:space="preserve">el código abierto como política de compra pública</w:t>
      </w:r>
      <w:r>
        <w:rPr>
          <w:rFonts w:ascii="Calibri" w:cs="Calibri" w:eastAsia="Calibri" w:hAnsi="Calibri"/>
          <w:sz w:val="21"/>
          <w:szCs w:val="21"/>
        </w:rPr>
        <w:t xml:space="preserve">: que miles de entidades locales no tengan que contratar por separado, y pagar por separado, exactamente la misma pieza de software, pudiendo compartirla y mejorarla entre todas. Este catálogo se publica así a propósito: es la primera aplicación de lo que la publicación defenderá.</w:t>
      </w:r>
    </w:p>
    <w:p>
      <w:pPr>
        <w:spacing w:after="140" w:line="276"/>
      </w:pPr>
      <w:r>
        <w:rPr>
          <w:rFonts w:ascii="Calibri" w:cs="Calibri" w:eastAsia="Calibri" w:hAnsi="Calibri"/>
          <w:b/>
          <w:bCs/>
          <w:sz w:val="21"/>
          <w:szCs w:val="21"/>
        </w:rPr>
        <w:t xml:space="preserve">El objetivo declarado, en una frase.</w:t>
      </w:r>
      <w:r>
        <w:rPr>
          <w:rFonts w:ascii="Calibri" w:cs="Calibri" w:eastAsia="Calibri" w:hAnsi="Calibri"/>
          <w:sz w:val="21"/>
          <w:szCs w:val="21"/>
        </w:rPr>
        <w:t xml:space="preserve"> Que mejorar la eficiencia del sector público a través de mejores prácticas de contratación sirva para mejorar la situación del país y de Europa. Descansa sobre tres ideas, que la publicación desarrollará y este catálogo sólo roza:</w:t>
      </w:r>
    </w:p>
    <w:p>
      <w:pPr>
        <w:pStyle w:val="ListParagraph"/>
        <w:numPr>
          <w:ilvl w:val="0"/>
          <w:numId w:val="1"/>
        </w:numPr>
        <w:spacing w:after="70" w:line="268"/>
      </w:pPr>
      <w:r>
        <w:rPr>
          <w:rFonts w:ascii="Calibri" w:cs="Calibri" w:eastAsia="Calibri" w:hAnsi="Calibri"/>
          <w:b/>
          <w:bCs/>
          <w:sz w:val="21"/>
          <w:szCs w:val="21"/>
        </w:rPr>
        <w:t xml:space="preserve">Soberanía tecnológica.</w:t>
      </w:r>
      <w:r>
        <w:rPr>
          <w:rFonts w:ascii="Calibri" w:cs="Calibri" w:eastAsia="Calibri" w:hAnsi="Calibri"/>
          <w:sz w:val="21"/>
          <w:szCs w:val="21"/>
        </w:rPr>
        <w:t xml:space="preserve"> Que una administración pueda decidir sobre sus datos, sus desarrollos y su capacidad de cambiar de proveedor, en lugar de que lo decida por ella el contrato que firmó.</w:t>
      </w:r>
    </w:p>
    <w:p>
      <w:pPr>
        <w:pStyle w:val="ListParagraph"/>
        <w:numPr>
          <w:ilvl w:val="0"/>
          <w:numId w:val="1"/>
        </w:numPr>
        <w:spacing w:after="70" w:line="268"/>
      </w:pPr>
      <w:r>
        <w:rPr>
          <w:rFonts w:ascii="Calibri" w:cs="Calibri" w:eastAsia="Calibri" w:hAnsi="Calibri"/>
          <w:b/>
          <w:bCs/>
          <w:sz w:val="21"/>
          <w:szCs w:val="21"/>
        </w:rPr>
        <w:t xml:space="preserve">Usar de verdad la tecnología disponible</w:t>
      </w:r>
      <w:r>
        <w:rPr>
          <w:rFonts w:ascii="Calibri" w:cs="Calibri" w:eastAsia="Calibri" w:hAnsi="Calibri"/>
          <w:sz w:val="21"/>
          <w:szCs w:val="21"/>
        </w:rPr>
        <w:t xml:space="preserve"> para los problemas grandes —los que hoy se responden con más presupuesto y más plantilla—, en lugar de comprar en 2026 lo que ya era el estado del arte en 2021.</w:t>
      </w:r>
    </w:p>
    <w:p>
      <w:pPr>
        <w:pStyle w:val="ListParagraph"/>
        <w:numPr>
          <w:ilvl w:val="0"/>
          <w:numId w:val="1"/>
        </w:numPr>
        <w:spacing w:after="70" w:line="268"/>
      </w:pPr>
      <w:r>
        <w:rPr>
          <w:rFonts w:ascii="Calibri" w:cs="Calibri" w:eastAsia="Calibri" w:hAnsi="Calibri"/>
          <w:b/>
          <w:bCs/>
          <w:sz w:val="21"/>
          <w:szCs w:val="21"/>
        </w:rPr>
        <w:t xml:space="preserve">Atacar la ineficiencia que ya existe</w:t>
      </w:r>
      <w:r>
        <w:rPr>
          <w:rFonts w:ascii="Calibri" w:cs="Calibri" w:eastAsia="Calibri" w:hAnsi="Calibri"/>
          <w:sz w:val="21"/>
          <w:szCs w:val="21"/>
        </w:rPr>
        <w:t xml:space="preserve">, hoy, con los recursos que ya hay, que es donde está el dinero que se pierde sin que nadie lo contabilice como pérdida.</w:t>
      </w:r>
    </w:p>
    <w:p>
      <w:pPr>
        <w:spacing w:after="140" w:line="276"/>
      </w:pPr>
      <w:r>
        <w:rPr>
          <w:rFonts w:ascii="Calibri" w:cs="Calibri" w:eastAsia="Calibri" w:hAnsi="Calibri"/>
          <w:sz w:val="21"/>
          <w:szCs w:val="21"/>
        </w:rPr>
        <w:t xml:space="preserve">Conviene una precisión, porque afecta a cómo debe leerse el articulado: </w:t>
      </w:r>
      <w:r>
        <w:rPr>
          <w:rFonts w:ascii="Calibri" w:cs="Calibri" w:eastAsia="Calibri" w:hAnsi="Calibri"/>
          <w:b/>
          <w:bCs/>
          <w:sz w:val="21"/>
          <w:szCs w:val="21"/>
        </w:rPr>
        <w:t xml:space="preserve">eso es el objetivo de la publicación, no una exigencia de este catálogo</w:t>
      </w:r>
      <w:r>
        <w:rPr>
          <w:rFonts w:ascii="Calibri" w:cs="Calibri" w:eastAsia="Calibri" w:hAnsi="Calibri"/>
          <w:sz w:val="21"/>
          <w:szCs w:val="21"/>
        </w:rPr>
        <w:t xml:space="preserve">. Ninguna cláusula de las que siguen impone una tecnología, una red ni una infraestructura concretas —el articulado lo prohíbe expresamente y esa prohibición se explica en la Parte IV, §M7.3—. La soberanía tecnológica se busca aquí por la vía que no distorsiona la competencia: propiedad de los datos, reversibilidad y salida ordenada.</w:t>
      </w:r>
    </w:p>
    <w:p>
      <w:pPr>
        <w:spacing w:after="140" w:line="276"/>
      </w:pPr>
      <w:r>
        <w:rPr>
          <w:rFonts w:ascii="Calibri" w:cs="Calibri" w:eastAsia="Calibri" w:hAnsi="Calibri"/>
          <w:b/>
          <w:bCs/>
          <w:sz w:val="21"/>
          <w:szCs w:val="21"/>
        </w:rPr>
        <w:t xml:space="preserve">Por qué se dice aquí y no se guarda.</w:t>
      </w:r>
      <w:r>
        <w:rPr>
          <w:rFonts w:ascii="Calibri" w:cs="Calibri" w:eastAsia="Calibri" w:hAnsi="Calibri"/>
          <w:sz w:val="21"/>
          <w:szCs w:val="21"/>
        </w:rPr>
        <w:t xml:space="preserve"> Porque quien lea este catálogo tiene derecho a saber qué persigue quien lo escribe. No hay ánimo de lucro, no hay encargo detrás y no se pide nada a cambio: lo que hay es la convicción de que esto se puede hacer mejor, y la intención de sostenerla con un trabajo académico que resista el contraste. Si esa publicación termina existiendo, se firmará por separado y no cambiará ni una línea de lo que aquí se afirma.</w:t>
      </w:r>
    </w:p>
    <w:p>
      <w:pPr>
        <w:pBdr>
          <w:bottom w:val="single" w:color="D0D0D0" w:sz="6"/>
        </w:pBdr>
        <w:spacing w:after="200" w:before="120"/>
      </w:pPr>
    </w:p>
    <w:p>
      <w:pPr>
        <w:spacing w:after="140" w:line="276"/>
      </w:pPr>
      <w:r>
        <w:rPr>
          <w:rFonts w:ascii="Calibri" w:cs="Calibri" w:eastAsia="Calibri" w:hAnsi="Calibri"/>
          <w:b/>
          <w:bCs/>
          <w:sz w:val="21"/>
          <w:szCs w:val="21"/>
        </w:rPr>
        <w:t xml:space="preserve">Reconocimiento a los servicios técnicos municipales.</w:t>
      </w:r>
      <w:r>
        <w:rPr>
          <w:rFonts w:ascii="Calibri" w:cs="Calibri" w:eastAsia="Calibri" w:hAnsi="Calibri"/>
          <w:sz w:val="21"/>
          <w:szCs w:val="21"/>
        </w:rPr>
        <w:t xml:space="preserve"> Este catálogo no habría tomado esta forma sin el trabajo de los servicios técnicos municipales de la entidad de la que nace: suyos son el contraste con la práctica real de la contratación y la lectura crítica de los borradores, y ambos han cambiado el documento. Se les reconoce aquí, de forma colectiva, el poner de manifiesto la necesidad de abordar de forma concreta la dificultad de recoger en un pliego la acelerada evolución de las tecnologías de inteligencia artificial. Sus aportaciones han sido voluntarias, desinteresadas y orientadas al interés general, destinadas a facilitar a las Administraciones Públicas la incorporación de mecanismos contractuales adecuados para afrontar los desafíos presentes y futuros derivados de dichas tecnologías. La omisión de sus nombres no significa que no existieran; significa exactamente lo contrario.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Qué es y qué no es este documento, en términos institucionales</w:t>
      </w:r>
    </w:p>
    <w:p>
      <w:pPr>
        <w:spacing w:after="140" w:line="276"/>
      </w:pPr>
      <w:r>
        <w:rPr>
          <w:rFonts w:ascii="Calibri" w:cs="Calibri" w:eastAsia="Calibri" w:hAnsi="Calibri"/>
          <w:sz w:val="21"/>
          <w:szCs w:val="21"/>
        </w:rPr>
        <w:t xml:space="preserve">Conviene decirlo antes que nada, y con precisión, porque de ello depende que nadie lo cite mal:</w:t>
      </w:r>
    </w:p>
    <w:p>
      <w:pPr>
        <w:spacing w:after="140" w:line="276"/>
      </w:pPr>
      <w:r>
        <w:rPr>
          <w:rFonts w:ascii="Calibri" w:cs="Calibri" w:eastAsia="Calibri" w:hAnsi="Calibri"/>
          <w:b/>
          <w:bCs/>
          <w:sz w:val="21"/>
          <w:szCs w:val="21"/>
        </w:rPr>
        <w:t xml:space="preserve">Este documento no es un documento oficial de ninguna administración.</w:t>
      </w:r>
      <w:r>
        <w:rPr>
          <w:rFonts w:ascii="Calibri" w:cs="Calibri" w:eastAsia="Calibri" w:hAnsi="Calibri"/>
          <w:sz w:val="21"/>
          <w:szCs w:val="21"/>
        </w:rPr>
        <w:t xml:space="preserve"> No ha sido aprobado por ningún órgano municipal, autonómico ni estatal, no vincula a ninguna entidad, no forma parte de ningún expediente y no expresa la posición de ninguna Corporación. Es un trabajo profesional de las personas que lo firman, a título particular; quienes ejercen un cargo o un puesto público lo hacen aquí a título personal.</w:t>
      </w:r>
    </w:p>
    <w:p>
      <w:pPr>
        <w:spacing w:after="140" w:line="276"/>
      </w:pPr>
      <w:r>
        <w:rPr>
          <w:rFonts w:ascii="Calibri" w:cs="Calibri" w:eastAsia="Calibri" w:hAnsi="Calibri"/>
          <w:b/>
          <w:bCs/>
          <w:sz w:val="21"/>
          <w:szCs w:val="21"/>
        </w:rPr>
        <w:t xml:space="preserve">Lo que sí es cierto, y es lo que le da valor:</w:t>
      </w:r>
      <w:r>
        <w:rPr>
          <w:rFonts w:ascii="Calibri" w:cs="Calibri" w:eastAsia="Calibri" w:hAnsi="Calibri"/>
          <w:sz w:val="21"/>
          <w:szCs w:val="21"/>
        </w:rPr>
        <w:t xml:space="preserve"> el clausulado nace de un problema real de gestión municipal, y su Parte IV empieza por nombrar </w:t>
      </w:r>
      <w:r>
        <w:rPr>
          <w:rFonts w:ascii="Calibri" w:cs="Calibri" w:eastAsia="Calibri" w:hAnsi="Calibri"/>
          <w:b/>
          <w:bCs/>
          <w:sz w:val="21"/>
          <w:szCs w:val="21"/>
        </w:rPr>
        <w:t xml:space="preserve">las cuatro dificultades</w:t>
      </w:r>
      <w:r>
        <w:rPr>
          <w:rFonts w:ascii="Calibri" w:cs="Calibri" w:eastAsia="Calibri" w:hAnsi="Calibri"/>
          <w:sz w:val="21"/>
          <w:szCs w:val="21"/>
        </w:rPr>
        <w:t xml:space="preserve"> que quienes lo han trabajado han observado que suceden de verdad en la contratación pública (§M1.1) — que la necesidad todavía no la demanda el gestor; que el seguimiento real de los contratos es escaso y sólo mira el gasto; que el grado de abstracción es alto; y que hay muchos actores, y no sólo propios, que no han visto antes estas exigencias. Esas cuatro son las que han dado forma a esta versión: sin ellas no existirían ni la doble vía de firma de la ficha, ni la exigencia de acuerdo del órgano de gobierno, ni el subconjunto mínimo de seis cláusulas para un primer expediente. Un catálogo que no las nombre las encontrará igualmente el día que se aplique, y eso es lo que lo distingue de un clausulado de despacho.</w:t>
      </w:r>
    </w:p>
    <w:p>
      <w:pPr>
        <w:spacing w:after="140" w:line="276"/>
      </w:pPr>
      <w:r>
        <w:rPr>
          <w:rFonts w:ascii="Calibri" w:cs="Calibri" w:eastAsia="Calibri" w:hAnsi="Calibri"/>
          <w:b/>
          <w:bCs/>
          <w:sz w:val="21"/>
          <w:szCs w:val="21"/>
        </w:rPr>
        <w:t xml:space="preserve">Lo que expresamente no es cierto, y conviene decirlo para que nadie lo deduzca:</w:t>
      </w:r>
      <w:r>
        <w:rPr>
          <w:rFonts w:ascii="Calibri" w:cs="Calibri" w:eastAsia="Calibri" w:hAnsi="Calibri"/>
          <w:sz w:val="21"/>
          <w:szCs w:val="21"/>
        </w:rPr>
        <w:t xml:space="preserve"> ningún órgano de contratación, de intervención ni de asesoría jurídica de ninguna administración se ha pronunciado sobre este catálogo. Este documento no les atribuye posición alguna, ni a favor ni en contra, y el ejemplo trabajado de la Parte VI es un </w:t>
      </w:r>
      <w:r>
        <w:rPr>
          <w:rFonts w:ascii="Calibri" w:cs="Calibri" w:eastAsia="Calibri" w:hAnsi="Calibri"/>
          <w:b/>
          <w:bCs/>
          <w:sz w:val="21"/>
          <w:szCs w:val="21"/>
        </w:rPr>
        <w:t xml:space="preserve">expediente simulado</w:t>
      </w:r>
      <w:r>
        <w:rPr>
          <w:rFonts w:ascii="Calibri" w:cs="Calibri" w:eastAsia="Calibri" w:hAnsi="Calibri"/>
          <w:sz w:val="21"/>
          <w:szCs w:val="21"/>
        </w:rPr>
        <w:t xml:space="preserve"> que no corresponde a ninguna licitación real, en curso o en preparación.</w:t>
      </w:r>
    </w:p>
    <w:p>
      <w:pPr>
        <w:spacing w:after="140" w:line="276"/>
      </w:pPr>
      <w:r>
        <w:rPr>
          <w:rFonts w:ascii="Calibri" w:cs="Calibri" w:eastAsia="Calibri" w:hAnsi="Calibri"/>
          <w:b/>
          <w:bCs/>
          <w:sz w:val="21"/>
          <w:szCs w:val="21"/>
        </w:rPr>
        <w:t xml:space="preserve">Y lo que está pendiente, dicho por el propio documento:</w:t>
      </w:r>
      <w:r>
        <w:rPr>
          <w:rFonts w:ascii="Calibri" w:cs="Calibri" w:eastAsia="Calibri" w:hAnsi="Calibri"/>
          <w:sz w:val="21"/>
          <w:szCs w:val="21"/>
        </w:rPr>
        <w:t xml:space="preserve"> la memoria justificativa de la Parte IV enumera las condiciones que aún no se cumplen —entre ellas, que las declaraciones de conflicto de interés no están firmadas y que el contraste de mercado no se ha realizado—. Mientras no se cumplan, el catálogo es una propuesta técnica publicada para el debate, no un instrumento listo para incorporarse a un expediente sin más trámite.</w:t>
      </w:r>
    </w:p>
    <w:p>
      <w:pPr>
        <w:spacing w:after="140" w:line="276"/>
      </w:pPr>
      <w:r>
        <w:rPr>
          <w:rFonts w:ascii="Calibri" w:cs="Calibri" w:eastAsia="Calibri" w:hAnsi="Calibri"/>
          <w:sz w:val="21"/>
          <w:szCs w:val="21"/>
        </w:rPr>
        <w:t xml:space="preserve">Quien informe sobre este trabajo hará bien en no escribir que un ayuntamiento ha aprobado nada.</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Declaración de uso de inteligencia artificial</w:t>
      </w:r>
    </w:p>
    <w:p>
      <w:pPr>
        <w:spacing w:after="140" w:line="276"/>
      </w:pPr>
      <w:r>
        <w:rPr>
          <w:rFonts w:ascii="Calibri" w:cs="Calibri" w:eastAsia="Calibri" w:hAnsi="Calibri"/>
          <w:b/>
          <w:bCs/>
          <w:sz w:val="21"/>
          <w:szCs w:val="21"/>
        </w:rPr>
        <w:t xml:space="preserve">En la elaboración de este documento se han utilizado sistemas de inteligencia artificial.</w:t>
      </w:r>
    </w:p>
    <w:p>
      <w:pPr>
        <w:spacing w:after="140" w:line="276"/>
      </w:pPr>
      <w:r>
        <w:rPr>
          <w:rFonts w:ascii="Calibri" w:cs="Calibri" w:eastAsia="Calibri" w:hAnsi="Calibri"/>
          <w:sz w:val="21"/>
          <w:szCs w:val="21"/>
        </w:rPr>
        <w:t xml:space="preserve">Se declara de forma expresa, y conviene decir por qué, porque no es una obligación en este caso. El artículo 50.4, párrafo segundo, del Reglamento (UE) 2024/1689 —aplicable desde el 2 de agosto de 2026— obliga a divulgar el uso de IA cuando se publica texto generado o manipulado artificialmente «con el fin de informar al público sobre asuntos de interés público», pero exime de hacerlo «cuando el contenido generado por IA haya sido sometido a un proceso de revisión humana o de control editorial y cuando una persona física o jurídica tenga la responsabilidad editorial por la publicación del contenido». Aquí concurren ambas cosas. La divulgación es, por tanto, voluntaria.</w:t>
      </w:r>
    </w:p>
    <w:p>
      <w:pPr>
        <w:spacing w:after="140" w:line="276"/>
      </w:pPr>
      <w:r>
        <w:rPr>
          <w:rFonts w:ascii="Calibri" w:cs="Calibri" w:eastAsia="Calibri" w:hAnsi="Calibri"/>
          <w:sz w:val="21"/>
          <w:szCs w:val="21"/>
        </w:rPr>
        <w:t xml:space="preserve">Se hace igualmente por una razón sencilla: un documento que exige a los adjudicatarios trazabilidad, supervisión humana y transparencia en el uso de la inteligencia artificial no puede ocultarla en sí mismo. Lo que se pide en las cláusulas se practica en el documento que las contiene.</w:t>
      </w:r>
    </w:p>
    <w:p>
      <w:pPr>
        <w:spacing w:after="140" w:line="276"/>
      </w:pPr>
      <w:r>
        <w:rPr>
          <w:rFonts w:ascii="Calibri" w:cs="Calibri" w:eastAsia="Calibri" w:hAnsi="Calibri"/>
          <w:b/>
          <w:bCs/>
          <w:sz w:val="21"/>
          <w:szCs w:val="21"/>
        </w:rPr>
        <w:t xml:space="preserve">Qué sistema se ha usado.</w:t>
      </w:r>
      <w:r>
        <w:rPr>
          <w:rFonts w:ascii="Calibri" w:cs="Calibri" w:eastAsia="Calibri" w:hAnsi="Calibri"/>
          <w:sz w:val="21"/>
          <w:szCs w:val="21"/>
        </w:rPr>
        <w:t xml:space="preserve"> El clon digital —</w:t>
      </w:r>
      <w:r>
        <w:rPr>
          <w:rFonts w:ascii="Calibri" w:cs="Calibri" w:eastAsia="Calibri" w:hAnsi="Calibri"/>
          <w:i/>
          <w:iCs/>
          <w:sz w:val="21"/>
          <w:szCs w:val="21"/>
        </w:rPr>
        <w:t xml:space="preserve">second brain</w:t>
      </w:r>
      <w:r>
        <w:rPr>
          <w:rFonts w:ascii="Calibri" w:cs="Calibri" w:eastAsia="Calibri" w:hAnsi="Calibri"/>
          <w:sz w:val="21"/>
          <w:szCs w:val="21"/>
        </w:rPr>
        <w:t xml:space="preserve">— de Miguel Ángel Domínguez: un sistema de agentes de IA con memoria persistente del contexto de sus proyectos, sus interlocutores y sus decisiones, construido y operado por él. Su aportación ha sido determinante y conviene ser preciso sobre en qué:</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Tarea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Aportación del sistema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Recuperación del material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Reunir y cruzar dos años de conversaciones, correos y versiones documentales dispersas para reconstruir qué se había decidido, cuándo y por quién — incluidas las dificultades que estaban anotadas al final de un documento de trabajo y no en ningún informe.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Investigación jurídica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Localizar y leer la doctrina de los tribunales administrativos de recursos contractuales, los informes de las juntas consultivas y el articulado aplicable, sobre ocho frentes en paralelo.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Verificación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Descargar cada resolución citada y comprobar dentro del documento original que dice lo que se le atribuye.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Crítica adversarial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Someter cada versión al criterio simulado de un tribunal administrativo de recursos contractuales, del abogado de un licitador excluido, de un órgano de control interno, de quien redacta pliegos, de un lector no experto y de un periodista, y reescribir con sus objeciones.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Redacción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Producir los borradores de todas las partes del documento a partir de la arquitectura y de las decisiones acordadas.</w:t>
            </w:r>
          </w:p>
        </w:tc>
      </w:tr>
    </w:tbl>
    <w:p>
      <w:pPr>
        <w:spacing w:after="200"/>
      </w:pPr>
    </w:p>
    <w:p>
      <w:pPr>
        <w:spacing w:after="140" w:line="276"/>
      </w:pPr>
      <w:r>
        <w:rPr>
          <w:rFonts w:ascii="Calibri" w:cs="Calibri" w:eastAsia="Calibri" w:hAnsi="Calibri"/>
          <w:b/>
          <w:bCs/>
          <w:sz w:val="21"/>
          <w:szCs w:val="21"/>
        </w:rPr>
        <w:t xml:space="preserve">Qué han hecho las personas, y no la máquina.</w:t>
      </w:r>
      <w:r>
        <w:rPr>
          <w:rFonts w:ascii="Calibri" w:cs="Calibri" w:eastAsia="Calibri" w:hAnsi="Calibri"/>
          <w:sz w:val="21"/>
          <w:szCs w:val="21"/>
        </w:rPr>
        <w:t xml:space="preserve"> La pregunta de partida. Las decisiones de diseño y de encaje jurídico. El criterio sobre qué exigencia es proporcionada y cuál no. La renuncia expresa a prometer que el clausulado es inanulable. La decisión de publicar en abierto. Y la responsabilidad editorial y jurídica de todo lo que aquí se afirma.</w:t>
      </w:r>
    </w:p>
    <w:p>
      <w:pPr>
        <w:spacing w:after="140" w:line="276"/>
      </w:pPr>
      <w:r>
        <w:rPr>
          <w:rFonts w:ascii="Calibri" w:cs="Calibri" w:eastAsia="Calibri" w:hAnsi="Calibri"/>
          <w:b/>
          <w:bCs/>
          <w:sz w:val="21"/>
          <w:szCs w:val="21"/>
        </w:rPr>
        <w:t xml:space="preserve">Cómo se ha controlado.</w:t>
      </w:r>
      <w:r>
        <w:rPr>
          <w:rFonts w:ascii="Calibri" w:cs="Calibri" w:eastAsia="Calibri" w:hAnsi="Calibri"/>
          <w:sz w:val="21"/>
          <w:szCs w:val="21"/>
        </w:rPr>
        <w:t xml:space="preserve"> Toda referencia normativa o de doctrina se ha comprobado en su fuente primaria: se descargó el documento original y se localizó dentro de él la cita literal atribuida. Ese control detectó y corrigió tres errores materiales antes de publicar —una resolución desestimatoria presentada como si avalara el criterio del documento, un calendario normativo europeo que había dejado de ser cierto, y una figura jurídica invocada con un fundamento que no la sostenía—. Cuando algo no ha podido verificarse, se dice expresamente en lugar de omitirlo.</w:t>
      </w:r>
    </w:p>
    <w:p>
      <w:pPr>
        <w:spacing w:after="140" w:line="276"/>
      </w:pPr>
      <w:r>
        <w:rPr>
          <w:rFonts w:ascii="Calibri" w:cs="Calibri" w:eastAsia="Calibri" w:hAnsi="Calibri"/>
          <w:b/>
          <w:bCs/>
          <w:sz w:val="21"/>
          <w:szCs w:val="21"/>
        </w:rPr>
        <w:t xml:space="preserve">Lo que no se ha hecho.</w:t>
      </w:r>
      <w:r>
        <w:rPr>
          <w:rFonts w:ascii="Calibri" w:cs="Calibri" w:eastAsia="Calibri" w:hAnsi="Calibri"/>
          <w:sz w:val="21"/>
          <w:szCs w:val="21"/>
        </w:rPr>
        <w:t xml:space="preserve"> No se ha dado por buena ninguna cita por el hecho de que un sistema de IA la propusiera. No se ha publicado ninguna afirmación jurídica sin el precepto o la resolución delante. Y no se ha usado la inteligencia artificial para decidir nada de lo que este documento afirma: para eso están las personas que lo firman.</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Cómo debe usarse este documento</w:t>
      </w:r>
    </w:p>
    <w:p>
      <w:pPr>
        <w:spacing w:after="140" w:line="276"/>
      </w:pPr>
      <w:r>
        <w:rPr>
          <w:rFonts w:ascii="Calibri" w:cs="Calibri" w:eastAsia="Calibri" w:hAnsi="Calibri"/>
          <w:b/>
          <w:bCs/>
          <w:sz w:val="21"/>
          <w:szCs w:val="21"/>
        </w:rPr>
        <w:t xml:space="preserve">Léase. Entiéndase. Y sólo entonces adáptese.</w:t>
      </w:r>
    </w:p>
    <w:p>
      <w:pPr>
        <w:spacing w:after="140" w:line="276"/>
      </w:pPr>
      <w:r>
        <w:rPr>
          <w:rFonts w:ascii="Calibri" w:cs="Calibri" w:eastAsia="Calibri" w:hAnsi="Calibri"/>
          <w:sz w:val="21"/>
          <w:szCs w:val="21"/>
        </w:rPr>
        <w:t xml:space="preserve">Este material se publica </w:t>
      </w:r>
      <w:r>
        <w:rPr>
          <w:rFonts w:ascii="Calibri" w:cs="Calibri" w:eastAsia="Calibri" w:hAnsi="Calibri"/>
          <w:i/>
          <w:iCs/>
          <w:sz w:val="21"/>
          <w:szCs w:val="21"/>
        </w:rPr>
        <w:t xml:space="preserve">tal cual</w:t>
      </w:r>
      <w:r>
        <w:rPr>
          <w:rFonts w:ascii="Calibri" w:cs="Calibri" w:eastAsia="Calibri" w:hAnsi="Calibri"/>
          <w:sz w:val="21"/>
          <w:szCs w:val="21"/>
        </w:rPr>
        <w:t xml:space="preserve"> (</w:t>
      </w:r>
      <w:r>
        <w:rPr>
          <w:rFonts w:ascii="Calibri" w:cs="Calibri" w:eastAsia="Calibri" w:hAnsi="Calibri"/>
          <w:b/>
          <w:bCs/>
          <w:sz w:val="21"/>
          <w:szCs w:val="21"/>
        </w:rPr>
        <w:t xml:space="preserve">as is</w:t>
      </w:r>
      <w:r>
        <w:rPr>
          <w:rFonts w:ascii="Calibri" w:cs="Calibri" w:eastAsia="Calibri" w:hAnsi="Calibri"/>
          <w:sz w:val="21"/>
          <w:szCs w:val="21"/>
        </w:rPr>
        <w:t xml:space="preserve">), sin garantía de ningún tipo, y su uso corresponde enteramente a quien lo utiliza. No es asesoramiento legal, no sustituye a los informes preceptivos de ninguna administración y no crea relación profesional alguna con sus autores.</w:t>
      </w:r>
    </w:p>
    <w:p>
      <w:pPr>
        <w:spacing w:after="140" w:line="276"/>
      </w:pPr>
      <w:r>
        <w:rPr>
          <w:rFonts w:ascii="Calibri" w:cs="Calibri" w:eastAsia="Calibri" w:hAnsi="Calibri"/>
          <w:sz w:val="21"/>
          <w:szCs w:val="21"/>
        </w:rPr>
        <w:t xml:space="preserve">La recomendación de uso es explícita y va en serio: </w:t>
      </w:r>
      <w:r>
        <w:rPr>
          <w:rFonts w:ascii="Calibri" w:cs="Calibri" w:eastAsia="Calibri" w:hAnsi="Calibri"/>
          <w:b/>
          <w:bCs/>
          <w:sz w:val="21"/>
          <w:szCs w:val="21"/>
        </w:rPr>
        <w:t xml:space="preserve">no copie sin entender</w:t>
      </w:r>
      <w:r>
        <w:rPr>
          <w:rFonts w:ascii="Calibri" w:cs="Calibri" w:eastAsia="Calibri" w:hAnsi="Calibri"/>
          <w:sz w:val="21"/>
          <w:szCs w:val="21"/>
        </w:rPr>
        <w:t xml:space="preserve">. No por prudencia formal, sino porque copiar sin entender produce exactamente el daño que este documento trata de evitar:</w:t>
      </w:r>
    </w:p>
    <w:p>
      <w:pPr>
        <w:pStyle w:val="ListParagraph"/>
        <w:numPr>
          <w:ilvl w:val="0"/>
          <w:numId w:val="1"/>
        </w:numPr>
        <w:spacing w:after="70" w:line="268"/>
      </w:pPr>
      <w:r>
        <w:rPr>
          <w:rFonts w:ascii="Calibri" w:cs="Calibri" w:eastAsia="Calibri" w:hAnsi="Calibri"/>
          <w:b/>
          <w:bCs/>
          <w:sz w:val="21"/>
          <w:szCs w:val="21"/>
        </w:rPr>
        <w:t xml:space="preserve">Una cláusula copiada sin necesidad acreditada no protege: añade un motivo de recurso.</w:t>
      </w:r>
      <w:r>
        <w:rPr>
          <w:rFonts w:ascii="Calibri" w:cs="Calibri" w:eastAsia="Calibri" w:hAnsi="Calibri"/>
          <w:sz w:val="21"/>
          <w:szCs w:val="21"/>
        </w:rPr>
        <w:t xml:space="preserve"> La justificación de cada exigencia no vive en este catálogo, vive en la memoria justificativa del expediente que la incorpora. Y no se puede completar después, cuando llegue el recurso.</w:t>
      </w:r>
    </w:p>
    <w:p>
      <w:pPr>
        <w:pStyle w:val="ListParagraph"/>
        <w:numPr>
          <w:ilvl w:val="0"/>
          <w:numId w:val="1"/>
        </w:numPr>
        <w:spacing w:after="70" w:line="268"/>
      </w:pPr>
      <w:r>
        <w:rPr>
          <w:rFonts w:ascii="Calibri" w:cs="Calibri" w:eastAsia="Calibri" w:hAnsi="Calibri"/>
          <w:b/>
          <w:bCs/>
          <w:sz w:val="21"/>
          <w:szCs w:val="21"/>
        </w:rPr>
        <w:t xml:space="preserve">Una exigencia copiada sin contrastar con el mercado no es más ambiciosa: es más restrictiva.</w:t>
      </w:r>
      <w:r>
        <w:rPr>
          <w:rFonts w:ascii="Calibri" w:cs="Calibri" w:eastAsia="Calibri" w:hAnsi="Calibri"/>
          <w:sz w:val="21"/>
          <w:szCs w:val="21"/>
        </w:rPr>
        <w:t xml:space="preserve"> Si ningún proveedor del sector puede cumplirla en el plazo previsto, reduce la concurrencia o genera un incumplimiento generalizado desde el primer año.</w:t>
      </w:r>
    </w:p>
    <w:p>
      <w:pPr>
        <w:pStyle w:val="ListParagraph"/>
        <w:numPr>
          <w:ilvl w:val="0"/>
          <w:numId w:val="1"/>
        </w:numPr>
        <w:spacing w:after="70" w:line="268"/>
      </w:pPr>
      <w:r>
        <w:rPr>
          <w:rFonts w:ascii="Calibri" w:cs="Calibri" w:eastAsia="Calibri" w:hAnsi="Calibri"/>
          <w:b/>
          <w:bCs/>
          <w:sz w:val="21"/>
          <w:szCs w:val="21"/>
        </w:rPr>
        <w:t xml:space="preserve">Una obligación copiada sin nadie que la verifique es peor que no tenerla.</w:t>
      </w:r>
      <w:r>
        <w:rPr>
          <w:rFonts w:ascii="Calibri" w:cs="Calibri" w:eastAsia="Calibri" w:hAnsi="Calibri"/>
          <w:sz w:val="21"/>
          <w:szCs w:val="21"/>
        </w:rPr>
        <w:t xml:space="preserve"> Crea una apariencia de control que después no se ejerce, y la primera vez que haya que exigirla se descubrirá que nunca se comprobó.</w:t>
      </w:r>
    </w:p>
    <w:p>
      <w:pPr>
        <w:pStyle w:val="ListParagraph"/>
        <w:numPr>
          <w:ilvl w:val="0"/>
          <w:numId w:val="1"/>
        </w:numPr>
        <w:spacing w:after="70" w:line="268"/>
      </w:pPr>
      <w:r>
        <w:rPr>
          <w:rFonts w:ascii="Calibri" w:cs="Calibri" w:eastAsia="Calibri" w:hAnsi="Calibri"/>
          <w:b/>
          <w:bCs/>
          <w:sz w:val="21"/>
          <w:szCs w:val="21"/>
        </w:rPr>
        <w:t xml:space="preserve">Un parámetro copiado sin adaptar puede ser sencillamente ilegal en su entidad.</w:t>
      </w:r>
      <w:r>
        <w:rPr>
          <w:rFonts w:ascii="Calibri" w:cs="Calibri" w:eastAsia="Calibri" w:hAnsi="Calibri"/>
          <w:sz w:val="21"/>
          <w:szCs w:val="21"/>
        </w:rPr>
        <w:t xml:space="preserve"> Categorías de seguridad, órganos competentes, umbrales económicos y régimen aplicable cambian de una administración a otra.</w:t>
      </w:r>
    </w:p>
    <w:p>
      <w:pPr>
        <w:spacing w:after="140" w:line="276"/>
      </w:pPr>
      <w:r>
        <w:rPr>
          <w:rFonts w:ascii="Calibri" w:cs="Calibri" w:eastAsia="Calibri" w:hAnsi="Calibri"/>
          <w:sz w:val="21"/>
          <w:szCs w:val="21"/>
        </w:rPr>
        <w:t xml:space="preserve">Quien tenga veinte minutos, que lea el </w:t>
      </w:r>
      <w:r>
        <w:rPr>
          <w:rFonts w:ascii="Calibri" w:cs="Calibri" w:eastAsia="Calibri" w:hAnsi="Calibri"/>
          <w:b/>
          <w:bCs/>
          <w:sz w:val="21"/>
          <w:szCs w:val="21"/>
        </w:rPr>
        <w:t xml:space="preserve">resumen en dos páginas</w:t>
      </w:r>
      <w:r>
        <w:rPr>
          <w:rFonts w:ascii="Calibri" w:cs="Calibri" w:eastAsia="Calibri" w:hAnsi="Calibri"/>
          <w:sz w:val="21"/>
          <w:szCs w:val="21"/>
        </w:rPr>
        <w:t xml:space="preserve"> que se publica junto a este documento: es el texto escrito para leerse en ese tiempo. Quien tenga una hora, que lea la </w:t>
      </w:r>
      <w:r>
        <w:rPr>
          <w:rFonts w:ascii="Calibri" w:cs="Calibri" w:eastAsia="Calibri" w:hAnsi="Calibri"/>
          <w:b/>
          <w:bCs/>
          <w:sz w:val="21"/>
          <w:szCs w:val="21"/>
        </w:rPr>
        <w:t xml:space="preserve">Parte 0</w:t>
      </w:r>
      <w:r>
        <w:rPr>
          <w:rFonts w:ascii="Calibri" w:cs="Calibri" w:eastAsia="Calibri" w:hAnsi="Calibri"/>
          <w:sz w:val="21"/>
          <w:szCs w:val="21"/>
        </w:rPr>
        <w:t xml:space="preserve"> entera, que está escrita para entenderse sin conocimientos previos de contratación ni de tecnología; y si sólo dispone de la mitad de ese tiempo, sus apartados 0.1, 0.2 y 0.3. Quien vaya a redactar un pliego, que lea además la Parte V y rellene la ficha de aplicabilidad antes de copiar una sola línea.</w:t>
      </w:r>
    </w:p>
    <w:p>
      <w:pPr>
        <w:spacing w:after="140" w:line="276"/>
      </w:pPr>
      <w:r>
        <w:rPr>
          <w:rFonts w:ascii="Calibri" w:cs="Calibri" w:eastAsia="Calibri" w:hAnsi="Calibri"/>
          <w:sz w:val="21"/>
          <w:szCs w:val="21"/>
        </w:rPr>
        <w:t xml:space="preserve">Y una petición, que es lo único que se pide a cambio: si su administración usa este material, lo mejora, o pierde un recurso con él, cuéntelo. Este documento mejorará con los recursos que pierda, y no hay otra forma de que mejore.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Licencia, copia y mejora</w:t>
      </w:r>
    </w:p>
    <w:p>
      <w:pPr>
        <w:spacing w:after="140" w:line="276"/>
      </w:pPr>
      <w:r>
        <w:rPr>
          <w:rFonts w:ascii="Calibri" w:cs="Calibri" w:eastAsia="Calibri" w:hAnsi="Calibri"/>
          <w:sz w:val="21"/>
          <w:szCs w:val="21"/>
        </w:rPr>
        <w:t xml:space="preserve">Este material se publica bajo </w:t>
      </w:r>
      <w:hyperlink w:history="1" r:id="rIdw4td0jkrfp5knlcj571cd">
        <w:r>
          <w:rPr>
            <w:rFonts w:ascii="Calibri" w:cs="Calibri" w:eastAsia="Calibri" w:hAnsi="Calibri"/>
            <w:b/>
            <w:bCs/>
            <w:color w:val="2F5496"/>
            <w:sz w:val="21"/>
            <w:szCs w:val="21"/>
            <w:u w:val="single"/>
          </w:rPr>
          <w:t xml:space="preserve">Creative Commons Reconocimiento 4.0 Internacional (CC BY 4.0)</w:t>
        </w:r>
      </w:hyperlink>
      <w:r>
        <w:rPr>
          <w:rFonts w:ascii="Calibri" w:cs="Calibri" w:eastAsia="Calibri" w:hAnsi="Calibri"/>
          <w:sz w:val="21"/>
          <w:szCs w:val="21"/>
        </w:rPr>
        <w:t xml:space="preserve">. En términos prácticos: puede copiarlo, adaptarlo, traducirlo, incorporarlo a sus pliegos y usarlo con fines comerciales, sin pedir permiso a nadie y sin pagar nada. </w:t>
      </w:r>
      <w:r>
        <w:rPr>
          <w:rFonts w:ascii="Calibri" w:cs="Calibri" w:eastAsia="Calibri" w:hAnsi="Calibri"/>
          <w:b/>
          <w:bCs/>
          <w:sz w:val="21"/>
          <w:szCs w:val="21"/>
        </w:rPr>
        <w:t xml:space="preserve">La única condición es citar la procedencia.</w:t>
      </w:r>
      <w:r>
        <w:rPr>
          <w:rFonts w:ascii="Calibri" w:cs="Calibri" w:eastAsia="Calibri" w:hAnsi="Calibri"/>
          <w:sz w:val="21"/>
          <w:szCs w:val="21"/>
        </w:rPr>
        <w:t xml:space="preserve"> No hay que compartir las modificaciones bajo la misma licencia, no hay que avisar de su uso y no hay que pedir autorización para adaptarlo.</w:t>
      </w:r>
    </w:p>
    <w:p>
      <w:pPr>
        <w:spacing w:after="140" w:line="276"/>
      </w:pPr>
      <w:r>
        <w:rPr>
          <w:rFonts w:ascii="Calibri" w:cs="Calibri" w:eastAsia="Calibri" w:hAnsi="Calibri"/>
          <w:b/>
          <w:bCs/>
          <w:sz w:val="21"/>
          <w:szCs w:val="21"/>
        </w:rPr>
        <w:t xml:space="preserve">Y puede mejorarlo sin permiso de nadie.</w:t>
      </w:r>
      <w:r>
        <w:rPr>
          <w:rFonts w:ascii="Calibri" w:cs="Calibri" w:eastAsia="Calibri" w:hAnsi="Calibri"/>
          <w:sz w:val="21"/>
          <w:szCs w:val="21"/>
        </w:rPr>
        <w:t xml:space="preserve"> El proyecto vive en un repositorio abierto (</w:t>
      </w:r>
      <w:hyperlink w:history="1" r:id="rIdka76geql3jox5ow4iglwi">
        <w:r>
          <w:rPr>
            <w:rFonts w:ascii="Calibri" w:cs="Calibri" w:eastAsia="Calibri" w:hAnsi="Calibri"/>
            <w:color w:val="2F5496"/>
            <w:sz w:val="21"/>
            <w:szCs w:val="21"/>
            <w:u w:val="single"/>
          </w:rPr>
          <w:t xml:space="preserve">github.com/migueldadd4u/ai-clauses</w:t>
        </w:r>
      </w:hyperlink>
      <w:r>
        <w:rPr>
          <w:rFonts w:ascii="Calibri" w:cs="Calibri" w:eastAsia="Calibri" w:hAnsi="Calibri"/>
          <w:sz w:val="21"/>
          <w:szCs w:val="21"/>
        </w:rPr>
        <w:t xml:space="preserve">) con dos vías, y conviene entender la diferencia porque son la razón de publicarlo así:</w:t>
      </w:r>
    </w:p>
    <w:p>
      <w:pPr>
        <w:pStyle w:val="ListParagraph"/>
        <w:numPr>
          <w:ilvl w:val="0"/>
          <w:numId w:val="1"/>
        </w:numPr>
        <w:spacing w:after="70" w:line="268"/>
      </w:pPr>
      <w:r>
        <w:rPr>
          <w:rFonts w:ascii="Calibri" w:cs="Calibri" w:eastAsia="Calibri" w:hAnsi="Calibri"/>
          <w:b/>
          <w:bCs/>
          <w:sz w:val="21"/>
          <w:szCs w:val="21"/>
        </w:rPr>
        <w:t xml:space="preserve">Proponer un cambio a este documento</w:t>
      </w:r>
      <w:r>
        <w:rPr>
          <w:rFonts w:ascii="Calibri" w:cs="Calibri" w:eastAsia="Calibri" w:hAnsi="Calibri"/>
          <w:sz w:val="21"/>
          <w:szCs w:val="21"/>
        </w:rPr>
        <w:t xml:space="preserve"> (una </w:t>
      </w:r>
      <w:r>
        <w:rPr>
          <w:rFonts w:ascii="Calibri" w:cs="Calibri" w:eastAsia="Calibri" w:hAnsi="Calibri"/>
          <w:i/>
          <w:iCs/>
          <w:sz w:val="21"/>
          <w:szCs w:val="21"/>
        </w:rPr>
        <w:t xml:space="preserve">pull request</w:t>
      </w:r>
      <w:r>
        <w:rPr>
          <w:rFonts w:ascii="Calibri" w:cs="Calibri" w:eastAsia="Calibri" w:hAnsi="Calibri"/>
          <w:sz w:val="21"/>
          <w:szCs w:val="21"/>
        </w:rPr>
        <w:t xml:space="preserve">): usted propone una redacción distinta y quien mantiene el proyecto la acepta o no. Si la acepta, entra en el documento que todo el mundo lee, con su autoría. Es la vía que interesa: quien redacta pliegos todos los días sabe cosas que este catálogo no sabe.</w:t>
      </w:r>
    </w:p>
    <w:p>
      <w:pPr>
        <w:pStyle w:val="ListParagraph"/>
        <w:numPr>
          <w:ilvl w:val="0"/>
          <w:numId w:val="1"/>
        </w:numPr>
        <w:spacing w:after="70" w:line="268"/>
      </w:pPr>
      <w:r>
        <w:rPr>
          <w:rFonts w:ascii="Calibri" w:cs="Calibri" w:eastAsia="Calibri" w:hAnsi="Calibri"/>
          <w:b/>
          <w:bCs/>
          <w:sz w:val="21"/>
          <w:szCs w:val="21"/>
        </w:rPr>
        <w:t xml:space="preserve">Hacer su propia versión</w:t>
      </w:r>
      <w:r>
        <w:rPr>
          <w:rFonts w:ascii="Calibri" w:cs="Calibri" w:eastAsia="Calibri" w:hAnsi="Calibri"/>
          <w:sz w:val="21"/>
          <w:szCs w:val="21"/>
        </w:rPr>
        <w:t xml:space="preserve"> (un </w:t>
      </w:r>
      <w:r>
        <w:rPr>
          <w:rFonts w:ascii="Calibri" w:cs="Calibri" w:eastAsia="Calibri" w:hAnsi="Calibri"/>
          <w:i/>
          <w:iCs/>
          <w:sz w:val="21"/>
          <w:szCs w:val="21"/>
        </w:rPr>
        <w:t xml:space="preserve">fork</w:t>
      </w:r>
      <w:r>
        <w:rPr>
          <w:rFonts w:ascii="Calibri" w:cs="Calibri" w:eastAsia="Calibri" w:hAnsi="Calibri"/>
          <w:sz w:val="21"/>
          <w:szCs w:val="21"/>
        </w:rPr>
        <w:t xml:space="preserve">): se lleva el documento entero a un repositorio suyo y hace con él lo que quiera, sin pedir permiso ni dar explicaciones. Esa versión es suya y sólo suya, y </w:t>
      </w:r>
      <w:r>
        <w:rPr>
          <w:rFonts w:ascii="Calibri" w:cs="Calibri" w:eastAsia="Calibri" w:hAnsi="Calibri"/>
          <w:b/>
          <w:bCs/>
          <w:sz w:val="21"/>
          <w:szCs w:val="21"/>
        </w:rPr>
        <w:t xml:space="preserve">los firmantes de este documento no responden de lo que diga</w:t>
      </w:r>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Las propuestas de cambio se revisan con un criterio único: que la redacción resista mejor un recurso que la que hay. Las condiciones detalladas, en el archivo </w:t>
      </w:r>
      <w:r>
        <w:rPr>
          <w:rFonts w:ascii="Calibri" w:cs="Calibri" w:eastAsia="Calibri" w:hAnsi="Calibri"/>
          <w:color w:val="2F5496"/>
          <w:sz w:val="21"/>
          <w:szCs w:val="21"/>
        </w:rPr>
        <w:t xml:space="preserve">CONTRIBUTING.md</w:t>
      </w:r>
      <w:r>
        <w:rPr>
          <w:rFonts w:ascii="Calibri" w:cs="Calibri" w:eastAsia="Calibri" w:hAnsi="Calibri"/>
          <w:sz w:val="21"/>
          <w:szCs w:val="21"/>
        </w:rPr>
        <w:t xml:space="preserve"> del repositorio.</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PARTE 0 · RESUMEN Y GUÍA DE USO</w:t>
      </w:r>
    </w:p>
    <w:p>
      <w:pPr>
        <w:spacing w:after="140" w:line="276"/>
      </w:pPr>
      <w:r>
        <w:rPr>
          <w:rFonts w:ascii="Calibri" w:cs="Calibri" w:eastAsia="Calibri" w:hAnsi="Calibri"/>
          <w:b/>
          <w:bCs/>
          <w:sz w:val="21"/>
          <w:szCs w:val="21"/>
        </w:rPr>
        <w:t xml:space="preserve">Dos puertas de entrada, y conviene saberlo antes de empezar.</w:t>
      </w:r>
      <w:r>
        <w:rPr>
          <w:rFonts w:ascii="Calibri" w:cs="Calibri" w:eastAsia="Calibri" w:hAnsi="Calibri"/>
          <w:sz w:val="21"/>
          <w:szCs w:val="21"/>
        </w:rPr>
        <w:t xml:space="preserve"> Esto nació como un catálogo de cláusulas de inteligencia artificial, y eso es lo primero que ofrece. Pero para poder redactarlas hubo que escribir entero el circuito del expediente que las sostiene: los veintiún documentos, quién firma cada uno, en qué orden y qué tiene que decir. Ese circuito </w:t>
      </w:r>
      <w:r>
        <w:rPr>
          <w:rFonts w:ascii="Calibri" w:cs="Calibri" w:eastAsia="Calibri" w:hAnsi="Calibri"/>
          <w:b/>
          <w:bCs/>
          <w:sz w:val="21"/>
          <w:szCs w:val="21"/>
        </w:rPr>
        <w:t xml:space="preserve">no tiene nada de específico de la inteligencia artificial</w:t>
      </w:r>
      <w:r>
        <w:rPr>
          <w:rFonts w:ascii="Calibri" w:cs="Calibri" w:eastAsia="Calibri" w:hAnsi="Calibri"/>
          <w:sz w:val="21"/>
          <w:szCs w:val="21"/>
        </w:rPr>
        <w:t xml:space="preserve">. Una cláusula es una cláusula: el camino que vale para meter una cláusula de IA en un pliego vale igual para cualquier otra, conforme a la Ley 9/2017. De modo que este documento es, a la vez, un catálogo de cláusulas y un manual de tramitación, y se puede entrar por donde interese: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 qué viene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Por dónde entrar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por </w:t>
            </w:r>
            <w:r>
              <w:rPr>
                <w:rFonts w:ascii="Calibri" w:cs="Calibri" w:eastAsia="Calibri" w:hAnsi="Calibri"/>
                <w:b/>
                <w:bCs/>
                <w:sz w:val="18"/>
                <w:szCs w:val="18"/>
              </w:rPr>
              <w:t xml:space="preserve">cláusulas de 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Esta Parte 0 → </w:t>
            </w:r>
            <w:r>
              <w:rPr>
                <w:rFonts w:ascii="Calibri" w:cs="Calibri" w:eastAsia="Calibri" w:hAnsi="Calibri"/>
                <w:b/>
                <w:bCs/>
                <w:sz w:val="18"/>
                <w:szCs w:val="18"/>
              </w:rPr>
              <w:t xml:space="preserve">Parte II</w:t>
            </w:r>
            <w:r>
              <w:rPr>
                <w:rFonts w:ascii="Calibri" w:cs="Calibri" w:eastAsia="Calibri" w:hAnsi="Calibri"/>
                <w:b w:val="false"/>
                <w:bCs w:val="false"/>
                <w:sz w:val="18"/>
                <w:szCs w:val="18"/>
              </w:rPr>
              <w:t xml:space="preserve"> (técnicas, PPT) y </w:t>
            </w:r>
            <w:r>
              <w:rPr>
                <w:rFonts w:ascii="Calibri" w:cs="Calibri" w:eastAsia="Calibri" w:hAnsi="Calibri"/>
                <w:b/>
                <w:bCs/>
                <w:sz w:val="18"/>
                <w:szCs w:val="18"/>
              </w:rPr>
              <w:t xml:space="preserve">Parte III</w:t>
            </w:r>
            <w:r>
              <w:rPr>
                <w:rFonts w:ascii="Calibri" w:cs="Calibri" w:eastAsia="Calibri" w:hAnsi="Calibri"/>
                <w:b w:val="false"/>
                <w:bCs w:val="false"/>
                <w:sz w:val="18"/>
                <w:szCs w:val="18"/>
              </w:rPr>
              <w:t xml:space="preserve"> (administrativas, PCAP)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w:t>
            </w:r>
            <w:r>
              <w:rPr>
                <w:rFonts w:ascii="Calibri" w:cs="Calibri" w:eastAsia="Calibri" w:hAnsi="Calibri"/>
                <w:b/>
                <w:bCs/>
                <w:sz w:val="18"/>
                <w:szCs w:val="18"/>
              </w:rPr>
              <w:t xml:space="preserve">tramitar bien un expediente</w:t>
            </w:r>
            <w:r>
              <w:rPr>
                <w:rFonts w:ascii="Calibri" w:cs="Calibri" w:eastAsia="Calibri" w:hAnsi="Calibri"/>
                <w:b w:val="false"/>
                <w:bCs w:val="false"/>
                <w:sz w:val="18"/>
                <w:szCs w:val="18"/>
              </w:rPr>
              <w:t xml:space="preserve">, con cláusulas de IA o sin ninguna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Parte V</w:t>
            </w:r>
            <w:r>
              <w:rPr>
                <w:rFonts w:ascii="Calibri" w:cs="Calibri" w:eastAsia="Calibri" w:hAnsi="Calibri"/>
                <w:b w:val="false"/>
                <w:bCs w:val="false"/>
                <w:sz w:val="18"/>
                <w:szCs w:val="18"/>
              </w:rPr>
              <w:t xml:space="preserve"> (el circuito completo, documento a documento) → </w:t>
            </w:r>
            <w:r>
              <w:rPr>
                <w:rFonts w:ascii="Calibri" w:cs="Calibri" w:eastAsia="Calibri" w:hAnsi="Calibri"/>
                <w:b/>
                <w:bCs/>
                <w:sz w:val="18"/>
                <w:szCs w:val="18"/>
              </w:rPr>
              <w:t xml:space="preserve">Parte VI</w:t>
            </w:r>
            <w:r>
              <w:rPr>
                <w:rFonts w:ascii="Calibri" w:cs="Calibri" w:eastAsia="Calibri" w:hAnsi="Calibri"/>
                <w:b w:val="false"/>
                <w:bCs w:val="false"/>
                <w:sz w:val="18"/>
                <w:szCs w:val="18"/>
              </w:rPr>
              <w:t xml:space="preserve"> (ese circuito recorrido entero sobre un expediente simulado)</w:t>
            </w:r>
          </w:p>
        </w:tc>
      </w:tr>
    </w:tbl>
    <w:p>
      <w:pPr>
        <w:spacing w:after="200"/>
      </w:pPr>
    </w:p>
    <w:p>
      <w:pPr>
        <w:spacing w:after="140" w:line="276"/>
      </w:pPr>
      <w:r>
        <w:rPr>
          <w:rFonts w:ascii="Calibri" w:cs="Calibri" w:eastAsia="Calibri" w:hAnsi="Calibri"/>
          <w:sz w:val="21"/>
          <w:szCs w:val="21"/>
        </w:rPr>
        <w:t xml:space="preserve">Esta Parte 0 se escribe para cuatro lectores distintos y se puede leer por trozos:</w:t>
      </w:r>
    </w:p>
    <w:p>
      <w:pPr>
        <w:pStyle w:val="ListParagraph"/>
        <w:numPr>
          <w:ilvl w:val="0"/>
          <w:numId w:val="1"/>
        </w:numPr>
        <w:spacing w:after="70" w:line="268"/>
      </w:pPr>
      <w:r>
        <w:rPr>
          <w:rFonts w:ascii="Calibri" w:cs="Calibri" w:eastAsia="Calibri" w:hAnsi="Calibri"/>
          <w:sz w:val="21"/>
          <w:szCs w:val="21"/>
        </w:rPr>
        <w:t xml:space="preserve">Quien tiene que </w:t>
      </w:r>
      <w:r>
        <w:rPr>
          <w:rFonts w:ascii="Calibri" w:cs="Calibri" w:eastAsia="Calibri" w:hAnsi="Calibri"/>
          <w:b/>
          <w:bCs/>
          <w:sz w:val="21"/>
          <w:szCs w:val="21"/>
        </w:rPr>
        <w:t xml:space="preserve">decidir</w:t>
      </w:r>
      <w:r>
        <w:rPr>
          <w:rFonts w:ascii="Calibri" w:cs="Calibri" w:eastAsia="Calibri" w:hAnsi="Calibri"/>
          <w:sz w:val="21"/>
          <w:szCs w:val="21"/>
        </w:rPr>
        <w:t xml:space="preserve"> si esto se aprueba (Alcaldía, Junta de Gobierno, Concejalía): apartados 0.1, 0.2 y 0.3.</w:t>
      </w:r>
    </w:p>
    <w:p>
      <w:pPr>
        <w:pStyle w:val="ListParagraph"/>
        <w:numPr>
          <w:ilvl w:val="0"/>
          <w:numId w:val="1"/>
        </w:numPr>
        <w:spacing w:after="70" w:line="268"/>
      </w:pPr>
      <w:r>
        <w:rPr>
          <w:rFonts w:ascii="Calibri" w:cs="Calibri" w:eastAsia="Calibri" w:hAnsi="Calibri"/>
          <w:sz w:val="21"/>
          <w:szCs w:val="21"/>
        </w:rPr>
        <w:t xml:space="preserve">Quien tiene que </w:t>
      </w:r>
      <w:r>
        <w:rPr>
          <w:rFonts w:ascii="Calibri" w:cs="Calibri" w:eastAsia="Calibri" w:hAnsi="Calibri"/>
          <w:b/>
          <w:bCs/>
          <w:sz w:val="21"/>
          <w:szCs w:val="21"/>
        </w:rPr>
        <w:t xml:space="preserve">fiscalizarlo o informarlo</w:t>
      </w:r>
      <w:r>
        <w:rPr>
          <w:rFonts w:ascii="Calibri" w:cs="Calibri" w:eastAsia="Calibri" w:hAnsi="Calibri"/>
          <w:sz w:val="21"/>
          <w:szCs w:val="21"/>
        </w:rPr>
        <w:t xml:space="preserve"> (Intervención, Asesoría Jurídica o Secretaría): apartados 0.1, 0.3, 0.5 y 0.6.</w:t>
      </w:r>
    </w:p>
    <w:p>
      <w:pPr>
        <w:pStyle w:val="ListParagraph"/>
        <w:numPr>
          <w:ilvl w:val="0"/>
          <w:numId w:val="1"/>
        </w:numPr>
        <w:spacing w:after="70" w:line="268"/>
      </w:pPr>
      <w:r>
        <w:rPr>
          <w:rFonts w:ascii="Calibri" w:cs="Calibri" w:eastAsia="Calibri" w:hAnsi="Calibri"/>
          <w:sz w:val="21"/>
          <w:szCs w:val="21"/>
        </w:rPr>
        <w:t xml:space="preserve">Quien tiene que </w:t>
      </w:r>
      <w:r>
        <w:rPr>
          <w:rFonts w:ascii="Calibri" w:cs="Calibri" w:eastAsia="Calibri" w:hAnsi="Calibri"/>
          <w:b/>
          <w:bCs/>
          <w:sz w:val="21"/>
          <w:szCs w:val="21"/>
        </w:rPr>
        <w:t xml:space="preserve">redactar un pliego con él</w:t>
      </w:r>
      <w:r>
        <w:rPr>
          <w:rFonts w:ascii="Calibri" w:cs="Calibri" w:eastAsia="Calibri" w:hAnsi="Calibri"/>
          <w:sz w:val="21"/>
          <w:szCs w:val="21"/>
        </w:rPr>
        <w:t xml:space="preserve"> un martes por la mañana: apartados 0.4, 0.5 y 0.6, y después directamente las Partes II y III.</w:t>
      </w:r>
    </w:p>
    <w:p>
      <w:pPr>
        <w:pStyle w:val="ListParagraph"/>
        <w:numPr>
          <w:ilvl w:val="0"/>
          <w:numId w:val="1"/>
        </w:numPr>
        <w:spacing w:after="70" w:line="268"/>
      </w:pPr>
      <w:r>
        <w:rPr>
          <w:rFonts w:ascii="Calibri" w:cs="Calibri" w:eastAsia="Calibri" w:hAnsi="Calibri"/>
          <w:sz w:val="21"/>
          <w:szCs w:val="21"/>
        </w:rPr>
        <w:t xml:space="preserve">Quien </w:t>
      </w:r>
      <w:r>
        <w:rPr>
          <w:rFonts w:ascii="Calibri" w:cs="Calibri" w:eastAsia="Calibri" w:hAnsi="Calibri"/>
          <w:b/>
          <w:bCs/>
          <w:sz w:val="21"/>
          <w:szCs w:val="21"/>
        </w:rPr>
        <w:t xml:space="preserve">no trabaja en un ayuntamiento</w:t>
      </w:r>
      <w:r>
        <w:rPr>
          <w:rFonts w:ascii="Calibri" w:cs="Calibri" w:eastAsia="Calibri" w:hAnsi="Calibri"/>
          <w:sz w:val="21"/>
          <w:szCs w:val="21"/>
        </w:rPr>
        <w:t xml:space="preserve"> y quiere saber en qué le afecta esto: el apartado 0.2, y dentro de él el epígrafe «Para el vecino, esto se ve así».</w:t>
      </w:r>
    </w:p>
    <w:p>
      <w:pPr>
        <w:spacing w:after="140" w:line="276"/>
      </w:pPr>
      <w:r>
        <w:rPr>
          <w:rFonts w:ascii="Calibri" w:cs="Calibri" w:eastAsia="Calibri" w:hAnsi="Calibri"/>
          <w:sz w:val="21"/>
          <w:szCs w:val="21"/>
        </w:rPr>
        <w:t xml:space="preserve">Quien no disponga de tiempo ni para esta Parte 0 tiene el </w:t>
      </w:r>
      <w:r>
        <w:rPr>
          <w:rFonts w:ascii="Calibri" w:cs="Calibri" w:eastAsia="Calibri" w:hAnsi="Calibri"/>
          <w:b/>
          <w:bCs/>
          <w:sz w:val="21"/>
          <w:szCs w:val="21"/>
        </w:rPr>
        <w:t xml:space="preserve">resumen en dos páginas</w:t>
      </w:r>
      <w:r>
        <w:rPr>
          <w:rFonts w:ascii="Calibri" w:cs="Calibri" w:eastAsia="Calibri" w:hAnsi="Calibri"/>
          <w:sz w:val="21"/>
          <w:szCs w:val="21"/>
        </w:rPr>
        <w:t xml:space="preserve"> que se publica junto a este documento. Esta Parte 0 completa pide una hora larga de lectura; sus apartados 0.1, 0.2 y 0.3, cerca de media.</w:t>
      </w:r>
    </w:p>
    <w:p>
      <w:pPr>
        <w:spacing w:after="140" w:line="276"/>
      </w:pPr>
      <w:r>
        <w:rPr>
          <w:rFonts w:ascii="Calibri" w:cs="Calibri" w:eastAsia="Calibri" w:hAnsi="Calibri"/>
          <w:sz w:val="21"/>
          <w:szCs w:val="21"/>
        </w:rPr>
        <w:t xml:space="preserve">En toda esta Parte 0 no hay ni un solo </w:t>
      </w:r>
      <w:r>
        <w:rPr>
          <w:rFonts w:ascii="Calibri" w:cs="Calibri" w:eastAsia="Calibri" w:hAnsi="Calibri"/>
          <w:b/>
          <w:bCs/>
          <w:sz w:val="21"/>
          <w:szCs w:val="21"/>
        </w:rPr>
        <w:t xml:space="preserve">recuadro de texto copiable al pliego</w:t>
      </w:r>
      <w:r>
        <w:rPr>
          <w:rFonts w:ascii="Calibri" w:cs="Calibri" w:eastAsia="Calibri" w:hAnsi="Calibri"/>
          <w:sz w:val="21"/>
          <w:szCs w:val="21"/>
        </w:rPr>
        <w:t xml:space="preserve">. Los recuadros aparecen a partir de la Parte I —cuatro en ella, agrupados en tres sedes: §4.2, §5.2 y §7.10— y desde la Parte II en cada cláusula. Van marcados: lo que va dentro se copia al pliego; lo que va fuera, nunca. Nada de lo que aquí se escribe se copia a un pliego: es la explicación del catálogo, no el catálogo.</w:t>
      </w:r>
    </w:p>
    <w:p>
      <w:pPr>
        <w:spacing w:after="140" w:line="276"/>
      </w:pPr>
      <w:r>
        <w:rPr>
          <w:rFonts w:ascii="Calibri" w:cs="Calibri" w:eastAsia="Calibri" w:hAnsi="Calibri"/>
          <w:b/>
          <w:bCs/>
          <w:sz w:val="21"/>
          <w:szCs w:val="21"/>
        </w:rPr>
        <w:t xml:space="preserve">Palabras que aquí no se explican.</w:t>
      </w:r>
      <w:r>
        <w:rPr>
          <w:rFonts w:ascii="Calibri" w:cs="Calibri" w:eastAsia="Calibri" w:hAnsi="Calibri"/>
          <w:sz w:val="21"/>
          <w:szCs w:val="21"/>
        </w:rPr>
        <w:t xml:space="preserve"> Este documento emplea vocabulario de contratación pública y vocabulario técnico. Ambos están definidos en el </w:t>
      </w:r>
      <w:r>
        <w:rPr>
          <w:rFonts w:ascii="Calibri" w:cs="Calibri" w:eastAsia="Calibri" w:hAnsi="Calibri"/>
          <w:b/>
          <w:bCs/>
          <w:sz w:val="21"/>
          <w:szCs w:val="21"/>
        </w:rPr>
        <w:t xml:space="preserve">Anexo XIII (Glosario)</w:t>
      </w:r>
      <w:r>
        <w:rPr>
          <w:rFonts w:ascii="Calibri" w:cs="Calibri" w:eastAsia="Calibri" w:hAnsi="Calibri"/>
          <w:sz w:val="21"/>
          <w:szCs w:val="21"/>
        </w:rPr>
        <w:t xml:space="preserve">, que incluye un bloque específico de términos de contratación escrito para quien no es del oficio. Los cinco imprescindibles para leer esta Parte 0 se definen en el recuadro que abre el apartado 0.1. Las siglas que aparecen desde las primeras tablas se dejan escritas aquí: </w:t>
      </w:r>
      <w:r>
        <w:rPr>
          <w:rFonts w:ascii="Calibri" w:cs="Calibri" w:eastAsia="Calibri" w:hAnsi="Calibri"/>
          <w:b/>
          <w:bCs/>
          <w:sz w:val="21"/>
          <w:szCs w:val="21"/>
        </w:rPr>
        <w:t xml:space="preserve">LCSP</w:t>
      </w:r>
      <w:r>
        <w:rPr>
          <w:rFonts w:ascii="Calibri" w:cs="Calibri" w:eastAsia="Calibri" w:hAnsi="Calibri"/>
          <w:sz w:val="21"/>
          <w:szCs w:val="21"/>
        </w:rPr>
        <w:t xml:space="preserve"> es la Ley 9/2017, de 8 de noviembre, de Contratos del Sector Público; </w:t>
      </w:r>
      <w:r>
        <w:rPr>
          <w:rFonts w:ascii="Calibri" w:cs="Calibri" w:eastAsia="Calibri" w:hAnsi="Calibri"/>
          <w:b/>
          <w:bCs/>
          <w:sz w:val="21"/>
          <w:szCs w:val="21"/>
        </w:rPr>
        <w:t xml:space="preserve">ENS</w:t>
      </w:r>
      <w:r>
        <w:rPr>
          <w:rFonts w:ascii="Calibri" w:cs="Calibri" w:eastAsia="Calibri" w:hAnsi="Calibri"/>
          <w:sz w:val="21"/>
          <w:szCs w:val="21"/>
        </w:rPr>
        <w:t xml:space="preserve"> es el Esquema Nacional de Seguridad, regulado por el Real Decreto (RD) 311/2022; </w:t>
      </w:r>
      <w:r>
        <w:rPr>
          <w:rFonts w:ascii="Calibri" w:cs="Calibri" w:eastAsia="Calibri" w:hAnsi="Calibri"/>
          <w:b/>
          <w:bCs/>
          <w:sz w:val="21"/>
          <w:szCs w:val="21"/>
        </w:rPr>
        <w:t xml:space="preserve">IA</w:t>
      </w:r>
      <w:r>
        <w:rPr>
          <w:rFonts w:ascii="Calibri" w:cs="Calibri" w:eastAsia="Calibri" w:hAnsi="Calibri"/>
          <w:sz w:val="21"/>
          <w:szCs w:val="21"/>
        </w:rPr>
        <w:t xml:space="preserve"> es inteligencia artificial; y </w:t>
      </w:r>
      <w:r>
        <w:rPr>
          <w:rFonts w:ascii="Calibri" w:cs="Calibri" w:eastAsia="Calibri" w:hAnsi="Calibri"/>
          <w:b/>
          <w:bCs/>
          <w:sz w:val="21"/>
          <w:szCs w:val="21"/>
        </w:rPr>
        <w:t xml:space="preserve">PPT</w:t>
      </w:r>
      <w:r>
        <w:rPr>
          <w:rFonts w:ascii="Calibri" w:cs="Calibri" w:eastAsia="Calibri" w:hAnsi="Calibri"/>
          <w:sz w:val="21"/>
          <w:szCs w:val="21"/>
        </w:rPr>
        <w:t xml:space="preserve"> y </w:t>
      </w:r>
      <w:r>
        <w:rPr>
          <w:rFonts w:ascii="Calibri" w:cs="Calibri" w:eastAsia="Calibri" w:hAnsi="Calibri"/>
          <w:b/>
          <w:bCs/>
          <w:sz w:val="21"/>
          <w:szCs w:val="21"/>
        </w:rPr>
        <w:t xml:space="preserve">PCAP</w:t>
      </w:r>
      <w:r>
        <w:rPr>
          <w:rFonts w:ascii="Calibri" w:cs="Calibri" w:eastAsia="Calibri" w:hAnsi="Calibri"/>
          <w:sz w:val="21"/>
          <w:szCs w:val="21"/>
        </w:rPr>
        <w:t xml:space="preserve"> son los dos pliegos de un contrato, el técnico y el administrativo, que se explican en el recuadro del apartado 0.1.</w:t>
      </w:r>
    </w:p>
    <w:p>
      <w:pPr>
        <w:spacing w:after="140" w:line="276"/>
      </w:pPr>
      <w:r>
        <w:rPr>
          <w:rFonts w:ascii="Calibri" w:cs="Calibri" w:eastAsia="Calibri" w:hAnsi="Calibri"/>
          <w:b/>
          <w:bCs/>
          <w:sz w:val="21"/>
          <w:szCs w:val="21"/>
        </w:rPr>
        <w:t xml:space="preserve">Convención de modelos.</w:t>
      </w:r>
      <w:r>
        <w:rPr>
          <w:rFonts w:ascii="Calibri" w:cs="Calibri" w:eastAsia="Calibri" w:hAnsi="Calibri"/>
          <w:sz w:val="21"/>
          <w:szCs w:val="21"/>
        </w:rPr>
        <w:t xml:space="preserve"> Los formularios y modelos que este documento entrega —en la Parte V y en los anexos— van delimitados así:</w:t>
      </w:r>
    </w:p>
    <w:p>
      <w:pPr>
        <w:spacing w:after="0" w:line="240"/>
        <w:ind w:left="300"/>
      </w:pPr>
      <w:r>
        <w:rPr>
          <w:rFonts w:ascii="Consolas" w:cs="Consolas" w:eastAsia="Consolas" w:hAnsi="Consolas"/>
          <w:color w:val="2F5496"/>
          <w:sz w:val="18"/>
          <w:szCs w:val="18"/>
        </w:rPr>
        <w:t xml:space="preserve">---- INICIO DEL MODELO ----</w:t>
      </w:r>
    </w:p>
    <w:p>
      <w:pPr>
        <w:spacing w:after="0" w:line="240"/>
        <w:ind w:left="300"/>
      </w:pPr>
      <w:r>
        <w:rPr>
          <w:rFonts w:ascii="Consolas" w:cs="Consolas" w:eastAsia="Consolas" w:hAnsi="Consolas"/>
          <w:color w:val="2F5496"/>
          <w:sz w:val="18"/>
          <w:szCs w:val="18"/>
        </w:rPr>
        <w:t xml:space="preserve">(texto del modelo, que se copia entero)</w:t>
      </w:r>
    </w:p>
    <w:p>
      <w:pPr>
        <w:spacing w:after="0" w:line="240"/>
        <w:ind w:left="300"/>
      </w:pPr>
      <w:r>
        <w:rPr>
          <w:rFonts w:ascii="Consolas" w:cs="Consolas" w:eastAsia="Consolas" w:hAnsi="Consolas"/>
          <w:color w:val="2F5496"/>
          <w:sz w:val="18"/>
          <w:szCs w:val="18"/>
        </w:rPr>
        <w:t xml:space="preserve">---- FIN DEL MODELO ----</w:t>
      </w:r>
    </w:p>
    <w:p>
      <w:pPr>
        <w:spacing w:after="140" w:line="276"/>
      </w:pPr>
      <w:r>
        <w:rPr>
          <w:rFonts w:ascii="Calibri" w:cs="Calibri" w:eastAsia="Calibri" w:hAnsi="Calibri"/>
          <w:sz w:val="21"/>
          <w:szCs w:val="21"/>
        </w:rPr>
        <w:t xml:space="preserve">Se declara una sola vez, aquí, y rige en todo el documento: lo que está entre esas dos líneas se copia; lo que está fuera, no.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0.0 Qué hay dentro de este documento</w:t>
      </w:r>
    </w:p>
    <w:p>
      <w:pPr>
        <w:pStyle w:val="Heading3"/>
        <w:keepNext/>
        <w:spacing w:after="140" w:before="320"/>
      </w:pPr>
      <w:r>
        <w:rPr>
          <w:rFonts w:ascii="Georgia" w:cs="Georgia" w:eastAsia="Georgia" w:hAnsi="Georgia"/>
          <w:b/>
          <w:bCs/>
          <w:color w:val="2F5496"/>
          <w:sz w:val="22"/>
          <w:szCs w:val="22"/>
        </w:rPr>
        <w:t xml:space="preserve">Las ocho partes: la Parte 0 y las siete numeradas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Parte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contiene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Apartados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Parte 0 · Resumen y guía de uso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Qué es y qué no es esto, el problema que resuelve, qué se promete y qué no, cómo se usa paso a paso, qué documentos exige el expediente y los tres casos de alcance limitado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0.0 a 0.7</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Parte I · Disposiciones generales y reglas de integración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articulado: objeto y regla de cierre, ámbito y proporcionalidad, armazón normativo de la necesidad, marco normativo, definiciones, principios, las diez reglas de integración y los parámetros. Contiene cuatro bloques transcribibles, agrupados en §4.2, §5.2 y §7.10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 a §9</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Parte II · Cláusulas técnicas</w:t>
            </w:r>
            <w:r>
              <w:rPr>
                <w:rFonts w:ascii="Calibri" w:cs="Calibri" w:eastAsia="Calibri" w:hAnsi="Calibri"/>
                <w:b w:val="false"/>
                <w:bCs w:val="false"/>
                <w:sz w:val="18"/>
                <w:szCs w:val="18"/>
              </w:rPr>
              <w:t xml:space="preserve">, para el Pliego de Prescripciones Técnicas (</w:t>
            </w:r>
            <w:r>
              <w:rPr>
                <w:rFonts w:ascii="Calibri" w:cs="Calibri" w:eastAsia="Calibri" w:hAnsi="Calibri"/>
                <w:b/>
                <w:bCs/>
                <w:sz w:val="18"/>
                <w:szCs w:val="18"/>
              </w:rPr>
              <w:t xml:space="preserve">PPT</w:t>
            </w:r>
            <w:r>
              <w:rPr>
                <w:rFonts w:ascii="Calibri" w:cs="Calibri" w:eastAsia="Calibri" w:hAnsi="Calibri"/>
                <w:b w:val="false"/>
                <w:bCs w:val="false"/>
                <w:sz w:val="18"/>
                <w:szCs w:val="18"/>
              </w:rPr>
              <w:t xml:space="preserve">: lo que hay que hacer)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Las diez cláusulas </w:t>
            </w:r>
            <w:r>
              <w:rPr>
                <w:rFonts w:ascii="Calibri" w:cs="Calibri" w:eastAsia="Calibri" w:hAnsi="Calibri"/>
                <w:b w:val="false"/>
                <w:bCs w:val="false"/>
                <w:color w:val="2F5496"/>
                <w:sz w:val="18"/>
                <w:szCs w:val="18"/>
              </w:rPr>
              <w:t xml:space="preserve">DT-0·v3</w:t>
            </w:r>
            <w:r>
              <w:rPr>
                <w:rFonts w:ascii="Calibri" w:cs="Calibri" w:eastAsia="Calibri" w:hAnsi="Calibri"/>
                <w:b w:val="false"/>
                <w:bCs w:val="false"/>
                <w:sz w:val="18"/>
                <w:szCs w:val="18"/>
              </w:rPr>
              <w:t xml:space="preserve"> a </w:t>
            </w:r>
            <w:r>
              <w:rPr>
                <w:rFonts w:ascii="Calibri" w:cs="Calibri" w:eastAsia="Calibri" w:hAnsi="Calibri"/>
                <w:b w:val="false"/>
                <w:bCs w:val="false"/>
                <w:color w:val="2F5496"/>
                <w:sz w:val="18"/>
                <w:szCs w:val="18"/>
              </w:rPr>
              <w:t xml:space="preserve">DT-9·v3</w:t>
            </w:r>
            <w:r>
              <w:rPr>
                <w:rFonts w:ascii="Calibri" w:cs="Calibri" w:eastAsia="Calibri" w:hAnsi="Calibri"/>
                <w:b w:val="false"/>
                <w:bCs w:val="false"/>
                <w:sz w:val="18"/>
                <w:szCs w:val="18"/>
              </w:rPr>
              <w:t xml:space="preserve">, con su texto copiable, más la tabla de dependencias, la carga de verificación y el cuadro de parámetros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II.0 a II.14</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Parte III · Cláusulas administrativas</w:t>
            </w:r>
            <w:r>
              <w:rPr>
                <w:rFonts w:ascii="Calibri" w:cs="Calibri" w:eastAsia="Calibri" w:hAnsi="Calibri"/>
                <w:b w:val="false"/>
                <w:bCs w:val="false"/>
                <w:sz w:val="18"/>
                <w:szCs w:val="18"/>
              </w:rPr>
              <w:t xml:space="preserve">, para el Pliego de Cláusulas Administrativas Particulares (</w:t>
            </w:r>
            <w:r>
              <w:rPr>
                <w:rFonts w:ascii="Calibri" w:cs="Calibri" w:eastAsia="Calibri" w:hAnsi="Calibri"/>
                <w:b/>
                <w:bCs/>
                <w:sz w:val="18"/>
                <w:szCs w:val="18"/>
              </w:rPr>
              <w:t xml:space="preserve">PCAP</w:t>
            </w:r>
            <w:r>
              <w:rPr>
                <w:rFonts w:ascii="Calibri" w:cs="Calibri" w:eastAsia="Calibri" w:hAnsi="Calibri"/>
                <w:b w:val="false"/>
                <w:bCs w:val="false"/>
                <w:sz w:val="18"/>
                <w:szCs w:val="18"/>
              </w:rPr>
              <w:t xml:space="preserve">: con qué reglas y con qué consecuencias)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Las catorce cláusulas </w:t>
            </w:r>
            <w:r>
              <w:rPr>
                <w:rFonts w:ascii="Calibri" w:cs="Calibri" w:eastAsia="Calibri" w:hAnsi="Calibri"/>
                <w:b w:val="false"/>
                <w:bCs w:val="false"/>
                <w:color w:val="2F5496"/>
                <w:sz w:val="18"/>
                <w:szCs w:val="18"/>
              </w:rPr>
              <w:t xml:space="preserve">ADM-1·v3</w:t>
            </w:r>
            <w:r>
              <w:rPr>
                <w:rFonts w:ascii="Calibri" w:cs="Calibri" w:eastAsia="Calibri" w:hAnsi="Calibri"/>
                <w:b w:val="false"/>
                <w:bCs w:val="false"/>
                <w:sz w:val="18"/>
                <w:szCs w:val="18"/>
              </w:rPr>
              <w:t xml:space="preserve"> a </w:t>
            </w:r>
            <w:r>
              <w:rPr>
                <w:rFonts w:ascii="Calibri" w:cs="Calibri" w:eastAsia="Calibri" w:hAnsi="Calibri"/>
                <w:b w:val="false"/>
                <w:bCs w:val="false"/>
                <w:color w:val="2F5496"/>
                <w:sz w:val="18"/>
                <w:szCs w:val="18"/>
              </w:rPr>
              <w:t xml:space="preserve">ADM-14·v3</w:t>
            </w:r>
            <w:r>
              <w:rPr>
                <w:rFonts w:ascii="Calibri" w:cs="Calibri" w:eastAsia="Calibri" w:hAnsi="Calibri"/>
                <w:b w:val="false"/>
                <w:bCs w:val="false"/>
                <w:sz w:val="18"/>
                <w:szCs w:val="18"/>
              </w:rPr>
              <w:t xml:space="preserve">, con su texto copiable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III.1 a III.14</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Parte IV · Memoria justificativa del catálogo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qué cada instrumento es legal y proporcionado, el estado real de la doctrina, el coste, el conflicto de interés y lo que esta memoria no acredita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IV.0 y M1 a M11</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Parte V · Circuito del expediente y documentos exigibles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circuito operativo completo: los veintiún documentos, quién firma cada uno, qué se publica, el régimen de recursos, la carpeta de defensa, los circuitos abreviados y la lista de comprobación final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V.1 a V.11</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Parte VI · Aplicación piloto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catálogo aplicado de principio a fin a un contrato municipal real, con su ficha, su baremo y sus cifras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VI.1 a VI.8</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Parte VII · Anexos e instrumentos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Los veinticinco anexos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 a XXV</w:t>
            </w:r>
          </w:p>
        </w:tc>
      </w:tr>
    </w:tbl>
    <w:p>
      <w:pPr>
        <w:spacing w:after="200"/>
      </w:pPr>
    </w:p>
    <w:p>
      <w:pPr>
        <w:pStyle w:val="Heading3"/>
        <w:keepNext/>
        <w:spacing w:after="140" w:before="320"/>
      </w:pPr>
      <w:r>
        <w:rPr>
          <w:rFonts w:ascii="Georgia" w:cs="Georgia" w:eastAsia="Georgia" w:hAnsi="Georgia"/>
          <w:b/>
          <w:bCs/>
          <w:color w:val="2F5496"/>
          <w:sz w:val="22"/>
          <w:szCs w:val="22"/>
        </w:rPr>
        <w:t xml:space="preserve">Los veinticinco anexos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Anexo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Título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Para qué sirve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Cuadro Maestro de Exigencias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Cada exigencia, un solo instrumento. Impide el doble cómputo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Ficha de Aplicabilidad por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 de cierre: lo que no tiene ficha firmada, no entra en el pliego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Modelo de informe de necesidad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documento del paso 1</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Ficha por criterio y hoja de comprobación del baremo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Suma el baremo entero, con el precio dentro, y avisa antes de publicar</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Catálogo de Exigencias Tecnológicas Determinadas del ejercicio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 que se transcribe al pliego técnico y se compra con el precio ofertado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VI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Tabla de dependencias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Qué menciones arrastra cada cláusula que se marque NO APLICA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VII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Declaración responsable del licitador (modelo)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 que el licitador firma con su oferta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VIII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Modelo de acuerdo del órgano de gobierno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Da rango institucional a las exigencias que ninguna norma impone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IX</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Declaración de conflicto de interés y de participación previa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64 LCSP, antes de aprobar</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Tabla consolidada de parámetros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Todos los corchetes del catálogo, con su valor recomendado y cuándo moverlo. X.2, umbrales; X.3, Cuadro de Precios Unitarios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de vigencia normativa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Qué es obligación legal ya exigible y qué es exigencia anticipada voluntariamente, con fecha de corte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Tabla de correspondencias v2 → 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Equivalencia cláusula a cláusula con la versión anterior</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XIII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Glosario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Términos técnicos y términos de contratación</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XIV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Modelo de Plan Anual de Evolución Tecnológica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formato que el pliego puede exigir</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Modelo de resolución de aprobación anual del Catálogo de Exigencias Tecnológicas (Anexo 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pieza que hace que la revisión anual ocurra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XVI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Política municipal de uso de inteligencia artificial generativa por el personal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mitad municipal de la obligación que </w:t>
            </w:r>
            <w:r>
              <w:rPr>
                <w:rFonts w:ascii="Calibri" w:cs="Calibri" w:eastAsia="Calibri" w:hAnsi="Calibri"/>
                <w:b w:val="false"/>
                <w:bCs w:val="false"/>
                <w:color w:val="2F5496"/>
                <w:sz w:val="18"/>
                <w:szCs w:val="18"/>
              </w:rPr>
              <w:t xml:space="preserve">ADM-13·v3</w:t>
            </w:r>
            <w:r>
              <w:rPr>
                <w:rFonts w:ascii="Calibri" w:cs="Calibri" w:eastAsia="Calibri" w:hAnsi="Calibri"/>
                <w:b w:val="false"/>
                <w:bCs w:val="false"/>
                <w:sz w:val="18"/>
                <w:szCs w:val="18"/>
              </w:rPr>
              <w:t xml:space="preserve"> impone al contratista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XVII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Fórmulas modelo de valoración y tratamiento de las ofertas anormalmente bajas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Las fórmulas que el baremo necesita y el régimen del art. 149 LCSP</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XVIII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Modelos de acta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Aceptación, ensayo de reversibilidad, reversión, Comisión de Seguimiento y acceso de los órganos de control</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XIX</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Extracto de vigencia normativa transcribible al pliego de prescripciones técnicas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 que </w:t>
            </w:r>
            <w:r>
              <w:rPr>
                <w:rFonts w:ascii="Calibri" w:cs="Calibri" w:eastAsia="Calibri" w:hAnsi="Calibri"/>
                <w:b w:val="false"/>
                <w:bCs w:val="false"/>
                <w:color w:val="2F5496"/>
                <w:sz w:val="18"/>
                <w:szCs w:val="18"/>
              </w:rPr>
              <w:t xml:space="preserve">DT-1·v3</w:t>
            </w:r>
            <w:r>
              <w:rPr>
                <w:rFonts w:ascii="Calibri" w:cs="Calibri" w:eastAsia="Calibri" w:hAnsi="Calibri"/>
                <w:b w:val="false"/>
                <w:bCs w:val="false"/>
                <w:sz w:val="18"/>
                <w:szCs w:val="18"/>
              </w:rPr>
              <w:t xml:space="preserve"> invoca y el pliego tiene que reproducir</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XX</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Guion, relación cerrada y rúbrica genéricos de la demostración funcional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 que </w:t>
            </w:r>
            <w:r>
              <w:rPr>
                <w:rFonts w:ascii="Calibri" w:cs="Calibri" w:eastAsia="Calibri" w:hAnsi="Calibri"/>
                <w:b w:val="false"/>
                <w:bCs w:val="false"/>
                <w:color w:val="2F5496"/>
                <w:sz w:val="18"/>
                <w:szCs w:val="18"/>
              </w:rPr>
              <w:t xml:space="preserve">ADM-9·v3</w:t>
            </w:r>
            <w:r>
              <w:rPr>
                <w:rFonts w:ascii="Calibri" w:cs="Calibri" w:eastAsia="Calibri" w:hAnsi="Calibri"/>
                <w:b w:val="false"/>
                <w:bCs w:val="false"/>
                <w:sz w:val="18"/>
                <w:szCs w:val="18"/>
              </w:rPr>
              <w:t xml:space="preserve"> exige publicar</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XXI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Cuadro de certificaciones y equivalencias admisibles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Qué se admite además de la certificación nominada, y con qué prueba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XXII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Modelo de anuncio y de informe de consulta preliminar del mercado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115 LCSP</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XXIII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Prestaciones de carácter intelectual: regla de motivación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 esa calificación dependen el 51 % del art. 145.4 y la exclusión del procedimiento abreviado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XXIV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Contratos ya formalizados con la versión 2 del clausulado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Qué hacer con un contrato vivo redactado con la versión anterior</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XXV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 de composición y numeración de los apéndices técnicos del pliego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Cómo se modelan y numeran la matriz funcional de C1 y los apéndices que las cláusulas técnicas exigen</w:t>
            </w:r>
          </w:p>
        </w:tc>
      </w:tr>
    </w:tbl>
    <w:p>
      <w:pPr>
        <w:spacing w:after="200"/>
      </w:pPr>
    </w:p>
    <w:p>
      <w:pPr>
        <w:spacing w:after="140" w:line="276"/>
      </w:pPr>
      <w:r>
        <w:rPr>
          <w:rFonts w:ascii="Calibri" w:cs="Calibri" w:eastAsia="Calibri" w:hAnsi="Calibri"/>
          <w:sz w:val="21"/>
          <w:szCs w:val="21"/>
        </w:rPr>
        <w:t xml:space="preserve">Cierra la Parte VII una </w:t>
      </w:r>
      <w:r>
        <w:rPr>
          <w:rFonts w:ascii="Calibri" w:cs="Calibri" w:eastAsia="Calibri" w:hAnsi="Calibri"/>
          <w:b/>
          <w:bCs/>
          <w:sz w:val="21"/>
          <w:szCs w:val="21"/>
        </w:rPr>
        <w:t xml:space="preserve">nota de alcance</w:t>
      </w:r>
      <w:r>
        <w:rPr>
          <w:rFonts w:ascii="Calibri" w:cs="Calibri" w:eastAsia="Calibri" w:hAnsi="Calibri"/>
          <w:sz w:val="21"/>
          <w:szCs w:val="21"/>
        </w:rPr>
        <w:t xml:space="preserve"> que enumera, con nombre, los instrumentos que esta versión </w:t>
      </w:r>
      <w:r>
        <w:rPr>
          <w:rFonts w:ascii="Calibri" w:cs="Calibri" w:eastAsia="Calibri" w:hAnsi="Calibri"/>
          <w:b/>
          <w:bCs/>
          <w:sz w:val="21"/>
          <w:szCs w:val="21"/>
        </w:rPr>
        <w:t xml:space="preserve">no</w:t>
      </w:r>
      <w:r>
        <w:rPr>
          <w:rFonts w:ascii="Calibri" w:cs="Calibri" w:eastAsia="Calibri" w:hAnsi="Calibri"/>
          <w:sz w:val="21"/>
          <w:szCs w:val="21"/>
        </w:rPr>
        <w:t xml:space="preserve"> entrega.</w:t>
      </w:r>
    </w:p>
    <w:p>
      <w:pPr>
        <w:pStyle w:val="Heading3"/>
        <w:keepNext/>
        <w:spacing w:after="140" w:before="320"/>
      </w:pPr>
      <w:r>
        <w:rPr>
          <w:rFonts w:ascii="Georgia" w:cs="Georgia" w:eastAsia="Georgia" w:hAnsi="Georgia"/>
          <w:b/>
          <w:bCs/>
          <w:color w:val="2F5496"/>
          <w:sz w:val="22"/>
          <w:szCs w:val="22"/>
        </w:rPr>
        <w:t xml:space="preserve">Índice de las cláusulas</w:t>
      </w:r>
    </w:p>
    <w:p>
      <w:pPr>
        <w:spacing w:after="140" w:line="276"/>
      </w:pPr>
      <w:r>
        <w:rPr>
          <w:rFonts w:ascii="Calibri" w:cs="Calibri" w:eastAsia="Calibri" w:hAnsi="Calibri"/>
          <w:sz w:val="21"/>
          <w:szCs w:val="21"/>
        </w:rPr>
        <w:t xml:space="preserve">Las veinticuatro cláusulas, con el instrumento único que les asigna el Anexo I y su punto de partida en el cuadro de intensidad de la Parte I §2.2. Resuelve la mayor parte de las consultas del redactor sin abrir el articulado.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Rúbrica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Pliego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Instrumento único (Anexo I)</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Punto de partida</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DT-0·v3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Régimen de equivalencia y acreditación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Nivel B</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DT-1·v3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Incorporación de IA, IA generativa y agentes de 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Según objeto</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DT-2·v3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Capa de confianza: anclaje de evidencias e identidad digital verificable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APLICA por defecto</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DT-3·v3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Criptoagilidad y preparación para la criptografía post-cuántica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APLICA por defecto</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DT-4·v3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Automatización de procesos municipales identificados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Según objeto</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DT-5·v3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Interoperabilidad, servicios comunes y soberanía del dato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Nivel B</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DT-6·v3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Seguridad conforme al Esquema Nacional de Seguridad (ENS) en la categoría que corresponda, y protección de datos desde el diseño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 + acreditación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Nivel A (impuesta por norma)</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DT-7·v3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Interfaz normalizada de acceso programático para agentes de 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Nivel C</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DT-8·v3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Reversibilidad, Inventario de Componentes y Dossier de Reversibilidad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 + garantía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Nivel B</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DT-9·v3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Exigencias tecnológicas determinadas del ejercicio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Nivel C</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ADM-1·v3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Solvencia técnica, sistema de gestión de la IA y certificaciones exigibles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Solvencia · adscripción de medios · condición especial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Según objeto</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ADM-2·v3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Condición especial de ejecución: Compromiso de Evolución Tecnológica Determinada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Condición especial de ejecución </w:t>
            </w:r>
            <w:r>
              <w:rPr>
                <w:rFonts w:ascii="Calibri" w:cs="Calibri" w:eastAsia="Calibri" w:hAnsi="Calibri"/>
                <w:b/>
                <w:bCs/>
                <w:sz w:val="18"/>
                <w:szCs w:val="18"/>
              </w:rPr>
              <w:t xml:space="preserve">esencial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Nivel C</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ADM-3·v3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Plazos de adaptación y bolsa de servicios evolutivos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Sistema de determinación del precio (art. 308.3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Según objeto</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ADM-4·v3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Seguimiento: responsable del contrato, Comisión de Seguimiento y verificación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Cláusula del 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Nivel B</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ADM-5·v3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Penalidades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Cláusula del 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Nivel B</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ADM-6·v3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Obligaciones contractuales esenciales y resolución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Cláusula del 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Nivel A (bloque A, cuando concurra su presupuesto)</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ADM-7·v3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Criterios de adjudicación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Criterios de adjudicación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Nivel C</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ADM-8·v3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Propiedad intelectual, algoritmos y lógica de negocio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Cláusula del 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Nivel B</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ADM-9·v3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Verificación mediante demostración funcional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Medio de comprobación de un criterio (art. 145.5.c)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Nivel C</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ADM-10·v3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Plan Anual de Evolución Tecnológica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Condición especial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Nivel B, y sólo si se ha incorporado </w:t>
            </w:r>
            <w:r>
              <w:rPr>
                <w:rFonts w:ascii="Calibri" w:cs="Calibri" w:eastAsia="Calibri" w:hAnsi="Calibri"/>
                <w:b w:val="false"/>
                <w:bCs w:val="false"/>
                <w:color w:val="2F5496"/>
                <w:sz w:val="18"/>
                <w:szCs w:val="18"/>
              </w:rPr>
              <w:t xml:space="preserve">DT-9·v3</w:t>
            </w:r>
            <w:r>
              <w:rPr>
                <w:rFonts w:ascii="Calibri" w:cs="Calibri" w:eastAsia="Calibri" w:hAnsi="Calibri"/>
                <w:b w:val="false"/>
                <w:bCs w:val="false"/>
                <w:sz w:val="18"/>
                <w:szCs w:val="18"/>
              </w:rPr>
              <w:t xml:space="preserve"> y su Anexo V, del que depende</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ADM-11·v3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Depósito de código y continuidad ante insolvencia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Condición especial de ejecución </w:t>
            </w:r>
            <w:r>
              <w:rPr>
                <w:rFonts w:ascii="Calibri" w:cs="Calibri" w:eastAsia="Calibri" w:hAnsi="Calibri"/>
                <w:b/>
                <w:bCs/>
                <w:sz w:val="18"/>
                <w:szCs w:val="18"/>
              </w:rPr>
              <w:t xml:space="preserve">esencial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si concurren las cuatro circunstancias de su apartado 1</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ADM-12·v3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Acceso de los órganos de control interno a los datos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Condición especial de ejecución </w:t>
            </w:r>
            <w:r>
              <w:rPr>
                <w:rFonts w:ascii="Calibri" w:cs="Calibri" w:eastAsia="Calibri" w:hAnsi="Calibri"/>
                <w:b/>
                <w:bCs/>
                <w:sz w:val="18"/>
                <w:szCs w:val="18"/>
              </w:rPr>
              <w:t xml:space="preserve">esencial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Nivel B</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ADM-13·v3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Uso de herramientas de inteligencia artificial sobre información municipal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Condición especial de ejecución </w:t>
            </w:r>
            <w:r>
              <w:rPr>
                <w:rFonts w:ascii="Calibri" w:cs="Calibri" w:eastAsia="Calibri" w:hAnsi="Calibri"/>
                <w:b/>
                <w:bCs/>
                <w:sz w:val="18"/>
                <w:szCs w:val="18"/>
              </w:rPr>
              <w:t xml:space="preserve">esencial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Nivel A, si el contratista trata información municipal no pública</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ADM-14·v3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Modificación prevista como red de seguridad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Cláusula del PCAP + cómputo en el valor estimado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se incorpora por defecto</w:t>
            </w:r>
          </w:p>
        </w:tc>
      </w:tr>
    </w:tbl>
    <w:p>
      <w:pPr>
        <w:spacing w:after="200"/>
      </w:pPr>
    </w:p>
    <w:p>
      <w:pPr>
        <w:spacing w:after="140" w:line="276"/>
      </w:pPr>
      <w:r>
        <w:rPr>
          <w:rFonts w:ascii="Calibri" w:cs="Calibri" w:eastAsia="Calibri" w:hAnsi="Calibri"/>
          <w:i/>
          <w:iCs/>
          <w:sz w:val="21"/>
          <w:szCs w:val="21"/>
        </w:rPr>
        <w:t xml:space="preserve">«Punto de partida» significa lo que el cuadro de intensidad de la Parte I §2.2 recomienda como arranque de la discusión, no una decisión tomada: ninguna cláusula entra sin ficha de aplicabilidad firmada.</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0.1 Qué es esto, y sobre todo qué no es</w:t>
      </w:r>
    </w:p>
    <w:p>
      <w:pPr>
        <w:spacing w:after="140" w:line="276"/>
      </w:pPr>
      <w:r>
        <w:rPr>
          <w:rFonts w:ascii="Calibri" w:cs="Calibri" w:eastAsia="Calibri" w:hAnsi="Calibri"/>
          <w:b/>
          <w:bCs/>
          <w:sz w:val="21"/>
          <w:szCs w:val="21"/>
        </w:rPr>
        <w:t xml:space="preserve">Palabras que se usan aquí desde la primera línea.</w:t>
      </w:r>
      <w:r>
        <w:rPr>
          <w:rFonts w:ascii="Calibri" w:cs="Calibri" w:eastAsia="Calibri" w:hAnsi="Calibri"/>
          <w:sz w:val="21"/>
          <w:szCs w:val="21"/>
        </w:rPr>
        <w:t xml:space="preserve"> El resto está en el Anexo XIII.</w:t>
      </w:r>
    </w:p>
    <w:p>
      <w:pPr>
        <w:pBdr>
          <w:left w:val="single" w:color="BFBFBF" w:sz="12" w:space="8"/>
        </w:pBdr>
        <w:spacing w:after="140" w:line="264"/>
        <w:ind w:left="400"/>
      </w:pPr>
      <w:r>
        <w:rPr>
          <w:rFonts w:ascii="Georgia" w:cs="Georgia" w:eastAsia="Georgia" w:hAnsi="Georgia"/>
          <w:i/>
          <w:iCs/>
          <w:color w:val="595959"/>
          <w:sz w:val="20"/>
          <w:szCs w:val="20"/>
        </w:rPr>
        <w:t xml:space="preserve">- </w:t>
      </w:r>
      <w:r>
        <w:rPr>
          <w:rFonts w:ascii="Georgia" w:cs="Georgia" w:eastAsia="Georgia" w:hAnsi="Georgia"/>
          <w:b/>
          <w:bCs/>
          <w:i/>
          <w:iCs/>
          <w:color w:val="595959"/>
          <w:sz w:val="20"/>
          <w:szCs w:val="20"/>
        </w:rPr>
        <w:t xml:space="preserve">Pliego</w:t>
      </w:r>
      <w:r>
        <w:rPr>
          <w:rFonts w:ascii="Georgia" w:cs="Georgia" w:eastAsia="Georgia" w:hAnsi="Georgia"/>
          <w:i/>
          <w:iCs/>
          <w:color w:val="595959"/>
          <w:sz w:val="20"/>
          <w:szCs w:val="20"/>
        </w:rPr>
        <w:t xml:space="preserve">: el documento que fija, antes de convocar el concurso, qué hay que hacer y con qué reglas. Es lo único que obliga al que gane. Todo contrato de cierta cuantía tiene dos: el técnico (PPT) y el administrativo (PCAP).</w:t>
      </w:r>
    </w:p>
    <w:p>
      <w:pPr>
        <w:pBdr>
          <w:left w:val="single" w:color="BFBFBF" w:sz="12" w:space="8"/>
        </w:pBdr>
        <w:spacing w:after="140" w:line="264"/>
        <w:ind w:left="400"/>
      </w:pPr>
      <w:r>
        <w:rPr>
          <w:rFonts w:ascii="Georgia" w:cs="Georgia" w:eastAsia="Georgia" w:hAnsi="Georgia"/>
          <w:i/>
          <w:iCs/>
          <w:color w:val="595959"/>
          <w:sz w:val="20"/>
          <w:szCs w:val="20"/>
        </w:rPr>
        <w:t xml:space="preserve">- </w:t>
      </w:r>
      <w:r>
        <w:rPr>
          <w:rFonts w:ascii="Georgia" w:cs="Georgia" w:eastAsia="Georgia" w:hAnsi="Georgia"/>
          <w:b/>
          <w:bCs/>
          <w:i/>
          <w:iCs/>
          <w:color w:val="595959"/>
          <w:sz w:val="20"/>
          <w:szCs w:val="20"/>
        </w:rPr>
        <w:t xml:space="preserve">Expediente</w:t>
      </w:r>
      <w:r>
        <w:rPr>
          <w:rFonts w:ascii="Georgia" w:cs="Georgia" w:eastAsia="Georgia" w:hAnsi="Georgia"/>
          <w:i/>
          <w:iCs/>
          <w:color w:val="595959"/>
          <w:sz w:val="20"/>
          <w:szCs w:val="20"/>
        </w:rPr>
        <w:t xml:space="preserve">: la carpeta de documentos que un ayuntamiento tiene que formar antes de convocar un concurso, y en la que consta por escrito por qué contrata, qué necesita y por qué exige lo que exige.</w:t>
      </w:r>
    </w:p>
    <w:p>
      <w:pPr>
        <w:pBdr>
          <w:left w:val="single" w:color="BFBFBF" w:sz="12" w:space="8"/>
        </w:pBdr>
        <w:spacing w:after="140" w:line="264"/>
        <w:ind w:left="400"/>
      </w:pPr>
      <w:r>
        <w:rPr>
          <w:rFonts w:ascii="Georgia" w:cs="Georgia" w:eastAsia="Georgia" w:hAnsi="Georgia"/>
          <w:i/>
          <w:iCs/>
          <w:color w:val="595959"/>
          <w:sz w:val="20"/>
          <w:szCs w:val="20"/>
        </w:rPr>
        <w:t xml:space="preserve">- </w:t>
      </w:r>
      <w:r>
        <w:rPr>
          <w:rFonts w:ascii="Georgia" w:cs="Georgia" w:eastAsia="Georgia" w:hAnsi="Georgia"/>
          <w:b/>
          <w:bCs/>
          <w:i/>
          <w:iCs/>
          <w:color w:val="595959"/>
          <w:sz w:val="20"/>
          <w:szCs w:val="20"/>
        </w:rPr>
        <w:t xml:space="preserve">Órgano de contratación</w:t>
      </w:r>
      <w:r>
        <w:rPr>
          <w:rFonts w:ascii="Georgia" w:cs="Georgia" w:eastAsia="Georgia" w:hAnsi="Georgia"/>
          <w:i/>
          <w:iCs/>
          <w:color w:val="595959"/>
          <w:sz w:val="20"/>
          <w:szCs w:val="20"/>
        </w:rPr>
        <w:t xml:space="preserve">: quien decide contratar y firma el contrato en nombre del Ayuntamiento —según el caso, la Alcaldía, la Junta de Gobierno o un concejal por delegación—.</w:t>
      </w:r>
    </w:p>
    <w:p>
      <w:pPr>
        <w:pBdr>
          <w:left w:val="single" w:color="BFBFBF" w:sz="12" w:space="8"/>
        </w:pBdr>
        <w:spacing w:after="140" w:line="264"/>
        <w:ind w:left="400"/>
      </w:pPr>
      <w:r>
        <w:rPr>
          <w:rFonts w:ascii="Georgia" w:cs="Georgia" w:eastAsia="Georgia" w:hAnsi="Georgia"/>
          <w:i/>
          <w:iCs/>
          <w:color w:val="595959"/>
          <w:sz w:val="20"/>
          <w:szCs w:val="20"/>
        </w:rPr>
        <w:t xml:space="preserve">- </w:t>
      </w:r>
      <w:r>
        <w:rPr>
          <w:rFonts w:ascii="Georgia" w:cs="Georgia" w:eastAsia="Georgia" w:hAnsi="Georgia"/>
          <w:b/>
          <w:bCs/>
          <w:i/>
          <w:iCs/>
          <w:color w:val="595959"/>
          <w:sz w:val="20"/>
          <w:szCs w:val="20"/>
        </w:rPr>
        <w:t xml:space="preserve">Licitador</w:t>
      </w:r>
      <w:r>
        <w:rPr>
          <w:rFonts w:ascii="Georgia" w:cs="Georgia" w:eastAsia="Georgia" w:hAnsi="Georgia"/>
          <w:i/>
          <w:iCs/>
          <w:color w:val="595959"/>
          <w:sz w:val="20"/>
          <w:szCs w:val="20"/>
        </w:rPr>
        <w:t xml:space="preserve">: la empresa que se presenta al concurso. </w:t>
      </w:r>
      <w:r>
        <w:rPr>
          <w:rFonts w:ascii="Georgia" w:cs="Georgia" w:eastAsia="Georgia" w:hAnsi="Georgia"/>
          <w:b/>
          <w:bCs/>
          <w:i/>
          <w:iCs/>
          <w:color w:val="595959"/>
          <w:sz w:val="20"/>
          <w:szCs w:val="20"/>
        </w:rPr>
        <w:t xml:space="preserve">Adjudicatario</w:t>
      </w:r>
      <w:r>
        <w:rPr>
          <w:rFonts w:ascii="Georgia" w:cs="Georgia" w:eastAsia="Georgia" w:hAnsi="Georgia"/>
          <w:i/>
          <w:iCs/>
          <w:color w:val="595959"/>
          <w:sz w:val="20"/>
          <w:szCs w:val="20"/>
        </w:rPr>
        <w:t xml:space="preserve"> o </w:t>
      </w:r>
      <w:r>
        <w:rPr>
          <w:rFonts w:ascii="Georgia" w:cs="Georgia" w:eastAsia="Georgia" w:hAnsi="Georgia"/>
          <w:b/>
          <w:bCs/>
          <w:i/>
          <w:iCs/>
          <w:color w:val="595959"/>
          <w:sz w:val="20"/>
          <w:szCs w:val="20"/>
        </w:rPr>
        <w:t xml:space="preserve">contratista</w:t>
      </w:r>
      <w:r>
        <w:rPr>
          <w:rFonts w:ascii="Georgia" w:cs="Georgia" w:eastAsia="Georgia" w:hAnsi="Georgia"/>
          <w:i/>
          <w:iCs/>
          <w:color w:val="595959"/>
          <w:sz w:val="20"/>
          <w:szCs w:val="20"/>
        </w:rPr>
        <w:t xml:space="preserve">: la que lo gana y ejecuta el contrato.</w:t>
      </w:r>
    </w:p>
    <w:p>
      <w:pPr>
        <w:pBdr>
          <w:left w:val="single" w:color="BFBFBF" w:sz="12" w:space="8"/>
        </w:pBdr>
        <w:spacing w:after="140" w:line="264"/>
        <w:ind w:left="400"/>
      </w:pPr>
      <w:r>
        <w:rPr>
          <w:rFonts w:ascii="Georgia" w:cs="Georgia" w:eastAsia="Georgia" w:hAnsi="Georgia"/>
          <w:i/>
          <w:iCs/>
          <w:color w:val="595959"/>
          <w:sz w:val="20"/>
          <w:szCs w:val="20"/>
        </w:rPr>
        <w:t xml:space="preserve">- </w:t>
      </w:r>
      <w:r>
        <w:rPr>
          <w:rFonts w:ascii="Georgia" w:cs="Georgia" w:eastAsia="Georgia" w:hAnsi="Georgia"/>
          <w:b/>
          <w:bCs/>
          <w:i/>
          <w:iCs/>
          <w:color w:val="595959"/>
          <w:sz w:val="20"/>
          <w:szCs w:val="20"/>
        </w:rPr>
        <w:t xml:space="preserve">Memoria justificativa</w:t>
      </w:r>
      <w:r>
        <w:rPr>
          <w:rFonts w:ascii="Georgia" w:cs="Georgia" w:eastAsia="Georgia" w:hAnsi="Georgia"/>
          <w:i/>
          <w:iCs/>
          <w:color w:val="595959"/>
          <w:sz w:val="20"/>
          <w:szCs w:val="20"/>
        </w:rPr>
        <w:t xml:space="preserve">: el documento del expediente en el que el Ayuntamiento explica y motiva, exigencia por exigencia, por qué pide lo que pide. Es donde se gana o se pierde un recurso.</w:t>
      </w:r>
    </w:p>
    <w:p>
      <w:pPr>
        <w:spacing w:after="140" w:line="276"/>
      </w:pPr>
      <w:r>
        <w:rPr>
          <w:rFonts w:ascii="Calibri" w:cs="Calibri" w:eastAsia="Calibri" w:hAnsi="Calibri"/>
          <w:b/>
          <w:bCs/>
          <w:sz w:val="21"/>
          <w:szCs w:val="21"/>
        </w:rPr>
        <w:t xml:space="preserve">En una frase.</w:t>
      </w:r>
      <w:r>
        <w:rPr>
          <w:rFonts w:ascii="Calibri" w:cs="Calibri" w:eastAsia="Calibri" w:hAnsi="Calibri"/>
          <w:sz w:val="21"/>
          <w:szCs w:val="21"/>
        </w:rPr>
        <w:t xml:space="preserve"> Es un catálogo de cláusulas ya redactadas —con su justificación, su medio de prueba, su forma de verificación y su consecuencia— del que el redactor de un pliego toma únicamente las que la necesidad de </w:t>
      </w:r>
      <w:r>
        <w:rPr>
          <w:rFonts w:ascii="Calibri" w:cs="Calibri" w:eastAsia="Calibri" w:hAnsi="Calibri"/>
          <w:i/>
          <w:iCs/>
          <w:sz w:val="21"/>
          <w:szCs w:val="21"/>
        </w:rPr>
        <w:t xml:space="preserve">ese</w:t>
      </w:r>
      <w:r>
        <w:rPr>
          <w:rFonts w:ascii="Calibri" w:cs="Calibri" w:eastAsia="Calibri" w:hAnsi="Calibri"/>
          <w:sz w:val="21"/>
          <w:szCs w:val="21"/>
        </w:rPr>
        <w:t xml:space="preserve"> expediente justifica, y deja fuera todas las demás.</w:t>
      </w:r>
    </w:p>
    <w:p>
      <w:pPr>
        <w:spacing w:after="140" w:line="276"/>
      </w:pPr>
      <w:r>
        <w:rPr>
          <w:rFonts w:ascii="Calibri" w:cs="Calibri" w:eastAsia="Calibri" w:hAnsi="Calibri"/>
          <w:sz w:val="21"/>
          <w:szCs w:val="21"/>
        </w:rPr>
        <w:t xml:space="preserve">Las palabras que importan son </w:t>
      </w:r>
      <w:r>
        <w:rPr>
          <w:rFonts w:ascii="Calibri" w:cs="Calibri" w:eastAsia="Calibri" w:hAnsi="Calibri"/>
          <w:b/>
          <w:bCs/>
          <w:sz w:val="21"/>
          <w:szCs w:val="21"/>
        </w:rPr>
        <w:t xml:space="preserve">«del que se toma lo que ese expediente necesita»</w:t>
      </w:r>
      <w:r>
        <w:rPr>
          <w:rFonts w:ascii="Calibri" w:cs="Calibri" w:eastAsia="Calibri" w:hAnsi="Calibri"/>
          <w:sz w:val="21"/>
          <w:szCs w:val="21"/>
        </w:rPr>
        <w:t xml:space="preserve">. Un catálogo no se aplica: se usa. La versión 2.0 de este documento, de junio de 2026, se autodefinía como «clausulado tipo para su incorporación transversal en los pliegos […] de cualquier licitación del Ayuntamiento, con independencia del área gestora». Esa frase ha desaparecido y no vuelve. Era, literalmente, el motivo de la primera dificultad del §M1.1: unas cláusulas que nacen de necesidades que aún no demandan los gestores acaban resultando artificiosas al contrato.</w:t>
      </w:r>
    </w:p>
    <w:p>
      <w:pPr>
        <w:pStyle w:val="Heading3"/>
        <w:keepNext/>
        <w:spacing w:after="140" w:before="320"/>
      </w:pPr>
      <w:r>
        <w:rPr>
          <w:rFonts w:ascii="Georgia" w:cs="Georgia" w:eastAsia="Georgia" w:hAnsi="Georgia"/>
          <w:b/>
          <w:bCs/>
          <w:color w:val="2F5496"/>
          <w:sz w:val="22"/>
          <w:szCs w:val="22"/>
        </w:rPr>
        <w:t xml:space="preserve">Lo que este documento NO es</w:t>
      </w:r>
    </w:p>
    <w:p>
      <w:pPr>
        <w:spacing w:after="140" w:line="276"/>
      </w:pPr>
      <w:r>
        <w:rPr>
          <w:rFonts w:ascii="Calibri" w:cs="Calibri" w:eastAsia="Calibri" w:hAnsi="Calibri"/>
          <w:b/>
          <w:bCs/>
          <w:sz w:val="21"/>
          <w:szCs w:val="21"/>
        </w:rPr>
        <w:t xml:space="preserve">No es una norma.</w:t>
      </w:r>
      <w:r>
        <w:rPr>
          <w:rFonts w:ascii="Calibri" w:cs="Calibri" w:eastAsia="Calibri" w:hAnsi="Calibri"/>
          <w:sz w:val="21"/>
          <w:szCs w:val="21"/>
        </w:rPr>
        <w:t xml:space="preserve"> No obliga a nadie por sí mismo. No crea competencias, no modifica la LCSP ni ninguna otra. Sólo produce efectos cuando un órgano de contratación decide copiar una cláusula concreta a un pliego concreto, y entonces quien obliga es el pliego, no este documento.</w:t>
      </w:r>
    </w:p>
    <w:p>
      <w:pPr>
        <w:spacing w:after="140" w:line="276"/>
      </w:pPr>
      <w:r>
        <w:rPr>
          <w:rFonts w:ascii="Calibri" w:cs="Calibri" w:eastAsia="Calibri" w:hAnsi="Calibri"/>
          <w:b/>
          <w:bCs/>
          <w:sz w:val="21"/>
          <w:szCs w:val="21"/>
        </w:rPr>
        <w:t xml:space="preserve">No es de aplicación automática ni transversal.</w:t>
      </w:r>
      <w:r>
        <w:rPr>
          <w:rFonts w:ascii="Calibri" w:cs="Calibri" w:eastAsia="Calibri" w:hAnsi="Calibri"/>
          <w:sz w:val="21"/>
          <w:szCs w:val="21"/>
        </w:rPr>
        <w:t xml:space="preserve"> Ninguna cláusula entra en un pliego por el hecho de que exista aquí. Cada una entra —o no— por decisión motivada del expediente. La regla de cierre está escrita en la Parte I y se materializa en el Anexo II: </w:t>
      </w:r>
      <w:r>
        <w:rPr>
          <w:rFonts w:ascii="Calibri" w:cs="Calibri" w:eastAsia="Calibri" w:hAnsi="Calibri"/>
          <w:i/>
          <w:iCs/>
          <w:sz w:val="21"/>
          <w:szCs w:val="21"/>
        </w:rPr>
        <w:t xml:space="preserve">lo que no tenga ficha de aplicabilidad cumplimentada y firmada se marca NO APLICA y no se copia</w:t>
      </w:r>
      <w:r>
        <w:rPr>
          <w:rFonts w:ascii="Calibri" w:cs="Calibri" w:eastAsia="Calibri" w:hAnsi="Calibri"/>
          <w:sz w:val="21"/>
          <w:szCs w:val="21"/>
        </w:rPr>
        <w:t xml:space="preserve">.</w:t>
      </w:r>
    </w:p>
    <w:p>
      <w:pPr>
        <w:spacing w:after="140" w:line="276"/>
      </w:pPr>
      <w:r>
        <w:rPr>
          <w:rFonts w:ascii="Calibri" w:cs="Calibri" w:eastAsia="Calibri" w:hAnsi="Calibri"/>
          <w:b/>
          <w:bCs/>
          <w:sz w:val="21"/>
          <w:szCs w:val="21"/>
        </w:rPr>
        <w:t xml:space="preserve">No es un pliego, ni un pliego-tipo.</w:t>
      </w:r>
      <w:r>
        <w:rPr>
          <w:rFonts w:ascii="Calibri" w:cs="Calibri" w:eastAsia="Calibri" w:hAnsi="Calibri"/>
          <w:sz w:val="21"/>
          <w:szCs w:val="21"/>
        </w:rPr>
        <w:t xml:space="preserve"> El pliego lo redacta y lo aprueba cada órgano de contratación. Este documento le da el texto y el andamiaje justificativo; no le da la decisión.</w:t>
      </w:r>
    </w:p>
    <w:p>
      <w:pPr>
        <w:spacing w:after="140" w:line="276"/>
      </w:pPr>
      <w:r>
        <w:rPr>
          <w:rFonts w:ascii="Calibri" w:cs="Calibri" w:eastAsia="Calibri" w:hAnsi="Calibri"/>
          <w:b/>
          <w:bCs/>
          <w:sz w:val="21"/>
          <w:szCs w:val="21"/>
        </w:rPr>
        <w:t xml:space="preserve">No sustituye a la memoria justificativa de ningún expediente.</w:t>
      </w:r>
      <w:r>
        <w:rPr>
          <w:rFonts w:ascii="Calibri" w:cs="Calibri" w:eastAsia="Calibri" w:hAnsi="Calibri"/>
          <w:sz w:val="21"/>
          <w:szCs w:val="21"/>
        </w:rPr>
        <w:t xml:space="preserve"> Esto es lo primero que va a mirar quien tiene que informar jurídicamente el expediente y quien tiene que fiscalizarlo —el secretario y el interventor municipales, que son funcionarios de habilitación nacional: se seleccionan por el Estado y no por cada ayuntamiento, de modo que su informe no depende de quien gobierna la Corporación—, y conviene decirlo con un precedente real y del tribunal competente:</w:t>
      </w:r>
    </w:p>
    <w:p>
      <w:pPr>
        <w:pBdr>
          <w:left w:val="single" w:color="BFBFBF" w:sz="12" w:space="8"/>
        </w:pBdr>
        <w:spacing w:after="140" w:line="264"/>
        <w:ind w:left="400"/>
      </w:pPr>
      <w:r>
        <w:rPr>
          <w:rFonts w:ascii="Georgia" w:cs="Georgia" w:eastAsia="Georgia" w:hAnsi="Georgia"/>
          <w:i/>
          <w:iCs/>
          <w:color w:val="595959"/>
          <w:sz w:val="20"/>
          <w:szCs w:val="20"/>
        </w:rPr>
        <w:t xml:space="preserve">El Tribunal Administrativo de Contratación Pública de la Comunidad de Madrid (en adelante, </w:t>
      </w:r>
      <w:r>
        <w:rPr>
          <w:rFonts w:ascii="Georgia" w:cs="Georgia" w:eastAsia="Georgia" w:hAnsi="Georgia"/>
          <w:b/>
          <w:bCs/>
          <w:i/>
          <w:iCs/>
          <w:color w:val="595959"/>
          <w:sz w:val="20"/>
          <w:szCs w:val="20"/>
        </w:rPr>
        <w:t xml:space="preserve">TACP Madrid</w:t>
      </w:r>
      <w:r>
        <w:rPr>
          <w:rFonts w:ascii="Georgia" w:cs="Georgia" w:eastAsia="Georgia" w:hAnsi="Georgia"/>
          <w:i/>
          <w:iCs/>
          <w:color w:val="595959"/>
          <w:sz w:val="20"/>
          <w:szCs w:val="20"/>
        </w:rPr>
        <w:t xml:space="preserve">), en su </w:t>
      </w:r>
      <w:r>
        <w:rPr>
          <w:rFonts w:ascii="Georgia" w:cs="Georgia" w:eastAsia="Georgia" w:hAnsi="Georgia"/>
          <w:b/>
          <w:bCs/>
          <w:i/>
          <w:iCs/>
          <w:color w:val="595959"/>
          <w:sz w:val="20"/>
          <w:szCs w:val="20"/>
        </w:rPr>
        <w:t xml:space="preserve">Resolución 383/2024, de 3 de octubre de 2024 (expediente y recurso 383/2024)</w:t>
      </w:r>
      <w:r>
        <w:rPr>
          <w:rFonts w:ascii="Georgia" w:cs="Georgia" w:eastAsia="Georgia" w:hAnsi="Georgia"/>
          <w:i/>
          <w:iCs/>
          <w:color w:val="595959"/>
          <w:sz w:val="20"/>
          <w:szCs w:val="20"/>
        </w:rPr>
        <w:t xml:space="preserve">, estimó el recurso de TECNOLOGÍAS VIALES APLICADAS TEVA, S.L. contra los pliegos del contrato del sistema de gestión de la zona de bajas emisiones del </w:t>
      </w:r>
      <w:r>
        <w:rPr>
          <w:rFonts w:ascii="Georgia" w:cs="Georgia" w:eastAsia="Georgia" w:hAnsi="Georgia"/>
          <w:b/>
          <w:bCs/>
          <w:i/>
          <w:iCs/>
          <w:color w:val="595959"/>
          <w:sz w:val="20"/>
          <w:szCs w:val="20"/>
        </w:rPr>
        <w:t xml:space="preserve">Ayuntamiento de Parla</w:t>
      </w:r>
      <w:r>
        <w:rPr>
          <w:rFonts w:ascii="Georgia" w:cs="Georgia" w:eastAsia="Georgia" w:hAnsi="Georgia"/>
          <w:i/>
          <w:iCs/>
          <w:color w:val="595959"/>
          <w:sz w:val="20"/>
          <w:szCs w:val="20"/>
        </w:rPr>
        <w:t xml:space="preserve"> (valor estimado 1.657.922,40 euros, 30 meses), porque exigían certificaciones de conformidad con el Esquema Nacional de Seguridad de nivel ALTO sin justificarlo en el expediente. El razonamiento, literal: </w:t>
      </w:r>
      <w:r>
        <w:rPr>
          <w:rFonts w:ascii="Georgia" w:cs="Georgia" w:eastAsia="Georgia" w:hAnsi="Georgia"/>
          <w:i/>
          <w:iCs/>
          <w:color w:val="595959"/>
          <w:sz w:val="20"/>
          <w:szCs w:val="20"/>
        </w:rPr>
        <w:t xml:space="preserve">«analizada la memoria justificativa publicada en la plataforma, en su apartado 13, consta exclusivamente la exigencia de la habilitación empresarial sin que aparezca la más mínima justificación de tal exigencia, como establece el artículo 116.2 de la LCSP. Esta justificación debe realizarse en la memoria justificativa de la contratación, sin que sea admisible la justificación realizada en sede de recurso»</w:t>
      </w:r>
      <w:r>
        <w:rPr>
          <w:rFonts w:ascii="Georgia" w:cs="Georgia" w:eastAsia="Georgia" w:hAnsi="Georgia"/>
          <w:i/>
          <w:iCs/>
          <w:color w:val="595959"/>
          <w:sz w:val="20"/>
          <w:szCs w:val="20"/>
        </w:rPr>
        <w:t xml:space="preserve">.</w:t>
      </w:r>
    </w:p>
    <w:p>
      <w:pPr>
        <w:pBdr>
          <w:left w:val="single" w:color="BFBFBF" w:sz="12" w:space="8"/>
        </w:pBdr>
        <w:spacing w:after="140" w:line="264"/>
        <w:ind w:left="400"/>
      </w:pPr>
      <w:r>
        <w:rPr>
          <w:rFonts w:ascii="Georgia" w:cs="Georgia" w:eastAsia="Georgia" w:hAnsi="Georgia"/>
          <w:i/>
          <w:iCs/>
          <w:color w:val="595959"/>
          <w:sz w:val="20"/>
          <w:szCs w:val="20"/>
        </w:rPr>
        <w:t xml:space="preserve">Precisión sobre el fallo: la parte dispositiva acuerda </w:t>
      </w:r>
      <w:r>
        <w:rPr>
          <w:rFonts w:ascii="Georgia" w:cs="Georgia" w:eastAsia="Georgia" w:hAnsi="Georgia"/>
          <w:b/>
          <w:bCs/>
          <w:i/>
          <w:iCs/>
          <w:color w:val="595959"/>
          <w:sz w:val="20"/>
          <w:szCs w:val="20"/>
        </w:rPr>
        <w:t xml:space="preserve">estimar el recurso</w:t>
      </w:r>
      <w:r>
        <w:rPr>
          <w:rFonts w:ascii="Georgia" w:cs="Georgia" w:eastAsia="Georgia" w:hAnsi="Georgia"/>
          <w:i/>
          <w:iCs/>
          <w:color w:val="595959"/>
          <w:sz w:val="20"/>
          <w:szCs w:val="20"/>
        </w:rPr>
        <w:t xml:space="preserve">; la </w:t>
      </w:r>
      <w:r>
        <w:rPr>
          <w:rFonts w:ascii="Georgia" w:cs="Georgia" w:eastAsia="Georgia" w:hAnsi="Georgia"/>
          <w:b/>
          <w:bCs/>
          <w:i/>
          <w:iCs/>
          <w:color w:val="595959"/>
          <w:sz w:val="20"/>
          <w:szCs w:val="20"/>
        </w:rPr>
        <w:t xml:space="preserve">anulación de los pliegos</w:t>
      </w:r>
      <w:r>
        <w:rPr>
          <w:rFonts w:ascii="Georgia" w:cs="Georgia" w:eastAsia="Georgia" w:hAnsi="Georgia"/>
          <w:i/>
          <w:iCs/>
          <w:color w:val="595959"/>
          <w:sz w:val="20"/>
          <w:szCs w:val="20"/>
        </w:rPr>
        <w:t xml:space="preserve"> se declara en el fundamento de derecho quinto, como consecuencia de la estimación.</w:t>
      </w:r>
    </w:p>
    <w:p>
      <w:pPr>
        <w:pBdr>
          <w:left w:val="single" w:color="BFBFBF" w:sz="12" w:space="8"/>
        </w:pBdr>
        <w:spacing w:after="140" w:line="264"/>
        <w:ind w:left="400"/>
      </w:pPr>
      <w:hyperlink w:history="1" r:id="rIdritvwcu9qxt-zz20_ybqa">
        <w:r>
          <w:rPr>
            <w:rFonts w:ascii="Georgia" w:cs="Georgia" w:eastAsia="Georgia" w:hAnsi="Georgia"/>
            <w:i/>
            <w:iCs/>
            <w:color w:val="2F5496"/>
            <w:sz w:val="20"/>
            <w:szCs w:val="20"/>
            <w:u w:val="single"/>
          </w:rPr>
          <w:t xml:space="preserve">Texto íntegro de la resolución</w:t>
        </w:r>
      </w:hyperlink>
      <w:r>
        <w:rPr>
          <w:rFonts w:ascii="Georgia" w:cs="Georgia" w:eastAsia="Georgia" w:hAnsi="Georgia"/>
          <w:i/>
          <w:iCs/>
          <w:color w:val="595959"/>
          <w:sz w:val="20"/>
          <w:szCs w:val="20"/>
        </w:rPr>
        <w:t xml:space="preserve">. Se cita como doctrina general trasladada por analogía —resuelve sobre justificación en el expediente, no sobre inteligencia artificial—, y su texto íntegro debe incorporarse al expediente que la invoque. Tratamiento completo, con los hechos y las consecuencias operativas: Parte IV, IV.0 y M8.2, y Parte V, V.5.6.</w:t>
      </w:r>
    </w:p>
    <w:p>
      <w:pPr>
        <w:spacing w:after="140" w:line="276"/>
      </w:pPr>
      <w:r>
        <w:rPr>
          <w:rFonts w:ascii="Calibri" w:cs="Calibri" w:eastAsia="Calibri" w:hAnsi="Calibri"/>
          <w:b/>
          <w:bCs/>
          <w:sz w:val="21"/>
          <w:szCs w:val="21"/>
        </w:rPr>
        <w:t xml:space="preserve">No es admisible justificar en sede de recurso.</w:t>
      </w:r>
      <w:r>
        <w:rPr>
          <w:rFonts w:ascii="Calibri" w:cs="Calibri" w:eastAsia="Calibri" w:hAnsi="Calibri"/>
          <w:sz w:val="21"/>
          <w:szCs w:val="21"/>
        </w:rPr>
        <w:t xml:space="preserve"> Un ayuntamiento de la Comunidad de Madrid perdió sus pliegos por eso, con este mismo tribunal, sobre esta misma materia. De ahí la regla de uso de todo el documento: la justificación de una exigencia no está en este catálogo, está en la memoria del expediente que la incorpora. Si no está ahí antes de publicar, después ya no se arregla.</w:t>
      </w:r>
    </w:p>
    <w:p>
      <w:pPr>
        <w:spacing w:after="140" w:line="276"/>
      </w:pPr>
      <w:r>
        <w:rPr>
          <w:rFonts w:ascii="Calibri" w:cs="Calibri" w:eastAsia="Calibri" w:hAnsi="Calibri"/>
          <w:b/>
          <w:bCs/>
          <w:sz w:val="21"/>
          <w:szCs w:val="21"/>
        </w:rPr>
        <w:t xml:space="preserve">No es un contrato de resultados tecnológicos.</w:t>
      </w:r>
      <w:r>
        <w:rPr>
          <w:rFonts w:ascii="Calibri" w:cs="Calibri" w:eastAsia="Calibri" w:hAnsi="Calibri"/>
          <w:sz w:val="21"/>
          <w:szCs w:val="21"/>
        </w:rPr>
        <w:t xml:space="preserve"> No garantiza que el mercado evolucione en una dirección determinada, ni que un producto concreto mejore. Lo que hace es convertir capacidades </w:t>
      </w:r>
      <w:r>
        <w:rPr>
          <w:rFonts w:ascii="Calibri" w:cs="Calibri" w:eastAsia="Calibri" w:hAnsi="Calibri"/>
          <w:b/>
          <w:bCs/>
          <w:sz w:val="21"/>
          <w:szCs w:val="21"/>
        </w:rPr>
        <w:t xml:space="preserve">concretas y comprobables</w:t>
      </w:r>
      <w:r>
        <w:rPr>
          <w:rFonts w:ascii="Calibri" w:cs="Calibri" w:eastAsia="Calibri" w:hAnsi="Calibri"/>
          <w:sz w:val="21"/>
          <w:szCs w:val="21"/>
        </w:rPr>
        <w:t xml:space="preserve"> —listadas y fechadas en el Anexo V del ejercicio— en obligaciones del contrato, en lugar de dejarlas en una promesa genérica de «mantenerse actualizado», que es inexigible y, además, indeterminada.</w:t>
      </w:r>
    </w:p>
    <w:p>
      <w:pPr>
        <w:spacing w:after="140" w:line="276"/>
      </w:pPr>
      <w:r>
        <w:rPr>
          <w:rFonts w:ascii="Calibri" w:cs="Calibri" w:eastAsia="Calibri" w:hAnsi="Calibri"/>
          <w:b/>
          <w:bCs/>
          <w:sz w:val="21"/>
          <w:szCs w:val="21"/>
        </w:rPr>
        <w:t xml:space="preserve">No es un documento de vocabulario.</w:t>
      </w:r>
      <w:r>
        <w:rPr>
          <w:rFonts w:ascii="Calibri" w:cs="Calibri" w:eastAsia="Calibri" w:hAnsi="Calibri"/>
          <w:sz w:val="21"/>
          <w:szCs w:val="21"/>
        </w:rPr>
        <w:t xml:space="preserve"> «Deep tech», «agentización» y demás términos del sector aparecen en el título y en el glosario porque describen de qué habla el documento, pero </w:t>
      </w:r>
      <w:r>
        <w:rPr>
          <w:rFonts w:ascii="Calibri" w:cs="Calibri" w:eastAsia="Calibri" w:hAnsi="Calibri"/>
          <w:b/>
          <w:bCs/>
          <w:sz w:val="21"/>
          <w:szCs w:val="21"/>
        </w:rPr>
        <w:t xml:space="preserve">no generan obligaciones</w:t>
      </w:r>
      <w:r>
        <w:rPr>
          <w:rFonts w:ascii="Calibri" w:cs="Calibri" w:eastAsia="Calibri" w:hAnsi="Calibri"/>
          <w:sz w:val="21"/>
          <w:szCs w:val="21"/>
        </w:rPr>
        <w:t xml:space="preserve">. Ninguna cláusula obliga a nada que no esté descrito por lo que el sistema debe hacer y por cómo se comprueba que lo hace.</w:t>
      </w:r>
    </w:p>
    <w:p>
      <w:pPr>
        <w:pStyle w:val="Heading3"/>
        <w:keepNext/>
        <w:spacing w:after="140" w:before="320"/>
      </w:pPr>
      <w:r>
        <w:rPr>
          <w:rFonts w:ascii="Georgia" w:cs="Georgia" w:eastAsia="Georgia" w:hAnsi="Georgia"/>
          <w:b/>
          <w:bCs/>
          <w:color w:val="2F5496"/>
          <w:sz w:val="22"/>
          <w:szCs w:val="22"/>
        </w:rPr>
        <w:t xml:space="preserve">Cómo está construido</w:t>
      </w:r>
    </w:p>
    <w:p>
      <w:pPr>
        <w:spacing w:after="140" w:line="276"/>
      </w:pPr>
      <w:r>
        <w:rPr>
          <w:rFonts w:ascii="Calibri" w:cs="Calibri" w:eastAsia="Calibri" w:hAnsi="Calibri"/>
          <w:sz w:val="21"/>
          <w:szCs w:val="21"/>
        </w:rPr>
        <w:t xml:space="preserve">Cada cláusula de las Partes II (técnicas, para el PPT) y III (administrativas, para el PCAP) tiene siempre los mismos siete epígrafes, en el mismo orden: </w:t>
      </w:r>
      <w:r>
        <w:rPr>
          <w:rFonts w:ascii="Calibri" w:cs="Calibri" w:eastAsia="Calibri" w:hAnsi="Calibri"/>
          <w:b/>
          <w:bCs/>
          <w:sz w:val="21"/>
          <w:szCs w:val="21"/>
        </w:rPr>
        <w:t xml:space="preserve">texto para el pliego · dónde va · necesidad y norma que la impone · cómo se acredita · cómo se verifica · consecuencia del incumplimiento · cuándo NO se aplica</w:t>
      </w:r>
      <w:r>
        <w:rPr>
          <w:rFonts w:ascii="Calibri" w:cs="Calibri" w:eastAsia="Calibri" w:hAnsi="Calibri"/>
          <w:sz w:val="21"/>
          <w:szCs w:val="21"/>
        </w:rPr>
        <w:t xml:space="preserve">. El texto que se copia va dentro de un recuadro delimitado; todo lo demás queda fuera y no debe acabar nunca en un pliego. Esa separación física es parte de la respuesta a la tercera dificultad del §M1.1: el grado de abstracción del documento anterior era demasiado alto.</w:t>
      </w:r>
    </w:p>
    <w:p>
      <w:pPr>
        <w:spacing w:after="140" w:line="276"/>
      </w:pPr>
      <w:r>
        <w:rPr>
          <w:rFonts w:ascii="Calibri" w:cs="Calibri" w:eastAsia="Calibri" w:hAnsi="Calibri"/>
          <w:sz w:val="21"/>
          <w:szCs w:val="21"/>
        </w:rPr>
        <w:t xml:space="preserve">Los códigos de cláusula del documento anterior se conservan cuando la cláusula subsiste, pero </w:t>
      </w:r>
      <w:r>
        <w:rPr>
          <w:rFonts w:ascii="Calibri" w:cs="Calibri" w:eastAsia="Calibri" w:hAnsi="Calibri"/>
          <w:b/>
          <w:bCs/>
          <w:sz w:val="21"/>
          <w:szCs w:val="21"/>
        </w:rPr>
        <w:t xml:space="preserve">se escriben con versión</w:t>
      </w:r>
      <w:r>
        <w:rPr>
          <w:rFonts w:ascii="Calibri" w:cs="Calibri" w:eastAsia="Calibri" w:hAnsi="Calibri"/>
          <w:sz w:val="21"/>
          <w:szCs w:val="21"/>
        </w:rPr>
        <w:t xml:space="preserve">: </w:t>
      </w:r>
      <w:r>
        <w:rPr>
          <w:rFonts w:ascii="Calibri" w:cs="Calibri" w:eastAsia="Calibri" w:hAnsi="Calibri"/>
          <w:color w:val="2F5496"/>
          <w:sz w:val="21"/>
          <w:szCs w:val="21"/>
        </w:rPr>
        <w:t xml:space="preserve">DT-7·v3</w:t>
      </w:r>
      <w:r>
        <w:rPr>
          <w:rFonts w:ascii="Calibri" w:cs="Calibri" w:eastAsia="Calibri" w:hAnsi="Calibri"/>
          <w:sz w:val="21"/>
          <w:szCs w:val="21"/>
        </w:rPr>
        <w:t xml:space="preserve">, </w:t>
      </w:r>
      <w:r>
        <w:rPr>
          <w:rFonts w:ascii="Calibri" w:cs="Calibri" w:eastAsia="Calibri" w:hAnsi="Calibri"/>
          <w:color w:val="2F5496"/>
          <w:sz w:val="21"/>
          <w:szCs w:val="21"/>
        </w:rPr>
        <w:t xml:space="preserve">ADM-2·v3</w:t>
      </w:r>
      <w:r>
        <w:rPr>
          <w:rFonts w:ascii="Calibri" w:cs="Calibri" w:eastAsia="Calibri" w:hAnsi="Calibri"/>
          <w:sz w:val="21"/>
          <w:szCs w:val="21"/>
        </w:rPr>
        <w:t xml:space="preserve">. Si alguna administración tuviera pliegos redactados citando los códigos de la versión 2.0, adviértase que su contenido no es el mismo. La equivalencia cláusula a cláusula está en el </w:t>
      </w:r>
      <w:r>
        <w:rPr>
          <w:rFonts w:ascii="Calibri" w:cs="Calibri" w:eastAsia="Calibri" w:hAnsi="Calibri"/>
          <w:b/>
          <w:bCs/>
          <w:sz w:val="21"/>
          <w:szCs w:val="21"/>
        </w:rPr>
        <w:t xml:space="preserve">Anexo XII</w:t>
      </w:r>
      <w:r>
        <w:rPr>
          <w:rFonts w:ascii="Calibri" w:cs="Calibri" w:eastAsia="Calibri" w:hAnsi="Calibri"/>
          <w:sz w:val="21"/>
          <w:szCs w:val="21"/>
        </w:rPr>
        <w:t xml:space="preserve">. Qué hacer con un contrato ya formalizado con la versión 2.0 está en el </w:t>
      </w:r>
      <w:r>
        <w:rPr>
          <w:rFonts w:ascii="Calibri" w:cs="Calibri" w:eastAsia="Calibri" w:hAnsi="Calibri"/>
          <w:b/>
          <w:bCs/>
          <w:sz w:val="21"/>
          <w:szCs w:val="21"/>
        </w:rPr>
        <w:t xml:space="preserve">Anexo XXIV</w:t>
      </w:r>
      <w:r>
        <w:rPr>
          <w:rFonts w:ascii="Calibri" w:cs="Calibri" w:eastAsia="Calibri" w:hAnsi="Calibri"/>
          <w:sz w:val="21"/>
          <w:szCs w:val="21"/>
        </w:rPr>
        <w:t xml:space="preserve">.</w:t>
      </w:r>
    </w:p>
    <w:p>
      <w:pPr>
        <w:pStyle w:val="Heading3"/>
        <w:keepNext/>
        <w:spacing w:after="140" w:before="320"/>
      </w:pPr>
      <w:r>
        <w:rPr>
          <w:rFonts w:ascii="Georgia" w:cs="Georgia" w:eastAsia="Georgia" w:hAnsi="Georgia"/>
          <w:b/>
          <w:bCs/>
          <w:color w:val="2F5496"/>
          <w:sz w:val="22"/>
          <w:szCs w:val="22"/>
        </w:rPr>
        <w:t xml:space="preserve">Para quien lo copie desde otro ayuntamiento</w:t>
      </w:r>
    </w:p>
    <w:p>
      <w:pPr>
        <w:spacing w:after="140" w:line="276"/>
      </w:pPr>
      <w:r>
        <w:rPr>
          <w:rFonts w:ascii="Calibri" w:cs="Calibri" w:eastAsia="Calibri" w:hAnsi="Calibri"/>
          <w:sz w:val="21"/>
          <w:szCs w:val="21"/>
        </w:rPr>
        <w:t xml:space="preserve">Este documento se publica en abierto para que cualquier administración lo reutilice, y está escrito con esa intención: las reglas se enuncian en general y el régimen de un municipio de gran población aparece entre paréntesis como ejemplo. Ahora bien, </w:t>
      </w:r>
      <w:r>
        <w:rPr>
          <w:rFonts w:ascii="Calibri" w:cs="Calibri" w:eastAsia="Calibri" w:hAnsi="Calibri"/>
          <w:b/>
          <w:bCs/>
          <w:sz w:val="21"/>
          <w:szCs w:val="21"/>
        </w:rPr>
        <w:t xml:space="preserve">copiarlo literalmente sin hacer el trabajo del expediente reproduce el vicio, no la protección</w:t>
      </w:r>
      <w:r>
        <w:rPr>
          <w:rFonts w:ascii="Calibri" w:cs="Calibri" w:eastAsia="Calibri" w:hAnsi="Calibri"/>
          <w:sz w:val="21"/>
          <w:szCs w:val="21"/>
        </w:rPr>
        <w:t xml:space="preserve">. Lo que otra administración tiene que adaptar obligatoriamente está en la Parte I §2.3, y como mínimo es: la categoría del Esquema Nacional de Seguridad que resulte de su propio análisis, el órgano competente en cada trámite, los umbrales y cuantías vigentes, el Anexo V de su ejercicio y todos los parámetros entre corchetes.</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0.2 El problema que resuelve, en lenguaje llano</w:t>
      </w:r>
    </w:p>
    <w:p>
      <w:pPr>
        <w:spacing w:after="140" w:line="276"/>
      </w:pPr>
      <w:r>
        <w:rPr>
          <w:rFonts w:ascii="Calibri" w:cs="Calibri" w:eastAsia="Calibri" w:hAnsi="Calibri"/>
          <w:i/>
          <w:iCs/>
          <w:sz w:val="21"/>
          <w:szCs w:val="21"/>
        </w:rPr>
        <w:t xml:space="preserve">(Este es el apartado que se lee en Alcaldía. Corrige la versión anterior de este mismo resumen —el resumen ejecutivo v1— en cuatro afirmaciones que no pueden sostenerse; las correcciones están al final del apartado y son de lectura obligada antes de reutilizar aquel texto.)</w:t>
      </w:r>
    </w:p>
    <w:p>
      <w:pPr>
        <w:pStyle w:val="Heading3"/>
        <w:keepNext/>
        <w:spacing w:after="140" w:before="320"/>
      </w:pPr>
      <w:r>
        <w:rPr>
          <w:rFonts w:ascii="Georgia" w:cs="Georgia" w:eastAsia="Georgia" w:hAnsi="Georgia"/>
          <w:b/>
          <w:bCs/>
          <w:color w:val="2F5496"/>
          <w:sz w:val="22"/>
          <w:szCs w:val="22"/>
        </w:rPr>
        <w:t xml:space="preserve">El problema</w:t>
      </w:r>
    </w:p>
    <w:p>
      <w:pPr>
        <w:spacing w:after="140" w:line="276"/>
      </w:pPr>
      <w:r>
        <w:rPr>
          <w:rFonts w:ascii="Calibri" w:cs="Calibri" w:eastAsia="Calibri" w:hAnsi="Calibri"/>
          <w:sz w:val="21"/>
          <w:szCs w:val="21"/>
        </w:rPr>
        <w:t xml:space="preserve">Cuando un ayuntamiento contrata una plataforma o un servicio digital —gestión tributaria, padrón, contabilidad, atención al ciudadano—, el contrato fija lo que esa herramienta tiene que hacer </w:t>
      </w:r>
      <w:r>
        <w:rPr>
          <w:rFonts w:ascii="Calibri" w:cs="Calibri" w:eastAsia="Calibri" w:hAnsi="Calibri"/>
          <w:b/>
          <w:bCs/>
          <w:sz w:val="21"/>
          <w:szCs w:val="21"/>
        </w:rPr>
        <w:t xml:space="preserve">el día de la firma</w:t>
      </w:r>
      <w:r>
        <w:rPr>
          <w:rFonts w:ascii="Calibri" w:cs="Calibri" w:eastAsia="Calibri" w:hAnsi="Calibri"/>
          <w:sz w:val="21"/>
          <w:szCs w:val="21"/>
        </w:rPr>
        <w:t xml:space="preserve">. El mantenimiento ordinario garantiza que siga funcionando y que se corrijan sus fallos; no garantiza que incorpore capacidades que no existían, o que no se habían pedido, cuando se licitó.</w:t>
      </w:r>
    </w:p>
    <w:p>
      <w:pPr>
        <w:spacing w:after="140" w:line="276"/>
      </w:pPr>
      <w:r>
        <w:rPr>
          <w:rFonts w:ascii="Calibri" w:cs="Calibri" w:eastAsia="Calibri" w:hAnsi="Calibri"/>
          <w:sz w:val="21"/>
          <w:szCs w:val="21"/>
        </w:rPr>
        <w:t xml:space="preserve">Un contrato de servicios de este tipo suele durar entre dos y cinco años contando las prórrogas. En ese plazo, si el Ayuntamiento quiere una capacidad nueva, tiene tres caminos y los tres son malos:</w:t>
      </w:r>
    </w:p>
    <w:p>
      <w:pPr>
        <w:pStyle w:val="ListParagraph"/>
        <w:numPr>
          <w:ilvl w:val="0"/>
          <w:numId w:val="2"/>
        </w:numPr>
        <w:spacing w:after="70" w:line="268"/>
      </w:pPr>
      <w:r>
        <w:rPr>
          <w:rFonts w:ascii="Calibri" w:cs="Calibri" w:eastAsia="Calibri" w:hAnsi="Calibri"/>
          <w:b/>
          <w:bCs/>
          <w:sz w:val="21"/>
          <w:szCs w:val="21"/>
        </w:rPr>
        <w:t xml:space="preserve">Pedirla amistosamente.</w:t>
      </w:r>
      <w:r>
        <w:rPr>
          <w:rFonts w:ascii="Calibri" w:cs="Calibri" w:eastAsia="Calibri" w:hAnsi="Calibri"/>
          <w:sz w:val="21"/>
          <w:szCs w:val="21"/>
        </w:rPr>
        <w:t xml:space="preserve"> Depende de la voluntad del adjudicatario. No es exigible y no se puede penalizar.</w:t>
      </w:r>
    </w:p>
    <w:p>
      <w:pPr>
        <w:pStyle w:val="ListParagraph"/>
        <w:numPr>
          <w:ilvl w:val="0"/>
          <w:numId w:val="2"/>
        </w:numPr>
        <w:spacing w:after="70" w:line="268"/>
      </w:pPr>
      <w:r>
        <w:rPr>
          <w:rFonts w:ascii="Calibri" w:cs="Calibri" w:eastAsia="Calibri" w:hAnsi="Calibri"/>
          <w:b/>
          <w:bCs/>
          <w:sz w:val="21"/>
          <w:szCs w:val="21"/>
        </w:rPr>
        <w:t xml:space="preserve">Modificar el contrato.</w:t>
      </w:r>
      <w:r>
        <w:rPr>
          <w:rFonts w:ascii="Calibri" w:cs="Calibri" w:eastAsia="Calibri" w:hAnsi="Calibri"/>
          <w:sz w:val="21"/>
          <w:szCs w:val="21"/>
        </w:rPr>
        <w:t xml:space="preserve"> Sólo cabe con los límites y requisitos de los artículos 203 y 204 LCSP, y para hacerlo con seguridad hay que haberlo previsto en el pliego con precisión desde el principio. Además, cada euro reservado para modificaciones se computa en el valor estimado desde el primer día.</w:t>
      </w:r>
    </w:p>
    <w:p>
      <w:pPr>
        <w:pStyle w:val="ListParagraph"/>
        <w:numPr>
          <w:ilvl w:val="0"/>
          <w:numId w:val="2"/>
        </w:numPr>
        <w:spacing w:after="70" w:line="268"/>
      </w:pPr>
      <w:r>
        <w:rPr>
          <w:rFonts w:ascii="Calibri" w:cs="Calibri" w:eastAsia="Calibri" w:hAnsi="Calibri"/>
          <w:b/>
          <w:bCs/>
          <w:sz w:val="21"/>
          <w:szCs w:val="21"/>
        </w:rPr>
        <w:t xml:space="preserve">Esperar a la siguiente licitación.</w:t>
      </w:r>
      <w:r>
        <w:rPr>
          <w:rFonts w:ascii="Calibri" w:cs="Calibri" w:eastAsia="Calibri" w:hAnsi="Calibri"/>
          <w:sz w:val="21"/>
          <w:szCs w:val="21"/>
        </w:rPr>
        <w:t xml:space="preserve"> Es decir, años; y con un agravante: el adjudicatario saliente conoce el sistema y los demás no, lo que estrecha la competencia justo cuando más se necesita.</w:t>
      </w:r>
    </w:p>
    <w:p>
      <w:pPr>
        <w:spacing w:after="140" w:line="276"/>
      </w:pPr>
      <w:r>
        <w:rPr>
          <w:rFonts w:ascii="Calibri" w:cs="Calibri" w:eastAsia="Calibri" w:hAnsi="Calibri"/>
          <w:sz w:val="21"/>
          <w:szCs w:val="21"/>
        </w:rPr>
        <w:t xml:space="preserve">Ese es el problema real. No es que la tecnología envejezca: es que </w:t>
      </w:r>
      <w:r>
        <w:rPr>
          <w:rFonts w:ascii="Calibri" w:cs="Calibri" w:eastAsia="Calibri" w:hAnsi="Calibri"/>
          <w:b/>
          <w:bCs/>
          <w:sz w:val="21"/>
          <w:szCs w:val="21"/>
        </w:rPr>
        <w:t xml:space="preserve">el contrato no tiene ninguna palanca sobre ella</w:t>
      </w:r>
      <w:r>
        <w:rPr>
          <w:rFonts w:ascii="Calibri" w:cs="Calibri" w:eastAsia="Calibri" w:hAnsi="Calibri"/>
          <w:sz w:val="21"/>
          <w:szCs w:val="21"/>
        </w:rPr>
        <w:t xml:space="preserve">, y el momento de ponerla —el único momento— es antes de publicar el pliego.</w:t>
      </w:r>
    </w:p>
    <w:p>
      <w:pPr>
        <w:pStyle w:val="Heading3"/>
        <w:keepNext/>
        <w:spacing w:after="140" w:before="320"/>
      </w:pPr>
      <w:r>
        <w:rPr>
          <w:rFonts w:ascii="Georgia" w:cs="Georgia" w:eastAsia="Georgia" w:hAnsi="Georgia"/>
          <w:b/>
          <w:bCs/>
          <w:color w:val="2F5496"/>
          <w:sz w:val="22"/>
          <w:szCs w:val="22"/>
        </w:rPr>
        <w:t xml:space="preserve">Para el vecino, esto se ve así</w:t>
      </w:r>
    </w:p>
    <w:p>
      <w:pPr>
        <w:spacing w:after="140" w:line="276"/>
      </w:pPr>
      <w:r>
        <w:rPr>
          <w:rFonts w:ascii="Calibri" w:cs="Calibri" w:eastAsia="Calibri" w:hAnsi="Calibri"/>
          <w:sz w:val="21"/>
          <w:szCs w:val="21"/>
        </w:rPr>
        <w:t xml:space="preserve">Todo lo anterior está contado desde el punto de vista del Ayuntamiento. Conviene contarlo también desde el otro lado, porque quien paga y quien espera es el vecino. Esto no es una discusión entre técnicos.</w:t>
      </w:r>
    </w:p>
    <w:p>
      <w:pPr>
        <w:spacing w:after="140" w:line="276"/>
      </w:pPr>
      <w:r>
        <w:rPr>
          <w:rFonts w:ascii="Calibri" w:cs="Calibri" w:eastAsia="Calibri" w:hAnsi="Calibri"/>
          <w:b/>
          <w:bCs/>
          <w:sz w:val="21"/>
          <w:szCs w:val="21"/>
        </w:rPr>
        <w:t xml:space="preserve">Lo que se nota cuando el trámite se queda parado.</w:t>
      </w:r>
      <w:r>
        <w:rPr>
          <w:rFonts w:ascii="Calibri" w:cs="Calibri" w:eastAsia="Calibri" w:hAnsi="Calibri"/>
          <w:sz w:val="21"/>
          <w:szCs w:val="21"/>
        </w:rPr>
        <w:t xml:space="preserve"> La aplicación con la que se pide una licencia de obra, se consulta un recibo o se hace un cambio en el padrón se queda como estaba el día en que se firmó el contrato. Si dos años después existe una forma mejor de hacerlo —avisar de que falta un documento en el momento en que se detecta, en lugar de después; o resolver sin espera lo que no requiere ninguna valoración—, el Ayuntamiento no puede exigirla: puede pedirla por favor, puede pagarla aparte, o puede esperar a la siguiente licitación. Y esa espera dura lo que dura el contrato con sus prórrogas, que en estos servicios suele ir de dos a cinco años. Mientras tanto, quien vuelve a la ventanilla por segunda vez, o espera semanas por algo que la tecnología disponible permitiría resolver en horas, es el vecino. No porque nadie se haya equivocado en la ventanilla: porque el contrato firmado años atrás no obliga a más.</w:t>
      </w:r>
    </w:p>
    <w:p>
      <w:pPr>
        <w:spacing w:after="140" w:line="276"/>
      </w:pPr>
      <w:r>
        <w:rPr>
          <w:rFonts w:ascii="Calibri" w:cs="Calibri" w:eastAsia="Calibri" w:hAnsi="Calibri"/>
          <w:b/>
          <w:bCs/>
          <w:sz w:val="21"/>
          <w:szCs w:val="21"/>
        </w:rPr>
        <w:t xml:space="preserve">Pagar dos veces por lo mismo.</w:t>
      </w:r>
      <w:r>
        <w:rPr>
          <w:rFonts w:ascii="Calibri" w:cs="Calibri" w:eastAsia="Calibri" w:hAnsi="Calibri"/>
          <w:sz w:val="21"/>
          <w:szCs w:val="21"/>
        </w:rPr>
        <w:t xml:space="preserve"> Cuando una capacidad no está en el contrato, hay que comprarla aparte. Y se compra en la peor posición posible: sin concurso, porque sobre ese sistema no puede trabajar más que quien lo instaló, y sin referencia de precio, porque no hay con quién comparar. Ese dinero sale del mismo presupuesto que paga las aceras, las escuelas infantiles o el alumbrado. Lo mismo ocurre al final del contrato: si al cambiar de proveedor hay que volver a montar de cero lo que ya estaba montado y volver a pagar el traslado de la información, el vecino paga dos veces por la misma cosa, una para tenerla y otra para conservarla.</w:t>
      </w:r>
    </w:p>
    <w:p>
      <w:pPr>
        <w:spacing w:after="140" w:line="276"/>
      </w:pPr>
      <w:r>
        <w:rPr>
          <w:rFonts w:ascii="Calibri" w:cs="Calibri" w:eastAsia="Calibri" w:hAnsi="Calibri"/>
          <w:b/>
          <w:bCs/>
          <w:sz w:val="21"/>
          <w:szCs w:val="21"/>
        </w:rPr>
        <w:t xml:space="preserve">Quién se queda los datos.</w:t>
      </w:r>
      <w:r>
        <w:rPr>
          <w:rFonts w:ascii="Calibri" w:cs="Calibri" w:eastAsia="Calibri" w:hAnsi="Calibri"/>
          <w:sz w:val="21"/>
          <w:szCs w:val="21"/>
        </w:rPr>
        <w:t xml:space="preserve"> En esas aplicaciones están el padrón, los recibos, los expedientes y las solicitudes: los datos de los vecinos. No son del proveedor. Son del Ayuntamiento, que responde de ellos. Si el contrato no dice desde el primer día que, al terminar, esos datos se entregan en un formato que otro programa pueda leer, con la explicación de qué significa cada campo y sin cobrar por sacarlos, en la práctica quedan retenidos por quien tiene el sistema. Y cuando eso ocurre, cambiar de proveedor sale tan caro que deja de ser posible; si no es posible cambiar, no hay concurso; y si no hay concurso, el precio lo pone una sola empresa. La consecuencia no es abstracta: el vecino paga más por lo mismo y su ayuntamiento pierde la capacidad de exigir.</w:t>
      </w:r>
    </w:p>
    <w:p>
      <w:pPr>
        <w:spacing w:after="140" w:line="276"/>
      </w:pPr>
      <w:r>
        <w:rPr>
          <w:rFonts w:ascii="Calibri" w:cs="Calibri" w:eastAsia="Calibri" w:hAnsi="Calibri"/>
          <w:b/>
          <w:bCs/>
          <w:sz w:val="21"/>
          <w:szCs w:val="21"/>
        </w:rPr>
        <w:t xml:space="preserve">Qué gana el vecino cuando esto se hace bien.</w:t>
      </w:r>
      <w:r>
        <w:rPr>
          <w:rFonts w:ascii="Calibri" w:cs="Calibri" w:eastAsia="Calibri" w:hAnsi="Calibri"/>
          <w:sz w:val="21"/>
          <w:szCs w:val="21"/>
        </w:rPr>
        <w:t xml:space="preserve"> Tres cosas concretas. Que lo que el Ayuntamiento va a necesitar dentro de dos años esté escrito en el contrato desde el principio, con fecha y con criterios de aceptación, y se pague con el precio que se ofertó en el concurso y no con una factura sobrevenida. Que al terminar el contrato pueda presentarse otra empresa de verdad, porque los datos se entregan y quien entra no parte de cero. Y que, cuando se emplee inteligencia artificial sobre información municipal, quede registrado quién consultó qué y cuándo, y haya siempre una persona identificada que responde de la decisión, con derecho del interesado a pedir su intervención (</w:t>
      </w:r>
      <w:r>
        <w:rPr>
          <w:rFonts w:ascii="Calibri" w:cs="Calibri" w:eastAsia="Calibri" w:hAnsi="Calibri"/>
          <w:color w:val="2F5496"/>
          <w:sz w:val="21"/>
          <w:szCs w:val="21"/>
        </w:rPr>
        <w:t xml:space="preserve">DT-1·v3</w:t>
      </w:r>
      <w:r>
        <w:rPr>
          <w:rFonts w:ascii="Calibri" w:cs="Calibri" w:eastAsia="Calibri" w:hAnsi="Calibri"/>
          <w:sz w:val="21"/>
          <w:szCs w:val="21"/>
        </w:rPr>
        <w:t xml:space="preserve"> y </w:t>
      </w:r>
      <w:r>
        <w:rPr>
          <w:rFonts w:ascii="Calibri" w:cs="Calibri" w:eastAsia="Calibri" w:hAnsi="Calibri"/>
          <w:color w:val="2F5496"/>
          <w:sz w:val="21"/>
          <w:szCs w:val="21"/>
        </w:rPr>
        <w:t xml:space="preserve">ADM-13·v3</w:t>
      </w:r>
      <w:r>
        <w:rPr>
          <w:rFonts w:ascii="Calibri" w:cs="Calibri" w:eastAsia="Calibri" w:hAnsi="Calibri"/>
          <w:sz w:val="21"/>
          <w:szCs w:val="21"/>
        </w:rPr>
        <w:t xml:space="preserve">).</w:t>
      </w:r>
    </w:p>
    <w:p>
      <w:pPr>
        <w:pStyle w:val="Heading3"/>
        <w:keepNext/>
        <w:spacing w:after="140" w:before="320"/>
      </w:pPr>
      <w:r>
        <w:rPr>
          <w:rFonts w:ascii="Georgia" w:cs="Georgia" w:eastAsia="Georgia" w:hAnsi="Georgia"/>
          <w:b/>
          <w:bCs/>
          <w:color w:val="2F5496"/>
          <w:sz w:val="22"/>
          <w:szCs w:val="22"/>
        </w:rPr>
        <w:t xml:space="preserve">Lo que hace este catálogo</w:t>
      </w:r>
    </w:p>
    <w:p>
      <w:pPr>
        <w:spacing w:after="140" w:line="276"/>
      </w:pPr>
      <w:r>
        <w:rPr>
          <w:rFonts w:ascii="Calibri" w:cs="Calibri" w:eastAsia="Calibri" w:hAnsi="Calibri"/>
          <w:sz w:val="21"/>
          <w:szCs w:val="21"/>
        </w:rPr>
        <w:t xml:space="preserve">Convierte un conjunto </w:t>
      </w:r>
      <w:r>
        <w:rPr>
          <w:rFonts w:ascii="Calibri" w:cs="Calibri" w:eastAsia="Calibri" w:hAnsi="Calibri"/>
          <w:b/>
          <w:bCs/>
          <w:sz w:val="21"/>
          <w:szCs w:val="21"/>
        </w:rPr>
        <w:t xml:space="preserve">cerrado, fechado y comprobable</w:t>
      </w:r>
      <w:r>
        <w:rPr>
          <w:rFonts w:ascii="Calibri" w:cs="Calibri" w:eastAsia="Calibri" w:hAnsi="Calibri"/>
          <w:sz w:val="21"/>
          <w:szCs w:val="21"/>
        </w:rPr>
        <w:t xml:space="preserve"> de capacidades en parte del objeto del contrato, retribuido con el precio ofertado. Ese conjunto es el </w:t>
      </w:r>
      <w:r>
        <w:rPr>
          <w:rFonts w:ascii="Calibri" w:cs="Calibri" w:eastAsia="Calibri" w:hAnsi="Calibri"/>
          <w:b/>
          <w:bCs/>
          <w:sz w:val="21"/>
          <w:szCs w:val="21"/>
        </w:rPr>
        <w:t xml:space="preserve">Anexo V del ejercicio</w:t>
      </w:r>
      <w:r>
        <w:rPr>
          <w:rFonts w:ascii="Calibri" w:cs="Calibri" w:eastAsia="Calibri" w:hAnsi="Calibri"/>
          <w:sz w:val="21"/>
          <w:szCs w:val="21"/>
        </w:rPr>
        <w:t xml:space="preserve"> (hoy: interfaz normalizada de acceso para agentes de IA, operación autónoma supervisada, y trazabilidad y auditoría de la actuación de agentes) —dicho sin tecnicismos: que un asistente del propio Ayuntamiento pueda consultar la aplicación sin pedir permiso ni pagar al proveedor; que si además actúa, lo haga siempre dentro de límites fijados y con una persona validando; y que quede registrado quién preguntó qué, cuándo y sobre qué datos—, con criterios de aceptación binarios —se cumple o no se cumple, sin apreciación— y un plazo de implantación de </w:t>
      </w:r>
      <w:r>
        <w:rPr>
          <w:rFonts w:ascii="Calibri" w:cs="Calibri" w:eastAsia="Calibri" w:hAnsi="Calibri"/>
          <w:b/>
          <w:bCs/>
          <w:sz w:val="21"/>
          <w:szCs w:val="21"/>
        </w:rPr>
        <w:t xml:space="preserve">[plazo desde la formalización; se recomienda 12 meses]</w:t>
      </w:r>
      <w:r>
        <w:rPr>
          <w:rFonts w:ascii="Calibri" w:cs="Calibri" w:eastAsia="Calibri" w:hAnsi="Calibri"/>
          <w:sz w:val="21"/>
          <w:szCs w:val="21"/>
        </w:rPr>
        <w:t xml:space="preserve">. Ese plazo se acorta a 6 meses cuando la capacidad ya esté disponible de forma acreditada en el producto contratado, y se alarga hasta 18 cuando exija integrarse con un sistema de un tercero cuyo calendario el adjudicatario no controla; nunca debe superar la duración inicial del contrato, porque una obligación que sólo vence en prórroga no es exigible si la prórroga no se ejerce.</w:t>
      </w:r>
    </w:p>
    <w:p>
      <w:pPr>
        <w:spacing w:after="140" w:line="276"/>
      </w:pPr>
      <w:r>
        <w:rPr>
          <w:rFonts w:ascii="Calibri" w:cs="Calibri" w:eastAsia="Calibri" w:hAnsi="Calibri"/>
          <w:sz w:val="21"/>
          <w:szCs w:val="21"/>
        </w:rPr>
        <w:t xml:space="preserve">El Anexo V se aprueba una vez al año y se </w:t>
      </w:r>
      <w:r>
        <w:rPr>
          <w:rFonts w:ascii="Calibri" w:cs="Calibri" w:eastAsia="Calibri" w:hAnsi="Calibri"/>
          <w:b/>
          <w:bCs/>
          <w:sz w:val="21"/>
          <w:szCs w:val="21"/>
        </w:rPr>
        <w:t xml:space="preserve">transcribe físicamente</w:t>
      </w:r>
      <w:r>
        <w:rPr>
          <w:rFonts w:ascii="Calibri" w:cs="Calibri" w:eastAsia="Calibri" w:hAnsi="Calibri"/>
          <w:sz w:val="21"/>
          <w:szCs w:val="21"/>
        </w:rPr>
        <w:t xml:space="preserve"> en el pliego, con su número de versión y su fecha. No se incorpora por remisión a un documento que cambia, porque eso sería una obligación indeterminada y un licitador la recurriría con razón. Y una vez licitado un contrato, las revisiones posteriores del Anexo no le afectan: lo que se compró es lo que estaba escrito el día de la licitación.</w:t>
      </w:r>
    </w:p>
    <w:p>
      <w:pPr>
        <w:spacing w:after="140" w:line="276"/>
      </w:pPr>
      <w:r>
        <w:rPr>
          <w:rFonts w:ascii="Calibri" w:cs="Calibri" w:eastAsia="Calibri" w:hAnsi="Calibri"/>
          <w:sz w:val="21"/>
          <w:szCs w:val="21"/>
        </w:rPr>
        <w:t xml:space="preserve">Dicho de otro modo: </w:t>
      </w:r>
      <w:r>
        <w:rPr>
          <w:rFonts w:ascii="Calibri" w:cs="Calibri" w:eastAsia="Calibri" w:hAnsi="Calibri"/>
          <w:b/>
          <w:bCs/>
          <w:sz w:val="21"/>
          <w:szCs w:val="21"/>
        </w:rPr>
        <w:t xml:space="preserve">el Ayuntamiento deja de comprar «lo que hay hoy» y pasa a comprar «lo que hay hoy más una lista concreta de capacidades con fecha»</w:t>
      </w:r>
      <w:r>
        <w:rPr>
          <w:rFonts w:ascii="Calibri" w:cs="Calibri" w:eastAsia="Calibri" w:hAnsi="Calibri"/>
          <w:sz w:val="21"/>
          <w:szCs w:val="21"/>
        </w:rPr>
        <w:t xml:space="preserve">, sabiendo exactamente qué está pidiendo y pudiendo comprobarlo. Y el licitador sabe exactamente a qué se obliga, que es la condición para que ponga precio y no recurra.</w:t>
      </w:r>
    </w:p>
    <w:p>
      <w:pPr>
        <w:pStyle w:val="Heading3"/>
        <w:keepNext/>
        <w:spacing w:after="140" w:before="320"/>
      </w:pPr>
      <w:r>
        <w:rPr>
          <w:rFonts w:ascii="Georgia" w:cs="Georgia" w:eastAsia="Georgia" w:hAnsi="Georgia"/>
          <w:b/>
          <w:bCs/>
          <w:color w:val="2F5496"/>
          <w:sz w:val="22"/>
          <w:szCs w:val="22"/>
        </w:rPr>
        <w:t xml:space="preserve">Y contra la posición del proveedor atrincherado</w:t>
      </w:r>
    </w:p>
    <w:p>
      <w:pPr>
        <w:spacing w:after="140" w:line="276"/>
      </w:pPr>
      <w:r>
        <w:rPr>
          <w:rFonts w:ascii="Calibri" w:cs="Calibri" w:eastAsia="Calibri" w:hAnsi="Calibri"/>
          <w:b/>
          <w:bCs/>
          <w:sz w:val="21"/>
          <w:szCs w:val="21"/>
        </w:rPr>
        <w:t xml:space="preserve">Cómo se cava la trinchera.</w:t>
      </w:r>
      <w:r>
        <w:rPr>
          <w:rFonts w:ascii="Calibri" w:cs="Calibri" w:eastAsia="Calibri" w:hAnsi="Calibri"/>
          <w:sz w:val="21"/>
          <w:szCs w:val="21"/>
        </w:rPr>
        <w:t xml:space="preserve"> Conviene ver primero el mecanismo, porque para que funcione no hace falta que nadie actúe de mala fe:</w:t>
      </w:r>
    </w:p>
    <w:p>
      <w:pPr>
        <w:pStyle w:val="ListParagraph"/>
        <w:numPr>
          <w:ilvl w:val="0"/>
          <w:numId w:val="1"/>
        </w:numPr>
        <w:spacing w:after="70" w:line="268"/>
      </w:pPr>
      <w:r>
        <w:rPr>
          <w:rFonts w:ascii="Calibri" w:cs="Calibri" w:eastAsia="Calibri" w:hAnsi="Calibri"/>
          <w:sz w:val="21"/>
          <w:szCs w:val="21"/>
        </w:rPr>
        <w:t xml:space="preserve">El pliego lo escribe alguien que muchas veces sólo conoce a fondo el producto que ya está instalado —y a veces partiendo del pliego de otro ayuntamiento que tiene ese mismo producto—, de modo que acaba describiéndolo sin proponérselo.</w:t>
      </w:r>
    </w:p>
    <w:p>
      <w:pPr>
        <w:pStyle w:val="ListParagraph"/>
        <w:numPr>
          <w:ilvl w:val="0"/>
          <w:numId w:val="1"/>
        </w:numPr>
        <w:spacing w:after="70" w:line="268"/>
      </w:pPr>
      <w:r>
        <w:rPr>
          <w:rFonts w:ascii="Calibri" w:cs="Calibri" w:eastAsia="Calibri" w:hAnsi="Calibri"/>
          <w:sz w:val="21"/>
          <w:szCs w:val="21"/>
        </w:rPr>
        <w:t xml:space="preserve">Basta con pedir un detalle que sólo cumple un fabricante para que el concurso tenga un único candidato posible, aunque se presenten cinco empresas. Y esa descripción sobrevive a la traducción a «requisitos funcionales»: se cambian las palabras y sigue señalando al mismo producto.</w:t>
      </w:r>
    </w:p>
    <w:p>
      <w:pPr>
        <w:pStyle w:val="ListParagraph"/>
        <w:numPr>
          <w:ilvl w:val="0"/>
          <w:numId w:val="1"/>
        </w:numPr>
        <w:spacing w:after="70" w:line="268"/>
      </w:pPr>
      <w:r>
        <w:rPr>
          <w:rFonts w:ascii="Calibri" w:cs="Calibri" w:eastAsia="Calibri" w:hAnsi="Calibri"/>
          <w:sz w:val="21"/>
          <w:szCs w:val="21"/>
        </w:rPr>
        <w:t xml:space="preserve">Quien ya está dentro conoce el sistema, los datos y sus fallos; los demás tienen que suponerlos. O lo cobran, o no se presentan.</w:t>
      </w:r>
    </w:p>
    <w:p>
      <w:pPr>
        <w:spacing w:after="140" w:line="276"/>
      </w:pPr>
      <w:r>
        <w:rPr>
          <w:rFonts w:ascii="Calibri" w:cs="Calibri" w:eastAsia="Calibri" w:hAnsi="Calibri"/>
          <w:sz w:val="21"/>
          <w:szCs w:val="21"/>
        </w:rPr>
        <w:t xml:space="preserve">Contra esa causa —y no contra la empresa que ocupa la posición— actúan tres reglas del catálogo:</w:t>
      </w:r>
    </w:p>
    <w:p>
      <w:pPr>
        <w:pStyle w:val="ListParagraph"/>
        <w:numPr>
          <w:ilvl w:val="0"/>
          <w:numId w:val="2"/>
        </w:numPr>
        <w:spacing w:after="70" w:line="268"/>
      </w:pPr>
      <w:r>
        <w:rPr>
          <w:rFonts w:ascii="Calibri" w:cs="Calibri" w:eastAsia="Calibri" w:hAnsi="Calibri"/>
          <w:b/>
          <w:bCs/>
          <w:sz w:val="21"/>
          <w:szCs w:val="21"/>
        </w:rPr>
        <w:t xml:space="preserve">No se puede pedir un producto por su nombre.</w:t>
      </w:r>
      <w:r>
        <w:rPr>
          <w:rFonts w:ascii="Calibri" w:cs="Calibri" w:eastAsia="Calibri" w:hAnsi="Calibri"/>
          <w:sz w:val="21"/>
          <w:szCs w:val="21"/>
        </w:rPr>
        <w:t xml:space="preserve"> Quien ofrezca otro que haga lo mismo tiene derecho a demostrarlo, y el Ayuntamiento tiene que motivar por escrito el rechazo (</w:t>
      </w:r>
      <w:r>
        <w:rPr>
          <w:rFonts w:ascii="Calibri" w:cs="Calibri" w:eastAsia="Calibri" w:hAnsi="Calibri"/>
          <w:color w:val="2F5496"/>
          <w:sz w:val="21"/>
          <w:szCs w:val="21"/>
        </w:rPr>
        <w:t xml:space="preserve">DT-0·v3</w:t>
      </w:r>
      <w:r>
        <w:rPr>
          <w:rFonts w:ascii="Calibri" w:cs="Calibri" w:eastAsia="Calibri" w:hAnsi="Calibri"/>
          <w:sz w:val="21"/>
          <w:szCs w:val="21"/>
        </w:rPr>
        <w:t xml:space="preserve">).</w:t>
      </w:r>
    </w:p>
    <w:p>
      <w:pPr>
        <w:pStyle w:val="ListParagraph"/>
        <w:numPr>
          <w:ilvl w:val="0"/>
          <w:numId w:val="2"/>
        </w:numPr>
        <w:spacing w:after="70" w:line="268"/>
      </w:pPr>
      <w:r>
        <w:rPr>
          <w:rFonts w:ascii="Calibri" w:cs="Calibri" w:eastAsia="Calibri" w:hAnsi="Calibri"/>
          <w:b/>
          <w:bCs/>
          <w:sz w:val="21"/>
          <w:szCs w:val="21"/>
        </w:rPr>
        <w:t xml:space="preserve">No se puntúa lo que una empresa ya tiene</w:t>
      </w:r>
      <w:r>
        <w:rPr>
          <w:rFonts w:ascii="Calibri" w:cs="Calibri" w:eastAsia="Calibri" w:hAnsi="Calibri"/>
          <w:sz w:val="21"/>
          <w:szCs w:val="21"/>
        </w:rPr>
        <w:t xml:space="preserve"> el día de la licitación —certificaciones, experiencia o medios ya disponibles—, porque eso premia a quien ya está dentro (véase la segunda de las cuatro correcciones que cierran este apartado).</w:t>
      </w:r>
    </w:p>
    <w:p>
      <w:pPr>
        <w:pStyle w:val="ListParagraph"/>
        <w:numPr>
          <w:ilvl w:val="0"/>
          <w:numId w:val="2"/>
        </w:numPr>
        <w:spacing w:after="70" w:line="268"/>
      </w:pPr>
      <w:r>
        <w:rPr>
          <w:rFonts w:ascii="Calibri" w:cs="Calibri" w:eastAsia="Calibri" w:hAnsi="Calibri"/>
          <w:b/>
          <w:bCs/>
          <w:sz w:val="21"/>
          <w:szCs w:val="21"/>
        </w:rPr>
        <w:t xml:space="preserve">Al terminar el contrato hay que entregar los datos</w:t>
      </w:r>
      <w:r>
        <w:rPr>
          <w:rFonts w:ascii="Calibri" w:cs="Calibri" w:eastAsia="Calibri" w:hAnsi="Calibri"/>
          <w:sz w:val="21"/>
          <w:szCs w:val="21"/>
        </w:rPr>
        <w:t xml:space="preserve"> en formato abierto, con su diccionario y sin coste por la extracción, para que el siguiente pueda entrar (</w:t>
      </w:r>
      <w:r>
        <w:rPr>
          <w:rFonts w:ascii="Calibri" w:cs="Calibri" w:eastAsia="Calibri" w:hAnsi="Calibri"/>
          <w:color w:val="2F5496"/>
          <w:sz w:val="21"/>
          <w:szCs w:val="21"/>
        </w:rPr>
        <w:t xml:space="preserve">DT-8·v3</w:t>
      </w:r>
      <w:r>
        <w:rPr>
          <w:rFonts w:ascii="Calibri" w:cs="Calibri" w:eastAsia="Calibri" w:hAnsi="Calibri"/>
          <w:sz w:val="21"/>
          <w:szCs w:val="21"/>
        </w:rPr>
        <w:t xml:space="preserve"> y </w:t>
      </w:r>
      <w:r>
        <w:rPr>
          <w:rFonts w:ascii="Calibri" w:cs="Calibri" w:eastAsia="Calibri" w:hAnsi="Calibri"/>
          <w:color w:val="2F5496"/>
          <w:sz w:val="21"/>
          <w:szCs w:val="21"/>
        </w:rPr>
        <w:t xml:space="preserve">ADM-12·v3</w:t>
      </w:r>
      <w:r>
        <w:rPr>
          <w:rFonts w:ascii="Calibri" w:cs="Calibri" w:eastAsia="Calibri" w:hAnsi="Calibri"/>
          <w:sz w:val="21"/>
          <w:szCs w:val="21"/>
        </w:rPr>
        <w:t xml:space="preserve">).</w:t>
      </w:r>
    </w:p>
    <w:p>
      <w:pPr>
        <w:spacing w:after="140" w:line="276"/>
      </w:pPr>
      <w:r>
        <w:rPr>
          <w:rFonts w:ascii="Calibri" w:cs="Calibri" w:eastAsia="Calibri" w:hAnsi="Calibri"/>
          <w:b/>
          <w:bCs/>
          <w:sz w:val="21"/>
          <w:szCs w:val="21"/>
        </w:rPr>
        <w:t xml:space="preserve">Estas reglas no garantizan que la trinchera no exista: obligan a buscarla.</w:t>
      </w:r>
      <w:r>
        <w:rPr>
          <w:rFonts w:ascii="Calibri" w:cs="Calibri" w:eastAsia="Calibri" w:hAnsi="Calibri"/>
          <w:sz w:val="21"/>
          <w:szCs w:val="21"/>
        </w:rPr>
        <w:t xml:space="preserve"> El propio contrato con el que la Parte VI aplica el catálogo puede tener ese origen: consta en su preparación que el borrador se elaboró tomando como referencia el pliego de otro ayuntamiento que tiene implantada una solución determinada. Por eso la Parte VI, VI.2, no lo da por bueno y ordena, si eso se confirma y antes de aprobarlo, un barrido para localizar toda especificación que sólo pueda cumplir un fabricante concreto y reescribirla en términos de función, con admisión de equivalentes. Las tres reglas dan la obligación de mirar y la herramienta para corregir lo que se encuentre; el trabajo de mirar hay que hacerlo en cada expediente. Un documento que prometiera lo contrario sería el mismo problema con otro nombre.</w:t>
      </w:r>
    </w:p>
    <w:p>
      <w:pPr>
        <w:spacing w:after="140" w:line="276"/>
      </w:pPr>
      <w:r>
        <w:rPr>
          <w:rFonts w:ascii="Calibri" w:cs="Calibri" w:eastAsia="Calibri" w:hAnsi="Calibri"/>
          <w:sz w:val="21"/>
          <w:szCs w:val="21"/>
        </w:rPr>
        <w:t xml:space="preserve">El desarrollo de las tres, con su fundamento y sus límites, está en la Parte IV, M3 y M7.</w:t>
      </w:r>
    </w:p>
    <w:p>
      <w:pPr>
        <w:pStyle w:val="Heading3"/>
        <w:keepNext/>
        <w:spacing w:after="140" w:before="320"/>
      </w:pPr>
      <w:r>
        <w:rPr>
          <w:rFonts w:ascii="Georgia" w:cs="Georgia" w:eastAsia="Georgia" w:hAnsi="Georgia"/>
          <w:b/>
          <w:bCs/>
          <w:color w:val="2F5496"/>
          <w:sz w:val="22"/>
          <w:szCs w:val="22"/>
        </w:rPr>
        <w:t xml:space="preserve">El ejemplo numérico</w:t>
      </w:r>
    </w:p>
    <w:p>
      <w:pPr>
        <w:spacing w:after="140" w:line="276"/>
      </w:pPr>
      <w:r>
        <w:rPr>
          <w:rFonts w:ascii="Calibri" w:cs="Calibri" w:eastAsia="Calibri" w:hAnsi="Calibri"/>
          <w:i/>
          <w:iCs/>
          <w:sz w:val="21"/>
          <w:szCs w:val="21"/>
        </w:rPr>
        <w:t xml:space="preserve">(Cifras de ejemplo, construidas para explicar el mecanismo. No proceden de ningún expediente municipal concreto y no deben citarse como dato. El expediente simulado de la Parte VI trabaja con otras cifras, igualmente construidas, y no deben confundirse con éstas.)</w:t>
      </w:r>
    </w:p>
    <w:p>
      <w:pPr>
        <w:spacing w:after="140" w:line="276"/>
      </w:pPr>
      <w:r>
        <w:rPr>
          <w:rFonts w:ascii="Calibri" w:cs="Calibri" w:eastAsia="Calibri" w:hAnsi="Calibri"/>
          <w:sz w:val="21"/>
          <w:szCs w:val="21"/>
        </w:rPr>
        <w:t xml:space="preserve">Contrato de servicios de mantenimiento y evolución de la aplicación municipal de gestión tributaria y recaudación: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Concepto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Importe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Precio anual del servicio (sin IVA)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180.000 €</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Duración inicial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 años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Prórrogas previstas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 anualidades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Precio inicial del contrato, sin IVA (duración inicial, sin prórrogas)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360.000 €</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Valor estimado</w:t>
            </w:r>
            <w:r>
              <w:rPr>
                <w:rFonts w:ascii="Calibri" w:cs="Calibri" w:eastAsia="Calibri" w:hAnsi="Calibri"/>
                <w:b w:val="false"/>
                <w:bCs w:val="false"/>
                <w:sz w:val="18"/>
                <w:szCs w:val="18"/>
              </w:rPr>
              <w:t xml:space="preserve"> (incluidas las prórrogas)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720.000 €</w:t>
            </w:r>
          </w:p>
        </w:tc>
      </w:tr>
    </w:tbl>
    <w:p>
      <w:pPr>
        <w:spacing w:after="200"/>
      </w:pPr>
    </w:p>
    <w:p>
      <w:pPr>
        <w:spacing w:after="140" w:line="276"/>
      </w:pPr>
      <w:r>
        <w:rPr>
          <w:rFonts w:ascii="Calibri" w:cs="Calibri" w:eastAsia="Calibri" w:hAnsi="Calibri"/>
          <w:b/>
          <w:bCs/>
          <w:sz w:val="21"/>
          <w:szCs w:val="21"/>
        </w:rPr>
        <w:t xml:space="preserve">Camino A — el contrato tal como se firma hoy, sin este catálogo.</w:t>
      </w:r>
      <w:r>
        <w:rPr>
          <w:rFonts w:ascii="Calibri" w:cs="Calibri" w:eastAsia="Calibri" w:hAnsi="Calibri"/>
          <w:sz w:val="21"/>
          <w:szCs w:val="21"/>
        </w:rPr>
        <w:t xml:space="preserve"> En el mes 20 de ejecución, la Intervención necesita explotar por su cuenta los datos de ejecución y el área gestora quiere que la aplicación pueda ser consultada por asistentes de IA del propio Ayuntamiento. Nada de eso está en el pliego. Las opciones son:</w:t>
      </w:r>
    </w:p>
    <w:p>
      <w:pPr>
        <w:pStyle w:val="ListParagraph"/>
        <w:numPr>
          <w:ilvl w:val="0"/>
          <w:numId w:val="1"/>
        </w:numPr>
        <w:spacing w:after="70" w:line="268"/>
      </w:pPr>
      <w:r>
        <w:rPr>
          <w:rFonts w:ascii="Calibri" w:cs="Calibri" w:eastAsia="Calibri" w:hAnsi="Calibri"/>
          <w:sz w:val="21"/>
          <w:szCs w:val="21"/>
        </w:rPr>
        <w:t xml:space="preserve">Negociarlo con el adjudicatario, </w:t>
      </w:r>
      <w:r>
        <w:rPr>
          <w:rFonts w:ascii="Calibri" w:cs="Calibri" w:eastAsia="Calibri" w:hAnsi="Calibri"/>
          <w:b/>
          <w:bCs/>
          <w:sz w:val="21"/>
          <w:szCs w:val="21"/>
        </w:rPr>
        <w:t xml:space="preserve">sin competencia y sin referencia de precio</w:t>
      </w:r>
      <w:r>
        <w:rPr>
          <w:rFonts w:ascii="Calibri" w:cs="Calibri" w:eastAsia="Calibri" w:hAnsi="Calibri"/>
          <w:sz w:val="21"/>
          <w:szCs w:val="21"/>
        </w:rPr>
        <w:t xml:space="preserve">, porque nadie más puede hacerlo sobre ese sistema.</w:t>
      </w:r>
    </w:p>
    <w:p>
      <w:pPr>
        <w:pStyle w:val="ListParagraph"/>
        <w:numPr>
          <w:ilvl w:val="0"/>
          <w:numId w:val="1"/>
        </w:numPr>
        <w:spacing w:after="70" w:line="268"/>
      </w:pPr>
      <w:r>
        <w:rPr>
          <w:rFonts w:ascii="Calibri" w:cs="Calibri" w:eastAsia="Calibri" w:hAnsi="Calibri"/>
          <w:sz w:val="21"/>
          <w:szCs w:val="21"/>
        </w:rPr>
        <w:t xml:space="preserve">Tramitar una modificación. Si no se previó en el pliego con la precisión que exigen los artículos 203 y 204 LCSP, no cabe por esa vía; y si se hubiera previsto con el máximo del </w:t>
      </w:r>
      <w:r>
        <w:rPr>
          <w:rFonts w:ascii="Calibri" w:cs="Calibri" w:eastAsia="Calibri" w:hAnsi="Calibri"/>
          <w:b/>
          <w:bCs/>
          <w:sz w:val="21"/>
          <w:szCs w:val="21"/>
        </w:rPr>
        <w:t xml:space="preserve">20 %</w:t>
      </w:r>
      <w:r>
        <w:rPr>
          <w:rFonts w:ascii="Calibri" w:cs="Calibri" w:eastAsia="Calibri" w:hAnsi="Calibri"/>
          <w:sz w:val="21"/>
          <w:szCs w:val="21"/>
        </w:rPr>
        <w:t xml:space="preserve"> que fija el artículo 204, esa reserva —</w:t>
      </w:r>
      <w:r>
        <w:rPr>
          <w:rFonts w:ascii="Calibri" w:cs="Calibri" w:eastAsia="Calibri" w:hAnsi="Calibri"/>
          <w:b/>
          <w:bCs/>
          <w:sz w:val="21"/>
          <w:szCs w:val="21"/>
        </w:rPr>
        <w:t xml:space="preserve">72.000 €</w:t>
      </w:r>
      <w:r>
        <w:rPr>
          <w:rFonts w:ascii="Calibri" w:cs="Calibri" w:eastAsia="Calibri" w:hAnsi="Calibri"/>
          <w:sz w:val="21"/>
          <w:szCs w:val="21"/>
        </w:rPr>
        <w:t xml:space="preserve">, porque el 20 % se calcula sobre el precio inicial del contrato (360.000 €) y no sobre el valor estimado con prórrogas— habría computado en el valor estimado desde el primer día, elevándolo a </w:t>
      </w:r>
      <w:r>
        <w:rPr>
          <w:rFonts w:ascii="Calibri" w:cs="Calibri" w:eastAsia="Calibri" w:hAnsi="Calibri"/>
          <w:b/>
          <w:bCs/>
          <w:sz w:val="21"/>
          <w:szCs w:val="21"/>
        </w:rPr>
        <w:t xml:space="preserve">792.000 €</w:t>
      </w:r>
      <w:r>
        <w:rPr>
          <w:rFonts w:ascii="Calibri" w:cs="Calibri" w:eastAsia="Calibri" w:hAnsi="Calibri"/>
          <w:sz w:val="21"/>
          <w:szCs w:val="21"/>
        </w:rPr>
        <w:t xml:space="preserve">, con las consecuencias de umbral que se explican abajo. </w:t>
      </w:r>
      <w:r>
        <w:rPr>
          <w:rFonts w:ascii="Calibri" w:cs="Calibri" w:eastAsia="Calibri" w:hAnsi="Calibri"/>
          <w:i/>
          <w:iCs/>
          <w:sz w:val="21"/>
          <w:szCs w:val="21"/>
        </w:rPr>
        <w:t xml:space="preserve">Base del cálculo: </w:t>
      </w:r>
      <w:hyperlink w:history="1" r:id="rIdpliw9frkkeiqp9gnqbizd">
        <w:r>
          <w:rPr>
            <w:rFonts w:ascii="Calibri" w:cs="Calibri" w:eastAsia="Calibri" w:hAnsi="Calibri"/>
            <w:i/>
            <w:iCs/>
            <w:color w:val="2F5496"/>
            <w:sz w:val="21"/>
            <w:szCs w:val="21"/>
            <w:u w:val="single"/>
          </w:rPr>
          <w:t xml:space="preserve">Junta Consultiva de Contratación Pública del Estado, Informe 18/2025, «Cálculo de los límites aplicables a las modificaciones de los artículos 204 y 205 de la LCSP», aprobado por la Comisión Permanente el 23 de abril de 2026</w:t>
        </w:r>
      </w:hyperlink>
      <w:r>
        <w:rPr>
          <w:rFonts w:ascii="Calibri" w:cs="Calibri" w:eastAsia="Calibri" w:hAnsi="Calibri"/>
          <w:i/>
          <w:iCs/>
          <w:sz w:val="21"/>
          <w:szCs w:val="21"/>
        </w:rPr>
        <w:t xml:space="preserve"> («el límite del 20 por 100 del precio inicial previsto en el artículo 204 de la LCSP […] ha de calcularse sobre el precio de adjudicación del contrato»), y </w:t>
      </w:r>
      <w:hyperlink w:history="1" r:id="rIdwquuu_iqvb8tnbvs6ptli">
        <w:r>
          <w:rPr>
            <w:rFonts w:ascii="Calibri" w:cs="Calibri" w:eastAsia="Calibri" w:hAnsi="Calibri"/>
            <w:i/>
            <w:iCs/>
            <w:color w:val="2F5496"/>
            <w:sz w:val="21"/>
            <w:szCs w:val="21"/>
            <w:u w:val="single"/>
          </w:rPr>
          <w:t xml:space="preserve">Junta Consultiva de Contratación Administrativa de la Comunidad de Madrid, Informe 4/2025, de 19 de diciembre de 2025, conclusión 6</w:t>
        </w:r>
      </w:hyperlink>
      <w:r>
        <w:rPr>
          <w:rFonts w:ascii="Calibri" w:cs="Calibri" w:eastAsia="Calibri" w:hAnsi="Calibri"/>
          <w:i/>
          <w:iCs/>
          <w:sz w:val="21"/>
          <w:szCs w:val="21"/>
        </w:rPr>
        <w:t xml:space="preserve"> («en el cálculo del VEC el porcentaje máximo de modificación debe aplicarse sobre el PBL, sin IVA, no sobre este más las prórrogas previstas»); en esa cita, </w:t>
      </w:r>
      <w:r>
        <w:rPr>
          <w:rFonts w:ascii="Calibri" w:cs="Calibri" w:eastAsia="Calibri" w:hAnsi="Calibri"/>
          <w:i/>
          <w:iCs/>
          <w:sz w:val="21"/>
          <w:szCs w:val="21"/>
        </w:rPr>
        <w:t xml:space="preserve">VEC</w:t>
      </w:r>
      <w:r>
        <w:rPr>
          <w:rFonts w:ascii="Calibri" w:cs="Calibri" w:eastAsia="Calibri" w:hAnsi="Calibri"/>
          <w:sz w:val="21"/>
          <w:szCs w:val="21"/>
        </w:rPr>
        <w:t xml:space="preserve">* es el valor estimado del contrato y </w:t>
      </w:r>
      <w:r>
        <w:rPr>
          <w:rFonts w:ascii="Calibri" w:cs="Calibri" w:eastAsia="Calibri" w:hAnsi="Calibri"/>
          <w:b/>
          <w:bCs/>
          <w:sz w:val="21"/>
          <w:szCs w:val="21"/>
        </w:rPr>
        <w:t xml:space="preserve">PBL</w:t>
      </w:r>
      <w:r>
        <w:rPr>
          <w:rFonts w:ascii="Calibri" w:cs="Calibri" w:eastAsia="Calibri" w:hAnsi="Calibri"/>
          <w:sz w:val="21"/>
          <w:szCs w:val="21"/>
        </w:rPr>
        <w:t xml:space="preserve">, el presupuesto base de licitación. Ambos informes se citan como criterio consultivo, no vinculante. Adviértase que la base no es la misma en preparación —presupuesto base de licitación— que en ejecución —precio de adjudicación—: la advertencia completa está en </w:t>
      </w:r>
      <w:r>
        <w:rPr>
          <w:rFonts w:ascii="Calibri" w:cs="Calibri" w:eastAsia="Calibri" w:hAnsi="Calibri"/>
          <w:color w:val="2F5496"/>
          <w:sz w:val="21"/>
          <w:szCs w:val="21"/>
        </w:rPr>
        <w:t xml:space="preserve">ADM-14·v3</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sz w:val="21"/>
          <w:szCs w:val="21"/>
        </w:rPr>
        <w:t xml:space="preserve">Esperar a la licitación siguiente, en el año 4, y volver a pagar la implantación y la migración completas.</w:t>
      </w:r>
    </w:p>
    <w:p>
      <w:pPr>
        <w:spacing w:after="140" w:line="276"/>
      </w:pPr>
      <w:r>
        <w:rPr>
          <w:rFonts w:ascii="Calibri" w:cs="Calibri" w:eastAsia="Calibri" w:hAnsi="Calibri"/>
          <w:b/>
          <w:bCs/>
          <w:sz w:val="21"/>
          <w:szCs w:val="21"/>
        </w:rPr>
        <w:t xml:space="preserve">Camino B — el mismo contrato con el catálogo aplicado.</w:t>
      </w:r>
      <w:r>
        <w:rPr>
          <w:rFonts w:ascii="Calibri" w:cs="Calibri" w:eastAsia="Calibri" w:hAnsi="Calibri"/>
          <w:sz w:val="21"/>
          <w:szCs w:val="21"/>
        </w:rPr>
        <w:t xml:space="preserve"> Las tres capacidades del Anexo V están transcritas en el pliego de prescripciones técnicas, con sus criterios de aceptación y su plazo. Forman parte del alcance ordinario y se retribuyen con el precio ofertado. Si a los 12 meses no están, hay penalidad tipificada; si el incumplimiento es de los tasados en </w:t>
      </w:r>
      <w:r>
        <w:rPr>
          <w:rFonts w:ascii="Calibri" w:cs="Calibri" w:eastAsia="Calibri" w:hAnsi="Calibri"/>
          <w:color w:val="2F5496"/>
          <w:sz w:val="21"/>
          <w:szCs w:val="21"/>
        </w:rPr>
        <w:t xml:space="preserve">ADM-6·v3</w:t>
      </w:r>
      <w:r>
        <w:rPr>
          <w:rFonts w:ascii="Calibri" w:cs="Calibri" w:eastAsia="Calibri" w:hAnsi="Calibri"/>
          <w:sz w:val="21"/>
          <w:szCs w:val="21"/>
        </w:rPr>
        <w:t xml:space="preserve">, hay causa de resolución. El acceso de la Intervención a los datos, sin tarificar y en formato abierto, es una condición especial de ejecución del contrato desde el día uno (</w:t>
      </w:r>
      <w:r>
        <w:rPr>
          <w:rFonts w:ascii="Calibri" w:cs="Calibri" w:eastAsia="Calibri" w:hAnsi="Calibri"/>
          <w:color w:val="2F5496"/>
          <w:sz w:val="21"/>
          <w:szCs w:val="21"/>
        </w:rPr>
        <w:t xml:space="preserve">ADM-12·v3</w:t>
      </w:r>
      <w:r>
        <w:rPr>
          <w:rFonts w:ascii="Calibri" w:cs="Calibri" w:eastAsia="Calibri" w:hAnsi="Calibri"/>
          <w:sz w:val="21"/>
          <w:szCs w:val="21"/>
        </w:rPr>
        <w:t xml:space="preserve">).</w:t>
      </w:r>
    </w:p>
    <w:p>
      <w:pPr>
        <w:spacing w:after="140" w:line="276"/>
      </w:pPr>
      <w:r>
        <w:rPr>
          <w:rFonts w:ascii="Calibri" w:cs="Calibri" w:eastAsia="Calibri" w:hAnsi="Calibri"/>
          <w:b/>
          <w:bCs/>
          <w:sz w:val="21"/>
          <w:szCs w:val="21"/>
        </w:rPr>
        <w:t xml:space="preserve">Qué cuesta el camino B.</w:t>
      </w:r>
      <w:r>
        <w:rPr>
          <w:rFonts w:ascii="Calibri" w:cs="Calibri" w:eastAsia="Calibri" w:hAnsi="Calibri"/>
          <w:sz w:val="21"/>
          <w:szCs w:val="21"/>
        </w:rPr>
        <w:t xml:space="preserve"> Cuesta lo que los licitadores repercutan en su oferta, que es un importe </w:t>
      </w:r>
      <w:r>
        <w:rPr>
          <w:rFonts w:ascii="Calibri" w:cs="Calibri" w:eastAsia="Calibri" w:hAnsi="Calibri"/>
          <w:b/>
          <w:bCs/>
          <w:sz w:val="21"/>
          <w:szCs w:val="21"/>
        </w:rPr>
        <w:t xml:space="preserve">visible, comparado entre varios y sometido a competencia</w:t>
      </w:r>
      <w:r>
        <w:rPr>
          <w:rFonts w:ascii="Calibri" w:cs="Calibri" w:eastAsia="Calibri" w:hAnsi="Calibri"/>
          <w:sz w:val="21"/>
          <w:szCs w:val="21"/>
        </w:rPr>
        <w:t xml:space="preserve"> el día de la licitación. Esa es la diferencia honesta, y es toda la diferencia: no es que salga gratis, es que el precio se forma en un concurso en vez de en una negociación bilateral a mitad de contrato con el único proveedor que puede hacerlo.</w:t>
      </w:r>
    </w:p>
    <w:p>
      <w:pPr>
        <w:spacing w:after="140" w:line="276"/>
      </w:pPr>
      <w:r>
        <w:rPr>
          <w:rFonts w:ascii="Calibri" w:cs="Calibri" w:eastAsia="Calibri" w:hAnsi="Calibri"/>
          <w:b/>
          <w:bCs/>
          <w:sz w:val="21"/>
          <w:szCs w:val="21"/>
        </w:rPr>
        <w:t xml:space="preserve">El efecto umbral, que hay que mirar siempre.</w:t>
      </w:r>
      <w:r>
        <w:rPr>
          <w:rFonts w:ascii="Calibri" w:cs="Calibri" w:eastAsia="Calibri" w:hAnsi="Calibri"/>
          <w:sz w:val="21"/>
          <w:szCs w:val="21"/>
        </w:rPr>
        <w:t xml:space="preserve"> Un contrato de servicios de 90.000 € de valor estimado al que se le añade una reserva de modificación de 12.000 € pasa a 102.000 € y cruza los </w:t>
      </w:r>
      <w:r>
        <w:rPr>
          <w:rFonts w:ascii="Calibri" w:cs="Calibri" w:eastAsia="Calibri" w:hAnsi="Calibri"/>
          <w:b/>
          <w:bCs/>
          <w:sz w:val="21"/>
          <w:szCs w:val="21"/>
        </w:rPr>
        <w:t xml:space="preserve">100.000 €</w:t>
      </w:r>
      <w:r>
        <w:rPr>
          <w:rFonts w:ascii="Calibri" w:cs="Calibri" w:eastAsia="Calibri" w:hAnsi="Calibri"/>
          <w:sz w:val="21"/>
          <w:szCs w:val="21"/>
        </w:rPr>
        <w:t xml:space="preserve"> de valor estimado a partir de los cuales sus pliegos son directamente recurribles en </w:t>
      </w:r>
      <w:r>
        <w:rPr>
          <w:rFonts w:ascii="Calibri" w:cs="Calibri" w:eastAsia="Calibri" w:hAnsi="Calibri"/>
          <w:b/>
          <w:bCs/>
          <w:sz w:val="21"/>
          <w:szCs w:val="21"/>
        </w:rPr>
        <w:t xml:space="preserve">recurso especial</w:t>
      </w:r>
      <w:r>
        <w:rPr>
          <w:rFonts w:ascii="Calibri" w:cs="Calibri" w:eastAsia="Calibri" w:hAnsi="Calibri"/>
          <w:sz w:val="21"/>
          <w:szCs w:val="21"/>
        </w:rPr>
        <w:t xml:space="preserve"> —la impugnación de los pliegos o de la adjudicación ante un tribunal administrativo especializado, con plazos muy breves y sin coste de tasas— (artículo 44.1.a) y 2.a) LCSP). Puede además expulsarlo del procedimiento abierto simplificado (artículo 159.1 LCSP; cuantías vigentes en el </w:t>
      </w:r>
      <w:r>
        <w:rPr>
          <w:rFonts w:ascii="Calibri" w:cs="Calibri" w:eastAsia="Calibri" w:hAnsi="Calibri"/>
          <w:b/>
          <w:bCs/>
          <w:sz w:val="21"/>
          <w:szCs w:val="21"/>
        </w:rPr>
        <w:t xml:space="preserve">Anexo X, apartado X.2</w:t>
      </w:r>
      <w:r>
        <w:rPr>
          <w:rFonts w:ascii="Calibri" w:cs="Calibri" w:eastAsia="Calibri" w:hAnsi="Calibri"/>
          <w:sz w:val="21"/>
          <w:szCs w:val="21"/>
        </w:rPr>
        <w:t xml:space="preserve">). Es decir: mal calculado, el instrumento que se introduce para protegerse abre la puerta que se quería cerrar. Por eso la vía preferente de este catálogo es el Anexo V dentro del precio (Nivel 1) y no la modificación prevista (Nivel 2), que se ofrece redactada pero </w:t>
      </w:r>
      <w:r>
        <w:rPr>
          <w:rFonts w:ascii="Calibri" w:cs="Calibri" w:eastAsia="Calibri" w:hAnsi="Calibri"/>
          <w:b/>
          <w:bCs/>
          <w:sz w:val="21"/>
          <w:szCs w:val="21"/>
        </w:rPr>
        <w:t xml:space="preserve">por defecto no se usa</w:t>
      </w:r>
      <w:r>
        <w:rPr>
          <w:rFonts w:ascii="Calibri" w:cs="Calibri" w:eastAsia="Calibri" w:hAnsi="Calibri"/>
          <w:sz w:val="21"/>
          <w:szCs w:val="21"/>
        </w:rPr>
        <w:t xml:space="preserve">.</w:t>
      </w:r>
    </w:p>
    <w:p>
      <w:pPr>
        <w:pStyle w:val="Heading3"/>
        <w:keepNext/>
        <w:spacing w:after="140" w:before="320"/>
      </w:pPr>
      <w:r>
        <w:rPr>
          <w:rFonts w:ascii="Georgia" w:cs="Georgia" w:eastAsia="Georgia" w:hAnsi="Georgia"/>
          <w:b/>
          <w:bCs/>
          <w:color w:val="2F5496"/>
          <w:sz w:val="22"/>
          <w:szCs w:val="22"/>
        </w:rPr>
        <w:t xml:space="preserve">Las cuatro correcciones al resumen ejecutivo anterior</w:t>
      </w:r>
    </w:p>
    <w:p>
      <w:pPr>
        <w:spacing w:after="140" w:line="276"/>
      </w:pPr>
      <w:r>
        <w:rPr>
          <w:rFonts w:ascii="Calibri" w:cs="Calibri" w:eastAsia="Calibri" w:hAnsi="Calibri"/>
          <w:sz w:val="21"/>
          <w:szCs w:val="21"/>
        </w:rPr>
        <w:t xml:space="preserve">El resumen ejecutivo v1 (el que circuló para presentación en Alcaldía) contiene cuatro afirmaciones que </w:t>
      </w:r>
      <w:r>
        <w:rPr>
          <w:rFonts w:ascii="Calibri" w:cs="Calibri" w:eastAsia="Calibri" w:hAnsi="Calibri"/>
          <w:b/>
          <w:bCs/>
          <w:sz w:val="21"/>
          <w:szCs w:val="21"/>
        </w:rPr>
        <w:t xml:space="preserve">no deben reproducirse</w:t>
      </w:r>
      <w:r>
        <w:rPr>
          <w:rFonts w:ascii="Calibri" w:cs="Calibri" w:eastAsia="Calibri" w:hAnsi="Calibri"/>
          <w:sz w:val="21"/>
          <w:szCs w:val="21"/>
        </w:rPr>
        <w:t xml:space="preserve">. Tres de ellas son, además, exactamente el material con el que se recurre un pliego.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Decía el resumen v1</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Por qué no se sostiene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dice la versión 3.0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exige el nivel más alto del Esquema Nacional de Seguridad cuando corresponda»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categoría del ENS </w:t>
            </w:r>
            <w:r>
              <w:rPr>
                <w:rFonts w:ascii="Calibri" w:cs="Calibri" w:eastAsia="Calibri" w:hAnsi="Calibri"/>
                <w:b/>
                <w:bCs/>
                <w:sz w:val="18"/>
                <w:szCs w:val="18"/>
              </w:rPr>
              <w:t xml:space="preserve">no se elige</w:t>
            </w:r>
            <w:r>
              <w:rPr>
                <w:rFonts w:ascii="Calibri" w:cs="Calibri" w:eastAsia="Calibri" w:hAnsi="Calibri"/>
                <w:b w:val="false"/>
                <w:bCs w:val="false"/>
                <w:sz w:val="18"/>
                <w:szCs w:val="18"/>
              </w:rPr>
              <w:t xml:space="preserve">: resulta del análisis del propio sistema conforme al anexo I del RD 311/2022, y puede ser BÁSICA, MEDIA o ALTA. El motivo por el que se anularon los pliegos de Parla fue, literalmente, </w:t>
            </w:r>
            <w:r>
              <w:rPr>
                <w:rFonts w:ascii="Calibri" w:cs="Calibri" w:eastAsia="Calibri" w:hAnsi="Calibri"/>
                <w:b/>
                <w:bCs/>
                <w:sz w:val="18"/>
                <w:szCs w:val="18"/>
              </w:rPr>
              <w:t xml:space="preserve">la falta de justificación de esa exigencia en la memoria justificativa</w:t>
            </w:r>
            <w:r>
              <w:rPr>
                <w:rFonts w:ascii="Calibri" w:cs="Calibri" w:eastAsia="Calibri" w:hAnsi="Calibri"/>
                <w:b w:val="false"/>
                <w:bCs w:val="false"/>
                <w:sz w:val="18"/>
                <w:szCs w:val="18"/>
              </w:rPr>
              <w:t xml:space="preserve"> (art. 116.2 LCSP), tratando la certificación del ENS como habilitación empresarial del art. 65.2 LCSP: el Tribunal no la calificó de desproporcionada (Res. TACP Madrid 383/2024, citada arriba). Que exigir ALTA sin ese análisis sea además una restricción desproporcionada es valoración de este documento, no de la resolución.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expediente </w:t>
            </w:r>
            <w:r>
              <w:rPr>
                <w:rFonts w:ascii="Calibri" w:cs="Calibri" w:eastAsia="Calibri" w:hAnsi="Calibri"/>
                <w:b/>
                <w:bCs/>
                <w:sz w:val="18"/>
                <w:szCs w:val="18"/>
              </w:rPr>
              <w:t xml:space="preserve">consigna la categoría que resulte del análisis, antes de aprobar el pliego</w:t>
            </w:r>
            <w:r>
              <w:rPr>
                <w:rFonts w:ascii="Calibri" w:cs="Calibri" w:eastAsia="Calibri" w:hAnsi="Calibri"/>
                <w:b w:val="false"/>
                <w:bCs w:val="false"/>
                <w:sz w:val="18"/>
                <w:szCs w:val="18"/>
              </w:rPr>
              <w:t xml:space="preserve">, y sólo entonces se exige la forma de acreditación que corresponda: certificación en categorías MEDIA y ALTA, declaración de conformidad por autoevaluación en BÁSICA (art. 38.1 RD 311/2022). La rúbrica «ENS Nivel Alto» desaparece del título de la cláusula (</w:t>
            </w:r>
            <w:r>
              <w:rPr>
                <w:rFonts w:ascii="Calibri" w:cs="Calibri" w:eastAsia="Calibri" w:hAnsi="Calibri"/>
                <w:b w:val="false"/>
                <w:bCs w:val="false"/>
                <w:color w:val="2F5496"/>
                <w:sz w:val="18"/>
                <w:szCs w:val="18"/>
              </w:rPr>
              <w:t xml:space="preserve">DT-6·v3</w:t>
            </w: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«Puntúa quien ya tiene la tecnología, hoy»</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Puntuar lo que un licitador </w:t>
            </w:r>
            <w:r>
              <w:rPr>
                <w:rFonts w:ascii="Calibri" w:cs="Calibri" w:eastAsia="Calibri" w:hAnsi="Calibri"/>
                <w:b/>
                <w:bCs/>
                <w:sz w:val="18"/>
                <w:szCs w:val="18"/>
              </w:rPr>
              <w:t xml:space="preserve">ya posee</w:t>
            </w:r>
            <w:r>
              <w:rPr>
                <w:rFonts w:ascii="Calibri" w:cs="Calibri" w:eastAsia="Calibri" w:hAnsi="Calibri"/>
                <w:b w:val="false"/>
                <w:bCs w:val="false"/>
                <w:sz w:val="18"/>
                <w:szCs w:val="18"/>
              </w:rPr>
              <w:t xml:space="preserve"> el día de la licitación valora una característica de la empresa y no una cualidad de la prestación, y otorga ventaja indirecta al contratista previo. El artículo 40.b) LCSP declara anulables, con ese alcance preciso y no otro más amplio, «todas aquellas disposiciones, resoluciones, cláusulas o actos […] que otorguen, de forma directa o indirecta, ventajas a las empresas que hayan contratado previamente con cualquier Administración».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elimina toda puntuación de la tenencia previa —certificaciones, experiencia o medios ya disponibles—. Se puntúa el </w:t>
            </w:r>
            <w:r>
              <w:rPr>
                <w:rFonts w:ascii="Calibri" w:cs="Calibri" w:eastAsia="Calibri" w:hAnsi="Calibri"/>
                <w:b/>
                <w:bCs/>
                <w:sz w:val="18"/>
                <w:szCs w:val="18"/>
              </w:rPr>
              <w:t xml:space="preserve">alcance funcional comprometido y el plazo ofertado</w:t>
            </w:r>
            <w:r>
              <w:rPr>
                <w:rFonts w:ascii="Calibri" w:cs="Calibri" w:eastAsia="Calibri" w:hAnsi="Calibri"/>
                <w:b w:val="false"/>
                <w:bCs w:val="false"/>
                <w:sz w:val="18"/>
                <w:szCs w:val="18"/>
              </w:rPr>
              <w:t xml:space="preserve">, verificables, y la disponibilidad efectiva se asegura por compromiso de adscripción de medios acreditado por el propuesto adjudicatario (art. 150.2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«Alineado con el Reglamento (UE) 2024/1689» (describiendo su calendario original)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calendario cambió. El </w:t>
            </w:r>
            <w:r>
              <w:rPr>
                <w:rFonts w:ascii="Calibri" w:cs="Calibri" w:eastAsia="Calibri" w:hAnsi="Calibri"/>
                <w:b/>
                <w:bCs/>
                <w:sz w:val="18"/>
                <w:szCs w:val="18"/>
              </w:rPr>
              <w:t xml:space="preserve">Reglamento (UE) 2026/1744 del Parlamento Europeo y del Consejo, de 8 de julio de 2026</w:t>
            </w:r>
            <w:r>
              <w:rPr>
                <w:rFonts w:ascii="Calibri" w:cs="Calibri" w:eastAsia="Calibri" w:hAnsi="Calibri"/>
                <w:b w:val="false"/>
                <w:bCs w:val="false"/>
                <w:sz w:val="18"/>
                <w:szCs w:val="18"/>
              </w:rPr>
              <w:t xml:space="preserve"> (publicado en el Diario Oficial de la Unión Europea el 24 de julio de 2026; referencia del Boletín Oficial del Estado DOUE-L-2026-81147), que modifica el Reglamento (UE) 2024/1689, fija la aplicación del capítulo III, secciones 1, 2 y 3 el </w:t>
            </w:r>
            <w:r>
              <w:rPr>
                <w:rFonts w:ascii="Calibri" w:cs="Calibri" w:eastAsia="Calibri" w:hAnsi="Calibri"/>
                <w:b/>
                <w:bCs/>
                <w:sz w:val="18"/>
                <w:szCs w:val="18"/>
              </w:rPr>
              <w:t xml:space="preserve">2 de diciembre de 2027</w:t>
            </w:r>
            <w:r>
              <w:rPr>
                <w:rFonts w:ascii="Calibri" w:cs="Calibri" w:eastAsia="Calibri" w:hAnsi="Calibri"/>
                <w:b w:val="false"/>
                <w:bCs w:val="false"/>
                <w:sz w:val="18"/>
                <w:szCs w:val="18"/>
              </w:rPr>
              <w:t xml:space="preserve"> para los sistemas de alto riesgo del artículo 6.2 y el anexo III, y el </w:t>
            </w:r>
            <w:r>
              <w:rPr>
                <w:rFonts w:ascii="Calibri" w:cs="Calibri" w:eastAsia="Calibri" w:hAnsi="Calibri"/>
                <w:b/>
                <w:bCs/>
                <w:sz w:val="18"/>
                <w:szCs w:val="18"/>
              </w:rPr>
              <w:t xml:space="preserve">2 de agosto de 2028</w:t>
            </w:r>
            <w:r>
              <w:rPr>
                <w:rFonts w:ascii="Calibri" w:cs="Calibri" w:eastAsia="Calibri" w:hAnsi="Calibri"/>
                <w:b w:val="false"/>
                <w:bCs w:val="false"/>
                <w:sz w:val="18"/>
                <w:szCs w:val="18"/>
              </w:rPr>
              <w:t xml:space="preserve"> para los del artículo 6.1 y el anexo I. Los artículos 26 y 27 (obligaciones del responsable del despliegue y evaluación de impacto en derechos fundamentales) están en esa sección 3: </w:t>
            </w:r>
            <w:r>
              <w:rPr>
                <w:rFonts w:ascii="Calibri" w:cs="Calibri" w:eastAsia="Calibri" w:hAnsi="Calibri"/>
                <w:b/>
                <w:bCs/>
                <w:sz w:val="18"/>
                <w:szCs w:val="18"/>
              </w:rPr>
              <w:t xml:space="preserve">hoy no son exigibles</w:t>
            </w: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Toda cita se hace como «Reglamento (UE) 2024/1689, </w:t>
            </w:r>
            <w:r>
              <w:rPr>
                <w:rFonts w:ascii="Calibri" w:cs="Calibri" w:eastAsia="Calibri" w:hAnsi="Calibri"/>
                <w:b/>
                <w:bCs/>
                <w:sz w:val="18"/>
                <w:szCs w:val="18"/>
              </w:rPr>
              <w:t xml:space="preserve">en su redacción vigente</w:t>
            </w:r>
            <w:r>
              <w:rPr>
                <w:rFonts w:ascii="Calibri" w:cs="Calibri" w:eastAsia="Calibri" w:hAnsi="Calibri"/>
                <w:b w:val="false"/>
                <w:bCs w:val="false"/>
                <w:sz w:val="18"/>
                <w:szCs w:val="18"/>
              </w:rPr>
              <w:t xml:space="preserve">», sin fechas en el articulado. El </w:t>
            </w:r>
            <w:r>
              <w:rPr>
                <w:rFonts w:ascii="Calibri" w:cs="Calibri" w:eastAsia="Calibri" w:hAnsi="Calibri"/>
                <w:b/>
                <w:bCs/>
                <w:sz w:val="18"/>
                <w:szCs w:val="18"/>
              </w:rPr>
              <w:t xml:space="preserve">Anexo XI</w:t>
            </w:r>
            <w:r>
              <w:rPr>
                <w:rFonts w:ascii="Calibri" w:cs="Calibri" w:eastAsia="Calibri" w:hAnsi="Calibri"/>
                <w:b w:val="false"/>
                <w:bCs w:val="false"/>
                <w:sz w:val="18"/>
                <w:szCs w:val="18"/>
              </w:rPr>
              <w:t xml:space="preserve"> separa en dos columnas, con fecha de corte expresa, lo que es </w:t>
            </w:r>
            <w:r>
              <w:rPr>
                <w:rFonts w:ascii="Calibri" w:cs="Calibri" w:eastAsia="Calibri" w:hAnsi="Calibri"/>
                <w:b/>
                <w:bCs/>
                <w:sz w:val="18"/>
                <w:szCs w:val="18"/>
              </w:rPr>
              <w:t xml:space="preserve">obligación legal ya exigible</w:t>
            </w:r>
            <w:r>
              <w:rPr>
                <w:rFonts w:ascii="Calibri" w:cs="Calibri" w:eastAsia="Calibri" w:hAnsi="Calibri"/>
                <w:b w:val="false"/>
                <w:bCs w:val="false"/>
                <w:sz w:val="18"/>
                <w:szCs w:val="18"/>
              </w:rPr>
              <w:t xml:space="preserve"> de lo que es </w:t>
            </w:r>
            <w:r>
              <w:rPr>
                <w:rFonts w:ascii="Calibri" w:cs="Calibri" w:eastAsia="Calibri" w:hAnsi="Calibri"/>
                <w:b/>
                <w:bCs/>
                <w:sz w:val="18"/>
                <w:szCs w:val="18"/>
              </w:rPr>
              <w:t xml:space="preserve">exigencia contractual anticipada voluntariamente por el Ayuntamiento</w:t>
            </w:r>
            <w:r>
              <w:rPr>
                <w:rFonts w:ascii="Calibri" w:cs="Calibri" w:eastAsia="Calibri" w:hAnsi="Calibri"/>
                <w:b w:val="false"/>
                <w:bCs w:val="false"/>
                <w:sz w:val="18"/>
                <w:szCs w:val="18"/>
              </w:rPr>
              <w:t xml:space="preserve">; el extracto que se transcribe al pliego técnico es el </w:t>
            </w:r>
            <w:r>
              <w:rPr>
                <w:rFonts w:ascii="Calibri" w:cs="Calibri" w:eastAsia="Calibri" w:hAnsi="Calibri"/>
                <w:b/>
                <w:bCs/>
                <w:sz w:val="18"/>
                <w:szCs w:val="18"/>
              </w:rPr>
              <w:t xml:space="preserve">Anexo XIX</w:t>
            </w:r>
            <w:r>
              <w:rPr>
                <w:rFonts w:ascii="Calibri" w:cs="Calibri" w:eastAsia="Calibri" w:hAnsi="Calibri"/>
                <w:b w:val="false"/>
                <w:bCs w:val="false"/>
                <w:sz w:val="18"/>
                <w:szCs w:val="18"/>
              </w:rPr>
              <w:t xml:space="preserve">. Confundir ambas cosas es un problema de proporcionalidad, no una virtud.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coste añadido para el Ayuntamiento»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es cierto tal cual, y la Intervención lo detecta en la primera lectura. El catálogo genera gasto real y previsible: el entorno de pruebas, las horas de seguimiento y de comisión técnica, el ensayo de reversibilidad y, si se activa, el depósito de código.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coste se dimensiona en el expediente y se traslada al presupuesto base de licitación, con certificado de existencia de crédito (art. 116.3 LCSP). Lo que sí es cierto —y es lo defendible— es que </w:t>
            </w:r>
            <w:r>
              <w:rPr>
                <w:rFonts w:ascii="Calibri" w:cs="Calibri" w:eastAsia="Calibri" w:hAnsi="Calibri"/>
                <w:b/>
                <w:bCs/>
                <w:sz w:val="18"/>
                <w:szCs w:val="18"/>
              </w:rPr>
              <w:t xml:space="preserve">el Anexo V se retribuye con el precio ofertado y no requiere expediente de modificación</w:t>
            </w:r>
            <w:r>
              <w:rPr>
                <w:rFonts w:ascii="Calibri" w:cs="Calibri" w:eastAsia="Calibri" w:hAnsi="Calibri"/>
                <w:b w:val="false"/>
                <w:bCs w:val="false"/>
                <w:sz w:val="18"/>
                <w:szCs w:val="18"/>
              </w:rPr>
              <w:t xml:space="preserve">: es alcance ordinario, no gasto sobrevenido.</w:t>
            </w:r>
          </w:p>
        </w:tc>
      </w:tr>
    </w:tbl>
    <w:p>
      <w:pPr>
        <w:spacing w:after="200"/>
      </w:pP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0.3 Qué se promete y qué no se promete</w:t>
      </w:r>
    </w:p>
    <w:p>
      <w:pPr>
        <w:spacing w:after="140" w:line="276"/>
      </w:pPr>
      <w:r>
        <w:rPr>
          <w:rFonts w:ascii="Calibri" w:cs="Calibri" w:eastAsia="Calibri" w:hAnsi="Calibri"/>
          <w:sz w:val="21"/>
          <w:szCs w:val="21"/>
        </w:rPr>
        <w:t xml:space="preserve">Este apartado va en la primera parte del documento y no escondido al final, porque es la primera pregunta que hace quien tiene que informar o fiscalizar.</w:t>
      </w:r>
    </w:p>
    <w:p>
      <w:pPr>
        <w:pStyle w:val="Heading3"/>
        <w:keepNext/>
        <w:spacing w:after="140" w:before="320"/>
      </w:pPr>
      <w:r>
        <w:rPr>
          <w:rFonts w:ascii="Georgia" w:cs="Georgia" w:eastAsia="Georgia" w:hAnsi="Georgia"/>
          <w:b/>
          <w:bCs/>
          <w:color w:val="2F5496"/>
          <w:sz w:val="22"/>
          <w:szCs w:val="22"/>
        </w:rPr>
        <w:t xml:space="preserve">Lo que NO se promete</w:t>
      </w:r>
    </w:p>
    <w:p>
      <w:pPr>
        <w:spacing w:after="140" w:line="276"/>
      </w:pPr>
      <w:r>
        <w:rPr>
          <w:rFonts w:ascii="Calibri" w:cs="Calibri" w:eastAsia="Calibri" w:hAnsi="Calibri"/>
          <w:b/>
          <w:bCs/>
          <w:sz w:val="21"/>
          <w:szCs w:val="21"/>
        </w:rPr>
        <w:t xml:space="preserve">No se promete que ningún tribunal pueda anular nada.</w:t>
      </w:r>
      <w:r>
        <w:rPr>
          <w:rFonts w:ascii="Calibri" w:cs="Calibri" w:eastAsia="Calibri" w:hAnsi="Calibri"/>
          <w:sz w:val="21"/>
          <w:szCs w:val="21"/>
        </w:rPr>
        <w:t xml:space="preserve"> Ni un pliego, ni una cláusula, ni una adjudicación. Cualquier documento que prometa eso pierde su credibilidad en la línea siguiente, y con razón.</w:t>
      </w:r>
    </w:p>
    <w:p>
      <w:pPr>
        <w:spacing w:after="140" w:line="276"/>
      </w:pPr>
      <w:r>
        <w:rPr>
          <w:rFonts w:ascii="Calibri" w:cs="Calibri" w:eastAsia="Calibri" w:hAnsi="Calibri"/>
          <w:b/>
          <w:bCs/>
          <w:sz w:val="21"/>
          <w:szCs w:val="21"/>
        </w:rPr>
        <w:t xml:space="preserve">No se promete que no haya recursos.</w:t>
      </w:r>
      <w:r>
        <w:rPr>
          <w:rFonts w:ascii="Calibri" w:cs="Calibri" w:eastAsia="Calibri" w:hAnsi="Calibri"/>
          <w:sz w:val="21"/>
          <w:szCs w:val="21"/>
        </w:rPr>
        <w:t xml:space="preserve"> Los pliegos de un contrato de servicios con valor estimado superior a 100.000 € son directamente recurribles (art. 44.1.a) y 2.a) LCSP), y estas materias son nuevas. Es razonable esperar que alguno de los primeros pliegos que apliquen este catálogo sea recurrido.</w:t>
      </w:r>
    </w:p>
    <w:p>
      <w:pPr>
        <w:spacing w:after="140" w:line="276"/>
      </w:pPr>
      <w:r>
        <w:rPr>
          <w:rFonts w:ascii="Calibri" w:cs="Calibri" w:eastAsia="Calibri" w:hAnsi="Calibri"/>
          <w:b/>
          <w:bCs/>
          <w:sz w:val="21"/>
          <w:szCs w:val="21"/>
        </w:rPr>
        <w:t xml:space="preserve">No se promete que exista doctrina que ampare estas cláusulas.</w:t>
      </w:r>
      <w:r>
        <w:rPr>
          <w:rFonts w:ascii="Calibri" w:cs="Calibri" w:eastAsia="Calibri" w:hAnsi="Calibri"/>
          <w:sz w:val="21"/>
          <w:szCs w:val="21"/>
        </w:rPr>
        <w:t xml:space="preserve"> Doctrina, aquí, son las resoluciones de los tribunales administrativos de contratación y los informes de las juntas consultivas que ya han resuelto un caso parecido y orientan cómo se aplica la ley. No la hay. A fecha de corte de </w:t>
      </w:r>
      <w:r>
        <w:rPr>
          <w:rFonts w:ascii="Calibri" w:cs="Calibri" w:eastAsia="Calibri" w:hAnsi="Calibri"/>
          <w:b/>
          <w:bCs/>
          <w:sz w:val="21"/>
          <w:szCs w:val="21"/>
        </w:rPr>
        <w:t xml:space="preserve">1 de septiembre de 2026</w:t>
      </w:r>
      <w:r>
        <w:rPr>
          <w:rFonts w:ascii="Calibri" w:cs="Calibri" w:eastAsia="Calibri" w:hAnsi="Calibri"/>
          <w:sz w:val="21"/>
          <w:szCs w:val="21"/>
        </w:rPr>
        <w:t xml:space="preserve">, y tras búsqueda en los repositorios de resoluciones de los tribunales administrativos de recursos contractuales y de las juntas consultivas de contratación, </w:t>
      </w:r>
      <w:r>
        <w:rPr>
          <w:rFonts w:ascii="Calibri" w:cs="Calibri" w:eastAsia="Calibri" w:hAnsi="Calibri"/>
          <w:b/>
          <w:bCs/>
          <w:sz w:val="21"/>
          <w:szCs w:val="21"/>
        </w:rPr>
        <w:t xml:space="preserve">no consta</w:t>
      </w:r>
      <w:r>
        <w:rPr>
          <w:rFonts w:ascii="Calibri" w:cs="Calibri" w:eastAsia="Calibri" w:hAnsi="Calibri"/>
          <w:sz w:val="21"/>
          <w:szCs w:val="21"/>
        </w:rPr>
        <w:t xml:space="preserve"> resolución ni informe sobre condiciones especiales de ejecución de contenido tecnológico-evolutivo, sobre interfaces de acceso para agentes de inteligencia artificial, sobre la norma ISO/IEC 42001 —la norma internacional de sistemas de gestión de la inteligencia artificial— como criterio de adjudicación, ni sobre demostraciones funcionales de software. Todas las resoluciones que este documento cita se citan </w:t>
      </w:r>
      <w:r>
        <w:rPr>
          <w:rFonts w:ascii="Calibri" w:cs="Calibri" w:eastAsia="Calibri" w:hAnsi="Calibri"/>
          <w:b/>
          <w:bCs/>
          <w:sz w:val="21"/>
          <w:szCs w:val="21"/>
        </w:rPr>
        <w:t xml:space="preserve">como doctrina general trasladada por analogía, y así se dice en cada caso</w:t>
      </w:r>
      <w:r>
        <w:rPr>
          <w:rFonts w:ascii="Calibri" w:cs="Calibri" w:eastAsia="Calibri" w:hAnsi="Calibri"/>
          <w:sz w:val="21"/>
          <w:szCs w:val="21"/>
        </w:rPr>
        <w:t xml:space="preserve">: hablan de justificación en el expediente, de equivalencia, de precisión en las obligaciones esenciales o de criterios de adjudicación, no de inteligencia artificial.</w:t>
      </w:r>
    </w:p>
    <w:p>
      <w:pPr>
        <w:spacing w:after="140" w:line="276"/>
      </w:pPr>
      <w:r>
        <w:rPr>
          <w:rFonts w:ascii="Calibri" w:cs="Calibri" w:eastAsia="Calibri" w:hAnsi="Calibri"/>
          <w:sz w:val="21"/>
          <w:szCs w:val="21"/>
        </w:rPr>
        <w:t xml:space="preserve">Sobre el alcance de esa afirmación, y vale para todas las que este documento hace en el mismo sentido: es una </w:t>
      </w:r>
      <w:r>
        <w:rPr>
          <w:rFonts w:ascii="Calibri" w:cs="Calibri" w:eastAsia="Calibri" w:hAnsi="Calibri"/>
          <w:b/>
          <w:bCs/>
          <w:sz w:val="21"/>
          <w:szCs w:val="21"/>
        </w:rPr>
        <w:t xml:space="preserve">afirmación negativa</w:t>
      </w:r>
      <w:r>
        <w:rPr>
          <w:rFonts w:ascii="Calibri" w:cs="Calibri" w:eastAsia="Calibri" w:hAnsi="Calibri"/>
          <w:sz w:val="21"/>
          <w:szCs w:val="21"/>
        </w:rPr>
        <w:t xml:space="preserve"> y no es demostrable de forma exhaustiva. Lo que se afirma es que la búsqueda descrita, en los repositorios enumerados y a la fecha de corte indicada, no ha localizado doctrina sobre estas materias. No se afirma que no exista en ningún repositorio. Quien conozca una resolución en contrario tiene con ello un argumento, y el catálogo tiene una corrección que hacer.</w:t>
      </w:r>
    </w:p>
    <w:p>
      <w:pPr>
        <w:spacing w:after="140" w:line="276"/>
      </w:pPr>
      <w:r>
        <w:rPr>
          <w:rFonts w:ascii="Calibri" w:cs="Calibri" w:eastAsia="Calibri" w:hAnsi="Calibri"/>
          <w:b/>
          <w:bCs/>
          <w:sz w:val="21"/>
          <w:szCs w:val="21"/>
        </w:rPr>
        <w:t xml:space="preserve">No se promete capacidad de seguimiento que el Ayuntamiento no tenga.</w:t>
      </w:r>
      <w:r>
        <w:rPr>
          <w:rFonts w:ascii="Calibri" w:cs="Calibri" w:eastAsia="Calibri" w:hAnsi="Calibri"/>
          <w:sz w:val="21"/>
          <w:szCs w:val="21"/>
        </w:rPr>
        <w:t xml:space="preserve"> La segunda de las dificultades del §M1.1 es que son pocos los contratos en los que se haga un seguimiento real, y el que se hace se basa casi exclusivamente en el control del gasto». La advertencia se ha incorporado como regla: </w:t>
      </w:r>
      <w:r>
        <w:rPr>
          <w:rFonts w:ascii="Calibri" w:cs="Calibri" w:eastAsia="Calibri" w:hAnsi="Calibri"/>
          <w:b/>
          <w:bCs/>
          <w:sz w:val="21"/>
          <w:szCs w:val="21"/>
        </w:rPr>
        <w:t xml:space="preserve">no se incorpora a un pliego ninguna cláusula cuya verificación no tenga actor municipal designado y periodicidad</w:t>
      </w:r>
      <w:r>
        <w:rPr>
          <w:rFonts w:ascii="Calibri" w:cs="Calibri" w:eastAsia="Calibri" w:hAnsi="Calibri"/>
          <w:sz w:val="21"/>
          <w:szCs w:val="21"/>
        </w:rPr>
        <w:t xml:space="preserve">, y cada cláusula de este documento declara, en su epígrafe </w:t>
      </w:r>
      <w:r>
        <w:rPr>
          <w:rFonts w:ascii="Calibri" w:cs="Calibri" w:eastAsia="Calibri" w:hAnsi="Calibri"/>
          <w:i/>
          <w:iCs/>
          <w:sz w:val="21"/>
          <w:szCs w:val="21"/>
        </w:rPr>
        <w:t xml:space="preserve">cómo se verifica</w:t>
      </w:r>
      <w:r>
        <w:rPr>
          <w:rFonts w:ascii="Calibri" w:cs="Calibri" w:eastAsia="Calibri" w:hAnsi="Calibri"/>
          <w:sz w:val="21"/>
          <w:szCs w:val="21"/>
        </w:rPr>
        <w:t xml:space="preserve">, la carga estimada al año. Crear obligaciones esenciales que después nadie comprueba es peor que no crearlas, y la Intervención lo hará constar.</w:t>
      </w:r>
    </w:p>
    <w:p>
      <w:pPr>
        <w:pStyle w:val="Heading3"/>
        <w:keepNext/>
        <w:spacing w:after="140" w:before="320"/>
      </w:pPr>
      <w:r>
        <w:rPr>
          <w:rFonts w:ascii="Georgia" w:cs="Georgia" w:eastAsia="Georgia" w:hAnsi="Georgia"/>
          <w:b/>
          <w:bCs/>
          <w:color w:val="2F5496"/>
          <w:sz w:val="22"/>
          <w:szCs w:val="22"/>
        </w:rPr>
        <w:t xml:space="preserve">Lo que sí se promete</w:t>
      </w:r>
    </w:p>
    <w:p>
      <w:pPr>
        <w:spacing w:after="140" w:line="276"/>
      </w:pPr>
      <w:r>
        <w:rPr>
          <w:rFonts w:ascii="Calibri" w:cs="Calibri" w:eastAsia="Calibri" w:hAnsi="Calibri"/>
          <w:sz w:val="21"/>
          <w:szCs w:val="21"/>
        </w:rPr>
        <w:t xml:space="preserve">Se promete lo que es diseñable, y son cinco cosas, verificables una por una en cualquier cláusula del documento:</w:t>
      </w:r>
    </w:p>
    <w:p>
      <w:pPr>
        <w:pStyle w:val="ListParagraph"/>
        <w:numPr>
          <w:ilvl w:val="0"/>
          <w:numId w:val="2"/>
        </w:numPr>
        <w:spacing w:after="70" w:line="268"/>
      </w:pPr>
      <w:r>
        <w:rPr>
          <w:rFonts w:ascii="Calibri" w:cs="Calibri" w:eastAsia="Calibri" w:hAnsi="Calibri"/>
          <w:b/>
          <w:bCs/>
          <w:sz w:val="21"/>
          <w:szCs w:val="21"/>
        </w:rPr>
        <w:t xml:space="preserve">Cada exigencia tiene una necesidad identificada</w:t>
      </w:r>
      <w:r>
        <w:rPr>
          <w:rFonts w:ascii="Calibri" w:cs="Calibri" w:eastAsia="Calibri" w:hAnsi="Calibri"/>
          <w:sz w:val="21"/>
          <w:szCs w:val="21"/>
        </w:rPr>
        <w:t xml:space="preserve">, escrita, y con un titular que la firma.</w:t>
      </w:r>
    </w:p>
    <w:p>
      <w:pPr>
        <w:pStyle w:val="ListParagraph"/>
        <w:numPr>
          <w:ilvl w:val="0"/>
          <w:numId w:val="2"/>
        </w:numPr>
        <w:spacing w:after="70" w:line="268"/>
      </w:pPr>
      <w:r>
        <w:rPr>
          <w:rFonts w:ascii="Calibri" w:cs="Calibri" w:eastAsia="Calibri" w:hAnsi="Calibri"/>
          <w:b/>
          <w:bCs/>
          <w:sz w:val="21"/>
          <w:szCs w:val="21"/>
        </w:rPr>
        <w:t xml:space="preserve">Cada exigencia usa el instrumento correcto</w:t>
      </w:r>
      <w:r>
        <w:rPr>
          <w:rFonts w:ascii="Calibri" w:cs="Calibri" w:eastAsia="Calibri" w:hAnsi="Calibri"/>
          <w:sz w:val="21"/>
          <w:szCs w:val="21"/>
        </w:rPr>
        <w:t xml:space="preserve">: prescripción técnica, criterio de solvencia, adscripción de medios, condición especial de ejecución o criterio de adjudicación —una sola vez y sólo uno—. La asignación está en el Cuadro Maestro (</w:t>
      </w:r>
      <w:r>
        <w:rPr>
          <w:rFonts w:ascii="Calibri" w:cs="Calibri" w:eastAsia="Calibri" w:hAnsi="Calibri"/>
          <w:b/>
          <w:bCs/>
          <w:sz w:val="21"/>
          <w:szCs w:val="21"/>
        </w:rPr>
        <w:t xml:space="preserve">Anexo I</w:t>
      </w:r>
      <w:r>
        <w:rPr>
          <w:rFonts w:ascii="Calibri" w:cs="Calibri" w:eastAsia="Calibri" w:hAnsi="Calibri"/>
          <w:sz w:val="21"/>
          <w:szCs w:val="21"/>
        </w:rPr>
        <w:t xml:space="preserve">), y la regla de separación de instrumentos, con las combinaciones que prohíbe por producir doble cómputo, en la </w:t>
      </w:r>
      <w:r>
        <w:rPr>
          <w:rFonts w:ascii="Calibri" w:cs="Calibri" w:eastAsia="Calibri" w:hAnsi="Calibri"/>
          <w:b/>
          <w:bCs/>
          <w:sz w:val="21"/>
          <w:szCs w:val="21"/>
        </w:rPr>
        <w:t xml:space="preserve">Parte I, §7.3</w:t>
      </w:r>
      <w:r>
        <w:rPr>
          <w:rFonts w:ascii="Calibri" w:cs="Calibri" w:eastAsia="Calibri" w:hAnsi="Calibri"/>
          <w:sz w:val="21"/>
          <w:szCs w:val="21"/>
        </w:rPr>
        <w:t xml:space="preserve">.</w:t>
      </w:r>
    </w:p>
    <w:p>
      <w:pPr>
        <w:pStyle w:val="ListParagraph"/>
        <w:numPr>
          <w:ilvl w:val="0"/>
          <w:numId w:val="2"/>
        </w:numPr>
        <w:spacing w:after="70" w:line="268"/>
      </w:pPr>
      <w:r>
        <w:rPr>
          <w:rFonts w:ascii="Calibri" w:cs="Calibri" w:eastAsia="Calibri" w:hAnsi="Calibri"/>
          <w:b/>
          <w:bCs/>
          <w:sz w:val="21"/>
          <w:szCs w:val="21"/>
        </w:rPr>
        <w:t xml:space="preserve">Cada exigencia tiene un medio de acreditación tasado</w:t>
      </w:r>
      <w:r>
        <w:rPr>
          <w:rFonts w:ascii="Calibri" w:cs="Calibri" w:eastAsia="Calibri" w:hAnsi="Calibri"/>
          <w:sz w:val="21"/>
          <w:szCs w:val="21"/>
        </w:rPr>
        <w:t xml:space="preserve">: qué documento la prueba, quién lo presenta y en qué momento del procedimiento.</w:t>
      </w:r>
    </w:p>
    <w:p>
      <w:pPr>
        <w:pStyle w:val="ListParagraph"/>
        <w:numPr>
          <w:ilvl w:val="0"/>
          <w:numId w:val="2"/>
        </w:numPr>
        <w:spacing w:after="70" w:line="268"/>
      </w:pPr>
      <w:r>
        <w:rPr>
          <w:rFonts w:ascii="Calibri" w:cs="Calibri" w:eastAsia="Calibri" w:hAnsi="Calibri"/>
          <w:b/>
          <w:bCs/>
          <w:sz w:val="21"/>
          <w:szCs w:val="21"/>
        </w:rPr>
        <w:t xml:space="preserve">Cada exigencia tiene una consecuencia tasada</w:t>
      </w:r>
      <w:r>
        <w:rPr>
          <w:rFonts w:ascii="Calibri" w:cs="Calibri" w:eastAsia="Calibri" w:hAnsi="Calibri"/>
          <w:sz w:val="21"/>
          <w:szCs w:val="21"/>
        </w:rPr>
        <w:t xml:space="preserve">: qué penalidad, con qué cuantía y sobre qué base; y si es o no obligación esencial, sabiendo que el artículo 211.1.f).2.º LCSP exige que las obligaciones esenciales figuren «de manera precisa, clara e inequívoca en los pliegos» y </w:t>
      </w:r>
      <w:r>
        <w:rPr>
          <w:rFonts w:ascii="Calibri" w:cs="Calibri" w:eastAsia="Calibri" w:hAnsi="Calibri"/>
          <w:b/>
          <w:bCs/>
          <w:sz w:val="21"/>
          <w:szCs w:val="21"/>
        </w:rPr>
        <w:t xml:space="preserve">«no siendo admisibles cláusulas de tipo general»</w:t>
      </w:r>
      <w:r>
        <w:rPr>
          <w:rFonts w:ascii="Calibri" w:cs="Calibri" w:eastAsia="Calibri" w:hAnsi="Calibri"/>
          <w:sz w:val="21"/>
          <w:szCs w:val="21"/>
        </w:rPr>
        <w:t xml:space="preserve">.</w:t>
      </w:r>
    </w:p>
    <w:p>
      <w:pPr>
        <w:pStyle w:val="ListParagraph"/>
        <w:numPr>
          <w:ilvl w:val="0"/>
          <w:numId w:val="2"/>
        </w:numPr>
        <w:spacing w:after="70" w:line="268"/>
      </w:pPr>
      <w:r>
        <w:rPr>
          <w:rFonts w:ascii="Calibri" w:cs="Calibri" w:eastAsia="Calibri" w:hAnsi="Calibri"/>
          <w:b/>
          <w:bCs/>
          <w:sz w:val="21"/>
          <w:szCs w:val="21"/>
        </w:rPr>
        <w:t xml:space="preserve">La caída de una pieza no arrastra las demás, salvo las relaciones de presupuesto necesario identificadas en la tabla de dependencias del Anexo VI.</w:t>
      </w:r>
      <w:r>
        <w:rPr>
          <w:rFonts w:ascii="Calibri" w:cs="Calibri" w:eastAsia="Calibri" w:hAnsi="Calibri"/>
          <w:sz w:val="21"/>
          <w:szCs w:val="21"/>
        </w:rPr>
        <w:t xml:space="preserve"> La Parte I incorpora una cláusula de separabilidad: la nulidad o anulación de una cláusula o de un criterio no afecta a la validez de los restantes. La excepción no es retórica y está enumerada cláusula por cláusula: hay cláusulas que carecen de objeto sin aquella de la que dependen, y el Anexo VI dice cuáles y qué menciones arrastran. Para las cláusulas y obligaciones, opera directamente. Para los </w:t>
      </w:r>
      <w:r>
        <w:rPr>
          <w:rFonts w:ascii="Calibri" w:cs="Calibri" w:eastAsia="Calibri" w:hAnsi="Calibri"/>
          <w:b/>
          <w:bCs/>
          <w:sz w:val="21"/>
          <w:szCs w:val="21"/>
        </w:rPr>
        <w:t xml:space="preserve">criterios de adjudicación</w:t>
      </w:r>
      <w:r>
        <w:rPr>
          <w:rFonts w:ascii="Calibri" w:cs="Calibri" w:eastAsia="Calibri" w:hAnsi="Calibri"/>
          <w:sz w:val="21"/>
          <w:szCs w:val="21"/>
        </w:rPr>
        <w:t xml:space="preserve">, el reescalado de ponderaciones no es una operación que pueda hacerse sin más una vez conocidas las ofertas, de modo que su inclusión requiere informe previo del órgano al que corresponda el informe jurídico preceptivo.</w:t>
      </w:r>
    </w:p>
    <w:p>
      <w:pPr>
        <w:spacing w:after="140" w:line="276"/>
      </w:pPr>
      <w:r>
        <w:rPr>
          <w:rFonts w:ascii="Calibri" w:cs="Calibri" w:eastAsia="Calibri" w:hAnsi="Calibri"/>
          <w:sz w:val="21"/>
          <w:szCs w:val="21"/>
        </w:rPr>
        <w:t xml:space="preserve">Y una promesa de método, que es la que sostiene todo lo anterior: </w:t>
      </w:r>
      <w:r>
        <w:rPr>
          <w:rFonts w:ascii="Calibri" w:cs="Calibri" w:eastAsia="Calibri" w:hAnsi="Calibri"/>
          <w:b/>
          <w:bCs/>
          <w:sz w:val="21"/>
          <w:szCs w:val="21"/>
        </w:rPr>
        <w:t xml:space="preserve">sólo se cita lo verificado en fuente primaria</w:t>
      </w:r>
      <w:r>
        <w:rPr>
          <w:rFonts w:ascii="Calibri" w:cs="Calibri" w:eastAsia="Calibri" w:hAnsi="Calibri"/>
          <w:sz w:val="21"/>
          <w:szCs w:val="21"/>
        </w:rPr>
        <w:t xml:space="preserve">. Toda resolución citada lleva órgano, número, fecha, número de recurso y localización, y su texto íntegro debe incorporarse al expediente que la invoque. Donde no hay doctrina, este documento dice que no la hay.</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0.4 Cómo se usa, paso a paso</w:t>
      </w:r>
    </w:p>
    <w:p>
      <w:pPr>
        <w:spacing w:after="140" w:line="276"/>
      </w:pPr>
      <w:r>
        <w:rPr>
          <w:rFonts w:ascii="Calibri" w:cs="Calibri" w:eastAsia="Calibri" w:hAnsi="Calibri"/>
          <w:sz w:val="21"/>
          <w:szCs w:val="21"/>
        </w:rPr>
        <w:t xml:space="preserve">Dirigido a quien tiene que redactar un pliego. El orden importa: </w:t>
      </w:r>
      <w:r>
        <w:rPr>
          <w:rFonts w:ascii="Calibri" w:cs="Calibri" w:eastAsia="Calibri" w:hAnsi="Calibri"/>
          <w:b/>
          <w:bCs/>
          <w:sz w:val="21"/>
          <w:szCs w:val="21"/>
        </w:rPr>
        <w:t xml:space="preserve">primero la necesidad, después la ficha</w:t>
      </w:r>
      <w:r>
        <w:rPr>
          <w:rFonts w:ascii="Calibri" w:cs="Calibri" w:eastAsia="Calibri" w:hAnsi="Calibri"/>
          <w:sz w:val="21"/>
          <w:szCs w:val="21"/>
        </w:rPr>
        <w:t xml:space="preserve">. La ficha de aplicabilidad es la consecuencia de la necesidad, no su sustituto; hacerlo al revés produce exactamente lo que hay que evitar, que es rellenar la necesidad para justificar una casilla ya marcada.</w:t>
      </w:r>
    </w:p>
    <w:p>
      <w:pPr>
        <w:spacing w:after="140" w:line="276"/>
      </w:pPr>
      <w:r>
        <w:rPr>
          <w:rFonts w:ascii="Calibri" w:cs="Calibri" w:eastAsia="Calibri" w:hAnsi="Calibri"/>
          <w:b/>
          <w:bCs/>
          <w:sz w:val="21"/>
          <w:szCs w:val="21"/>
        </w:rPr>
        <w:t xml:space="preserve">Qué es este apartado y qué no es.</w:t>
      </w:r>
      <w:r>
        <w:rPr>
          <w:rFonts w:ascii="Calibri" w:cs="Calibri" w:eastAsia="Calibri" w:hAnsi="Calibri"/>
          <w:sz w:val="21"/>
          <w:szCs w:val="21"/>
        </w:rPr>
        <w:t xml:space="preserve"> Es el </w:t>
      </w:r>
      <w:r>
        <w:rPr>
          <w:rFonts w:ascii="Calibri" w:cs="Calibri" w:eastAsia="Calibri" w:hAnsi="Calibri"/>
          <w:b/>
          <w:bCs/>
          <w:sz w:val="21"/>
          <w:szCs w:val="21"/>
        </w:rPr>
        <w:t xml:space="preserve">resumen ejecutivo</w:t>
      </w:r>
      <w:r>
        <w:rPr>
          <w:rFonts w:ascii="Calibri" w:cs="Calibri" w:eastAsia="Calibri" w:hAnsi="Calibri"/>
          <w:sz w:val="21"/>
          <w:szCs w:val="21"/>
        </w:rPr>
        <w:t xml:space="preserve"> del circuito. El circuito operativo, con sus veintiún documentos, quién firma cada uno y cuál se publica, es la </w:t>
      </w:r>
      <w:r>
        <w:rPr>
          <w:rFonts w:ascii="Calibri" w:cs="Calibri" w:eastAsia="Calibri" w:hAnsi="Calibri"/>
          <w:b/>
          <w:bCs/>
          <w:sz w:val="21"/>
          <w:szCs w:val="21"/>
        </w:rPr>
        <w:t xml:space="preserve">Parte V, V.2.1</w:t>
      </w:r>
      <w:r>
        <w:rPr>
          <w:rFonts w:ascii="Calibri" w:cs="Calibri" w:eastAsia="Calibri" w:hAnsi="Calibri"/>
          <w:sz w:val="21"/>
          <w:szCs w:val="21"/>
        </w:rPr>
        <w:t xml:space="preserve">, y manda sobre este resumen en caso de discrepancia. Este apartado </w:t>
      </w:r>
      <w:r>
        <w:rPr>
          <w:rFonts w:ascii="Calibri" w:cs="Calibri" w:eastAsia="Calibri" w:hAnsi="Calibri"/>
          <w:b/>
          <w:bCs/>
          <w:sz w:val="21"/>
          <w:szCs w:val="21"/>
        </w:rPr>
        <w:t xml:space="preserve">no cubre</w:t>
      </w:r>
      <w:r>
        <w:rPr>
          <w:rFonts w:ascii="Calibri" w:cs="Calibri" w:eastAsia="Calibri" w:hAnsi="Calibri"/>
          <w:sz w:val="21"/>
          <w:szCs w:val="21"/>
        </w:rPr>
        <w:t xml:space="preserve"> dos decisiones del expediente que sí están allí: la división en lotes y su motivación (art. 116.4.g LCSP) y la elección del procedimiento (art. 116.4.a). Quien redacta un pliego pasa por V.2.1; quien sólo necesita entender el recorrido se queda aquí.</w:t>
      </w:r>
    </w:p>
    <w:p>
      <w:pPr>
        <w:spacing w:after="140" w:line="276"/>
      </w:pPr>
      <w:r>
        <w:rPr>
          <w:rFonts w:ascii="Calibri" w:cs="Calibri" w:eastAsia="Calibri" w:hAnsi="Calibri"/>
          <w:sz w:val="21"/>
          <w:szCs w:val="21"/>
        </w:rPr>
        <w:t xml:space="preserve">Antes de los pasos del expediente hay un </w:t>
      </w:r>
      <w:r>
        <w:rPr>
          <w:rFonts w:ascii="Calibri" w:cs="Calibri" w:eastAsia="Calibri" w:hAnsi="Calibri"/>
          <w:b/>
          <w:bCs/>
          <w:sz w:val="21"/>
          <w:szCs w:val="21"/>
        </w:rPr>
        <w:t xml:space="preserve">paso previo anual</w:t>
      </w:r>
      <w:r>
        <w:rPr>
          <w:rFonts w:ascii="Calibri" w:cs="Calibri" w:eastAsia="Calibri" w:hAnsi="Calibri"/>
          <w:sz w:val="21"/>
          <w:szCs w:val="21"/>
        </w:rPr>
        <w:t xml:space="preserve">, que no es de ningún expediente sino del Ayuntamiento entero.</w:t>
      </w:r>
    </w:p>
    <w:p>
      <w:pPr>
        <w:pStyle w:val="Heading3"/>
        <w:keepNext/>
        <w:spacing w:after="140" w:before="320"/>
      </w:pPr>
      <w:r>
        <w:rPr>
          <w:rFonts w:ascii="Georgia" w:cs="Georgia" w:eastAsia="Georgia" w:hAnsi="Georgia"/>
          <w:b/>
          <w:bCs/>
          <w:color w:val="2F5496"/>
          <w:sz w:val="22"/>
          <w:szCs w:val="22"/>
        </w:rPr>
        <w:t xml:space="preserve">Paso previo · Una vez al año, antes de que se abra ningún expediente</w:t>
      </w:r>
    </w:p>
    <w:p>
      <w:pPr>
        <w:spacing w:after="140" w:line="276"/>
      </w:pPr>
      <w:r>
        <w:rPr>
          <w:rFonts w:ascii="Calibri" w:cs="Calibri" w:eastAsia="Calibri" w:hAnsi="Calibri"/>
          <w:sz w:val="21"/>
          <w:szCs w:val="21"/>
        </w:rPr>
        <w:t xml:space="preserve">El órgano de gobierno municipal (en el régimen de los municipios de gran población, la Junta de Gobierno Local; en el régimen común, el órgano que corresponda) aprueba dos cosas: el </w:t>
      </w:r>
      <w:r>
        <w:rPr>
          <w:rFonts w:ascii="Calibri" w:cs="Calibri" w:eastAsia="Calibri" w:hAnsi="Calibri"/>
          <w:b/>
          <w:bCs/>
          <w:sz w:val="21"/>
          <w:szCs w:val="21"/>
        </w:rPr>
        <w:t xml:space="preserve">plan municipal de digitalización</w:t>
      </w:r>
      <w:r>
        <w:rPr>
          <w:rFonts w:ascii="Calibri" w:cs="Calibri" w:eastAsia="Calibri" w:hAnsi="Calibri"/>
          <w:sz w:val="21"/>
          <w:szCs w:val="21"/>
        </w:rPr>
        <w:t xml:space="preserve"> que fija el objetivo y el calendario, y el </w:t>
      </w:r>
      <w:r>
        <w:rPr>
          <w:rFonts w:ascii="Calibri" w:cs="Calibri" w:eastAsia="Calibri" w:hAnsi="Calibri"/>
          <w:b/>
          <w:bCs/>
          <w:sz w:val="21"/>
          <w:szCs w:val="21"/>
        </w:rPr>
        <w:t xml:space="preserve">Anexo V del ejercicio</w:t>
      </w:r>
      <w:r>
        <w:rPr>
          <w:rFonts w:ascii="Calibri" w:cs="Calibri" w:eastAsia="Calibri" w:hAnsi="Calibri"/>
          <w:sz w:val="21"/>
          <w:szCs w:val="21"/>
        </w:rPr>
        <w:t xml:space="preserve"> con las exigencias tecnológicas determinadas, precedido de un contraste de mercado documentado y centralizado.</w:t>
      </w:r>
    </w:p>
    <w:p>
      <w:pPr>
        <w:spacing w:after="140" w:line="276"/>
      </w:pPr>
      <w:r>
        <w:rPr>
          <w:rFonts w:ascii="Calibri" w:cs="Calibri" w:eastAsia="Calibri" w:hAnsi="Calibri"/>
          <w:sz w:val="21"/>
          <w:szCs w:val="21"/>
        </w:rPr>
        <w:t xml:space="preserve">Esto no es burocracia añadida: es el eslabón sin el cual el paso 1 no se puede escribir. Hay exigencias que ninguna norma impone y que ningún gestor pedirá nunca, porque no nacen de su servicio. Si no existe un acto del órgano de gobierno que las asuma como política municipal, el redactor acabará poniendo el mismo párrafo en todos los expedientes —justificación estereotipada— y volveremos al punto de partida con más papel. Modelo del acuerdo del órgano de gobierno en el </w:t>
      </w:r>
      <w:r>
        <w:rPr>
          <w:rFonts w:ascii="Calibri" w:cs="Calibri" w:eastAsia="Calibri" w:hAnsi="Calibri"/>
          <w:b/>
          <w:bCs/>
          <w:sz w:val="21"/>
          <w:szCs w:val="21"/>
        </w:rPr>
        <w:t xml:space="preserve">Anexo VIII</w:t>
      </w:r>
      <w:r>
        <w:rPr>
          <w:rFonts w:ascii="Calibri" w:cs="Calibri" w:eastAsia="Calibri" w:hAnsi="Calibri"/>
          <w:sz w:val="21"/>
          <w:szCs w:val="21"/>
        </w:rPr>
        <w:t xml:space="preserve">; modelo de la resolución que aprueba cada año el Anexo V, en el </w:t>
      </w:r>
      <w:r>
        <w:rPr>
          <w:rFonts w:ascii="Calibri" w:cs="Calibri" w:eastAsia="Calibri" w:hAnsi="Calibri"/>
          <w:b/>
          <w:bCs/>
          <w:sz w:val="21"/>
          <w:szCs w:val="21"/>
        </w:rPr>
        <w:t xml:space="preserve">Anexo XV</w:t>
      </w:r>
      <w:r>
        <w:rPr>
          <w:rFonts w:ascii="Calibri" w:cs="Calibri" w:eastAsia="Calibri" w:hAnsi="Calibri"/>
          <w:sz w:val="21"/>
          <w:szCs w:val="21"/>
        </w:rPr>
        <w:t xml:space="preserve">. El contraste de mercado se hace </w:t>
      </w:r>
      <w:r>
        <w:rPr>
          <w:rFonts w:ascii="Calibri" w:cs="Calibri" w:eastAsia="Calibri" w:hAnsi="Calibri"/>
          <w:b/>
          <w:bCs/>
          <w:sz w:val="21"/>
          <w:szCs w:val="21"/>
        </w:rPr>
        <w:t xml:space="preserve">una vez al año y de forma centralizada</w:t>
      </w:r>
      <w:r>
        <w:rPr>
          <w:rFonts w:ascii="Calibri" w:cs="Calibri" w:eastAsia="Calibri" w:hAnsi="Calibri"/>
          <w:sz w:val="21"/>
          <w:szCs w:val="21"/>
        </w:rPr>
        <w:t xml:space="preserve">, no expediente por expediente, porque por expediente es inasumible; su modelo de anuncio e informe está en el </w:t>
      </w:r>
      <w:r>
        <w:rPr>
          <w:rFonts w:ascii="Calibri" w:cs="Calibri" w:eastAsia="Calibri" w:hAnsi="Calibri"/>
          <w:b/>
          <w:bCs/>
          <w:sz w:val="21"/>
          <w:szCs w:val="21"/>
        </w:rPr>
        <w:t xml:space="preserve">Anexo XXII</w:t>
      </w:r>
      <w:r>
        <w:rPr>
          <w:rFonts w:ascii="Calibri" w:cs="Calibri" w:eastAsia="Calibri" w:hAnsi="Calibri"/>
          <w:sz w:val="21"/>
          <w:szCs w:val="21"/>
        </w:rPr>
        <w:t xml:space="preserve">.</w:t>
      </w:r>
    </w:p>
    <w:p>
      <w:pPr>
        <w:pStyle w:val="Heading3"/>
        <w:keepNext/>
        <w:spacing w:after="140" w:before="320"/>
      </w:pPr>
      <w:r>
        <w:rPr>
          <w:rFonts w:ascii="Georgia" w:cs="Georgia" w:eastAsia="Georgia" w:hAnsi="Georgia"/>
          <w:b/>
          <w:bCs/>
          <w:color w:val="2F5496"/>
          <w:sz w:val="22"/>
          <w:szCs w:val="22"/>
        </w:rPr>
        <w:t xml:space="preserve">Los pasos del expediente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Paso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 tiene la pluma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 que produce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Informe de necesidad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Área gestora; y el servicio competente (informática, Intervención) para las necesidades normativas o institucionales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III</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Ficha de aplicabilidad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firmante de la necesidad correspondiente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II</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Categorización ENS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Valoración: responsables de la información y de los servicios. Categoría y Declaración de Aplicabilidad: responsable de la seguridad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Documento de categorización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Recorte y transcripción del Anexo 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Área gestora, con el servicio de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Apartado del PPT</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Redacción del 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Área gestora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PPT</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Redacción del 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Ficha por criterio y comprobación del baremo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Contratación, con el área gestora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IV</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Valor estimado y umbrales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Cálculo del </w:t>
            </w:r>
            <w:r>
              <w:rPr>
                <w:rFonts w:ascii="Calibri" w:cs="Calibri" w:eastAsia="Calibri" w:hAnsi="Calibri"/>
                <w:b/>
                <w:bCs/>
                <w:sz w:val="18"/>
                <w:szCs w:val="18"/>
              </w:rPr>
              <w:t xml:space="preserve">valor estimado (VE)</w:t>
            </w:r>
            <w:r>
              <w:rPr>
                <w:rFonts w:ascii="Calibri" w:cs="Calibri" w:eastAsia="Calibri" w:hAnsi="Calibri"/>
                <w:b w:val="false"/>
                <w:bCs w:val="false"/>
                <w:sz w:val="18"/>
                <w:szCs w:val="18"/>
              </w:rPr>
              <w:t xml:space="preserve"> y del </w:t>
            </w:r>
            <w:r>
              <w:rPr>
                <w:rFonts w:ascii="Calibri" w:cs="Calibri" w:eastAsia="Calibri" w:hAnsi="Calibri"/>
                <w:b/>
                <w:bCs/>
                <w:sz w:val="18"/>
                <w:szCs w:val="18"/>
              </w:rPr>
              <w:t xml:space="preserve">presupuesto base de licitación (PBL)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9</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Conflicto de interés y participación previa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IX</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Comprobación, informe jurídico y fiscalización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Contratación · informe jurídico · Intervención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 de comprobación de V.10, con los parámetros y umbrales del Anexo X, más los informes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11</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Carpeta de defensa</w:t>
            </w:r>
            <w:r>
              <w:rPr>
                <w:rFonts w:ascii="Calibri" w:cs="Calibri" w:eastAsia="Calibri" w:hAnsi="Calibri"/>
                <w:b w:val="false"/>
                <w:bCs w:val="false"/>
                <w:sz w:val="18"/>
                <w:szCs w:val="18"/>
              </w:rPr>
              <w:t xml:space="preserve">, antes de publicar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Índice y carpeta (V.6)</w:t>
            </w:r>
          </w:p>
        </w:tc>
      </w:tr>
    </w:tbl>
    <w:p>
      <w:pPr>
        <w:spacing w:after="200"/>
      </w:pPr>
    </w:p>
    <w:p>
      <w:pPr>
        <w:spacing w:after="140" w:line="276"/>
      </w:pPr>
      <w:r>
        <w:rPr>
          <w:rFonts w:ascii="Calibri" w:cs="Calibri" w:eastAsia="Calibri" w:hAnsi="Calibri"/>
          <w:i/>
          <w:iCs/>
          <w:sz w:val="21"/>
          <w:szCs w:val="21"/>
        </w:rPr>
        <w:t xml:space="preserve">Detalle documento a documento, con quién firma y qué se publica: Parte V, V.2.1 y V.4.</w:t>
      </w:r>
    </w:p>
    <w:p>
      <w:pPr>
        <w:spacing w:after="140" w:line="276"/>
      </w:pPr>
      <w:r>
        <w:rPr>
          <w:rFonts w:ascii="Calibri" w:cs="Calibri" w:eastAsia="Calibri" w:hAnsi="Calibri"/>
          <w:b/>
          <w:bCs/>
          <w:sz w:val="21"/>
          <w:szCs w:val="21"/>
        </w:rPr>
        <w:t xml:space="preserve">1. Informe de necesidad (arts. 28.1 y 116.4 LCSP).</w:t>
      </w:r>
      <w:r>
        <w:rPr>
          <w:rFonts w:ascii="Calibri" w:cs="Calibri" w:eastAsia="Calibri" w:hAnsi="Calibri"/>
          <w:sz w:val="21"/>
          <w:szCs w:val="21"/>
        </w:rPr>
        <w:t xml:space="preserve"> Se escribe primero y se escribe en concreto: qué necesidad municipal existe, por qué el mantenimiento correctivo ordinario no la cubre, qué cuesta no atenderla, y de dónde nace —de una función del servicio, de una norma que obliga al Ayuntamiento, o del acuerdo del paso previo anual—. La relación con el objeto del contrato debe ser </w:t>
      </w:r>
      <w:r>
        <w:rPr>
          <w:rFonts w:ascii="Calibri" w:cs="Calibri" w:eastAsia="Calibri" w:hAnsi="Calibri"/>
          <w:b/>
          <w:bCs/>
          <w:sz w:val="21"/>
          <w:szCs w:val="21"/>
        </w:rPr>
        <w:t xml:space="preserve">«directa, clara y proporcional»</w:t>
      </w:r>
      <w:r>
        <w:rPr>
          <w:rFonts w:ascii="Calibri" w:cs="Calibri" w:eastAsia="Calibri" w:hAnsi="Calibri"/>
          <w:sz w:val="21"/>
          <w:szCs w:val="21"/>
        </w:rPr>
        <w:t xml:space="preserve">, que es el literal del artículo 116.4.e) LCSP. Este documento </w:t>
      </w:r>
      <w:r>
        <w:rPr>
          <w:rFonts w:ascii="Calibri" w:cs="Calibri" w:eastAsia="Calibri" w:hAnsi="Calibri"/>
          <w:b/>
          <w:bCs/>
          <w:sz w:val="21"/>
          <w:szCs w:val="21"/>
        </w:rPr>
        <w:t xml:space="preserve">se publica en el perfil de contratante</w:t>
      </w:r>
      <w:r>
        <w:rPr>
          <w:rFonts w:ascii="Calibri" w:cs="Calibri" w:eastAsia="Calibri" w:hAnsi="Calibri"/>
          <w:sz w:val="21"/>
          <w:szCs w:val="21"/>
        </w:rPr>
        <w:t xml:space="preserve"> (arts. 116.1 y 63.3.a) LCSP): se redacta sabiendo que lo va a leer el eventual recurrente.</w:t>
      </w:r>
    </w:p>
    <w:p>
      <w:pPr>
        <w:spacing w:after="140" w:line="276"/>
      </w:pPr>
      <w:r>
        <w:rPr>
          <w:rFonts w:ascii="Calibri" w:cs="Calibri" w:eastAsia="Calibri" w:hAnsi="Calibri"/>
          <w:b/>
          <w:bCs/>
          <w:sz w:val="21"/>
          <w:szCs w:val="21"/>
        </w:rPr>
        <w:t xml:space="preserve">2. Ficha de aplicabilidad (Anexo II).</w:t>
      </w:r>
      <w:r>
        <w:rPr>
          <w:rFonts w:ascii="Calibri" w:cs="Calibri" w:eastAsia="Calibri" w:hAnsi="Calibri"/>
          <w:sz w:val="21"/>
          <w:szCs w:val="21"/>
        </w:rPr>
        <w:t xml:space="preserve"> Ahora, y sólo ahora, se recorre el catálogo marcando cláusula por cláusula. La ficha no es una lista de casillas: por cada cláusula marcada hay que escribir la necesidad concreta, la norma o el instrumento del que nace y por qué su relación con el objeto de </w:t>
      </w:r>
      <w:r>
        <w:rPr>
          <w:rFonts w:ascii="Calibri" w:cs="Calibri" w:eastAsia="Calibri" w:hAnsi="Calibri"/>
          <w:i/>
          <w:iCs/>
          <w:sz w:val="21"/>
          <w:szCs w:val="21"/>
        </w:rPr>
        <w:t xml:space="preserve">este</w:t>
      </w:r>
      <w:r>
        <w:rPr>
          <w:rFonts w:ascii="Calibri" w:cs="Calibri" w:eastAsia="Calibri" w:hAnsi="Calibri"/>
          <w:sz w:val="21"/>
          <w:szCs w:val="21"/>
        </w:rPr>
        <w:t xml:space="preserve"> contrato es directa, clara y proporcional. </w:t>
      </w:r>
      <w:r>
        <w:rPr>
          <w:rFonts w:ascii="Calibri" w:cs="Calibri" w:eastAsia="Calibri" w:hAnsi="Calibri"/>
          <w:b/>
          <w:bCs/>
          <w:sz w:val="21"/>
          <w:szCs w:val="21"/>
        </w:rPr>
        <w:t xml:space="preserve">Doble vía de firma</w:t>
      </w:r>
      <w:r>
        <w:rPr>
          <w:rFonts w:ascii="Calibri" w:cs="Calibri" w:eastAsia="Calibri" w:hAnsi="Calibri"/>
          <w:sz w:val="21"/>
          <w:szCs w:val="21"/>
        </w:rPr>
        <w:t xml:space="preserve">: las cláusulas de necesidad funcional las firma el gestor; las de necesidad normativa o institucional las firma el servicio competente o se remiten al acuerdo del paso previo anual. El gestor de un servicio no puede firmar la ficha de la seguridad ni la del control interno, y pedírselo es la forma más rápida de que esas cláusulas no entren nunca.</w:t>
      </w:r>
    </w:p>
    <w:p>
      <w:pPr>
        <w:spacing w:after="140" w:line="276"/>
      </w:pPr>
      <w:r>
        <w:rPr>
          <w:rFonts w:ascii="Calibri" w:cs="Calibri" w:eastAsia="Calibri" w:hAnsi="Calibri"/>
          <w:sz w:val="21"/>
          <w:szCs w:val="21"/>
        </w:rPr>
        <w:t xml:space="preserve">Al marcar una cláusula como NO APLICA hay que consultar la </w:t>
      </w:r>
      <w:r>
        <w:rPr>
          <w:rFonts w:ascii="Calibri" w:cs="Calibri" w:eastAsia="Calibri" w:hAnsi="Calibri"/>
          <w:b/>
          <w:bCs/>
          <w:sz w:val="21"/>
          <w:szCs w:val="21"/>
        </w:rPr>
        <w:t xml:space="preserve">tabla de dependencias (Anexo VI)</w:t>
      </w:r>
      <w:r>
        <w:rPr>
          <w:rFonts w:ascii="Calibri" w:cs="Calibri" w:eastAsia="Calibri" w:hAnsi="Calibri"/>
          <w:sz w:val="21"/>
          <w:szCs w:val="21"/>
        </w:rPr>
        <w:t xml:space="preserve">: si se descarta </w:t>
      </w:r>
      <w:r>
        <w:rPr>
          <w:rFonts w:ascii="Calibri" w:cs="Calibri" w:eastAsia="Calibri" w:hAnsi="Calibri"/>
          <w:color w:val="2F5496"/>
          <w:sz w:val="21"/>
          <w:szCs w:val="21"/>
        </w:rPr>
        <w:t xml:space="preserve">DT-7·v3</w:t>
      </w:r>
      <w:r>
        <w:rPr>
          <w:rFonts w:ascii="Calibri" w:cs="Calibri" w:eastAsia="Calibri" w:hAnsi="Calibri"/>
          <w:sz w:val="21"/>
          <w:szCs w:val="21"/>
        </w:rPr>
        <w:t xml:space="preserve">, hay menciones que arrastra en </w:t>
      </w:r>
      <w:r>
        <w:rPr>
          <w:rFonts w:ascii="Calibri" w:cs="Calibri" w:eastAsia="Calibri" w:hAnsi="Calibri"/>
          <w:color w:val="2F5496"/>
          <w:sz w:val="21"/>
          <w:szCs w:val="21"/>
        </w:rPr>
        <w:t xml:space="preserve">ADM-5·v3</w:t>
      </w:r>
      <w:r>
        <w:rPr>
          <w:rFonts w:ascii="Calibri" w:cs="Calibri" w:eastAsia="Calibri" w:hAnsi="Calibri"/>
          <w:sz w:val="21"/>
          <w:szCs w:val="21"/>
        </w:rPr>
        <w:t xml:space="preserve">, </w:t>
      </w:r>
      <w:r>
        <w:rPr>
          <w:rFonts w:ascii="Calibri" w:cs="Calibri" w:eastAsia="Calibri" w:hAnsi="Calibri"/>
          <w:color w:val="2F5496"/>
          <w:sz w:val="21"/>
          <w:szCs w:val="21"/>
        </w:rPr>
        <w:t xml:space="preserve">ADM-6·v3</w:t>
      </w:r>
      <w:r>
        <w:rPr>
          <w:rFonts w:ascii="Calibri" w:cs="Calibri" w:eastAsia="Calibri" w:hAnsi="Calibri"/>
          <w:sz w:val="21"/>
          <w:szCs w:val="21"/>
        </w:rPr>
        <w:t xml:space="preserve">, </w:t>
      </w:r>
      <w:r>
        <w:rPr>
          <w:rFonts w:ascii="Calibri" w:cs="Calibri" w:eastAsia="Calibri" w:hAnsi="Calibri"/>
          <w:color w:val="2F5496"/>
          <w:sz w:val="21"/>
          <w:szCs w:val="21"/>
        </w:rPr>
        <w:t xml:space="preserve">ADM-7·v3</w:t>
      </w:r>
      <w:r>
        <w:rPr>
          <w:rFonts w:ascii="Calibri" w:cs="Calibri" w:eastAsia="Calibri" w:hAnsi="Calibri"/>
          <w:sz w:val="21"/>
          <w:szCs w:val="21"/>
        </w:rPr>
        <w:t xml:space="preserve"> y en la declaración responsable del </w:t>
      </w:r>
      <w:r>
        <w:rPr>
          <w:rFonts w:ascii="Calibri" w:cs="Calibri" w:eastAsia="Calibri" w:hAnsi="Calibri"/>
          <w:b/>
          <w:bCs/>
          <w:sz w:val="21"/>
          <w:szCs w:val="21"/>
        </w:rPr>
        <w:t xml:space="preserve">Anexo VII</w:t>
      </w:r>
      <w:r>
        <w:rPr>
          <w:rFonts w:ascii="Calibri" w:cs="Calibri" w:eastAsia="Calibri" w:hAnsi="Calibri"/>
          <w:sz w:val="21"/>
          <w:szCs w:val="21"/>
        </w:rPr>
        <w:t xml:space="preserve">, y un pliego con menciones huérfanas es un pliego contradictorio. Los recuadros afectados vienen redactados como lista con casillas de borrado, precisamente para esto.</w:t>
      </w:r>
    </w:p>
    <w:p>
      <w:pPr>
        <w:spacing w:after="140" w:line="276"/>
      </w:pPr>
      <w:r>
        <w:rPr>
          <w:rFonts w:ascii="Calibri" w:cs="Calibri" w:eastAsia="Calibri" w:hAnsi="Calibri"/>
          <w:b/>
          <w:bCs/>
          <w:sz w:val="21"/>
          <w:szCs w:val="21"/>
        </w:rPr>
        <w:t xml:space="preserve">3. Categorización ENS.</w:t>
      </w:r>
      <w:r>
        <w:rPr>
          <w:rFonts w:ascii="Calibri" w:cs="Calibri" w:eastAsia="Calibri" w:hAnsi="Calibri"/>
          <w:sz w:val="21"/>
          <w:szCs w:val="21"/>
        </w:rPr>
        <w:t xml:space="preserve"> Antes de aprobar el pliego, no después. El expediente consigna la categoría que resulta del anexo I del RD 311/2022, y de ahí —y sólo de ahí— sale lo que se exige y cómo se acredita (art. 38.1). Quién firma qué está tasado en el artículo 41: la </w:t>
      </w:r>
      <w:r>
        <w:rPr>
          <w:rFonts w:ascii="Calibri" w:cs="Calibri" w:eastAsia="Calibri" w:hAnsi="Calibri"/>
          <w:b/>
          <w:bCs/>
          <w:sz w:val="21"/>
          <w:szCs w:val="21"/>
        </w:rPr>
        <w:t xml:space="preserve">valoración</w:t>
      </w:r>
      <w:r>
        <w:rPr>
          <w:rFonts w:ascii="Calibri" w:cs="Calibri" w:eastAsia="Calibri" w:hAnsi="Calibri"/>
          <w:sz w:val="21"/>
          <w:szCs w:val="21"/>
        </w:rPr>
        <w:t xml:space="preserve"> de la información y de los servicios corresponde a los responsables de la información o de los servicios afectados (art. 41.1); la </w:t>
      </w:r>
      <w:r>
        <w:rPr>
          <w:rFonts w:ascii="Calibri" w:cs="Calibri" w:eastAsia="Calibri" w:hAnsi="Calibri"/>
          <w:b/>
          <w:bCs/>
          <w:sz w:val="21"/>
          <w:szCs w:val="21"/>
        </w:rPr>
        <w:t xml:space="preserve">determinación de la categoría del sistema</w:t>
      </w:r>
      <w:r>
        <w:rPr>
          <w:rFonts w:ascii="Calibri" w:cs="Calibri" w:eastAsia="Calibri" w:hAnsi="Calibri"/>
          <w:sz w:val="21"/>
          <w:szCs w:val="21"/>
        </w:rPr>
        <w:t xml:space="preserve">, al responsable de la seguridad (art. 41.2), que firma también la Declaración de Aplicabilidad (art. 28.2). El procedimiento completo está en la Parte V, V.4.11. Este paso es el que evita el resultado de Parla.</w:t>
      </w:r>
    </w:p>
    <w:p>
      <w:pPr>
        <w:spacing w:after="140" w:line="276"/>
      </w:pPr>
      <w:r>
        <w:rPr>
          <w:rFonts w:ascii="Calibri" w:cs="Calibri" w:eastAsia="Calibri" w:hAnsi="Calibri"/>
          <w:b/>
          <w:bCs/>
          <w:sz w:val="21"/>
          <w:szCs w:val="21"/>
        </w:rPr>
        <w:t xml:space="preserve">4. Anexo V del ejercicio, recortado y transcrito.</w:t>
      </w:r>
      <w:r>
        <w:rPr>
          <w:rFonts w:ascii="Calibri" w:cs="Calibri" w:eastAsia="Calibri" w:hAnsi="Calibri"/>
          <w:sz w:val="21"/>
          <w:szCs w:val="21"/>
        </w:rPr>
        <w:t xml:space="preserve"> Se toma el Anexo V vigente, se recortan las exigencias que no tengan relación con los módulos de este contrato y </w:t>
      </w:r>
      <w:r>
        <w:rPr>
          <w:rFonts w:ascii="Calibri" w:cs="Calibri" w:eastAsia="Calibri" w:hAnsi="Calibri"/>
          <w:b/>
          <w:bCs/>
          <w:sz w:val="21"/>
          <w:szCs w:val="21"/>
        </w:rPr>
        <w:t xml:space="preserve">el resultado se transcribe físicamente en el PPT</w:t>
      </w:r>
      <w:r>
        <w:rPr>
          <w:rFonts w:ascii="Calibri" w:cs="Calibri" w:eastAsia="Calibri" w:hAnsi="Calibri"/>
          <w:sz w:val="21"/>
          <w:szCs w:val="21"/>
        </w:rPr>
        <w:t xml:space="preserve">, con número de versión y fecha, y con la mención expresa de que las revisiones posteriores no afectan a este contrato. No se remite al documento: se copia. Una remisión a un documento que cambia cada año es una obligación indeterminada, y se recurre.</w:t>
      </w:r>
    </w:p>
    <w:p>
      <w:pPr>
        <w:spacing w:after="140" w:line="276"/>
      </w:pPr>
      <w:r>
        <w:rPr>
          <w:rFonts w:ascii="Calibri" w:cs="Calibri" w:eastAsia="Calibri" w:hAnsi="Calibri"/>
          <w:b/>
          <w:bCs/>
          <w:sz w:val="21"/>
          <w:szCs w:val="21"/>
        </w:rPr>
        <w:t xml:space="preserve">5. Redacción del PPT (pluma: el área gestora).</w:t>
      </w:r>
      <w:r>
        <w:rPr>
          <w:rFonts w:ascii="Calibri" w:cs="Calibri" w:eastAsia="Calibri" w:hAnsi="Calibri"/>
          <w:sz w:val="21"/>
          <w:szCs w:val="21"/>
        </w:rPr>
        <w:t xml:space="preserve"> Se copian los recuadros de texto copiable de las cláusulas </w:t>
      </w:r>
      <w:r>
        <w:rPr>
          <w:rFonts w:ascii="Calibri" w:cs="Calibri" w:eastAsia="Calibri" w:hAnsi="Calibri"/>
          <w:color w:val="2F5496"/>
          <w:sz w:val="21"/>
          <w:szCs w:val="21"/>
        </w:rPr>
        <w:t xml:space="preserve">DT-n·v3</w:t>
      </w:r>
      <w:r>
        <w:rPr>
          <w:rFonts w:ascii="Calibri" w:cs="Calibri" w:eastAsia="Calibri" w:hAnsi="Calibri"/>
          <w:sz w:val="21"/>
          <w:szCs w:val="21"/>
        </w:rPr>
        <w:t xml:space="preserve"> marcadas, y sólo esos. Todo lo que está fuera del recuadro —la justificación, la advertencia, la nota de verificación— se queda fuera del pliego y viaja al expediente.</w:t>
      </w:r>
    </w:p>
    <w:p>
      <w:pPr>
        <w:spacing w:after="140" w:line="276"/>
      </w:pPr>
      <w:r>
        <w:rPr>
          <w:rFonts w:ascii="Calibri" w:cs="Calibri" w:eastAsia="Calibri" w:hAnsi="Calibri"/>
          <w:b/>
          <w:bCs/>
          <w:sz w:val="21"/>
          <w:szCs w:val="21"/>
        </w:rPr>
        <w:t xml:space="preserve">6. Redacción del PCAP (pluma: contratación).</w:t>
      </w:r>
      <w:r>
        <w:rPr>
          <w:rFonts w:ascii="Calibri" w:cs="Calibri" w:eastAsia="Calibri" w:hAnsi="Calibri"/>
          <w:sz w:val="21"/>
          <w:szCs w:val="21"/>
        </w:rPr>
        <w:t xml:space="preserve"> Igual con las cláusulas </w:t>
      </w:r>
      <w:r>
        <w:rPr>
          <w:rFonts w:ascii="Calibri" w:cs="Calibri" w:eastAsia="Calibri" w:hAnsi="Calibri"/>
          <w:color w:val="2F5496"/>
          <w:sz w:val="21"/>
          <w:szCs w:val="21"/>
        </w:rPr>
        <w:t xml:space="preserve">ADM-n·v3</w:t>
      </w:r>
      <w:r>
        <w:rPr>
          <w:rFonts w:ascii="Calibri" w:cs="Calibri" w:eastAsia="Calibri" w:hAnsi="Calibri"/>
          <w:sz w:val="21"/>
          <w:szCs w:val="21"/>
        </w:rPr>
        <w:t xml:space="preserve">. Regla que no admite excepción: </w:t>
      </w:r>
      <w:r>
        <w:rPr>
          <w:rFonts w:ascii="Calibri" w:cs="Calibri" w:eastAsia="Calibri" w:hAnsi="Calibri"/>
          <w:b/>
          <w:bCs/>
          <w:sz w:val="21"/>
          <w:szCs w:val="21"/>
        </w:rPr>
        <w:t xml:space="preserve">la modificación prevista y las condiciones especiales de ejecución van siempre al PCAP</w:t>
      </w:r>
      <w:r>
        <w:rPr>
          <w:rFonts w:ascii="Calibri" w:cs="Calibri" w:eastAsia="Calibri" w:hAnsi="Calibri"/>
          <w:sz w:val="21"/>
          <w:szCs w:val="21"/>
        </w:rPr>
        <w:t xml:space="preserve">; reproducirlas en el PPT no produce efectos y sí produce contradicciones.</w:t>
      </w:r>
    </w:p>
    <w:p>
      <w:pPr>
        <w:spacing w:after="140" w:line="276"/>
      </w:pPr>
      <w:r>
        <w:rPr>
          <w:rFonts w:ascii="Calibri" w:cs="Calibri" w:eastAsia="Calibri" w:hAnsi="Calibri"/>
          <w:b/>
          <w:bCs/>
          <w:sz w:val="21"/>
          <w:szCs w:val="21"/>
        </w:rPr>
        <w:t xml:space="preserve">Quién coordina los pasos 5 y 6.</w:t>
      </w:r>
      <w:r>
        <w:rPr>
          <w:rFonts w:ascii="Calibri" w:cs="Calibri" w:eastAsia="Calibri" w:hAnsi="Calibri"/>
          <w:sz w:val="21"/>
          <w:szCs w:val="21"/>
        </w:rPr>
        <w:t xml:space="preserve"> Nadie, por defecto, y ese es un problema real: estas cláusulas cruzan los dos pliegos y el reparto habitual de plumas deja el cruce sin dueño. El órgano de contratación designa en el paso 1 un </w:t>
      </w:r>
      <w:r>
        <w:rPr>
          <w:rFonts w:ascii="Calibri" w:cs="Calibri" w:eastAsia="Calibri" w:hAnsi="Calibri"/>
          <w:b/>
          <w:bCs/>
          <w:sz w:val="21"/>
          <w:szCs w:val="21"/>
        </w:rPr>
        <w:t xml:space="preserve">coordinador del expediente tecnológico</w:t>
      </w:r>
      <w:r>
        <w:rPr>
          <w:rFonts w:ascii="Calibri" w:cs="Calibri" w:eastAsia="Calibri" w:hAnsi="Calibri"/>
          <w:sz w:val="21"/>
          <w:szCs w:val="21"/>
        </w:rPr>
        <w:t xml:space="preserve"> —normalmente el responsable del contrato (art. 62 LCSP) o el servicio municipal de informática— que responde de una sola cosa: que lo que dice el PPT y lo que dice el PCAP encajen, y que ninguna exigencia aparezca dos veces con dos instrumentos distintos.</w:t>
      </w:r>
    </w:p>
    <w:p>
      <w:pPr>
        <w:spacing w:after="140" w:line="276"/>
      </w:pPr>
      <w:r>
        <w:rPr>
          <w:rFonts w:ascii="Calibri" w:cs="Calibri" w:eastAsia="Calibri" w:hAnsi="Calibri"/>
          <w:b/>
          <w:bCs/>
          <w:sz w:val="21"/>
          <w:szCs w:val="21"/>
        </w:rPr>
        <w:t xml:space="preserve">7. Ficha por criterio y hoja de comprobación del baremo (Anexo IV).</w:t>
      </w:r>
      <w:r>
        <w:rPr>
          <w:rFonts w:ascii="Calibri" w:cs="Calibri" w:eastAsia="Calibri" w:hAnsi="Calibri"/>
          <w:sz w:val="21"/>
          <w:szCs w:val="21"/>
        </w:rPr>
        <w:t xml:space="preserve"> Por cada criterio hay que escribir cuatro cosas: la necesidad de la que nace, en qué mejora el rendimiento de la prestación, cómo se verificará de verdad y por qué su peso es proporcionado. Después se pasa la hoja de comprobación, que suma </w:t>
      </w:r>
      <w:r>
        <w:rPr>
          <w:rFonts w:ascii="Calibri" w:cs="Calibri" w:eastAsia="Calibri" w:hAnsi="Calibri"/>
          <w:b/>
          <w:bCs/>
          <w:sz w:val="21"/>
          <w:szCs w:val="21"/>
        </w:rPr>
        <w:t xml:space="preserve">el baremo entero del contrato, con el precio dentro</w:t>
      </w:r>
      <w:r>
        <w:rPr>
          <w:rFonts w:ascii="Calibri" w:cs="Calibri" w:eastAsia="Calibri" w:hAnsi="Calibri"/>
          <w:sz w:val="21"/>
          <w:szCs w:val="21"/>
        </w:rPr>
        <w:t xml:space="preserve"> —no sólo el bloque tecnológico— y avisa de los tres límites: la preponderancia de los criterios evaluables mediante fórmulas y el comité de expertos del artículo 146.2.a) LCSP; y, en el procedimiento abierto simplificado, el tope de juicio de valor del artículo 159.1.b) LCSP, que es el </w:t>
      </w:r>
      <w:r>
        <w:rPr>
          <w:rFonts w:ascii="Calibri" w:cs="Calibri" w:eastAsia="Calibri" w:hAnsi="Calibri"/>
          <w:b/>
          <w:bCs/>
          <w:sz w:val="21"/>
          <w:szCs w:val="21"/>
        </w:rPr>
        <w:t xml:space="preserve">25 %</w:t>
      </w:r>
      <w:r>
        <w:rPr>
          <w:rFonts w:ascii="Calibri" w:cs="Calibri" w:eastAsia="Calibri" w:hAnsi="Calibri"/>
          <w:sz w:val="21"/>
          <w:szCs w:val="21"/>
        </w:rPr>
        <w:t xml:space="preserve"> con carácter general y el </w:t>
      </w:r>
      <w:r>
        <w:rPr>
          <w:rFonts w:ascii="Calibri" w:cs="Calibri" w:eastAsia="Calibri" w:hAnsi="Calibri"/>
          <w:b/>
          <w:bCs/>
          <w:sz w:val="21"/>
          <w:szCs w:val="21"/>
        </w:rPr>
        <w:t xml:space="preserve">45 %</w:t>
      </w:r>
      <w:r>
        <w:rPr>
          <w:rFonts w:ascii="Calibri" w:cs="Calibri" w:eastAsia="Calibri" w:hAnsi="Calibri"/>
          <w:sz w:val="21"/>
          <w:szCs w:val="21"/>
        </w:rPr>
        <w:t xml:space="preserve"> en prestaciones de carácter intelectual. El documento entrega </w:t>
      </w:r>
      <w:r>
        <w:rPr>
          <w:rFonts w:ascii="Calibri" w:cs="Calibri" w:eastAsia="Calibri" w:hAnsi="Calibri"/>
          <w:b/>
          <w:bCs/>
          <w:sz w:val="21"/>
          <w:szCs w:val="21"/>
        </w:rPr>
        <w:t xml:space="preserve">tres variantes de baremo</w:t>
      </w:r>
      <w:r>
        <w:rPr>
          <w:rFonts w:ascii="Calibri" w:cs="Calibri" w:eastAsia="Calibri" w:hAnsi="Calibri"/>
          <w:sz w:val="21"/>
          <w:szCs w:val="21"/>
        </w:rPr>
        <w:t xml:space="preserve"> —abierto, simplificado y abreviado, este último sólo con criterios evaluables por fórmula (art. 159.6 LCSP)—, porque un baremo único no cabe en la mayoría de los expedientes municipales. Las </w:t>
      </w:r>
      <w:r>
        <w:rPr>
          <w:rFonts w:ascii="Calibri" w:cs="Calibri" w:eastAsia="Calibri" w:hAnsi="Calibri"/>
          <w:b/>
          <w:bCs/>
          <w:sz w:val="21"/>
          <w:szCs w:val="21"/>
        </w:rPr>
        <w:t xml:space="preserve">fórmulas modelo</w:t>
      </w:r>
      <w:r>
        <w:rPr>
          <w:rFonts w:ascii="Calibri" w:cs="Calibri" w:eastAsia="Calibri" w:hAnsi="Calibri"/>
          <w:sz w:val="21"/>
          <w:szCs w:val="21"/>
        </w:rPr>
        <w:t xml:space="preserve"> y el tratamiento de las ofertas anormalmente bajas están en el </w:t>
      </w:r>
      <w:r>
        <w:rPr>
          <w:rFonts w:ascii="Calibri" w:cs="Calibri" w:eastAsia="Calibri" w:hAnsi="Calibri"/>
          <w:b/>
          <w:bCs/>
          <w:sz w:val="21"/>
          <w:szCs w:val="21"/>
        </w:rPr>
        <w:t xml:space="preserve">Anexo XVII</w:t>
      </w:r>
      <w:r>
        <w:rPr>
          <w:rFonts w:ascii="Calibri" w:cs="Calibri" w:eastAsia="Calibri" w:hAnsi="Calibri"/>
          <w:sz w:val="21"/>
          <w:szCs w:val="21"/>
        </w:rPr>
        <w:t xml:space="preserve">; cuándo un contrato es de </w:t>
      </w:r>
      <w:r>
        <w:rPr>
          <w:rFonts w:ascii="Calibri" w:cs="Calibri" w:eastAsia="Calibri" w:hAnsi="Calibri"/>
          <w:b/>
          <w:bCs/>
          <w:sz w:val="21"/>
          <w:szCs w:val="21"/>
        </w:rPr>
        <w:t xml:space="preserve">prestaciones de carácter intelectual</w:t>
      </w:r>
      <w:r>
        <w:rPr>
          <w:rFonts w:ascii="Calibri" w:cs="Calibri" w:eastAsia="Calibri" w:hAnsi="Calibri"/>
          <w:sz w:val="21"/>
          <w:szCs w:val="21"/>
        </w:rPr>
        <w:t xml:space="preserve"> —de lo que dependen el 45 % y el 51 % del artículo 145.4—, en el </w:t>
      </w:r>
      <w:r>
        <w:rPr>
          <w:rFonts w:ascii="Calibri" w:cs="Calibri" w:eastAsia="Calibri" w:hAnsi="Calibri"/>
          <w:b/>
          <w:bCs/>
          <w:sz w:val="21"/>
          <w:szCs w:val="21"/>
        </w:rPr>
        <w:t xml:space="preserve">Anexo XXIII</w:t>
      </w:r>
      <w:r>
        <w:rPr>
          <w:rFonts w:ascii="Calibri" w:cs="Calibri" w:eastAsia="Calibri" w:hAnsi="Calibri"/>
          <w:sz w:val="21"/>
          <w:szCs w:val="21"/>
        </w:rPr>
        <w:t xml:space="preserve">.</w:t>
      </w:r>
    </w:p>
    <w:p>
      <w:pPr>
        <w:spacing w:after="140" w:line="276"/>
      </w:pPr>
      <w:r>
        <w:rPr>
          <w:rFonts w:ascii="Calibri" w:cs="Calibri" w:eastAsia="Calibri" w:hAnsi="Calibri"/>
          <w:b/>
          <w:bCs/>
          <w:sz w:val="21"/>
          <w:szCs w:val="21"/>
        </w:rPr>
        <w:t xml:space="preserve">8. Valor estimado y los cuatro umbrales.</w:t>
      </w:r>
      <w:r>
        <w:rPr>
          <w:rFonts w:ascii="Calibri" w:cs="Calibri" w:eastAsia="Calibri" w:hAnsi="Calibri"/>
          <w:sz w:val="21"/>
          <w:szCs w:val="21"/>
        </w:rPr>
        <w:t xml:space="preserve"> Se calcula el valor estimado incluyendo prórrogas y cualquier reserva de modificación prevista (art. 101 LCSP) y se comprueba contra los cuatro umbrales que cambian el régimen del expediente: el del </w:t>
      </w:r>
      <w:r>
        <w:rPr>
          <w:rFonts w:ascii="Calibri" w:cs="Calibri" w:eastAsia="Calibri" w:hAnsi="Calibri"/>
          <w:b/>
          <w:bCs/>
          <w:sz w:val="21"/>
          <w:szCs w:val="21"/>
        </w:rPr>
        <w:t xml:space="preserve">contrato menor</w:t>
      </w:r>
      <w:r>
        <w:rPr>
          <w:rFonts w:ascii="Calibri" w:cs="Calibri" w:eastAsia="Calibri" w:hAnsi="Calibri"/>
          <w:sz w:val="21"/>
          <w:szCs w:val="21"/>
        </w:rPr>
        <w:t xml:space="preserve"> (art. 118.1 LCSP), que decide si hay pliego y, por tanto, si este catálogo puede aplicarse; el del </w:t>
      </w:r>
      <w:r>
        <w:rPr>
          <w:rFonts w:ascii="Calibri" w:cs="Calibri" w:eastAsia="Calibri" w:hAnsi="Calibri"/>
          <w:b/>
          <w:bCs/>
          <w:sz w:val="21"/>
          <w:szCs w:val="21"/>
        </w:rPr>
        <w:t xml:space="preserve">abierto simplificado y su variante abreviada</w:t>
      </w:r>
      <w:r>
        <w:rPr>
          <w:rFonts w:ascii="Calibri" w:cs="Calibri" w:eastAsia="Calibri" w:hAnsi="Calibri"/>
          <w:sz w:val="21"/>
          <w:szCs w:val="21"/>
        </w:rPr>
        <w:t xml:space="preserve"> (art. 159 LCSP); el de los </w:t>
      </w:r>
      <w:r>
        <w:rPr>
          <w:rFonts w:ascii="Calibri" w:cs="Calibri" w:eastAsia="Calibri" w:hAnsi="Calibri"/>
          <w:b/>
          <w:bCs/>
          <w:sz w:val="21"/>
          <w:szCs w:val="21"/>
        </w:rPr>
        <w:t xml:space="preserve">100.000 €</w:t>
      </w:r>
      <w:r>
        <w:rPr>
          <w:rFonts w:ascii="Calibri" w:cs="Calibri" w:eastAsia="Calibri" w:hAnsi="Calibri"/>
          <w:sz w:val="21"/>
          <w:szCs w:val="21"/>
        </w:rPr>
        <w:t xml:space="preserve"> superados los cuales los pliegos de un contrato de servicios o suministros son directamente recurribles (art. 44.1.a) LCSP); y el de los </w:t>
      </w:r>
      <w:r>
        <w:rPr>
          <w:rFonts w:ascii="Calibri" w:cs="Calibri" w:eastAsia="Calibri" w:hAnsi="Calibri"/>
          <w:b/>
          <w:bCs/>
          <w:sz w:val="21"/>
          <w:szCs w:val="21"/>
        </w:rPr>
        <w:t xml:space="preserve">contratos sujetos a regulación armonizada</w:t>
      </w:r>
      <w:r>
        <w:rPr>
          <w:rFonts w:ascii="Calibri" w:cs="Calibri" w:eastAsia="Calibri" w:hAnsi="Calibri"/>
          <w:sz w:val="21"/>
          <w:szCs w:val="21"/>
        </w:rPr>
        <w:t xml:space="preserve">. La tabla completa, con cuantías, efecto y vigencia, es la de la Parte V, V.4.10; </w:t>
      </w:r>
      <w:r>
        <w:rPr>
          <w:rFonts w:ascii="Calibri" w:cs="Calibri" w:eastAsia="Calibri" w:hAnsi="Calibri"/>
          <w:b/>
          <w:bCs/>
          <w:sz w:val="21"/>
          <w:szCs w:val="21"/>
        </w:rPr>
        <w:t xml:space="preserve">las cuantías vigentes se consultan además en el Anexo X, apartado X.2, y se comprueban antes de cada expediente</w:t>
      </w:r>
      <w:r>
        <w:rPr>
          <w:rFonts w:ascii="Calibri" w:cs="Calibri" w:eastAsia="Calibri" w:hAnsi="Calibri"/>
          <w:sz w:val="21"/>
          <w:szCs w:val="21"/>
        </w:rPr>
        <w:t xml:space="preserve">, porque se actualizan periódicamente.</w:t>
      </w:r>
    </w:p>
    <w:p>
      <w:pPr>
        <w:spacing w:after="140" w:line="276"/>
      </w:pPr>
      <w:r>
        <w:rPr>
          <w:rFonts w:ascii="Calibri" w:cs="Calibri" w:eastAsia="Calibri" w:hAnsi="Calibri"/>
          <w:b/>
          <w:bCs/>
          <w:sz w:val="21"/>
          <w:szCs w:val="21"/>
        </w:rPr>
        <w:t xml:space="preserve">9. Conflicto de interés y participación previa (Anexo IX).</w:t>
      </w:r>
      <w:r>
        <w:rPr>
          <w:rFonts w:ascii="Calibri" w:cs="Calibri" w:eastAsia="Calibri" w:hAnsi="Calibri"/>
          <w:sz w:val="21"/>
          <w:szCs w:val="21"/>
        </w:rPr>
        <w:t xml:space="preserve"> Declaración escrita, por iniciativa propia y </w:t>
      </w:r>
      <w:r>
        <w:rPr>
          <w:rFonts w:ascii="Calibri" w:cs="Calibri" w:eastAsia="Calibri" w:hAnsi="Calibri"/>
          <w:b/>
          <w:bCs/>
          <w:sz w:val="21"/>
          <w:szCs w:val="21"/>
        </w:rPr>
        <w:t xml:space="preserve">antes</w:t>
      </w:r>
      <w:r>
        <w:rPr>
          <w:rFonts w:ascii="Calibri" w:cs="Calibri" w:eastAsia="Calibri" w:hAnsi="Calibri"/>
          <w:sz w:val="21"/>
          <w:szCs w:val="21"/>
        </w:rPr>
        <w:t xml:space="preserve"> de la aprobación, conforme al artículo 64 LCSP: identidad de quienes hayan asesorado en la preparación y sus vinculaciones. Un conflicto revelado y neutralizado en el propio expediente es un activo; descubierto por el recurrente, es la anulación —y deja de ser una discusión técnica para convertirse en una acusación de favorecimiento.</w:t>
      </w:r>
    </w:p>
    <w:p>
      <w:pPr>
        <w:spacing w:after="140" w:line="276"/>
      </w:pPr>
      <w:r>
        <w:rPr>
          <w:rFonts w:ascii="Calibri" w:cs="Calibri" w:eastAsia="Calibri" w:hAnsi="Calibri"/>
          <w:b/>
          <w:bCs/>
          <w:sz w:val="21"/>
          <w:szCs w:val="21"/>
        </w:rPr>
        <w:t xml:space="preserve">10. Comprobación, informe jurídico y fiscalización.</w:t>
      </w:r>
      <w:r>
        <w:rPr>
          <w:rFonts w:ascii="Calibri" w:cs="Calibri" w:eastAsia="Calibri" w:hAnsi="Calibri"/>
          <w:sz w:val="21"/>
          <w:szCs w:val="21"/>
        </w:rPr>
        <w:t xml:space="preserve"> Se pasa la </w:t>
      </w:r>
      <w:r>
        <w:rPr>
          <w:rFonts w:ascii="Calibri" w:cs="Calibri" w:eastAsia="Calibri" w:hAnsi="Calibri"/>
          <w:b/>
          <w:bCs/>
          <w:sz w:val="21"/>
          <w:szCs w:val="21"/>
        </w:rPr>
        <w:t xml:space="preserve">lista de comprobación final del expediente (Parte V, V.10)</w:t>
      </w:r>
      <w:r>
        <w:rPr>
          <w:rFonts w:ascii="Calibri" w:cs="Calibri" w:eastAsia="Calibri" w:hAnsi="Calibri"/>
          <w:sz w:val="21"/>
          <w:szCs w:val="21"/>
        </w:rPr>
        <w:t xml:space="preserve">, contrastando los parámetros y umbrales del </w:t>
      </w:r>
      <w:r>
        <w:rPr>
          <w:rFonts w:ascii="Calibri" w:cs="Calibri" w:eastAsia="Calibri" w:hAnsi="Calibri"/>
          <w:b/>
          <w:bCs/>
          <w:sz w:val="21"/>
          <w:szCs w:val="21"/>
        </w:rPr>
        <w:t xml:space="preserve">Anexo X</w:t>
      </w:r>
      <w:r>
        <w:rPr>
          <w:rFonts w:ascii="Calibri" w:cs="Calibri" w:eastAsia="Calibri" w:hAnsi="Calibri"/>
          <w:sz w:val="21"/>
          <w:szCs w:val="21"/>
        </w:rPr>
        <w:t xml:space="preserve">. Se recaba el </w:t>
      </w:r>
      <w:r>
        <w:rPr>
          <w:rFonts w:ascii="Calibri" w:cs="Calibri" w:eastAsia="Calibri" w:hAnsi="Calibri"/>
          <w:b/>
          <w:bCs/>
          <w:sz w:val="21"/>
          <w:szCs w:val="21"/>
        </w:rPr>
        <w:t xml:space="preserve">informe jurídico preceptivo</w:t>
      </w:r>
      <w:r>
        <w:rPr>
          <w:rFonts w:ascii="Calibri" w:cs="Calibri" w:eastAsia="Calibri" w:hAnsi="Calibri"/>
          <w:sz w:val="21"/>
          <w:szCs w:val="21"/>
        </w:rPr>
        <w:t xml:space="preserve">, que emite el órgano al que corresponda: la Asesoría Jurídica en los municipios de gran población —por la disposición adicional 3.ª.8 LCSP en relación con la disposición adicional 8.ª de la Ley 7/1985—, y la Secretaría en el régimen común. Y se remite a </w:t>
      </w:r>
      <w:r>
        <w:rPr>
          <w:rFonts w:ascii="Calibri" w:cs="Calibri" w:eastAsia="Calibri" w:hAnsi="Calibri"/>
          <w:b/>
          <w:bCs/>
          <w:sz w:val="21"/>
          <w:szCs w:val="21"/>
        </w:rPr>
        <w:t xml:space="preserve">fiscalización previa</w:t>
      </w:r>
      <w:r>
        <w:rPr>
          <w:rFonts w:ascii="Calibri" w:cs="Calibri" w:eastAsia="Calibri" w:hAnsi="Calibri"/>
          <w:sz w:val="21"/>
          <w:szCs w:val="21"/>
        </w:rPr>
        <w:t xml:space="preserve"> de la Intervención, que comprende también la valoración de las repercusiones en la estabilidad presupuestaria y la sostenibilidad financiera (disposición adicional 3.ª.3 LCSP).</w:t>
      </w:r>
    </w:p>
    <w:p>
      <w:pPr>
        <w:spacing w:after="140" w:line="276"/>
      </w:pPr>
      <w:r>
        <w:rPr>
          <w:rFonts w:ascii="Calibri" w:cs="Calibri" w:eastAsia="Calibri" w:hAnsi="Calibri"/>
          <w:b/>
          <w:bCs/>
          <w:sz w:val="21"/>
          <w:szCs w:val="21"/>
        </w:rPr>
        <w:t xml:space="preserve">11. Carpeta de defensa, y ahorra un disgusto.</w:t>
      </w:r>
      <w:r>
        <w:rPr>
          <w:rFonts w:ascii="Calibri" w:cs="Calibri" w:eastAsia="Calibri" w:hAnsi="Calibri"/>
          <w:sz w:val="21"/>
          <w:szCs w:val="21"/>
        </w:rPr>
        <w:t xml:space="preserve"> Antes de publicar, se arma la </w:t>
      </w:r>
      <w:r>
        <w:rPr>
          <w:rFonts w:ascii="Calibri" w:cs="Calibri" w:eastAsia="Calibri" w:hAnsi="Calibri"/>
          <w:b/>
          <w:bCs/>
          <w:sz w:val="21"/>
          <w:szCs w:val="21"/>
        </w:rPr>
        <w:t xml:space="preserve">carpeta de defensa</w:t>
      </w:r>
      <w:r>
        <w:rPr>
          <w:rFonts w:ascii="Calibri" w:cs="Calibri" w:eastAsia="Calibri" w:hAnsi="Calibri"/>
          <w:sz w:val="21"/>
          <w:szCs w:val="21"/>
        </w:rPr>
        <w:t xml:space="preserve"> (Parte V, V.6). Si se interpone recurso especial, el órgano de contratación tiene que remitir el expediente y su informe en un plazo brevísimo (art. 56.2 LCSP). Con un expediente de esta densidad, eso se prepara antes, no después de recibir el recurso.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0.5 Los veintiún documentos del circuito (V.2.1), agrupados según los imponga la norma o los añada este catálogo</w:t>
      </w:r>
    </w:p>
    <w:p>
      <w:pPr>
        <w:spacing w:after="140" w:line="276"/>
      </w:pPr>
      <w:r>
        <w:rPr>
          <w:rFonts w:ascii="Calibri" w:cs="Calibri" w:eastAsia="Calibri" w:hAnsi="Calibri"/>
          <w:sz w:val="21"/>
          <w:szCs w:val="21"/>
        </w:rPr>
        <w:t xml:space="preserve">El circuito del expediente y su recuento son los de la </w:t>
      </w:r>
      <w:r>
        <w:rPr>
          <w:rFonts w:ascii="Calibri" w:cs="Calibri" w:eastAsia="Calibri" w:hAnsi="Calibri"/>
          <w:b/>
          <w:bCs/>
          <w:sz w:val="21"/>
          <w:szCs w:val="21"/>
        </w:rPr>
        <w:t xml:space="preserve">Parte V, V.2.1</w:t>
      </w:r>
      <w:r>
        <w:rPr>
          <w:rFonts w:ascii="Calibri" w:cs="Calibri" w:eastAsia="Calibri" w:hAnsi="Calibri"/>
          <w:sz w:val="21"/>
          <w:szCs w:val="21"/>
        </w:rPr>
        <w:t xml:space="preserve">, que es la fuente única: allí están sus veinte pasos, que producen </w:t>
      </w:r>
      <w:r>
        <w:rPr>
          <w:rFonts w:ascii="Calibri" w:cs="Calibri" w:eastAsia="Calibri" w:hAnsi="Calibri"/>
          <w:b/>
          <w:bCs/>
          <w:sz w:val="21"/>
          <w:szCs w:val="21"/>
        </w:rPr>
        <w:t xml:space="preserve">veintiún documentos</w:t>
      </w:r>
      <w:r>
        <w:rPr>
          <w:rFonts w:ascii="Calibri" w:cs="Calibri" w:eastAsia="Calibri" w:hAnsi="Calibri"/>
          <w:sz w:val="21"/>
          <w:szCs w:val="21"/>
        </w:rPr>
        <w:t xml:space="preserve"> —el paso B-7 produce dos, el pliego técnico y el administrativo—, con su tramo, quién los firma y cuáles se publican; cinco de esos pasos son condicionales. Este cuadro los reagrupa por su origen, que es lo que pregunta quien tiene que informar o fiscalizar: </w:t>
      </w:r>
      <w:r>
        <w:rPr>
          <w:rFonts w:ascii="Calibri" w:cs="Calibri" w:eastAsia="Calibri" w:hAnsi="Calibri"/>
          <w:b/>
          <w:bCs/>
          <w:sz w:val="21"/>
          <w:szCs w:val="21"/>
        </w:rPr>
        <w:t xml:space="preserve">el primer bloque son documentos que la norma exige en cualquier expediente</w:t>
      </w:r>
      <w:r>
        <w:rPr>
          <w:rFonts w:ascii="Calibri" w:cs="Calibri" w:eastAsia="Calibri" w:hAnsi="Calibri"/>
          <w:sz w:val="21"/>
          <w:szCs w:val="21"/>
        </w:rPr>
        <w:t xml:space="preserve"> y que este catálogo no inventa —lo que hace es decir qué debe decir cada uno cuando hay componente tecnológico—; </w:t>
      </w:r>
      <w:r>
        <w:rPr>
          <w:rFonts w:ascii="Calibri" w:cs="Calibri" w:eastAsia="Calibri" w:hAnsi="Calibri"/>
          <w:b/>
          <w:bCs/>
          <w:sz w:val="21"/>
          <w:szCs w:val="21"/>
        </w:rPr>
        <w:t xml:space="preserve">el segundo son los que añade este catálogo</w:t>
      </w:r>
      <w:r>
        <w:rPr>
          <w:rFonts w:ascii="Calibri" w:cs="Calibri" w:eastAsia="Calibri" w:hAnsi="Calibri"/>
          <w:sz w:val="21"/>
          <w:szCs w:val="21"/>
        </w:rPr>
        <w:t xml:space="preserve">, que no son preceptivos por sí mismos pero son el soporte de la justificación que sí lo es. La columna de la derecha da el código de V.2.1 de cada uno.</w:t>
      </w:r>
    </w:p>
    <w:p>
      <w:pPr>
        <w:spacing w:after="140" w:line="276"/>
      </w:pPr>
      <w:r>
        <w:rPr>
          <w:rFonts w:ascii="Calibri" w:cs="Calibri" w:eastAsia="Calibri" w:hAnsi="Calibri"/>
          <w:b/>
          <w:bCs/>
          <w:sz w:val="21"/>
          <w:szCs w:val="21"/>
        </w:rPr>
        <w:t xml:space="preserve">Cómo cuadran los dos bloques, porque las filas no se suman sin más.</w:t>
      </w:r>
      <w:r>
        <w:rPr>
          <w:rFonts w:ascii="Calibri" w:cs="Calibri" w:eastAsia="Calibri" w:hAnsi="Calibri"/>
          <w:sz w:val="21"/>
          <w:szCs w:val="21"/>
        </w:rPr>
        <w:t xml:space="preserve"> El bloque A tiene </w:t>
      </w:r>
      <w:r>
        <w:rPr>
          <w:rFonts w:ascii="Calibri" w:cs="Calibri" w:eastAsia="Calibri" w:hAnsi="Calibri"/>
          <w:b/>
          <w:bCs/>
          <w:sz w:val="21"/>
          <w:szCs w:val="21"/>
        </w:rPr>
        <w:t xml:space="preserve">dieciocho</w:t>
      </w:r>
      <w:r>
        <w:rPr>
          <w:rFonts w:ascii="Calibri" w:cs="Calibri" w:eastAsia="Calibri" w:hAnsi="Calibri"/>
          <w:sz w:val="21"/>
          <w:szCs w:val="21"/>
        </w:rPr>
        <w:t xml:space="preserve"> filas y el bloque B, </w:t>
      </w:r>
      <w:r>
        <w:rPr>
          <w:rFonts w:ascii="Calibri" w:cs="Calibri" w:eastAsia="Calibri" w:hAnsi="Calibri"/>
          <w:b/>
          <w:bCs/>
          <w:sz w:val="21"/>
          <w:szCs w:val="21"/>
        </w:rPr>
        <w:t xml:space="preserve">ocho</w:t>
      </w:r>
      <w:r>
        <w:rPr>
          <w:rFonts w:ascii="Calibri" w:cs="Calibri" w:eastAsia="Calibri" w:hAnsi="Calibri"/>
          <w:sz w:val="21"/>
          <w:szCs w:val="21"/>
        </w:rPr>
        <w:t xml:space="preserve">; veintiséis filas para veintiún documentos. La diferencia no es un error de cuenta y conviene tenerla clara antes de armar el índice del expediente:</w:t>
      </w:r>
    </w:p>
    <w:p>
      <w:pPr>
        <w:pStyle w:val="ListParagraph"/>
        <w:numPr>
          <w:ilvl w:val="0"/>
          <w:numId w:val="1"/>
        </w:numPr>
        <w:spacing w:after="70" w:line="268"/>
      </w:pPr>
      <w:r>
        <w:rPr>
          <w:rFonts w:ascii="Calibri" w:cs="Calibri" w:eastAsia="Calibri" w:hAnsi="Calibri"/>
          <w:b/>
          <w:bCs/>
          <w:sz w:val="21"/>
          <w:szCs w:val="21"/>
        </w:rPr>
        <w:t xml:space="preserve">Dieciocho</w:t>
      </w:r>
      <w:r>
        <w:rPr>
          <w:rFonts w:ascii="Calibri" w:cs="Calibri" w:eastAsia="Calibri" w:hAnsi="Calibri"/>
          <w:sz w:val="21"/>
          <w:szCs w:val="21"/>
        </w:rPr>
        <w:t xml:space="preserve"> documentos los impone la norma: son las dieciocho filas del bloque A.</w:t>
      </w:r>
    </w:p>
    <w:p>
      <w:pPr>
        <w:pStyle w:val="ListParagraph"/>
        <w:numPr>
          <w:ilvl w:val="0"/>
          <w:numId w:val="1"/>
        </w:numPr>
        <w:spacing w:after="70" w:line="268"/>
      </w:pPr>
      <w:r>
        <w:rPr>
          <w:rFonts w:ascii="Calibri" w:cs="Calibri" w:eastAsia="Calibri" w:hAnsi="Calibri"/>
          <w:b/>
          <w:bCs/>
          <w:sz w:val="21"/>
          <w:szCs w:val="21"/>
        </w:rPr>
        <w:t xml:space="preserve">Tres</w:t>
      </w:r>
      <w:r>
        <w:rPr>
          <w:rFonts w:ascii="Calibri" w:cs="Calibri" w:eastAsia="Calibri" w:hAnsi="Calibri"/>
          <w:sz w:val="21"/>
          <w:szCs w:val="21"/>
        </w:rPr>
        <w:t xml:space="preserve"> los añade este catálogo como documentos propios, y son los que faltan hasta veintiuno: la Ficha de Aplicabilidad (A-3), la conformidad del servicio verificador (A-6) y la carpeta de defensa (C-6).</w:t>
      </w:r>
    </w:p>
    <w:p>
      <w:pPr>
        <w:pStyle w:val="ListParagraph"/>
        <w:numPr>
          <w:ilvl w:val="0"/>
          <w:numId w:val="1"/>
        </w:numPr>
        <w:spacing w:after="70" w:line="268"/>
      </w:pPr>
      <w:r>
        <w:rPr>
          <w:rFonts w:ascii="Calibri" w:cs="Calibri" w:eastAsia="Calibri" w:hAnsi="Calibri"/>
          <w:b/>
          <w:bCs/>
          <w:sz w:val="21"/>
          <w:szCs w:val="21"/>
        </w:rPr>
        <w:t xml:space="preserve">Otras tres</w:t>
      </w:r>
      <w:r>
        <w:rPr>
          <w:rFonts w:ascii="Calibri" w:cs="Calibri" w:eastAsia="Calibri" w:hAnsi="Calibri"/>
          <w:sz w:val="21"/>
          <w:szCs w:val="21"/>
        </w:rPr>
        <w:t xml:space="preserve"> filas del bloque B no son documentos nuevos, sino contenido que este catálogo mete dentro de un documento que la norma ya exige, y por eso comparten código con una fila del bloque A: el informe de necesidad tecnológica va dentro de A-1, la ficha por criterio dentro de B-5 y el Anexo V transcrito dentro de B-7.</w:t>
      </w:r>
    </w:p>
    <w:p>
      <w:pPr>
        <w:pStyle w:val="ListParagraph"/>
        <w:numPr>
          <w:ilvl w:val="0"/>
          <w:numId w:val="1"/>
        </w:numPr>
        <w:spacing w:after="70" w:line="268"/>
      </w:pPr>
      <w:r>
        <w:rPr>
          <w:rFonts w:ascii="Calibri" w:cs="Calibri" w:eastAsia="Calibri" w:hAnsi="Calibri"/>
          <w:b/>
          <w:bCs/>
          <w:sz w:val="21"/>
          <w:szCs w:val="21"/>
        </w:rPr>
        <w:t xml:space="preserve">Las dos restantes</w:t>
      </w:r>
      <w:r>
        <w:rPr>
          <w:rFonts w:ascii="Calibri" w:cs="Calibri" w:eastAsia="Calibri" w:hAnsi="Calibri"/>
          <w:sz w:val="21"/>
          <w:szCs w:val="21"/>
        </w:rPr>
        <w:t xml:space="preserve"> del bloque B no son pasos de ningún expediente: el acuerdo anual del órgano de gobierno es previo a todos ellos, y la lista de comprobación de V.10 se pasa antes de recabar el informe jurídico (C-1).</w:t>
      </w:r>
    </w:p>
    <w:p>
      <w:pPr>
        <w:spacing w:after="140" w:line="276"/>
      </w:pPr>
      <w:r>
        <w:rPr>
          <w:rFonts w:ascii="Calibri" w:cs="Calibri" w:eastAsia="Calibri" w:hAnsi="Calibri"/>
          <w:sz w:val="21"/>
          <w:szCs w:val="21"/>
        </w:rPr>
        <w:t xml:space="preserve">Dieciocho más tres son los veintiún documentos del expediente. Las otras cinco filas del bloque B se cuentan aparte porque no añaden entradas al índice.</w:t>
      </w:r>
    </w:p>
    <w:p>
      <w:pPr>
        <w:pStyle w:val="Heading3"/>
        <w:keepNext/>
        <w:spacing w:after="140" w:before="320"/>
      </w:pPr>
      <w:r>
        <w:rPr>
          <w:rFonts w:ascii="Georgia" w:cs="Georgia" w:eastAsia="Georgia" w:hAnsi="Georgia"/>
          <w:b/>
          <w:bCs/>
          <w:color w:val="2F5496"/>
          <w:sz w:val="22"/>
          <w:szCs w:val="22"/>
        </w:rPr>
        <w:t xml:space="preserve">A · Documentos que exige la norma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 lo emite o firma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Precepto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V.2.1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necesidad e idoneidad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 a propuesta del área gestora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28.1 y 116.4 LCSP (relación «directa, clara y proporcional», art. 116.4.e)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Consulta al directorio general de aplicaciones y justificación en términos de eficiencia si no se reutiliza una aplicación existente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157.3 de la Ley 40/2015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A-2 </w:t>
            </w:r>
            <w:r>
              <w:rPr>
                <w:rFonts w:ascii="Calibri" w:cs="Calibri" w:eastAsia="Calibri" w:hAnsi="Calibri"/>
                <w:b w:val="false"/>
                <w:bCs w:val="false"/>
                <w:i/>
                <w:iCs/>
                <w:sz w:val="18"/>
                <w:szCs w:val="18"/>
              </w:rPr>
              <w:t xml:space="preserve">(condicional)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Documento de categorización del sistema conforme al ENS y análisis de riesgos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Valoración: responsables de la información y de los servicios (art. 41.1). Categoría y Declaración de Aplicabilidad: responsable de la seguridad (arts. 41.2 y 28.2)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RD 311/2022, arts. 40, 41 y 28 y anexo I; forma de acreditación en su art. 38.1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Anuncio e informe de la consulta preliminar del mercado, si se realiza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115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A-5 </w:t>
            </w:r>
            <w:r>
              <w:rPr>
                <w:rFonts w:ascii="Calibri" w:cs="Calibri" w:eastAsia="Calibri" w:hAnsi="Calibri"/>
                <w:b w:val="false"/>
                <w:bCs w:val="false"/>
                <w:i/>
                <w:iCs/>
                <w:sz w:val="18"/>
                <w:szCs w:val="18"/>
              </w:rPr>
              <w:t xml:space="preserve">(condicional)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Cálculo y justificación del valor estimado y del presupuesto base de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Contratación, con el área gestora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100, 101 y 116.4.d)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Justificación de la elección del procedimiento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116.4.a)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B-2 </w:t>
            </w:r>
            <w:r>
              <w:rPr>
                <w:rFonts w:ascii="Calibri" w:cs="Calibri" w:eastAsia="Calibri" w:hAnsi="Calibri"/>
                <w:b w:val="false"/>
                <w:bCs w:val="false"/>
                <w:i/>
                <w:iCs/>
                <w:sz w:val="18"/>
                <w:szCs w:val="18"/>
              </w:rPr>
              <w:t xml:space="preserve">(condicional a efectos de publicidad)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Justificación de la decisión de no dividir en lotes, si no se divide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116.4.g)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insuficiencia de medios propios, en contratos de servicios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Área gestora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116.4.f)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B-4 </w:t>
            </w:r>
            <w:r>
              <w:rPr>
                <w:rFonts w:ascii="Calibri" w:cs="Calibri" w:eastAsia="Calibri" w:hAnsi="Calibri"/>
                <w:b w:val="false"/>
                <w:bCs w:val="false"/>
                <w:i/>
                <w:iCs/>
                <w:sz w:val="18"/>
                <w:szCs w:val="18"/>
              </w:rPr>
              <w:t xml:space="preserve">(condicional)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Justificación </w:t>
            </w:r>
            <w:r>
              <w:rPr>
                <w:rFonts w:ascii="Calibri" w:cs="Calibri" w:eastAsia="Calibri" w:hAnsi="Calibri"/>
                <w:b/>
                <w:bCs/>
                <w:sz w:val="18"/>
                <w:szCs w:val="18"/>
              </w:rPr>
              <w:t xml:space="preserve">específica</w:t>
            </w:r>
            <w:r>
              <w:rPr>
                <w:rFonts w:ascii="Calibri" w:cs="Calibri" w:eastAsia="Calibri" w:hAnsi="Calibri"/>
                <w:b w:val="false"/>
                <w:bCs w:val="false"/>
                <w:sz w:val="18"/>
                <w:szCs w:val="18"/>
              </w:rPr>
              <w:t xml:space="preserve"> de los criterios de solvencia, de los criterios de adjudicación y de las condiciones especiales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116.2 LCSP (así lo aplica la Res. TACP Madrid 383/2024)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Declaración de conflicto de interés y constancia de la participación previa de terceros en la preparación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Cada interviniente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64 y 70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B-6</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Pliego de prescripciones técnicas particulares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Área gestora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126 LCSP (prescripciones y admisión de equivalentes)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Pliego de cláusulas administrativas particulares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122 LCSP; su apartado 2 obliga a calificar como esenciales las obligaciones sobre ubicación de los servidores y sobre su subcontratación </w:t>
            </w:r>
            <w:r>
              <w:rPr>
                <w:rFonts w:ascii="Calibri" w:cs="Calibri" w:eastAsia="Calibri" w:hAnsi="Calibri"/>
                <w:b/>
                <w:bCs/>
                <w:sz w:val="18"/>
                <w:szCs w:val="18"/>
              </w:rPr>
              <w:t xml:space="preserve">sólo en los contratos cuya ejecución requiera el tratamiento por el contratista de datos personales por cuenta del responsable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justificativa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 o servicio proponente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116.4 LCSP; su publicación, art. 63.3.a)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B-8</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jurídico preceptivo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Asesoría Jurídica (municipios de gran población) o Secretaría (régimen común)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disposición adicional 3.ª.8 LCSP, en relación con la disposición adicional 8.ª de la Ley 7/1985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Certificado de existencia de crédito o documento equivalente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Intervención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116.3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fiscalización previa, con la valoración de las repercusiones en la estabilidad presupuestaria y la sostenibilidad financiera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Intervención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116.3 y disposición adicional 3.ª.3 LCSP; RD 424/2017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Resolución de aprobación del expediente, apertura del procedimiento y aprobación del gasto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117.1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Anuncio de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63 y 135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C-5</w:t>
            </w:r>
          </w:p>
        </w:tc>
      </w:tr>
    </w:tbl>
    <w:p>
      <w:pPr>
        <w:spacing w:after="200"/>
      </w:pPr>
    </w:p>
    <w:p>
      <w:pPr>
        <w:spacing w:after="140" w:line="276"/>
      </w:pPr>
      <w:r>
        <w:rPr>
          <w:rFonts w:ascii="Calibri" w:cs="Calibri" w:eastAsia="Calibri" w:hAnsi="Calibri"/>
          <w:sz w:val="21"/>
          <w:szCs w:val="21"/>
        </w:rPr>
        <w:t xml:space="preserve">La </w:t>
      </w:r>
      <w:r>
        <w:rPr>
          <w:rFonts w:ascii="Calibri" w:cs="Calibri" w:eastAsia="Calibri" w:hAnsi="Calibri"/>
          <w:b/>
          <w:bCs/>
          <w:sz w:val="21"/>
          <w:szCs w:val="21"/>
        </w:rPr>
        <w:t xml:space="preserve">publicación en el perfil de contratante</w:t>
      </w:r>
      <w:r>
        <w:rPr>
          <w:rFonts w:ascii="Calibri" w:cs="Calibri" w:eastAsia="Calibri" w:hAnsi="Calibri"/>
          <w:sz w:val="21"/>
          <w:szCs w:val="21"/>
        </w:rPr>
        <w:t xml:space="preserve"> de la motivación de la necesidad y del resto de documentación preparatoria (arts. 116.1 y 63.3.a) LCSP) no es un documento más: es el régimen que se aplica a varios de los anteriores. Qué se publica y cuándo, en la Parte V, V.3.</w:t>
      </w:r>
    </w:p>
    <w:p>
      <w:pPr>
        <w:pStyle w:val="Heading3"/>
        <w:keepNext/>
        <w:spacing w:after="140" w:before="320"/>
      </w:pPr>
      <w:r>
        <w:rPr>
          <w:rFonts w:ascii="Georgia" w:cs="Georgia" w:eastAsia="Georgia" w:hAnsi="Georgia"/>
          <w:b/>
          <w:bCs/>
          <w:color w:val="2F5496"/>
          <w:sz w:val="22"/>
          <w:szCs w:val="22"/>
        </w:rPr>
        <w:t xml:space="preserve">B · Documentos que añade este catálogo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 lo firma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Función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Modelo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V.2.1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Acuerdo del órgano de gobierno que aprueba el plan municipal y el Anexo V del ejercicio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gobierno municipal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Da rango institucional a las necesidades que no impone ninguna norma ni pide ningún gestor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VIII (acuerdo) y Anexo XV (resolución de aprobación anual del Anexo 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Paso previo anual, fuera del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Ficha de aplicabilidad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Gestor, o servicio competente según la vía de firma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 de cierre: lo que no tiene ficha, no entra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necesidad tecnológica del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Área gestora y servicio competente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Desarrolla el punto anterior por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Ficha por criterio y hoja de comprobación del baremo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Evita el doble cómputo y comprueba los límites del baremo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V del ejercicio, recortado y transcrito al 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Área gestora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Convierte la evolución en obligación determinada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 de comprobación del expediente, con la tabla consolidada de parámetros y umbrales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 que revisa el habilitado antes de informar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V, V.10, y Anexo X</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Previo a C-1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Conformidad expresa del servicio verificador con la carga anual de verificación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Jefe del servicio que ha de verificar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Impide incorporar cláusulas cuya verificación nadie asume: se recaba cuando la carga estimada supera el umbral del §7.9.2 de la Parte 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 §7.9.2, y casilla de cierre del Anexo 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A-6 </w:t>
            </w:r>
            <w:r>
              <w:rPr>
                <w:rFonts w:ascii="Calibri" w:cs="Calibri" w:eastAsia="Calibri" w:hAnsi="Calibri"/>
                <w:b w:val="false"/>
                <w:bCs w:val="false"/>
                <w:i/>
                <w:iCs/>
                <w:sz w:val="18"/>
                <w:szCs w:val="18"/>
              </w:rPr>
              <w:t xml:space="preserve">(condicional)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Carpeta de defensa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Preparar la remisión del expediente y el informe del art. 56.2 LCSP antes de publicar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V, V.6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C-6</w:t>
            </w:r>
          </w:p>
        </w:tc>
      </w:tr>
    </w:tbl>
    <w:p>
      <w:pPr>
        <w:spacing w:after="200"/>
      </w:pP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0.6 Los tres casos con alcance limitado, y qué sí cabe en cada uno</w:t>
      </w:r>
    </w:p>
    <w:p>
      <w:pPr>
        <w:spacing w:after="140" w:line="276"/>
      </w:pPr>
      <w:r>
        <w:rPr>
          <w:rFonts w:ascii="Calibri" w:cs="Calibri" w:eastAsia="Calibri" w:hAnsi="Calibri"/>
          <w:sz w:val="21"/>
          <w:szCs w:val="21"/>
        </w:rPr>
        <w:t xml:space="preserve">Este apartado no es un descargo: es una parte esencial de la guía. La mayor parte de los expedientes que firma un ayuntamiento no son procedimientos abiertos con pliegos propios, y si no se dice qué hacer en los otros casos, el catálogo sólo sirve para una minoría del trabajo real. </w:t>
      </w:r>
      <w:r>
        <w:rPr>
          <w:rFonts w:ascii="Calibri" w:cs="Calibri" w:eastAsia="Calibri" w:hAnsi="Calibri"/>
          <w:b/>
          <w:bCs/>
          <w:sz w:val="21"/>
          <w:szCs w:val="21"/>
        </w:rPr>
        <w:t xml:space="preserve">Ninguno de los tres queda fuera del catálogo: en los tres cabe algo, y en dos de ellos bastante.</w:t>
      </w:r>
      <w:r>
        <w:rPr>
          <w:rFonts w:ascii="Calibri" w:cs="Calibri" w:eastAsia="Calibri" w:hAnsi="Calibri"/>
          <w:sz w:val="21"/>
          <w:szCs w:val="21"/>
        </w:rPr>
        <w:t xml:space="preserve"> Lo que cambia es el alcance, porque cambia el instrumento contractual disponible. Aquí se dice, caso por caso, hasta dónde llega y qué se puede hacer. </w:t>
      </w:r>
      <w:r>
        <w:rPr>
          <w:rFonts w:ascii="Calibri" w:cs="Calibri" w:eastAsia="Calibri" w:hAnsi="Calibri"/>
          <w:b/>
          <w:bCs/>
          <w:sz w:val="21"/>
          <w:szCs w:val="21"/>
        </w:rPr>
        <w:t xml:space="preserve">La regla está en la Parte I §2.4 y en la Parte V, V.7; la lista cerrada del contrato menor está sólo en la Parte V, V.7.1. Este apartado los explica y no los sustituye.</w:t>
      </w:r>
    </w:p>
    <w:p>
      <w:pPr>
        <w:pStyle w:val="Heading3"/>
        <w:keepNext/>
        <w:spacing w:after="140" w:before="320"/>
      </w:pPr>
      <w:r>
        <w:rPr>
          <w:rFonts w:ascii="Georgia" w:cs="Georgia" w:eastAsia="Georgia" w:hAnsi="Georgia"/>
          <w:b/>
          <w:bCs/>
          <w:color w:val="2F5496"/>
          <w:sz w:val="22"/>
          <w:szCs w:val="22"/>
        </w:rPr>
        <w:t xml:space="preserve">Caso 1 · Contratos menores</w:t>
      </w:r>
    </w:p>
    <w:p>
      <w:pPr>
        <w:spacing w:after="140" w:line="276"/>
      </w:pPr>
      <w:r>
        <w:rPr>
          <w:rFonts w:ascii="Calibri" w:cs="Calibri" w:eastAsia="Calibri" w:hAnsi="Calibri"/>
          <w:b/>
          <w:bCs/>
          <w:sz w:val="21"/>
          <w:szCs w:val="21"/>
        </w:rPr>
        <w:t xml:space="preserve">Hasta dónde llega el catálogo aquí.</w:t>
      </w:r>
      <w:r>
        <w:rPr>
          <w:rFonts w:ascii="Calibri" w:cs="Calibri" w:eastAsia="Calibri" w:hAnsi="Calibri"/>
          <w:sz w:val="21"/>
          <w:szCs w:val="21"/>
        </w:rPr>
        <w:t xml:space="preserve"> El contrato menor se tramita sin pliego de cláusulas administrativas particulares y sin pliego de prescripciones técnicas particulares. Este catálogo es, íntegramente, un catálogo de cláusulas de pliego: no hay documento donde copiarlas. Y aunque lo hubiera, un régimen de evolución tecnológica con comisión de seguimiento, plan anual, actas de aceptación y ensayo de reversibilidad es manifiestamente desproporcionado para un gasto de esa cuantía y duración.</w:t>
      </w:r>
    </w:p>
    <w:p>
      <w:pPr>
        <w:spacing w:after="140" w:line="276"/>
      </w:pPr>
      <w:r>
        <w:rPr>
          <w:rFonts w:ascii="Calibri" w:cs="Calibri" w:eastAsia="Calibri" w:hAnsi="Calibri"/>
          <w:b/>
          <w:bCs/>
          <w:sz w:val="21"/>
          <w:szCs w:val="21"/>
        </w:rPr>
        <w:t xml:space="preserve">Qué SÍ se puede hacer.</w:t>
      </w:r>
      <w:r>
        <w:rPr>
          <w:rFonts w:ascii="Calibri" w:cs="Calibri" w:eastAsia="Calibri" w:hAnsi="Calibri"/>
          <w:sz w:val="21"/>
          <w:szCs w:val="21"/>
        </w:rPr>
        <w:t xml:space="preserve"> Hay una lista cerrada de exigencias que sí caben en el encargo o en la aceptación de la oferta, y ninguna más. Está en la </w:t>
      </w:r>
      <w:r>
        <w:rPr>
          <w:rFonts w:ascii="Calibri" w:cs="Calibri" w:eastAsia="Calibri" w:hAnsi="Calibri"/>
          <w:b/>
          <w:bCs/>
          <w:sz w:val="21"/>
          <w:szCs w:val="21"/>
        </w:rPr>
        <w:t xml:space="preserve">Parte V, V.7.1</w:t>
      </w:r>
      <w:r>
        <w:rPr>
          <w:rFonts w:ascii="Calibri" w:cs="Calibri" w:eastAsia="Calibri" w:hAnsi="Calibri"/>
          <w:sz w:val="21"/>
          <w:szCs w:val="21"/>
        </w:rPr>
        <w:t xml:space="preserve">, escrita con letras, y ése es el único sitio del documento donde está: aquí no se reproduce ni se cuenta, para que no puedan existir dos versiones ni dos recuentos de la misma lista. </w:t>
      </w:r>
      <w:r>
        <w:rPr>
          <w:rFonts w:ascii="Calibri" w:cs="Calibri" w:eastAsia="Calibri" w:hAnsi="Calibri"/>
          <w:b/>
          <w:bCs/>
          <w:sz w:val="21"/>
          <w:szCs w:val="21"/>
        </w:rPr>
        <w:t xml:space="preserve">La razón de que esas exigencias sí quepan sin pliego, y de que las demás no, es una sola: las de V.7.1 obligan porque las impone una norma que se aplica también al contrato menor; las cláusulas de este catálogo obligan porque están escritas en un pliego, y aquí no hay pliego.</w:t>
      </w:r>
      <w:r>
        <w:rPr>
          <w:rFonts w:ascii="Calibri" w:cs="Calibri" w:eastAsia="Calibri" w:hAnsi="Calibri"/>
          <w:sz w:val="21"/>
          <w:szCs w:val="21"/>
        </w:rPr>
        <w:t xml:space="preserve"> Además, y fuera de esa lista, cabe usar el contrato menor como </w:t>
      </w:r>
      <w:r>
        <w:rPr>
          <w:rFonts w:ascii="Calibri" w:cs="Calibri" w:eastAsia="Calibri" w:hAnsi="Calibri"/>
          <w:b/>
          <w:bCs/>
          <w:sz w:val="21"/>
          <w:szCs w:val="21"/>
        </w:rPr>
        <w:t xml:space="preserve">prueba de concepto</w:t>
      </w:r>
      <w:r>
        <w:rPr>
          <w:rFonts w:ascii="Calibri" w:cs="Calibri" w:eastAsia="Calibri" w:hAnsi="Calibri"/>
          <w:sz w:val="21"/>
          <w:szCs w:val="21"/>
        </w:rPr>
        <w:t xml:space="preserve"> para preparar la licitación siguiente, documentando lo aprendido: eso alimenta el contraste de mercado del paso previo anual.</w:t>
      </w:r>
    </w:p>
    <w:p>
      <w:pPr>
        <w:spacing w:after="140" w:line="276"/>
      </w:pPr>
      <w:r>
        <w:rPr>
          <w:rFonts w:ascii="Calibri" w:cs="Calibri" w:eastAsia="Calibri" w:hAnsi="Calibri"/>
          <w:b/>
          <w:bCs/>
          <w:sz w:val="21"/>
          <w:szCs w:val="21"/>
        </w:rPr>
        <w:t xml:space="preserve">Qué NO se puede hacer.</w:t>
      </w:r>
    </w:p>
    <w:p>
      <w:pPr>
        <w:pStyle w:val="ListParagraph"/>
        <w:numPr>
          <w:ilvl w:val="0"/>
          <w:numId w:val="1"/>
        </w:numPr>
        <w:spacing w:after="70" w:line="268"/>
      </w:pPr>
      <w:r>
        <w:rPr>
          <w:rFonts w:ascii="Calibri" w:cs="Calibri" w:eastAsia="Calibri" w:hAnsi="Calibri"/>
          <w:sz w:val="21"/>
          <w:szCs w:val="21"/>
        </w:rPr>
        <w:t xml:space="preserve">Introducir condiciones especiales de ejecución, penalidades tipificadas, obligaciones esenciales con efecto resolutorio ni criterios de adjudicación: son instrumentos que presuponen pliegos y un procedimiento de adjudicación que aquí no existe.</w:t>
      </w:r>
    </w:p>
    <w:p>
      <w:pPr>
        <w:pStyle w:val="ListParagraph"/>
        <w:numPr>
          <w:ilvl w:val="0"/>
          <w:numId w:val="1"/>
        </w:numPr>
        <w:spacing w:after="70" w:line="268"/>
      </w:pPr>
      <w:r>
        <w:rPr>
          <w:rFonts w:ascii="Calibri" w:cs="Calibri" w:eastAsia="Calibri" w:hAnsi="Calibri"/>
          <w:b/>
          <w:bCs/>
          <w:sz w:val="21"/>
          <w:szCs w:val="21"/>
        </w:rPr>
        <w:t xml:space="preserve">Fraccionar</w:t>
      </w:r>
      <w:r>
        <w:rPr>
          <w:rFonts w:ascii="Calibri" w:cs="Calibri" w:eastAsia="Calibri" w:hAnsi="Calibri"/>
          <w:sz w:val="21"/>
          <w:szCs w:val="21"/>
        </w:rPr>
        <w:t xml:space="preserve"> un objeto para llevarlo a menor y esquivar así el pliego (arts. 118.2 y 101.4 LCSP). Es el vicio que primero se detecta y no lo cura ninguna cláusula.</w:t>
      </w:r>
    </w:p>
    <w:p>
      <w:pPr>
        <w:pStyle w:val="ListParagraph"/>
        <w:numPr>
          <w:ilvl w:val="0"/>
          <w:numId w:val="1"/>
        </w:numPr>
        <w:spacing w:after="70" w:line="268"/>
      </w:pPr>
      <w:r>
        <w:rPr>
          <w:rFonts w:ascii="Calibri" w:cs="Calibri" w:eastAsia="Calibri" w:hAnsi="Calibri"/>
          <w:sz w:val="21"/>
          <w:szCs w:val="21"/>
        </w:rPr>
        <w:t xml:space="preserve">Exigir el Anexo V del ejercicio. Si un objeto necesita el Anexo V, ese objeto no es un contrato menor.</w:t>
      </w:r>
    </w:p>
    <w:p>
      <w:pPr>
        <w:pStyle w:val="Heading3"/>
        <w:keepNext/>
        <w:spacing w:after="140" w:before="320"/>
      </w:pPr>
      <w:r>
        <w:rPr>
          <w:rFonts w:ascii="Georgia" w:cs="Georgia" w:eastAsia="Georgia" w:hAnsi="Georgia"/>
          <w:b/>
          <w:bCs/>
          <w:color w:val="2F5496"/>
          <w:sz w:val="22"/>
          <w:szCs w:val="22"/>
        </w:rPr>
        <w:t xml:space="preserve">Caso 2 · Contratos basados en un acuerdo marco y adhesiones a centrales de compra</w:t>
      </w:r>
    </w:p>
    <w:p>
      <w:pPr>
        <w:spacing w:after="140" w:line="276"/>
      </w:pPr>
      <w:r>
        <w:rPr>
          <w:rFonts w:ascii="Calibri" w:cs="Calibri" w:eastAsia="Calibri" w:hAnsi="Calibri"/>
          <w:b/>
          <w:bCs/>
          <w:sz w:val="21"/>
          <w:szCs w:val="21"/>
        </w:rPr>
        <w:t xml:space="preserve">Hasta dónde llega el catálogo aquí.</w:t>
      </w:r>
      <w:r>
        <w:rPr>
          <w:rFonts w:ascii="Calibri" w:cs="Calibri" w:eastAsia="Calibri" w:hAnsi="Calibri"/>
          <w:sz w:val="21"/>
          <w:szCs w:val="21"/>
        </w:rPr>
        <w:t xml:space="preserve"> En estos casos las condiciones ya están fijadas por el acuerdo marco o por el catálogo de la central de contratación, que se licitó antes y por otro órgano. Quien se adhiere o contrata al amparo de ellos </w:t>
      </w:r>
      <w:r>
        <w:rPr>
          <w:rFonts w:ascii="Calibri" w:cs="Calibri" w:eastAsia="Calibri" w:hAnsi="Calibri"/>
          <w:b/>
          <w:bCs/>
          <w:sz w:val="21"/>
          <w:szCs w:val="21"/>
        </w:rPr>
        <w:t xml:space="preserve">no puede añadir obligaciones nuevas al adjudicatario</w:t>
      </w:r>
      <w:r>
        <w:rPr>
          <w:rFonts w:ascii="Calibri" w:cs="Calibri" w:eastAsia="Calibri" w:hAnsi="Calibri"/>
          <w:sz w:val="21"/>
          <w:szCs w:val="21"/>
        </w:rPr>
        <w:t xml:space="preserve">: hacerlo altera las condiciones en que se compitió y perjudica a quienes quedaron fuera. Es el caso en el que la respuesta correcta es, casi siempre, «aquí no».</w:t>
      </w:r>
    </w:p>
    <w:p>
      <w:pPr>
        <w:spacing w:after="140" w:line="276"/>
      </w:pPr>
      <w:r>
        <w:rPr>
          <w:rFonts w:ascii="Calibri" w:cs="Calibri" w:eastAsia="Calibri" w:hAnsi="Calibri"/>
          <w:b/>
          <w:bCs/>
          <w:sz w:val="21"/>
          <w:szCs w:val="21"/>
        </w:rPr>
        <w:t xml:space="preserve">Qué SÍ se puede hacer.</w:t>
      </w:r>
    </w:p>
    <w:p>
      <w:pPr>
        <w:pStyle w:val="ListParagraph"/>
        <w:numPr>
          <w:ilvl w:val="0"/>
          <w:numId w:val="1"/>
        </w:numPr>
        <w:spacing w:after="70" w:line="268"/>
      </w:pPr>
      <w:r>
        <w:rPr>
          <w:rFonts w:ascii="Calibri" w:cs="Calibri" w:eastAsia="Calibri" w:hAnsi="Calibri"/>
          <w:b/>
          <w:bCs/>
          <w:sz w:val="21"/>
          <w:szCs w:val="21"/>
        </w:rPr>
        <w:t xml:space="preserve">Elegir dentro de lo que el acuerdo marco ya ofrece.</w:t>
      </w:r>
      <w:r>
        <w:rPr>
          <w:rFonts w:ascii="Calibri" w:cs="Calibri" w:eastAsia="Calibri" w:hAnsi="Calibri"/>
          <w:sz w:val="21"/>
          <w:szCs w:val="21"/>
        </w:rPr>
        <w:t xml:space="preserve"> Si el catálogo contempla módulos, niveles de servicio o funcionalidades opcionales que coincidan con lo que este catálogo persigue, se seleccionan y se motiva la elección en el expediente. Esa motivación sí es del ayuntamiento adherido.</w:t>
      </w:r>
    </w:p>
    <w:p>
      <w:pPr>
        <w:pStyle w:val="ListParagraph"/>
        <w:numPr>
          <w:ilvl w:val="0"/>
          <w:numId w:val="1"/>
        </w:numPr>
        <w:spacing w:after="70" w:line="268"/>
      </w:pPr>
      <w:r>
        <w:rPr>
          <w:rFonts w:ascii="Calibri" w:cs="Calibri" w:eastAsia="Calibri" w:hAnsi="Calibri"/>
          <w:b/>
          <w:bCs/>
          <w:sz w:val="21"/>
          <w:szCs w:val="21"/>
        </w:rPr>
        <w:t xml:space="preserve">Usar el margen que el propio acuerdo marco reserve</w:t>
      </w:r>
      <w:r>
        <w:rPr>
          <w:rFonts w:ascii="Calibri" w:cs="Calibri" w:eastAsia="Calibri" w:hAnsi="Calibri"/>
          <w:sz w:val="21"/>
          <w:szCs w:val="21"/>
        </w:rPr>
        <w:t xml:space="preserve"> a la fase de contrato basado: cuando el acuerdo marco prevé expresamente una nueva licitación entre sus adjudicatarios o deja abiertos determinados extremos, ahí, y sólo ahí, caben cláusulas de este catálogo, con el mismo trabajo de necesidad y ficha de los pasos 1 y 2.</w:t>
      </w:r>
    </w:p>
    <w:p>
      <w:pPr>
        <w:pStyle w:val="ListParagraph"/>
        <w:numPr>
          <w:ilvl w:val="0"/>
          <w:numId w:val="1"/>
        </w:numPr>
        <w:spacing w:after="70" w:line="268"/>
      </w:pPr>
      <w:r>
        <w:rPr>
          <w:rFonts w:ascii="Calibri" w:cs="Calibri" w:eastAsia="Calibri" w:hAnsi="Calibri"/>
          <w:b/>
          <w:bCs/>
          <w:sz w:val="21"/>
          <w:szCs w:val="21"/>
        </w:rPr>
        <w:t xml:space="preserve">Trasladar la exigencia a quien sí puede incorporarla</w:t>
      </w:r>
      <w:r>
        <w:rPr>
          <w:rFonts w:ascii="Calibri" w:cs="Calibri" w:eastAsia="Calibri" w:hAnsi="Calibri"/>
          <w:sz w:val="21"/>
          <w:szCs w:val="21"/>
        </w:rPr>
        <w:t xml:space="preserve">: dirigir al órgano titular del acuerdo marco o a la central de contratación una propuesta motivada para la siguiente licitación, aportando el texto de este catálogo. Es lento, pero es el único camino con efecto real.</w:t>
      </w:r>
    </w:p>
    <w:p>
      <w:pPr>
        <w:pStyle w:val="ListParagraph"/>
        <w:numPr>
          <w:ilvl w:val="0"/>
          <w:numId w:val="1"/>
        </w:numPr>
        <w:spacing w:after="70" w:line="268"/>
      </w:pPr>
      <w:r>
        <w:rPr>
          <w:rFonts w:ascii="Calibri" w:cs="Calibri" w:eastAsia="Calibri" w:hAnsi="Calibri"/>
          <w:b/>
          <w:bCs/>
          <w:sz w:val="21"/>
          <w:szCs w:val="21"/>
        </w:rPr>
        <w:t xml:space="preserve">Documentar la limitación en el expediente.</w:t>
      </w:r>
      <w:r>
        <w:rPr>
          <w:rFonts w:ascii="Calibri" w:cs="Calibri" w:eastAsia="Calibri" w:hAnsi="Calibri"/>
          <w:sz w:val="21"/>
          <w:szCs w:val="21"/>
        </w:rPr>
        <w:t xml:space="preserve"> Si la necesidad existe y el instrumento no permite atenderla, se hace constar, y esa constancia es la que justifica que la siguiente contratación no vaya por esta vía.</w:t>
      </w:r>
    </w:p>
    <w:p>
      <w:pPr>
        <w:spacing w:after="140" w:line="276"/>
      </w:pPr>
      <w:r>
        <w:rPr>
          <w:rFonts w:ascii="Calibri" w:cs="Calibri" w:eastAsia="Calibri" w:hAnsi="Calibri"/>
          <w:b/>
          <w:bCs/>
          <w:sz w:val="21"/>
          <w:szCs w:val="21"/>
        </w:rPr>
        <w:t xml:space="preserve">Qué NO se puede hacer.</w:t>
      </w:r>
    </w:p>
    <w:p>
      <w:pPr>
        <w:pStyle w:val="ListParagraph"/>
        <w:numPr>
          <w:ilvl w:val="0"/>
          <w:numId w:val="1"/>
        </w:numPr>
        <w:spacing w:after="70" w:line="268"/>
      </w:pPr>
      <w:r>
        <w:rPr>
          <w:rFonts w:ascii="Calibri" w:cs="Calibri" w:eastAsia="Calibri" w:hAnsi="Calibri"/>
          <w:sz w:val="21"/>
          <w:szCs w:val="21"/>
        </w:rPr>
        <w:t xml:space="preserve">Añadir en el contrato basado o en la adhesión condiciones especiales de ejecución, obligaciones esenciales o penalidades que no estén previstas en el acuerdo marco.</w:t>
      </w:r>
    </w:p>
    <w:p>
      <w:pPr>
        <w:pStyle w:val="ListParagraph"/>
        <w:numPr>
          <w:ilvl w:val="0"/>
          <w:numId w:val="1"/>
        </w:numPr>
        <w:spacing w:after="70" w:line="268"/>
      </w:pPr>
      <w:r>
        <w:rPr>
          <w:rFonts w:ascii="Calibri" w:cs="Calibri" w:eastAsia="Calibri" w:hAnsi="Calibri"/>
          <w:sz w:val="21"/>
          <w:szCs w:val="21"/>
        </w:rPr>
        <w:t xml:space="preserve">Puntuar en una nueva licitación entre adjudicatarios criterios que no estuvieran contemplados en el acuerdo marco.</w:t>
      </w:r>
    </w:p>
    <w:p>
      <w:pPr>
        <w:pStyle w:val="ListParagraph"/>
        <w:numPr>
          <w:ilvl w:val="0"/>
          <w:numId w:val="1"/>
        </w:numPr>
        <w:spacing w:after="70" w:line="268"/>
      </w:pPr>
      <w:r>
        <w:rPr>
          <w:rFonts w:ascii="Calibri" w:cs="Calibri" w:eastAsia="Calibri" w:hAnsi="Calibri"/>
          <w:sz w:val="21"/>
          <w:szCs w:val="21"/>
        </w:rPr>
        <w:t xml:space="preserve">Aceptar que el proveedor «lo incluya de palabra». Lo que no está en el instrumento no es exigible ni penalizable, y en dos años nadie recordará quién lo dijo.</w:t>
      </w:r>
    </w:p>
    <w:p>
      <w:pPr>
        <w:pStyle w:val="Heading3"/>
        <w:keepNext/>
        <w:spacing w:after="140" w:before="320"/>
      </w:pPr>
      <w:r>
        <w:rPr>
          <w:rFonts w:ascii="Georgia" w:cs="Georgia" w:eastAsia="Georgia" w:hAnsi="Georgia"/>
          <w:b/>
          <w:bCs/>
          <w:color w:val="2F5496"/>
          <w:sz w:val="22"/>
          <w:szCs w:val="22"/>
        </w:rPr>
        <w:t xml:space="preserve">Caso 3 · Prórrogas de contratos ya en vigor</w:t>
      </w:r>
    </w:p>
    <w:p>
      <w:pPr>
        <w:spacing w:after="140" w:line="276"/>
      </w:pPr>
      <w:r>
        <w:rPr>
          <w:rFonts w:ascii="Calibri" w:cs="Calibri" w:eastAsia="Calibri" w:hAnsi="Calibri"/>
          <w:b/>
          <w:bCs/>
          <w:sz w:val="21"/>
          <w:szCs w:val="21"/>
        </w:rPr>
        <w:t xml:space="preserve">Hasta dónde llega el catálogo aquí.</w:t>
      </w:r>
      <w:r>
        <w:rPr>
          <w:rFonts w:ascii="Calibri" w:cs="Calibri" w:eastAsia="Calibri" w:hAnsi="Calibri"/>
          <w:sz w:val="21"/>
          <w:szCs w:val="21"/>
        </w:rPr>
        <w:t xml:space="preserve"> La prórroga es la continuación del mismo contrato en las mismas condiciones. No es el momento de introducir obligaciones nuevas: introducir una obligación nueva no es prorrogar, es </w:t>
      </w:r>
      <w:r>
        <w:rPr>
          <w:rFonts w:ascii="Calibri" w:cs="Calibri" w:eastAsia="Calibri" w:hAnsi="Calibri"/>
          <w:b/>
          <w:bCs/>
          <w:sz w:val="21"/>
          <w:szCs w:val="21"/>
        </w:rPr>
        <w:t xml:space="preserve">modificar</w:t>
      </w:r>
      <w:r>
        <w:rPr>
          <w:rFonts w:ascii="Calibri" w:cs="Calibri" w:eastAsia="Calibri" w:hAnsi="Calibri"/>
          <w:sz w:val="21"/>
          <w:szCs w:val="21"/>
        </w:rPr>
        <w:t xml:space="preserve">, y la modificación tiene su propio régimen y sus propios límites (arts. 203 y 204 LCSP). Presentar como prórroga lo que es una modificación es un vicio del expediente, y además coloca al Ayuntamiento en la peor posición negociadora posible, porque el adjudicatario sabe que la alternativa es quedarse sin servicio.</w:t>
      </w:r>
    </w:p>
    <w:p>
      <w:pPr>
        <w:spacing w:after="140" w:line="276"/>
      </w:pPr>
      <w:r>
        <w:rPr>
          <w:rFonts w:ascii="Calibri" w:cs="Calibri" w:eastAsia="Calibri" w:hAnsi="Calibri"/>
          <w:b/>
          <w:bCs/>
          <w:sz w:val="21"/>
          <w:szCs w:val="21"/>
        </w:rPr>
        <w:t xml:space="preserve">Qué SÍ se puede hacer.</w:t>
      </w:r>
    </w:p>
    <w:p>
      <w:pPr>
        <w:pStyle w:val="ListParagraph"/>
        <w:numPr>
          <w:ilvl w:val="0"/>
          <w:numId w:val="1"/>
        </w:numPr>
        <w:spacing w:after="70" w:line="268"/>
      </w:pPr>
      <w:r>
        <w:rPr>
          <w:rFonts w:ascii="Calibri" w:cs="Calibri" w:eastAsia="Calibri" w:hAnsi="Calibri"/>
          <w:b/>
          <w:bCs/>
          <w:sz w:val="21"/>
          <w:szCs w:val="21"/>
        </w:rPr>
        <w:t xml:space="preserve">Ejercer lo que el contrato ya dice.</w:t>
      </w:r>
      <w:r>
        <w:rPr>
          <w:rFonts w:ascii="Calibri" w:cs="Calibri" w:eastAsia="Calibri" w:hAnsi="Calibri"/>
          <w:sz w:val="21"/>
          <w:szCs w:val="21"/>
        </w:rPr>
        <w:t xml:space="preserve"> Muchas veces la obligación existe y no se ha exigido: entrega de documentación, acceso a los datos, actualización de versiones dentro del mantenimiento contratado, niveles de servicio. Antes de pedir nada nuevo, léase el contrato vigente: la primera palanca suele estar dentro.</w:t>
      </w:r>
    </w:p>
    <w:p>
      <w:pPr>
        <w:pStyle w:val="ListParagraph"/>
        <w:numPr>
          <w:ilvl w:val="0"/>
          <w:numId w:val="1"/>
        </w:numPr>
        <w:spacing w:after="70" w:line="268"/>
      </w:pPr>
      <w:r>
        <w:rPr>
          <w:rFonts w:ascii="Calibri" w:cs="Calibri" w:eastAsia="Calibri" w:hAnsi="Calibri"/>
          <w:b/>
          <w:bCs/>
          <w:sz w:val="21"/>
          <w:szCs w:val="21"/>
        </w:rPr>
        <w:t xml:space="preserve">Modificar, si la modificación estaba prevista</w:t>
      </w:r>
      <w:r>
        <w:rPr>
          <w:rFonts w:ascii="Calibri" w:cs="Calibri" w:eastAsia="Calibri" w:hAnsi="Calibri"/>
          <w:sz w:val="21"/>
          <w:szCs w:val="21"/>
        </w:rPr>
        <w:t xml:space="preserve"> en el pliego con la precisión que exigen los artículos 203 y 204 LCSP, y dentro de su límite y su porcentaje. Si no estaba prevista, la vía es la que corresponda conforme a la LCSP, con informe previo, y no la prórroga.</w:t>
      </w:r>
    </w:p>
    <w:p>
      <w:pPr>
        <w:pStyle w:val="ListParagraph"/>
        <w:numPr>
          <w:ilvl w:val="0"/>
          <w:numId w:val="1"/>
        </w:numPr>
        <w:spacing w:after="70" w:line="268"/>
      </w:pPr>
      <w:r>
        <w:rPr>
          <w:rFonts w:ascii="Calibri" w:cs="Calibri" w:eastAsia="Calibri" w:hAnsi="Calibri"/>
          <w:b/>
          <w:bCs/>
          <w:sz w:val="21"/>
          <w:szCs w:val="21"/>
        </w:rPr>
        <w:t xml:space="preserve">Acordar lo que no cueste dinero ni altere el equilibrio del contrato</w:t>
      </w:r>
      <w:r>
        <w:rPr>
          <w:rFonts w:ascii="Calibri" w:cs="Calibri" w:eastAsia="Calibri" w:hAnsi="Calibri"/>
          <w:sz w:val="21"/>
          <w:szCs w:val="21"/>
        </w:rPr>
        <w:t xml:space="preserve">, por acuerdo documentado entre las partes: por ejemplo, la entrega del diccionario de datos o la realización de un ensayo de reversibilidad, cuando el contratista lo acepte y quede en acta. Es voluntario y así debe constar.</w:t>
      </w:r>
    </w:p>
    <w:p>
      <w:pPr>
        <w:pStyle w:val="ListParagraph"/>
        <w:numPr>
          <w:ilvl w:val="0"/>
          <w:numId w:val="1"/>
        </w:numPr>
        <w:spacing w:after="70" w:line="268"/>
      </w:pPr>
      <w:r>
        <w:rPr>
          <w:rFonts w:ascii="Calibri" w:cs="Calibri" w:eastAsia="Calibri" w:hAnsi="Calibri"/>
          <w:b/>
          <w:bCs/>
          <w:sz w:val="21"/>
          <w:szCs w:val="21"/>
        </w:rPr>
        <w:t xml:space="preserve">Preparar la licitación siguiente durante la prórroga.</w:t>
      </w:r>
      <w:r>
        <w:rPr>
          <w:rFonts w:ascii="Calibri" w:cs="Calibri" w:eastAsia="Calibri" w:hAnsi="Calibri"/>
          <w:sz w:val="21"/>
          <w:szCs w:val="21"/>
        </w:rPr>
        <w:t xml:space="preserve"> Es el uso más rentable de este catálogo en un contrato vivo: el periodo de prórroga es el momento de exigir el </w:t>
      </w:r>
      <w:r>
        <w:rPr>
          <w:rFonts w:ascii="Calibri" w:cs="Calibri" w:eastAsia="Calibri" w:hAnsi="Calibri"/>
          <w:b/>
          <w:bCs/>
          <w:sz w:val="21"/>
          <w:szCs w:val="21"/>
        </w:rPr>
        <w:t xml:space="preserve">Dossier de Reversibilidad</w:t>
      </w:r>
      <w:r>
        <w:rPr>
          <w:rFonts w:ascii="Calibri" w:cs="Calibri" w:eastAsia="Calibri" w:hAnsi="Calibri"/>
          <w:sz w:val="21"/>
          <w:szCs w:val="21"/>
        </w:rPr>
        <w:t xml:space="preserve"> que ya deba entregarse, de calcular el valor estimado del contrato sucesor y de redactar con tiempo el expediente completo. Un contrato prorrogado es un contrato con fecha de caducidad conocida; no hay excusa para llegar tarde.</w:t>
      </w:r>
    </w:p>
    <w:p>
      <w:pPr>
        <w:spacing w:after="140" w:line="276"/>
      </w:pPr>
      <w:r>
        <w:rPr>
          <w:rFonts w:ascii="Calibri" w:cs="Calibri" w:eastAsia="Calibri" w:hAnsi="Calibri"/>
          <w:b/>
          <w:bCs/>
          <w:sz w:val="21"/>
          <w:szCs w:val="21"/>
        </w:rPr>
        <w:t xml:space="preserve">Qué NO se puede hacer.</w:t>
      </w:r>
    </w:p>
    <w:p>
      <w:pPr>
        <w:pStyle w:val="ListParagraph"/>
        <w:numPr>
          <w:ilvl w:val="0"/>
          <w:numId w:val="1"/>
        </w:numPr>
        <w:spacing w:after="70" w:line="268"/>
      </w:pPr>
      <w:r>
        <w:rPr>
          <w:rFonts w:ascii="Calibri" w:cs="Calibri" w:eastAsia="Calibri" w:hAnsi="Calibri"/>
          <w:sz w:val="21"/>
          <w:szCs w:val="21"/>
        </w:rPr>
        <w:t xml:space="preserve">Añadir a la resolución de prórroga condiciones especiales de ejecución, obligaciones esenciales, penalidades o exigencias del Anexo V.</w:t>
      </w:r>
    </w:p>
    <w:p>
      <w:pPr>
        <w:pStyle w:val="ListParagraph"/>
        <w:numPr>
          <w:ilvl w:val="0"/>
          <w:numId w:val="1"/>
        </w:numPr>
        <w:spacing w:after="70" w:line="268"/>
      </w:pPr>
      <w:r>
        <w:rPr>
          <w:rFonts w:ascii="Calibri" w:cs="Calibri" w:eastAsia="Calibri" w:hAnsi="Calibri"/>
          <w:sz w:val="21"/>
          <w:szCs w:val="21"/>
        </w:rPr>
        <w:t xml:space="preserve">Aplicar a un contrato vivo un Anexo V aprobado después de su licitación. Al contrato sólo le resultan exigibles las capacidades del Anexo vigente el día en que se licitó, y esa limitación es consustancial al modelo: es precisamente lo que hace que el modelo sea defendible.</w:t>
      </w:r>
    </w:p>
    <w:p>
      <w:pPr>
        <w:pStyle w:val="ListParagraph"/>
        <w:numPr>
          <w:ilvl w:val="0"/>
          <w:numId w:val="1"/>
        </w:numPr>
        <w:spacing w:after="70" w:line="268"/>
      </w:pPr>
      <w:r>
        <w:rPr>
          <w:rFonts w:ascii="Calibri" w:cs="Calibri" w:eastAsia="Calibri" w:hAnsi="Calibri"/>
          <w:sz w:val="21"/>
          <w:szCs w:val="21"/>
        </w:rPr>
        <w:t xml:space="preserve">Condicionar la prórroga a que el contratista acepte obligaciones nuevas. Aunque acepte, el expediente queda tocado.</w:t>
      </w:r>
    </w:p>
    <w:p>
      <w:pPr>
        <w:spacing w:after="140" w:line="276"/>
      </w:pPr>
      <w:r>
        <w:rPr>
          <w:rFonts w:ascii="Calibri" w:cs="Calibri" w:eastAsia="Calibri" w:hAnsi="Calibri"/>
          <w:i/>
          <w:iCs/>
          <w:sz w:val="21"/>
          <w:szCs w:val="21"/>
        </w:rPr>
        <w:t xml:space="preserve">Caso distinto y frecuente: el contrato ya formalizado con la versión 2.0 de este clausulado. Qué se puede hacer con él, y qué no, está en el </w:t>
      </w:r>
      <w:r>
        <w:rPr>
          <w:rFonts w:ascii="Calibri" w:cs="Calibri" w:eastAsia="Calibri" w:hAnsi="Calibri"/>
          <w:i/>
          <w:iCs/>
          <w:sz w:val="21"/>
          <w:szCs w:val="21"/>
        </w:rPr>
        <w:t xml:space="preserve">Anexo XXIV</w:t>
      </w:r>
      <w:r>
        <w:rPr>
          <w:rFonts w:ascii="Calibri" w:cs="Calibri" w:eastAsia="Calibri" w:hAnsi="Calibri"/>
          <w:i/>
          <w:iCs/>
          <w:sz w:val="21"/>
          <w:szCs w:val="21"/>
        </w:rPr>
        <w:t xml:space="preserve">.</w:t>
      </w:r>
    </w:p>
    <w:p>
      <w:pPr>
        <w:pStyle w:val="Heading3"/>
        <w:keepNext/>
        <w:spacing w:after="140" w:before="320"/>
      </w:pPr>
      <w:r>
        <w:rPr>
          <w:rFonts w:ascii="Georgia" w:cs="Georgia" w:eastAsia="Georgia" w:hAnsi="Georgia"/>
          <w:b/>
          <w:bCs/>
          <w:color w:val="2F5496"/>
          <w:sz w:val="22"/>
          <w:szCs w:val="22"/>
        </w:rPr>
        <w:t xml:space="preserve">Regla común a los tres casos</w:t>
      </w:r>
    </w:p>
    <w:p>
      <w:pPr>
        <w:spacing w:after="140" w:line="276"/>
      </w:pPr>
      <w:r>
        <w:rPr>
          <w:rFonts w:ascii="Calibri" w:cs="Calibri" w:eastAsia="Calibri" w:hAnsi="Calibri"/>
          <w:sz w:val="21"/>
          <w:szCs w:val="21"/>
        </w:rPr>
        <w:t xml:space="preserve">En los tres, la conclusión operativa es la misma y conviene escribirla en el expediente cuando se dé el caso: </w:t>
      </w:r>
      <w:r>
        <w:rPr>
          <w:rFonts w:ascii="Calibri" w:cs="Calibri" w:eastAsia="Calibri" w:hAnsi="Calibri"/>
          <w:b/>
          <w:bCs/>
          <w:sz w:val="21"/>
          <w:szCs w:val="21"/>
        </w:rPr>
        <w:t xml:space="preserve">la necesidad se documenta aunque no pueda atenderse ahora</w:t>
      </w:r>
      <w:r>
        <w:rPr>
          <w:rFonts w:ascii="Calibri" w:cs="Calibri" w:eastAsia="Calibri" w:hAnsi="Calibri"/>
          <w:sz w:val="21"/>
          <w:szCs w:val="21"/>
        </w:rPr>
        <w:t xml:space="preserve">. Un informe de tres líneas que diga «existe esta necesidad, este instrumento no permite incorporarla, se incorporará en la contratación de [fecha]» hace tres cosas a la vez: justifica no haberla exigido, prepara el expediente siguiente y acredita ante la Intervención que la eficacia y la eficiencia se están vigilando. Es el uso del catálogo que más veces se va a dar en la práctica.</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0.7 Cómo saber que se tiene la versión vigente</w:t>
      </w:r>
    </w:p>
    <w:p>
      <w:pPr>
        <w:spacing w:after="140" w:line="276"/>
      </w:pPr>
      <w:r>
        <w:rPr>
          <w:rFonts w:ascii="Calibri" w:cs="Calibri" w:eastAsia="Calibri" w:hAnsi="Calibri"/>
          <w:sz w:val="21"/>
          <w:szCs w:val="21"/>
        </w:rPr>
        <w:t xml:space="preserve">Un documento que se publica en abierto y que se copia por correo electrónico se convierte, en seis meses, en cinco documentos distintos. Lo mínimo que hay que saber:</w:t>
      </w:r>
    </w:p>
    <w:p>
      <w:pPr>
        <w:pStyle w:val="ListParagraph"/>
        <w:numPr>
          <w:ilvl w:val="0"/>
          <w:numId w:val="1"/>
        </w:numPr>
        <w:spacing w:after="70" w:line="268"/>
      </w:pPr>
      <w:r>
        <w:rPr>
          <w:rFonts w:ascii="Calibri" w:cs="Calibri" w:eastAsia="Calibri" w:hAnsi="Calibri"/>
          <w:sz w:val="21"/>
          <w:szCs w:val="21"/>
        </w:rPr>
        <w:t xml:space="preserve">Hay un único </w:t>
      </w:r>
      <w:r>
        <w:rPr>
          <w:rFonts w:ascii="Calibri" w:cs="Calibri" w:eastAsia="Calibri" w:hAnsi="Calibri"/>
          <w:b/>
          <w:bCs/>
          <w:sz w:val="21"/>
          <w:szCs w:val="21"/>
        </w:rPr>
        <w:t xml:space="preserve">ejemplar maestro</w:t>
      </w:r>
      <w:r>
        <w:rPr>
          <w:rFonts w:ascii="Calibri" w:cs="Calibri" w:eastAsia="Calibri" w:hAnsi="Calibri"/>
          <w:sz w:val="21"/>
          <w:szCs w:val="21"/>
        </w:rPr>
        <w:t xml:space="preserve">, con número de versión, fecha de aprobación, fecha de corte normativa y huella digital; todo lo demás son copias.</w:t>
      </w:r>
    </w:p>
    <w:p>
      <w:pPr>
        <w:pStyle w:val="ListParagraph"/>
        <w:numPr>
          <w:ilvl w:val="0"/>
          <w:numId w:val="1"/>
        </w:numPr>
        <w:spacing w:after="70" w:line="268"/>
      </w:pPr>
      <w:r>
        <w:rPr>
          <w:rFonts w:ascii="Calibri" w:cs="Calibri" w:eastAsia="Calibri" w:hAnsi="Calibri"/>
          <w:sz w:val="21"/>
          <w:szCs w:val="21"/>
        </w:rPr>
        <w:t xml:space="preserve">Todo pliego que use este catálogo cita </w:t>
      </w:r>
      <w:r>
        <w:rPr>
          <w:rFonts w:ascii="Calibri" w:cs="Calibri" w:eastAsia="Calibri" w:hAnsi="Calibri"/>
          <w:b/>
          <w:bCs/>
          <w:sz w:val="21"/>
          <w:szCs w:val="21"/>
        </w:rPr>
        <w:t xml:space="preserve">la versión del catálogo y la versión y fecha del Anexo V</w:t>
      </w:r>
      <w:r>
        <w:rPr>
          <w:rFonts w:ascii="Calibri" w:cs="Calibri" w:eastAsia="Calibri" w:hAnsi="Calibri"/>
          <w:sz w:val="21"/>
          <w:szCs w:val="21"/>
        </w:rPr>
        <w:t xml:space="preserve"> que ha transcrito, y escribe los códigos de cláusula siempre con versión (</w:t>
      </w:r>
      <w:r>
        <w:rPr>
          <w:rFonts w:ascii="Calibri" w:cs="Calibri" w:eastAsia="Calibri" w:hAnsi="Calibri"/>
          <w:color w:val="2F5496"/>
          <w:sz w:val="21"/>
          <w:szCs w:val="21"/>
        </w:rPr>
        <w:t xml:space="preserve">DT-7·v3</w:t>
      </w:r>
      <w:r>
        <w:rPr>
          <w:rFonts w:ascii="Calibri" w:cs="Calibri" w:eastAsia="Calibri" w:hAnsi="Calibri"/>
          <w:sz w:val="21"/>
          <w:szCs w:val="21"/>
        </w:rPr>
        <w:t xml:space="preserve">, </w:t>
      </w:r>
      <w:r>
        <w:rPr>
          <w:rFonts w:ascii="Calibri" w:cs="Calibri" w:eastAsia="Calibri" w:hAnsi="Calibri"/>
          <w:color w:val="2F5496"/>
          <w:sz w:val="21"/>
          <w:szCs w:val="21"/>
        </w:rPr>
        <w:t xml:space="preserve">ADM-2·v3</w:t>
      </w:r>
      <w:r>
        <w:rPr>
          <w:rFonts w:ascii="Calibri" w:cs="Calibri" w:eastAsia="Calibri" w:hAnsi="Calibri"/>
          <w:sz w:val="21"/>
          <w:szCs w:val="21"/>
        </w:rPr>
        <w:t xml:space="preserve">): un pliego que cite «ADM-2» a secas no se sabe a qué texto remite.</w:t>
      </w:r>
    </w:p>
    <w:p>
      <w:pPr>
        <w:spacing w:after="140" w:line="276"/>
      </w:pPr>
      <w:r>
        <w:rPr>
          <w:rFonts w:ascii="Calibri" w:cs="Calibri" w:eastAsia="Calibri" w:hAnsi="Calibri"/>
          <w:b/>
          <w:bCs/>
          <w:sz w:val="21"/>
          <w:szCs w:val="21"/>
        </w:rPr>
        <w:t xml:space="preserve">El régimen completo de custodia y versionado —dónde vive el maestro, qué naturaleza tiene el acto de aprobación, qué se revisa cada año y qué no— está en la Parte V, V.8.</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PARTE I · DISPOSICIONES GENERALES Y REGLAS DE INTEGRACIÓN</w:t>
      </w:r>
    </w:p>
    <w:p>
      <w:pPr>
        <w:spacing w:after="140" w:line="276"/>
      </w:pPr>
      <w:r>
        <w:rPr>
          <w:rFonts w:ascii="Calibri" w:cs="Calibri" w:eastAsia="Calibri" w:hAnsi="Calibri"/>
          <w:sz w:val="21"/>
          <w:szCs w:val="21"/>
        </w:rPr>
        <w:t xml:space="preserve">Esta Parte I no se copia a ningún pliego, salvo los bloques expresamente marcados como texto de pliego: el del apartado §4.2 (referencias técnicas no normativas), los del apartado §5.2 (definiciones) y los del apartado §7.10 (cláusula de integración e interpretación). Todo lo demás es régimen interno del catálogo: explica de dónde nace cada exigencia, qué instrumento contractual le corresponde y qué límites tiene. Un pliego que reciba las cargas de este catálogo sin transcribir los límites del §7.10 estará peor redactado que si no lo hubiera usado; esa es la razón de que la regla de transcripción exista y sea obligatoria.</w:t>
      </w:r>
    </w:p>
    <w:p>
      <w:pPr>
        <w:spacing w:after="140" w:line="276"/>
      </w:pPr>
      <w:r>
        <w:rPr>
          <w:rFonts w:ascii="Calibri" w:cs="Calibri" w:eastAsia="Calibri" w:hAnsi="Calibri"/>
          <w:sz w:val="21"/>
          <w:szCs w:val="21"/>
        </w:rPr>
        <w:t xml:space="preserve">Fecha de corte de toda la información normativa y doctrinal de este documento: </w:t>
      </w:r>
      <w:r>
        <w:rPr>
          <w:rFonts w:ascii="Calibri" w:cs="Calibri" w:eastAsia="Calibri" w:hAnsi="Calibri"/>
          <w:b/>
          <w:bCs/>
          <w:sz w:val="21"/>
          <w:szCs w:val="21"/>
        </w:rPr>
        <w:t xml:space="preserve">1 de septiembre de 2026</w:t>
      </w:r>
      <w:r>
        <w:rPr>
          <w:rFonts w:ascii="Calibri" w:cs="Calibri" w:eastAsia="Calibri" w:hAnsi="Calibri"/>
          <w:sz w:val="21"/>
          <w:szCs w:val="21"/>
        </w:rPr>
        <w:t xml:space="preserve">. Las fechas de exigibilidad y las referencias que caducan se recogen, con esa misma fecha de corte, en el Anexo XI (Vigencia normativa).</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§1. Objeto, naturaleza y regla de uso</w:t>
      </w:r>
    </w:p>
    <w:p>
      <w:pPr>
        <w:pStyle w:val="Heading3"/>
        <w:keepNext/>
        <w:spacing w:after="140" w:before="320"/>
      </w:pPr>
      <w:r>
        <w:rPr>
          <w:rFonts w:ascii="Georgia" w:cs="Georgia" w:eastAsia="Georgia" w:hAnsi="Georgia"/>
          <w:b/>
          <w:bCs/>
          <w:color w:val="2F5496"/>
          <w:sz w:val="22"/>
          <w:szCs w:val="22"/>
        </w:rPr>
        <w:t xml:space="preserve">1.1 Objeto</w:t>
      </w:r>
    </w:p>
    <w:p>
      <w:pPr>
        <w:spacing w:after="140" w:line="276"/>
      </w:pPr>
      <w:r>
        <w:rPr>
          <w:rFonts w:ascii="Calibri" w:cs="Calibri" w:eastAsia="Calibri" w:hAnsi="Calibri"/>
          <w:sz w:val="21"/>
          <w:szCs w:val="21"/>
        </w:rPr>
        <w:t xml:space="preserve">Este documento reúne, ordena y motiva las cláusulas de contenido tecnológico —inteligencia artificial, agentes de inteligencia artificial, automatización, interoperabilidad, seguridad, servicios de confianza y reversibilidad— que el Ayuntamiento puede incorporar a los Pliegos de Prescripciones Técnicas (PPT) y de Cláusulas Administrativas Particulares (PCAP) de sus contratos, junto con los documentos de expediente que cada una de ellas exige.</w:t>
      </w:r>
    </w:p>
    <w:p>
      <w:pPr>
        <w:spacing w:after="140" w:line="276"/>
      </w:pPr>
      <w:r>
        <w:rPr>
          <w:rFonts w:ascii="Calibri" w:cs="Calibri" w:eastAsia="Calibri" w:hAnsi="Calibri"/>
          <w:sz w:val="21"/>
          <w:szCs w:val="21"/>
        </w:rPr>
        <w:t xml:space="preserve">Para cada cláusula, el documento entrega cinco cosas y solamente esas cinco: el texto literal que se copia al pliego, el pliego y el apartado donde va, la necesidad y la norma o el acto del que nace, el medio de acreditación y de verificación con su actor y su periodicidad, y la consecuencia tasada de su incumplimiento.</w:t>
      </w:r>
    </w:p>
    <w:p>
      <w:pPr>
        <w:pStyle w:val="Heading3"/>
        <w:keepNext/>
        <w:spacing w:after="140" w:before="320"/>
      </w:pPr>
      <w:r>
        <w:rPr>
          <w:rFonts w:ascii="Georgia" w:cs="Georgia" w:eastAsia="Georgia" w:hAnsi="Georgia"/>
          <w:b/>
          <w:bCs/>
          <w:color w:val="2F5496"/>
          <w:sz w:val="22"/>
          <w:szCs w:val="22"/>
        </w:rPr>
        <w:t xml:space="preserve">1.2 Naturaleza: catálogo de aplicación motivada</w:t>
      </w:r>
    </w:p>
    <w:p>
      <w:pPr>
        <w:spacing w:after="140" w:line="276"/>
      </w:pPr>
      <w:r>
        <w:rPr>
          <w:rFonts w:ascii="Calibri" w:cs="Calibri" w:eastAsia="Calibri" w:hAnsi="Calibri"/>
          <w:sz w:val="21"/>
          <w:szCs w:val="21"/>
        </w:rPr>
        <w:t xml:space="preserve">Este documento es un </w:t>
      </w:r>
      <w:r>
        <w:rPr>
          <w:rFonts w:ascii="Calibri" w:cs="Calibri" w:eastAsia="Calibri" w:hAnsi="Calibri"/>
          <w:b/>
          <w:bCs/>
          <w:sz w:val="21"/>
          <w:szCs w:val="21"/>
        </w:rPr>
        <w:t xml:space="preserve">catálogo de aplicación motivada</w:t>
      </w:r>
      <w:r>
        <w:rPr>
          <w:rFonts w:ascii="Calibri" w:cs="Calibri" w:eastAsia="Calibri" w:hAnsi="Calibri"/>
          <w:sz w:val="21"/>
          <w:szCs w:val="21"/>
        </w:rPr>
        <w:t xml:space="preserve">. No es una norma, no es un pliego, no es una instrucción de obligado cumplimiento y no se aplica solo.</w:t>
      </w:r>
    </w:p>
    <w:p>
      <w:pPr>
        <w:spacing w:after="140" w:line="276"/>
      </w:pPr>
      <w:r>
        <w:rPr>
          <w:rFonts w:ascii="Calibri" w:cs="Calibri" w:eastAsia="Calibri" w:hAnsi="Calibri"/>
          <w:sz w:val="21"/>
          <w:szCs w:val="21"/>
        </w:rPr>
        <w:t xml:space="preserve">Desaparece, respecto de la versión 2.0, la definición del clausulado como texto «para su incorporación transversal en los Pliegos […] de cualquier licitación del Ayuntamiento, con independencia del área gestora». Esa fórmula describía exactamente lo que el artículo 116.4.e) de la Ley 9/2017, de 8 de noviembre, de Contratos del Sector Público (en adelante, LCSP) no admite: una exigencia incorporada al pliego sin relación acreditada con el objeto de ese contrato. El precepto exige que en el expediente conste «la necesidad de la Administración a la que se pretende dar satisfacción mediante la contratación de las prestaciones correspondientes; y su relación con el objeto del contrato, que deberá ser directa, clara y proporcional» (</w:t>
      </w:r>
      <w:hyperlink w:history="1" r:id="rIdclu-wkrbwsjpqxm6_pga5">
        <w:r>
          <w:rPr>
            <w:rFonts w:ascii="Calibri" w:cs="Calibri" w:eastAsia="Calibri" w:hAnsi="Calibri"/>
            <w:color w:val="2F5496"/>
            <w:sz w:val="21"/>
            <w:szCs w:val="21"/>
            <w:u w:val="single"/>
          </w:rPr>
          <w:t xml:space="preserve">LCSP, texto consolidado</w:t>
        </w:r>
      </w:hyperlink>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De esa naturaleza se derivan tres consecuencias que gobiernan todo el documento:</w:t>
      </w:r>
    </w:p>
    <w:p>
      <w:pPr>
        <w:pStyle w:val="ListParagraph"/>
        <w:numPr>
          <w:ilvl w:val="0"/>
          <w:numId w:val="2"/>
        </w:numPr>
        <w:spacing w:after="70" w:line="268"/>
      </w:pPr>
      <w:r>
        <w:rPr>
          <w:rFonts w:ascii="Calibri" w:cs="Calibri" w:eastAsia="Calibri" w:hAnsi="Calibri"/>
          <w:b/>
          <w:bCs/>
          <w:sz w:val="21"/>
          <w:szCs w:val="21"/>
        </w:rPr>
        <w:t xml:space="preserve">Ninguna cláusula está incorporada por el hecho de figurar aquí.</w:t>
      </w:r>
      <w:r>
        <w:rPr>
          <w:rFonts w:ascii="Calibri" w:cs="Calibri" w:eastAsia="Calibri" w:hAnsi="Calibri"/>
          <w:sz w:val="21"/>
          <w:szCs w:val="21"/>
        </w:rPr>
        <w:t xml:space="preserve"> La aprobación de este catálogo no incorpora nada a ningún pliego.</w:t>
      </w:r>
    </w:p>
    <w:p>
      <w:pPr>
        <w:pStyle w:val="ListParagraph"/>
        <w:numPr>
          <w:ilvl w:val="0"/>
          <w:numId w:val="2"/>
        </w:numPr>
        <w:spacing w:after="70" w:line="268"/>
      </w:pPr>
      <w:r>
        <w:rPr>
          <w:rFonts w:ascii="Calibri" w:cs="Calibri" w:eastAsia="Calibri" w:hAnsi="Calibri"/>
          <w:b/>
          <w:bCs/>
          <w:sz w:val="21"/>
          <w:szCs w:val="21"/>
        </w:rPr>
        <w:t xml:space="preserve">La aprobación de este catálogo no sustituye a la memoria justificativa de ningún expediente.</w:t>
      </w:r>
      <w:r>
        <w:rPr>
          <w:rFonts w:ascii="Calibri" w:cs="Calibri" w:eastAsia="Calibri" w:hAnsi="Calibri"/>
          <w:sz w:val="21"/>
          <w:szCs w:val="21"/>
        </w:rPr>
        <w:t xml:space="preserve"> La motivación de cada exigencia se hace en la memoria del expediente concreto, y allí es donde se juega su validez (§3.8).</w:t>
      </w:r>
    </w:p>
    <w:p>
      <w:pPr>
        <w:pStyle w:val="ListParagraph"/>
        <w:numPr>
          <w:ilvl w:val="0"/>
          <w:numId w:val="2"/>
        </w:numPr>
        <w:spacing w:after="70" w:line="268"/>
      </w:pPr>
      <w:r>
        <w:rPr>
          <w:rFonts w:ascii="Calibri" w:cs="Calibri" w:eastAsia="Calibri" w:hAnsi="Calibri"/>
          <w:b/>
          <w:bCs/>
          <w:sz w:val="21"/>
          <w:szCs w:val="21"/>
        </w:rPr>
        <w:t xml:space="preserve">Lo que no supere el circuito de motivación del §3 se marca NO APLICA y no entra en el pliego.</w:t>
      </w:r>
      <w:r>
        <w:rPr>
          <w:rFonts w:ascii="Calibri" w:cs="Calibri" w:eastAsia="Calibri" w:hAnsi="Calibri"/>
          <w:sz w:val="21"/>
          <w:szCs w:val="21"/>
        </w:rPr>
        <w:t xml:space="preserve"> No entra «por si acaso», ni «porque estaba en el modelo», ni «porque lo lleva el contrato anterior».</w:t>
      </w:r>
    </w:p>
    <w:p>
      <w:pPr>
        <w:pStyle w:val="Heading3"/>
        <w:keepNext/>
        <w:spacing w:after="140" w:before="320"/>
      </w:pPr>
      <w:r>
        <w:rPr>
          <w:rFonts w:ascii="Georgia" w:cs="Georgia" w:eastAsia="Georgia" w:hAnsi="Georgia"/>
          <w:b/>
          <w:bCs/>
          <w:color w:val="2F5496"/>
          <w:sz w:val="22"/>
          <w:szCs w:val="22"/>
        </w:rPr>
        <w:t xml:space="preserve">1.3 Regla de uso (regla de cierre)</w:t>
      </w:r>
    </w:p>
    <w:p>
      <w:pPr>
        <w:spacing w:after="140" w:line="276"/>
      </w:pPr>
      <w:r>
        <w:rPr>
          <w:rFonts w:ascii="Calibri" w:cs="Calibri" w:eastAsia="Calibri" w:hAnsi="Calibri"/>
          <w:sz w:val="21"/>
          <w:szCs w:val="21"/>
        </w:rPr>
        <w:t xml:space="preserve">Ninguna cláusula de las Partes II y III se incorpora a un PPT o a un PCAP sin que conste previamente en el expediente la Ficha de Aplicabilidad del Anexo II, cumplimentada y firmada, con identificación del origen de la necesidad conforme al §3 y con la motivación de la relación directa, clara y proporcional con el objeto de ese contrato. En su defecto, la cláusula se marca NO APLICA.</w:t>
      </w:r>
    </w:p>
    <w:p>
      <w:pPr>
        <w:spacing w:after="140" w:line="276"/>
      </w:pPr>
      <w:r>
        <w:rPr>
          <w:rFonts w:ascii="Calibri" w:cs="Calibri" w:eastAsia="Calibri" w:hAnsi="Calibri"/>
          <w:sz w:val="21"/>
          <w:szCs w:val="21"/>
        </w:rPr>
        <w:t xml:space="preserve">La firma de la ficha corresponde a un actor distinto según el origen de la necesidad. La doble vía de firma se detalla en el §3.7 y es condición de validez de la ficha: una ficha firmada por quien no puede declarar esa necesidad es una ficha sin motivación.</w:t>
      </w:r>
    </w:p>
    <w:p>
      <w:pPr>
        <w:pStyle w:val="Heading3"/>
        <w:keepNext/>
        <w:spacing w:after="140" w:before="320"/>
      </w:pPr>
      <w:r>
        <w:rPr>
          <w:rFonts w:ascii="Georgia" w:cs="Georgia" w:eastAsia="Georgia" w:hAnsi="Georgia"/>
          <w:b/>
          <w:bCs/>
          <w:color w:val="2F5496"/>
          <w:sz w:val="22"/>
          <w:szCs w:val="22"/>
        </w:rPr>
        <w:t xml:space="preserve">1.4 Lo que este documento no promete</w:t>
      </w:r>
    </w:p>
    <w:p>
      <w:pPr>
        <w:spacing w:after="140" w:line="276"/>
      </w:pPr>
      <w:r>
        <w:rPr>
          <w:rFonts w:ascii="Calibri" w:cs="Calibri" w:eastAsia="Calibri" w:hAnsi="Calibri"/>
          <w:sz w:val="21"/>
          <w:szCs w:val="21"/>
        </w:rPr>
        <w:t xml:space="preserve">Este documento </w:t>
      </w:r>
      <w:r>
        <w:rPr>
          <w:rFonts w:ascii="Calibri" w:cs="Calibri" w:eastAsia="Calibri" w:hAnsi="Calibri"/>
          <w:b/>
          <w:bCs/>
          <w:sz w:val="21"/>
          <w:szCs w:val="21"/>
        </w:rPr>
        <w:t xml:space="preserve">no promete que un tribunal no pueda anular un pliego</w:t>
      </w:r>
      <w:r>
        <w:rPr>
          <w:rFonts w:ascii="Calibri" w:cs="Calibri" w:eastAsia="Calibri" w:hAnsi="Calibri"/>
          <w:sz w:val="21"/>
          <w:szCs w:val="21"/>
        </w:rPr>
        <w:t xml:space="preserve"> que incorpore estas cláusulas. No consta, a fecha de corte 01/09/2026 y tras búsqueda en los repositorios del Tribunal Administrativo Central de Recursos Contractuales, del Tribunal Administrativo de Contratación Pública de la Comunidad de Madrid y del OARC/KEAO, resolución alguna sobre condiciones especiales de ejecución de contenido tecnológico-evolutivo, sobre interfaces de acceso para agentes de inteligencia artificial, sobre la ISO/IEC 42001 como criterio de adjudicación, sobre demostraciones funcionales de software ni sobre infraestructuras de registro distribuido en pliegos. El primer pliego recurrido sobre estas materias creará el precedente.</w:t>
      </w:r>
    </w:p>
    <w:p>
      <w:pPr>
        <w:spacing w:after="140" w:line="276"/>
      </w:pPr>
      <w:r>
        <w:rPr>
          <w:rFonts w:ascii="Calibri" w:cs="Calibri" w:eastAsia="Calibri" w:hAnsi="Calibri"/>
          <w:sz w:val="21"/>
          <w:szCs w:val="21"/>
        </w:rPr>
        <w:t xml:space="preserve">Lo que sí se promete, porque es diseñable y comprobable línea a línea:</w:t>
      </w:r>
    </w:p>
    <w:p>
      <w:pPr>
        <w:pStyle w:val="ListParagraph"/>
        <w:numPr>
          <w:ilvl w:val="0"/>
          <w:numId w:val="1"/>
        </w:numPr>
        <w:spacing w:after="70" w:line="268"/>
      </w:pPr>
      <w:r>
        <w:rPr>
          <w:rFonts w:ascii="Calibri" w:cs="Calibri" w:eastAsia="Calibri" w:hAnsi="Calibri"/>
          <w:sz w:val="21"/>
          <w:szCs w:val="21"/>
        </w:rPr>
        <w:t xml:space="preserve">cada exigencia tiene un </w:t>
      </w:r>
      <w:r>
        <w:rPr>
          <w:rFonts w:ascii="Calibri" w:cs="Calibri" w:eastAsia="Calibri" w:hAnsi="Calibri"/>
          <w:b/>
          <w:bCs/>
          <w:sz w:val="21"/>
          <w:szCs w:val="21"/>
        </w:rPr>
        <w:t xml:space="preserve">origen de necesidad identificado</w:t>
      </w:r>
      <w:r>
        <w:rPr>
          <w:rFonts w:ascii="Calibri" w:cs="Calibri" w:eastAsia="Calibri" w:hAnsi="Calibri"/>
          <w:sz w:val="21"/>
          <w:szCs w:val="21"/>
        </w:rPr>
        <w:t xml:space="preserve"> y escrito;</w:t>
      </w:r>
    </w:p>
    <w:p>
      <w:pPr>
        <w:pStyle w:val="ListParagraph"/>
        <w:numPr>
          <w:ilvl w:val="0"/>
          <w:numId w:val="1"/>
        </w:numPr>
        <w:spacing w:after="70" w:line="268"/>
      </w:pPr>
      <w:r>
        <w:rPr>
          <w:rFonts w:ascii="Calibri" w:cs="Calibri" w:eastAsia="Calibri" w:hAnsi="Calibri"/>
          <w:sz w:val="21"/>
          <w:szCs w:val="21"/>
        </w:rPr>
        <w:t xml:space="preserve">cada exigencia tiene </w:t>
      </w:r>
      <w:r>
        <w:rPr>
          <w:rFonts w:ascii="Calibri" w:cs="Calibri" w:eastAsia="Calibri" w:hAnsi="Calibri"/>
          <w:b/>
          <w:bCs/>
          <w:sz w:val="21"/>
          <w:szCs w:val="21"/>
        </w:rPr>
        <w:t xml:space="preserve">un solo instrumento contractual</w:t>
      </w:r>
      <w:r>
        <w:rPr>
          <w:rFonts w:ascii="Calibri" w:cs="Calibri" w:eastAsia="Calibri" w:hAnsi="Calibri"/>
          <w:sz w:val="21"/>
          <w:szCs w:val="21"/>
        </w:rPr>
        <w:t xml:space="preserve"> y no se computa dos veces;</w:t>
      </w:r>
    </w:p>
    <w:p>
      <w:pPr>
        <w:pStyle w:val="ListParagraph"/>
        <w:numPr>
          <w:ilvl w:val="0"/>
          <w:numId w:val="1"/>
        </w:numPr>
        <w:spacing w:after="70" w:line="268"/>
      </w:pPr>
      <w:r>
        <w:rPr>
          <w:rFonts w:ascii="Calibri" w:cs="Calibri" w:eastAsia="Calibri" w:hAnsi="Calibri"/>
          <w:sz w:val="21"/>
          <w:szCs w:val="21"/>
        </w:rPr>
        <w:t xml:space="preserve">cada exigencia tiene un </w:t>
      </w:r>
      <w:r>
        <w:rPr>
          <w:rFonts w:ascii="Calibri" w:cs="Calibri" w:eastAsia="Calibri" w:hAnsi="Calibri"/>
          <w:b/>
          <w:bCs/>
          <w:sz w:val="21"/>
          <w:szCs w:val="21"/>
        </w:rPr>
        <w:t xml:space="preserve">medio de acreditación tasado</w:t>
      </w:r>
      <w:r>
        <w:rPr>
          <w:rFonts w:ascii="Calibri" w:cs="Calibri" w:eastAsia="Calibri" w:hAnsi="Calibri"/>
          <w:sz w:val="21"/>
          <w:szCs w:val="21"/>
        </w:rPr>
        <w:t xml:space="preserve"> y una </w:t>
      </w:r>
      <w:r>
        <w:rPr>
          <w:rFonts w:ascii="Calibri" w:cs="Calibri" w:eastAsia="Calibri" w:hAnsi="Calibri"/>
          <w:b/>
          <w:bCs/>
          <w:sz w:val="21"/>
          <w:szCs w:val="21"/>
        </w:rPr>
        <w:t xml:space="preserve">forma de verificación con actor municipal y periodicidad</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sz w:val="21"/>
          <w:szCs w:val="21"/>
        </w:rPr>
        <w:t xml:space="preserve">cada incumplimiento tiene una </w:t>
      </w:r>
      <w:r>
        <w:rPr>
          <w:rFonts w:ascii="Calibri" w:cs="Calibri" w:eastAsia="Calibri" w:hAnsi="Calibri"/>
          <w:b/>
          <w:bCs/>
          <w:sz w:val="21"/>
          <w:szCs w:val="21"/>
        </w:rPr>
        <w:t xml:space="preserve">consecuencia tipificada</w:t>
      </w:r>
      <w:r>
        <w:rPr>
          <w:rFonts w:ascii="Calibri" w:cs="Calibri" w:eastAsia="Calibri" w:hAnsi="Calibri"/>
          <w:sz w:val="21"/>
          <w:szCs w:val="21"/>
        </w:rPr>
        <w:t xml:space="preserve">, y sólo son esenciales los incumplimientos de una lista cerrada;</w:t>
      </w:r>
    </w:p>
    <w:p>
      <w:pPr>
        <w:pStyle w:val="ListParagraph"/>
        <w:numPr>
          <w:ilvl w:val="0"/>
          <w:numId w:val="1"/>
        </w:numPr>
        <w:spacing w:after="70" w:line="268"/>
      </w:pPr>
      <w:r>
        <w:rPr>
          <w:rFonts w:ascii="Calibri" w:cs="Calibri" w:eastAsia="Calibri" w:hAnsi="Calibri"/>
          <w:b/>
          <w:bCs/>
          <w:sz w:val="21"/>
          <w:szCs w:val="21"/>
        </w:rPr>
        <w:t xml:space="preserve">la caída de una pieza no arrastra las demás</w:t>
      </w:r>
      <w:r>
        <w:rPr>
          <w:rFonts w:ascii="Calibri" w:cs="Calibri" w:eastAsia="Calibri" w:hAnsi="Calibri"/>
          <w:sz w:val="21"/>
          <w:szCs w:val="21"/>
        </w:rPr>
        <w:t xml:space="preserve">, salvo las relaciones de presupuesto necesario identificadas en la tabla de dependencias del Anexo VI (§7.8).</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§2. Ámbito, proporcionalidad y reutilización por otras administraciones</w:t>
      </w:r>
    </w:p>
    <w:p>
      <w:pPr>
        <w:pStyle w:val="Heading3"/>
        <w:keepNext/>
        <w:spacing w:after="140" w:before="320"/>
      </w:pPr>
      <w:r>
        <w:rPr>
          <w:rFonts w:ascii="Georgia" w:cs="Georgia" w:eastAsia="Georgia" w:hAnsi="Georgia"/>
          <w:b/>
          <w:bCs/>
          <w:color w:val="2F5496"/>
          <w:sz w:val="22"/>
          <w:szCs w:val="22"/>
        </w:rPr>
        <w:t xml:space="preserve">2.1 Tipos de contrato y modulación</w:t>
      </w:r>
    </w:p>
    <w:p>
      <w:pPr>
        <w:spacing w:after="140" w:line="276"/>
      </w:pPr>
      <w:r>
        <w:rPr>
          <w:rFonts w:ascii="Calibri" w:cs="Calibri" w:eastAsia="Calibri" w:hAnsi="Calibri"/>
          <w:sz w:val="21"/>
          <w:szCs w:val="21"/>
        </w:rPr>
        <w:t xml:space="preserve">El catálogo puede aplicarse a contratos de servicios, suministros, obras y concesiones, y a sus modificaciones, siempre que el contrato tenga componente digital o tecnológico. Tres advertencias de tipología que condicionan cláusulas concretas:</w:t>
      </w:r>
    </w:p>
    <w:p>
      <w:pPr>
        <w:pStyle w:val="ListParagraph"/>
        <w:numPr>
          <w:ilvl w:val="0"/>
          <w:numId w:val="1"/>
        </w:numPr>
        <w:spacing w:after="70" w:line="268"/>
      </w:pPr>
      <w:r>
        <w:rPr>
          <w:rFonts w:ascii="Calibri" w:cs="Calibri" w:eastAsia="Calibri" w:hAnsi="Calibri"/>
          <w:sz w:val="21"/>
          <w:szCs w:val="21"/>
        </w:rPr>
        <w:t xml:space="preserve">La adquisición de software estándar es </w:t>
      </w:r>
      <w:r>
        <w:rPr>
          <w:rFonts w:ascii="Calibri" w:cs="Calibri" w:eastAsia="Calibri" w:hAnsi="Calibri"/>
          <w:b/>
          <w:bCs/>
          <w:sz w:val="21"/>
          <w:szCs w:val="21"/>
        </w:rPr>
        <w:t xml:space="preserve">contrato de suministro</w:t>
      </w:r>
      <w:r>
        <w:rPr>
          <w:rFonts w:ascii="Calibri" w:cs="Calibri" w:eastAsia="Calibri" w:hAnsi="Calibri"/>
          <w:sz w:val="21"/>
          <w:szCs w:val="21"/>
        </w:rPr>
        <w:t xml:space="preserve">; sólo el software desarrollado a medida encaja en el contrato de servicios. Las exigencias de titularidad del artículo 308.1 LCSP no amparan la primera (véase ADM-8·v3).</w:t>
      </w:r>
    </w:p>
    <w:p>
      <w:pPr>
        <w:pStyle w:val="ListParagraph"/>
        <w:numPr>
          <w:ilvl w:val="0"/>
          <w:numId w:val="1"/>
        </w:numPr>
        <w:spacing w:after="70" w:line="268"/>
      </w:pPr>
      <w:r>
        <w:rPr>
          <w:rFonts w:ascii="Calibri" w:cs="Calibri" w:eastAsia="Calibri" w:hAnsi="Calibri"/>
          <w:sz w:val="21"/>
          <w:szCs w:val="21"/>
        </w:rPr>
        <w:t xml:space="preserve">En contratos de obras y concesiones, el catálogo se aplica exclusivamente al componente de sistemas de información de la prestación, nunca al conjunto.</w:t>
      </w:r>
    </w:p>
    <w:p>
      <w:pPr>
        <w:pStyle w:val="ListParagraph"/>
        <w:numPr>
          <w:ilvl w:val="0"/>
          <w:numId w:val="1"/>
        </w:numPr>
        <w:spacing w:after="70" w:line="268"/>
      </w:pPr>
      <w:r>
        <w:rPr>
          <w:rFonts w:ascii="Calibri" w:cs="Calibri" w:eastAsia="Calibri" w:hAnsi="Calibri"/>
          <w:sz w:val="21"/>
          <w:szCs w:val="21"/>
        </w:rPr>
        <w:t xml:space="preserve">En contratos sin sistema de información municipal ni tratamiento de datos personales por cuenta del Ayuntamiento, el catálogo </w:t>
      </w:r>
      <w:r>
        <w:rPr>
          <w:rFonts w:ascii="Calibri" w:cs="Calibri" w:eastAsia="Calibri" w:hAnsi="Calibri"/>
          <w:b/>
          <w:bCs/>
          <w:sz w:val="21"/>
          <w:szCs w:val="21"/>
        </w:rPr>
        <w:t xml:space="preserve">no se aplica</w:t>
      </w:r>
      <w:r>
        <w:rPr>
          <w:rFonts w:ascii="Calibri" w:cs="Calibri" w:eastAsia="Calibri" w:hAnsi="Calibri"/>
          <w:sz w:val="21"/>
          <w:szCs w:val="21"/>
        </w:rPr>
        <w:t xml:space="preserve">.</w:t>
      </w:r>
    </w:p>
    <w:p>
      <w:pPr>
        <w:pStyle w:val="Heading3"/>
        <w:keepNext/>
        <w:spacing w:after="140" w:before="320"/>
      </w:pPr>
      <w:r>
        <w:rPr>
          <w:rFonts w:ascii="Georgia" w:cs="Georgia" w:eastAsia="Georgia" w:hAnsi="Georgia"/>
          <w:b/>
          <w:bCs/>
          <w:color w:val="2F5496"/>
          <w:sz w:val="22"/>
          <w:szCs w:val="22"/>
        </w:rPr>
        <w:t xml:space="preserve">2.2 Regla de proporcionalidad y cuadro de intensidad</w:t>
      </w:r>
    </w:p>
    <w:p>
      <w:pPr>
        <w:spacing w:after="140" w:line="276"/>
      </w:pPr>
      <w:r>
        <w:rPr>
          <w:rFonts w:ascii="Calibri" w:cs="Calibri" w:eastAsia="Calibri" w:hAnsi="Calibri"/>
          <w:sz w:val="21"/>
          <w:szCs w:val="21"/>
        </w:rPr>
        <w:t xml:space="preserve">La intensidad de aplicación se gradúa por el valor estimado del contrato, por la categoría de seguridad del sistema y por la criticidad del servicio soportado, y nunca por la ambición tecnológica del expediente. El cuadro siguiente es orientativo y no sustituye a la ficha: fija el punto de partida para que el redactor no tenga que reabrir la discusión en cada expediente.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Nivel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Cuándo se aplica (valores recomendados)</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se incorpora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 · Mínimo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Valor estimado inferior a </w:t>
            </w:r>
            <w:r>
              <w:rPr>
                <w:rFonts w:ascii="Calibri" w:cs="Calibri" w:eastAsia="Calibri" w:hAnsi="Calibri"/>
                <w:b/>
                <w:bCs/>
                <w:sz w:val="18"/>
                <w:szCs w:val="18"/>
              </w:rPr>
              <w:t xml:space="preserve">[X; se recomienda 50.000] €</w:t>
            </w:r>
            <w:r>
              <w:rPr>
                <w:rFonts w:ascii="Calibri" w:cs="Calibri" w:eastAsia="Calibri" w:hAnsi="Calibri"/>
                <w:b w:val="false"/>
                <w:bCs w:val="false"/>
                <w:sz w:val="18"/>
                <w:szCs w:val="18"/>
              </w:rPr>
              <w:t xml:space="preserve">; o contrato sin sistema de información municipal. </w:t>
            </w:r>
            <w:r>
              <w:rPr>
                <w:rFonts w:ascii="Calibri" w:cs="Calibri" w:eastAsia="Calibri" w:hAnsi="Calibri"/>
                <w:b/>
                <w:bCs/>
                <w:sz w:val="18"/>
                <w:szCs w:val="18"/>
              </w:rPr>
              <w:t xml:space="preserve">Los contratos sin pliego —el contrato menor— no se rigen por este cuadro: véase el apartado V.7.1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lo impuesto por norma: DT-6·v3 (ENS); DT-1·v3, siempre que intervengan sistemas de inteligencia artificial; bloque A de ADM-6·v3 (esencialidades </w:t>
            </w:r>
            <w:r>
              <w:rPr>
                <w:rFonts w:ascii="Calibri" w:cs="Calibri" w:eastAsia="Calibri" w:hAnsi="Calibri"/>
                <w:b w:val="false"/>
                <w:bCs w:val="false"/>
                <w:i/>
                <w:iCs/>
                <w:sz w:val="18"/>
                <w:szCs w:val="18"/>
              </w:rPr>
              <w:t xml:space="preserve">ex lege</w:t>
            </w:r>
            <w:r>
              <w:rPr>
                <w:rFonts w:ascii="Calibri" w:cs="Calibri" w:eastAsia="Calibri" w:hAnsi="Calibri"/>
                <w:b w:val="false"/>
                <w:bCs w:val="false"/>
                <w:sz w:val="18"/>
                <w:szCs w:val="18"/>
              </w:rPr>
              <w:t xml:space="preserve">, cuando concurra su presupuesto) y ADM-13·v3 si el contratista va a tratar información municipal no pública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B · Estándar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Valor estimado entre </w:t>
            </w:r>
            <w:r>
              <w:rPr>
                <w:rFonts w:ascii="Calibri" w:cs="Calibri" w:eastAsia="Calibri" w:hAnsi="Calibri"/>
                <w:b/>
                <w:bCs/>
                <w:sz w:val="18"/>
                <w:szCs w:val="18"/>
              </w:rPr>
              <w:t xml:space="preserve">[50.000; se recomienda 50.000]</w:t>
            </w:r>
            <w:r>
              <w:rPr>
                <w:rFonts w:ascii="Calibri" w:cs="Calibri" w:eastAsia="Calibri" w:hAnsi="Calibri"/>
                <w:b w:val="false"/>
                <w:bCs w:val="false"/>
                <w:sz w:val="18"/>
                <w:szCs w:val="18"/>
              </w:rPr>
              <w:t xml:space="preserve"> € y el umbral de contratos sujetos a regulación armonizada; contrato con sistema de información municipal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Nivel A + DT-0·v3, DT-5·v3, DT-8·v3, ADM-1·v3, ADM-4·v3, ADM-5·v3, ADM-6·v3, ADM-8·v3, ADM-10·v3 (cuando se haya incorporado DT-9·v3 y su Anexo V, del que depende) y ADM-12·v3</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 · Reforzado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Valor estimado igual o superior al umbral de contratos sujetos a regulación armonizada (</w:t>
            </w:r>
            <w:r>
              <w:rPr>
                <w:rFonts w:ascii="Calibri" w:cs="Calibri" w:eastAsia="Calibri" w:hAnsi="Calibri"/>
                <w:b/>
                <w:bCs/>
                <w:sz w:val="18"/>
                <w:szCs w:val="18"/>
              </w:rPr>
              <w:t xml:space="preserve">216.000 €</w:t>
            </w:r>
            <w:r>
              <w:rPr>
                <w:rFonts w:ascii="Calibri" w:cs="Calibri" w:eastAsia="Calibri" w:hAnsi="Calibri"/>
                <w:b w:val="false"/>
                <w:bCs w:val="false"/>
                <w:sz w:val="18"/>
                <w:szCs w:val="18"/>
              </w:rPr>
              <w:t xml:space="preserve"> en servicios y suministros para 2026-2027, conforme al </w:t>
            </w:r>
            <w:hyperlink w:history="1" r:id="rIdakmzxz1na0l5hwvz0hnr9">
              <w:r>
                <w:rPr>
                  <w:rFonts w:ascii="Calibri" w:cs="Calibri" w:eastAsia="Calibri" w:hAnsi="Calibri"/>
                  <w:b w:val="false"/>
                  <w:bCs w:val="false"/>
                  <w:color w:val="2F5496"/>
                  <w:sz w:val="18"/>
                  <w:szCs w:val="18"/>
                  <w:u w:val="single"/>
                </w:rPr>
                <w:t xml:space="preserve">Reglamento Delegado (UE) 2025/2152</w:t>
              </w:r>
            </w:hyperlink>
            <w:r>
              <w:rPr>
                <w:rFonts w:ascii="Calibri" w:cs="Calibri" w:eastAsia="Calibri" w:hAnsi="Calibri"/>
                <w:b w:val="false"/>
                <w:bCs w:val="false"/>
                <w:sz w:val="18"/>
                <w:szCs w:val="18"/>
              </w:rPr>
              <w:t xml:space="preserve">, incorporado a los artículos 21.1.b) y 22.1.b) LCSP por la Orden HAC/1517/2025, de 18 de diciembre; es un umbral legal, no un parámetro del órgano de contratación, y caduca el 31/12/2027); o sistema de categoría ENS </w:t>
            </w:r>
            <w:r>
              <w:rPr>
                <w:rFonts w:ascii="Calibri" w:cs="Calibri" w:eastAsia="Calibri" w:hAnsi="Calibri"/>
                <w:b/>
                <w:bCs/>
                <w:sz w:val="18"/>
                <w:szCs w:val="18"/>
              </w:rPr>
              <w:t xml:space="preserve">MEDIA</w:t>
            </w:r>
            <w:r>
              <w:rPr>
                <w:rFonts w:ascii="Calibri" w:cs="Calibri" w:eastAsia="Calibri" w:hAnsi="Calibri"/>
                <w:b w:val="false"/>
                <w:bCs w:val="false"/>
                <w:sz w:val="18"/>
                <w:szCs w:val="18"/>
              </w:rPr>
              <w:t xml:space="preserve"> o </w:t>
            </w:r>
            <w:r>
              <w:rPr>
                <w:rFonts w:ascii="Calibri" w:cs="Calibri" w:eastAsia="Calibri" w:hAnsi="Calibri"/>
                <w:b/>
                <w:bCs/>
                <w:sz w:val="18"/>
                <w:szCs w:val="18"/>
              </w:rPr>
              <w:t xml:space="preserve">ALTA</w:t>
            </w:r>
            <w:r>
              <w:rPr>
                <w:rFonts w:ascii="Calibri" w:cs="Calibri" w:eastAsia="Calibri" w:hAnsi="Calibri"/>
                <w:b w:val="false"/>
                <w:bCs w:val="false"/>
                <w:sz w:val="18"/>
                <w:szCs w:val="18"/>
              </w:rPr>
              <w:t xml:space="preserve">; o servicio de los relacionados en la cláusula ADM-11·v3, apartado 1, letra 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Nivel B + DT-7·v3, DT-9·v3 y Anexo V, ADM-2·v3 y ADM-7·v3; DT-4·v3 sólo cuando exista lista cerrada y numerada de procesos cumplimentada con datos reales; ADM-3·v3 sólo en contratos de servicios que impliquen desarrollo o mantenimiento de aplicaciones (art. 308.3 LCSP); ADM-9·v3 sólo desde </w:t>
            </w:r>
            <w:r>
              <w:rPr>
                <w:rFonts w:ascii="Calibri" w:cs="Calibri" w:eastAsia="Calibri" w:hAnsi="Calibri"/>
                <w:b/>
                <w:bCs/>
                <w:sz w:val="18"/>
                <w:szCs w:val="18"/>
              </w:rPr>
              <w:t xml:space="preserve">200.000 €</w:t>
            </w:r>
            <w:r>
              <w:rPr>
                <w:rFonts w:ascii="Calibri" w:cs="Calibri" w:eastAsia="Calibri" w:hAnsi="Calibri"/>
                <w:b w:val="false"/>
                <w:bCs w:val="false"/>
                <w:sz w:val="18"/>
                <w:szCs w:val="18"/>
              </w:rPr>
              <w:t xml:space="preserve"> de valor estimado (ADM-9·v3, apartado 10); ADM-11·v3 sólo si concurren </w:t>
            </w:r>
            <w:r>
              <w:rPr>
                <w:rFonts w:ascii="Calibri" w:cs="Calibri" w:eastAsia="Calibri" w:hAnsi="Calibri"/>
                <w:b/>
                <w:bCs/>
                <w:sz w:val="18"/>
                <w:szCs w:val="18"/>
              </w:rPr>
              <w:t xml:space="preserve">todas</w:t>
            </w:r>
            <w:r>
              <w:rPr>
                <w:rFonts w:ascii="Calibri" w:cs="Calibri" w:eastAsia="Calibri" w:hAnsi="Calibri"/>
                <w:b w:val="false"/>
                <w:bCs w:val="false"/>
                <w:sz w:val="18"/>
                <w:szCs w:val="18"/>
              </w:rPr>
              <w:t xml:space="preserve"> sus condiciones de incorporación (ADM-11·v3, apartado 1, y Anexo X, parámetro 21); ADM-14·v3 sólo si se cumplen sus condiciones de incorporación</w:t>
            </w:r>
          </w:p>
        </w:tc>
      </w:tr>
    </w:tbl>
    <w:p>
      <w:pPr>
        <w:spacing w:after="200"/>
      </w:pPr>
    </w:p>
    <w:p>
      <w:pPr>
        <w:spacing w:after="140" w:line="276"/>
      </w:pPr>
      <w:r>
        <w:rPr>
          <w:rFonts w:ascii="Calibri" w:cs="Calibri" w:eastAsia="Calibri" w:hAnsi="Calibri"/>
          <w:sz w:val="21"/>
          <w:szCs w:val="21"/>
        </w:rPr>
        <w:t xml:space="preserve">Notas de uso del cuadro, todas ellas de aplicación obligatoria:</w:t>
      </w:r>
    </w:p>
    <w:p>
      <w:pPr>
        <w:pStyle w:val="ListParagraph"/>
        <w:numPr>
          <w:ilvl w:val="0"/>
          <w:numId w:val="1"/>
        </w:numPr>
        <w:spacing w:after="70" w:line="268"/>
      </w:pPr>
      <w:r>
        <w:rPr>
          <w:rFonts w:ascii="Calibri" w:cs="Calibri" w:eastAsia="Calibri" w:hAnsi="Calibri"/>
          <w:b/>
          <w:bCs/>
          <w:sz w:val="21"/>
          <w:szCs w:val="21"/>
        </w:rPr>
        <w:t xml:space="preserve">DT-2·v3 y DT-3·v3 son NO APLICA por defecto en los tres niveles.</w:t>
      </w:r>
      <w:r>
        <w:rPr>
          <w:rFonts w:ascii="Calibri" w:cs="Calibri" w:eastAsia="Calibri" w:hAnsi="Calibri"/>
          <w:sz w:val="21"/>
          <w:szCs w:val="21"/>
        </w:rPr>
        <w:t xml:space="preserve"> Se incorporan sólo con necesidad expresa y motivada.</w:t>
      </w:r>
    </w:p>
    <w:p>
      <w:pPr>
        <w:pStyle w:val="ListParagraph"/>
        <w:numPr>
          <w:ilvl w:val="0"/>
          <w:numId w:val="1"/>
        </w:numPr>
        <w:spacing w:after="70" w:line="268"/>
      </w:pPr>
      <w:r>
        <w:rPr>
          <w:rFonts w:ascii="Calibri" w:cs="Calibri" w:eastAsia="Calibri" w:hAnsi="Calibri"/>
          <w:b/>
          <w:bCs/>
          <w:sz w:val="21"/>
          <w:szCs w:val="21"/>
        </w:rPr>
        <w:t xml:space="preserve">Ningún nivel activa por sí solo una cláusula que tenga condiciones propias de incorporación.</w:t>
      </w:r>
      <w:r>
        <w:rPr>
          <w:rFonts w:ascii="Calibri" w:cs="Calibri" w:eastAsia="Calibri" w:hAnsi="Calibri"/>
          <w:sz w:val="21"/>
          <w:szCs w:val="21"/>
        </w:rPr>
        <w:t xml:space="preserve"> ADM-9·v3, ADM-11·v3 y ADM-14·v3 entran únicamente si concurren las circunstancias que sus respectivas cláusulas exigen; el cuadro no las sustituye ni las flexibiliza. En el caso de ADM-11·v3, las cuatro circunstancias de su apartado 1 son </w:t>
      </w:r>
      <w:r>
        <w:rPr>
          <w:rFonts w:ascii="Calibri" w:cs="Calibri" w:eastAsia="Calibri" w:hAnsi="Calibri"/>
          <w:b/>
          <w:bCs/>
          <w:sz w:val="21"/>
          <w:szCs w:val="21"/>
        </w:rPr>
        <w:t xml:space="preserve">acumulativas</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b/>
          <w:bCs/>
          <w:sz w:val="21"/>
          <w:szCs w:val="21"/>
        </w:rPr>
        <w:t xml:space="preserve">El contrato menor queda fuera de este cuadro.</w:t>
      </w:r>
      <w:r>
        <w:rPr>
          <w:rFonts w:ascii="Calibri" w:cs="Calibri" w:eastAsia="Calibri" w:hAnsi="Calibri"/>
          <w:sz w:val="21"/>
          <w:szCs w:val="21"/>
        </w:rPr>
        <w:t xml:space="preserve"> Al no haber pliego, no caben condiciones especiales de ejecución, penalidades tipificadas, obligaciones esenciales ni criterios de adjudicación. Lo único que cabe en el encargo o en la aceptación de oferta es la relación cerrada del apartado V.7.1, que es su fuente única (§2.4.a).</w:t>
      </w:r>
    </w:p>
    <w:p>
      <w:pPr>
        <w:pStyle w:val="ListParagraph"/>
        <w:numPr>
          <w:ilvl w:val="0"/>
          <w:numId w:val="1"/>
        </w:numPr>
        <w:spacing w:after="70" w:line="268"/>
      </w:pPr>
      <w:r>
        <w:rPr>
          <w:rFonts w:ascii="Calibri" w:cs="Calibri" w:eastAsia="Calibri" w:hAnsi="Calibri"/>
          <w:sz w:val="21"/>
          <w:szCs w:val="21"/>
        </w:rPr>
        <w:t xml:space="preserve">Subir de nivel exige motivación en la memoria; </w:t>
      </w:r>
      <w:r>
        <w:rPr>
          <w:rFonts w:ascii="Calibri" w:cs="Calibri" w:eastAsia="Calibri" w:hAnsi="Calibri"/>
          <w:b/>
          <w:bCs/>
          <w:sz w:val="21"/>
          <w:szCs w:val="21"/>
        </w:rPr>
        <w:t xml:space="preserve">bajar de nivel no exige motivación</w:t>
      </w:r>
      <w:r>
        <w:rPr>
          <w:rFonts w:ascii="Calibri" w:cs="Calibri" w:eastAsia="Calibri" w:hAnsi="Calibri"/>
          <w:sz w:val="21"/>
          <w:szCs w:val="21"/>
        </w:rPr>
        <w:t xml:space="preserve">, porque el catálogo no obliga a nadie a exigir.</w:t>
      </w:r>
    </w:p>
    <w:p>
      <w:pPr>
        <w:pStyle w:val="ListParagraph"/>
        <w:numPr>
          <w:ilvl w:val="0"/>
          <w:numId w:val="1"/>
        </w:numPr>
        <w:spacing w:after="70" w:line="268"/>
      </w:pPr>
      <w:r>
        <w:rPr>
          <w:rFonts w:ascii="Calibri" w:cs="Calibri" w:eastAsia="Calibri" w:hAnsi="Calibri"/>
          <w:sz w:val="21"/>
          <w:szCs w:val="21"/>
        </w:rPr>
        <w:t xml:space="preserve">Ningún nivel autoriza a incorporar una cláusula sin ficha (§1.3) ni sin verificación asignada (§7.9).</w:t>
      </w:r>
    </w:p>
    <w:p>
      <w:pPr>
        <w:pStyle w:val="ListParagraph"/>
        <w:numPr>
          <w:ilvl w:val="0"/>
          <w:numId w:val="1"/>
        </w:numPr>
        <w:spacing w:after="70" w:line="268"/>
      </w:pPr>
      <w:r>
        <w:rPr>
          <w:rFonts w:ascii="Calibri" w:cs="Calibri" w:eastAsia="Calibri" w:hAnsi="Calibri"/>
          <w:sz w:val="21"/>
          <w:szCs w:val="21"/>
        </w:rPr>
        <w:t xml:space="preserve">El valor estimado se calcula conforme a los artículos 101.2.c) y 101.5 LCSP, </w:t>
      </w:r>
      <w:r>
        <w:rPr>
          <w:rFonts w:ascii="Calibri" w:cs="Calibri" w:eastAsia="Calibri" w:hAnsi="Calibri"/>
          <w:b/>
          <w:bCs/>
          <w:sz w:val="21"/>
          <w:szCs w:val="21"/>
        </w:rPr>
        <w:t xml:space="preserve">incluidas las prórrogas y toda opción eventual</w:t>
      </w:r>
      <w:r>
        <w:rPr>
          <w:rFonts w:ascii="Calibri" w:cs="Calibri" w:eastAsia="Calibri" w:hAnsi="Calibri"/>
          <w:sz w:val="21"/>
          <w:szCs w:val="21"/>
        </w:rPr>
        <w:t xml:space="preserve">; una bolsa de horas o una reserva de modificación computan en él.</w:t>
      </w:r>
    </w:p>
    <w:p>
      <w:pPr>
        <w:pStyle w:val="Heading3"/>
        <w:keepNext/>
        <w:spacing w:after="140" w:before="320"/>
      </w:pPr>
      <w:r>
        <w:rPr>
          <w:rFonts w:ascii="Georgia" w:cs="Georgia" w:eastAsia="Georgia" w:hAnsi="Georgia"/>
          <w:b/>
          <w:bCs/>
          <w:color w:val="2F5496"/>
          <w:sz w:val="22"/>
          <w:szCs w:val="22"/>
        </w:rPr>
        <w:t xml:space="preserve">2.3 Regla de reutilización por otras administraciones</w:t>
      </w:r>
    </w:p>
    <w:p>
      <w:pPr>
        <w:spacing w:after="140" w:line="276"/>
      </w:pPr>
      <w:r>
        <w:rPr>
          <w:rFonts w:ascii="Calibri" w:cs="Calibri" w:eastAsia="Calibri" w:hAnsi="Calibri"/>
          <w:sz w:val="21"/>
          <w:szCs w:val="21"/>
        </w:rPr>
        <w:t xml:space="preserve">Este documento se publica en abierto para que cualquier administración lo reutilice. La reutilización correcta exige adaptar, </w:t>
      </w:r>
      <w:r>
        <w:rPr>
          <w:rFonts w:ascii="Calibri" w:cs="Calibri" w:eastAsia="Calibri" w:hAnsi="Calibri"/>
          <w:b/>
          <w:bCs/>
          <w:sz w:val="21"/>
          <w:szCs w:val="21"/>
        </w:rPr>
        <w:t xml:space="preserve">antes de aprobarlo</w:t>
      </w:r>
      <w:r>
        <w:rPr>
          <w:rFonts w:ascii="Calibri" w:cs="Calibri" w:eastAsia="Calibri" w:hAnsi="Calibri"/>
          <w:sz w:val="21"/>
          <w:szCs w:val="21"/>
        </w:rPr>
        <w:t xml:space="preserve">, los doce elementos siguientes. La regla general se enuncia primero; el régimen de un municipio de gran población figura entre paréntesis, y sólo como ejemplo.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hay que adaptar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Regla general (ejemplo: municipio de gran población)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Régimen jurídico del municipio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Determina qué órgano emite el informe jurídico preceptivo y qué órgano aprueba. (Un municipio de gran población se rige por el Título X de la Ley 7/1985.)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Órgano que emite el informe jurídico preceptivo del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órgano al que corresponda conforme a la DA 3.ª.8 LCSP en relación con la DA 8.ª de la Ley 7/1985: </w:t>
            </w:r>
            <w:r>
              <w:rPr>
                <w:rFonts w:ascii="Calibri" w:cs="Calibri" w:eastAsia="Calibri" w:hAnsi="Calibri"/>
                <w:b/>
                <w:bCs/>
                <w:sz w:val="18"/>
                <w:szCs w:val="18"/>
              </w:rPr>
              <w:t xml:space="preserve">Asesoría Jurídica en municipios de gran población; Secretaría en el régimen común</w:t>
            </w:r>
            <w:r>
              <w:rPr>
                <w:rFonts w:ascii="Calibri" w:cs="Calibri" w:eastAsia="Calibri" w:hAnsi="Calibri"/>
                <w:b w:val="false"/>
                <w:bCs w:val="false"/>
                <w:sz w:val="18"/>
                <w:szCs w:val="18"/>
              </w:rPr>
              <w:t xml:space="preserve">. Toda referencia de este catálogo a «informe jurídico preceptivo» se entiende hecha a ese órgano.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Órgano de contratación competente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Según las reglas de competencia de la entidad.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Órgano de gobierno que aprueba el plan y el catálogo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 el que crea la necesidad institucional del §3.5. (En un municipio de gran población, la Junta de Gobierno Local, salvo que las normas de organización atribuyan la competencia a otro órgano.)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Tribunal competente para el recurso especial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Determina ante quién se defiende el pliego y qué doctrina es la propia. Para las entidades locales de la Comunidad de Madrid, el Tribunal Administrativo de Contratación Pública de la Comunidad de Madrid, conforme al artículo 3 de la Ley 9/2010 en la redacción dada por la </w:t>
            </w:r>
            <w:hyperlink w:history="1" r:id="rIdib2w2q12qhpwc1zd-23hl">
              <w:r>
                <w:rPr>
                  <w:rFonts w:ascii="Calibri" w:cs="Calibri" w:eastAsia="Calibri" w:hAnsi="Calibri"/>
                  <w:b w:val="false"/>
                  <w:bCs w:val="false"/>
                  <w:color w:val="2F5496"/>
                  <w:sz w:val="18"/>
                  <w:szCs w:val="18"/>
                  <w:u w:val="single"/>
                </w:rPr>
                <w:t xml:space="preserve">Ley 5/2016, de 22 de julio</w:t>
              </w:r>
            </w:hyperlink>
            <w:r>
              <w:rPr>
                <w:rFonts w:ascii="Calibri" w:cs="Calibri" w:eastAsia="Calibri" w:hAnsi="Calibri"/>
                <w:b w:val="false"/>
                <w:bCs w:val="false"/>
                <w:sz w:val="18"/>
                <w:szCs w:val="18"/>
              </w:rPr>
              <w:t xml:space="preserve">. En otras comunidades, el tribunal autonómico o el TACRC según el convenio o la ausencia de él.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Categoría de seguridad de cada sistema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Resulta del anexo I del Real Decreto 311/2022 tras el análisis de impacto; </w:t>
            </w:r>
            <w:r>
              <w:rPr>
                <w:rFonts w:ascii="Calibri" w:cs="Calibri" w:eastAsia="Calibri" w:hAnsi="Calibri"/>
                <w:b/>
                <w:bCs/>
                <w:sz w:val="18"/>
                <w:szCs w:val="18"/>
              </w:rPr>
              <w:t xml:space="preserve">no se elige</w:t>
            </w: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Umbrales económicos vigentes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Umbral de contratos sujetos a regulación armonizada, umbral del recurso especial (</w:t>
            </w:r>
            <w:r>
              <w:rPr>
                <w:rFonts w:ascii="Calibri" w:cs="Calibri" w:eastAsia="Calibri" w:hAnsi="Calibri"/>
                <w:b/>
                <w:bCs/>
                <w:sz w:val="18"/>
                <w:szCs w:val="18"/>
              </w:rPr>
              <w:t xml:space="preserve">más de 100.000 €</w:t>
            </w:r>
            <w:r>
              <w:rPr>
                <w:rFonts w:ascii="Calibri" w:cs="Calibri" w:eastAsia="Calibri" w:hAnsi="Calibri"/>
                <w:b w:val="false"/>
                <w:bCs w:val="false"/>
                <w:sz w:val="18"/>
                <w:szCs w:val="18"/>
              </w:rPr>
              <w:t xml:space="preserve"> de valor estimado en servicios y suministros, art. 44.1.a) LCSP) y umbrales de contrato menor del art. 118 LCSP. Fechar la revisión.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Anexo V del ejercicio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Cada administración aprueba el suyo, con su propio contraste de mercado documentado. El Anexo V de una administración no sirve como Anexo V de ninguna otra.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9</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Acuerdo del órgano de gobierno que crea la necesidad institucional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 propio e intransferible. El acuerdo de un ayuntamiento no motiva el expediente de otro.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Declaración de conflicto de interés (art. 64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Propia, con nombres, firmada y previa a la aprobación.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11</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Todos los parámetros entre corchetes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 decisión expresa; los valores recomendados de este documento son un punto de partida, no una decisión ajena.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Estimación de carga de verificación con medios propios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 del §7.9: lo que no se pueda verificar, no se incorpora.</w:t>
            </w:r>
          </w:p>
        </w:tc>
      </w:tr>
    </w:tbl>
    <w:p>
      <w:pPr>
        <w:spacing w:after="200"/>
      </w:pPr>
    </w:p>
    <w:p>
      <w:pPr>
        <w:spacing w:after="140" w:line="276"/>
      </w:pPr>
      <w:r>
        <w:rPr>
          <w:rFonts w:ascii="Calibri" w:cs="Calibri" w:eastAsia="Calibri" w:hAnsi="Calibri"/>
          <w:b/>
          <w:bCs/>
          <w:sz w:val="21"/>
          <w:szCs w:val="21"/>
        </w:rPr>
        <w:t xml:space="preserve">Advertencia de reutilización.</w:t>
      </w:r>
      <w:r>
        <w:rPr>
          <w:rFonts w:ascii="Calibri" w:cs="Calibri" w:eastAsia="Calibri" w:hAnsi="Calibri"/>
          <w:sz w:val="21"/>
          <w:szCs w:val="21"/>
        </w:rPr>
        <w:t xml:space="preserve"> Copiar literalmente este documento no produce por sí solo ningún efecto de cobertura jurídica. Lo que protege no es el texto de las cláusulas: es el circuito de motivación, acreditación y verificación que las acompaña. Una administración que copie el articulado y no reproduzca ese circuito habrá importado las cargas sin las defensas.</w:t>
      </w:r>
    </w:p>
    <w:p>
      <w:pPr>
        <w:pStyle w:val="Heading3"/>
        <w:keepNext/>
        <w:spacing w:after="140" w:before="320"/>
      </w:pPr>
      <w:r>
        <w:rPr>
          <w:rFonts w:ascii="Georgia" w:cs="Georgia" w:eastAsia="Georgia" w:hAnsi="Georgia"/>
          <w:b/>
          <w:bCs/>
          <w:color w:val="2F5496"/>
          <w:sz w:val="22"/>
          <w:szCs w:val="22"/>
        </w:rPr>
        <w:t xml:space="preserve">2.4 Contratos menores, contratos basados en acuerdo marco o sistemas centralizados, y prórrogas</w:t>
      </w:r>
    </w:p>
    <w:p>
      <w:pPr>
        <w:spacing w:after="140" w:line="276"/>
      </w:pPr>
      <w:r>
        <w:rPr>
          <w:rFonts w:ascii="Calibri" w:cs="Calibri" w:eastAsia="Calibri" w:hAnsi="Calibri"/>
          <w:sz w:val="21"/>
          <w:szCs w:val="21"/>
        </w:rPr>
        <w:t xml:space="preserve">Tres supuestos que son mayoría en el volumen de expedientes de un ayuntamiento y para los que el catálogo, sin estas reglas, no serviría.</w:t>
      </w:r>
    </w:p>
    <w:p>
      <w:pPr>
        <w:spacing w:after="140" w:line="276"/>
      </w:pPr>
      <w:r>
        <w:rPr>
          <w:rFonts w:ascii="Calibri" w:cs="Calibri" w:eastAsia="Calibri" w:hAnsi="Calibri"/>
          <w:b/>
          <w:bCs/>
          <w:sz w:val="21"/>
          <w:szCs w:val="21"/>
        </w:rPr>
        <w:t xml:space="preserve">a) Contratos menores (art. 118 LCSP).</w:t>
      </w:r>
      <w:r>
        <w:rPr>
          <w:rFonts w:ascii="Calibri" w:cs="Calibri" w:eastAsia="Calibri" w:hAnsi="Calibri"/>
          <w:sz w:val="21"/>
          <w:szCs w:val="21"/>
        </w:rPr>
        <w:t xml:space="preserve"> El catálogo </w:t>
      </w:r>
      <w:r>
        <w:rPr>
          <w:rFonts w:ascii="Calibri" w:cs="Calibri" w:eastAsia="Calibri" w:hAnsi="Calibri"/>
          <w:b/>
          <w:bCs/>
          <w:sz w:val="21"/>
          <w:szCs w:val="21"/>
        </w:rPr>
        <w:t xml:space="preserve">no se aplica</w:t>
      </w:r>
      <w:r>
        <w:rPr>
          <w:rFonts w:ascii="Calibri" w:cs="Calibri" w:eastAsia="Calibri" w:hAnsi="Calibri"/>
          <w:sz w:val="21"/>
          <w:szCs w:val="21"/>
        </w:rPr>
        <w:t xml:space="preserve">. Lo único que cabe incorporar al encargo o a la aceptación de oferta es la relación cerrada del apartado </w:t>
      </w:r>
      <w:r>
        <w:rPr>
          <w:rFonts w:ascii="Calibri" w:cs="Calibri" w:eastAsia="Calibri" w:hAnsi="Calibri"/>
          <w:b/>
          <w:bCs/>
          <w:sz w:val="21"/>
          <w:szCs w:val="21"/>
        </w:rPr>
        <w:t xml:space="preserve">V.7.1</w:t>
      </w:r>
      <w:r>
        <w:rPr>
          <w:rFonts w:ascii="Calibri" w:cs="Calibri" w:eastAsia="Calibri" w:hAnsi="Calibri"/>
          <w:sz w:val="21"/>
          <w:szCs w:val="21"/>
        </w:rPr>
        <w:t xml:space="preserve">, que es su </w:t>
      </w:r>
      <w:r>
        <w:rPr>
          <w:rFonts w:ascii="Calibri" w:cs="Calibri" w:eastAsia="Calibri" w:hAnsi="Calibri"/>
          <w:b/>
          <w:bCs/>
          <w:sz w:val="21"/>
          <w:szCs w:val="21"/>
        </w:rPr>
        <w:t xml:space="preserve">fuente única</w:t>
      </w:r>
      <w:r>
        <w:rPr>
          <w:rFonts w:ascii="Calibri" w:cs="Calibri" w:eastAsia="Calibri" w:hAnsi="Calibri"/>
          <w:sz w:val="21"/>
          <w:szCs w:val="21"/>
        </w:rPr>
        <w:t xml:space="preserve"> y no se reproduce aquí para que las dos no puedan divergir: son exigencias que no derivan del catálogo sino de la norma —señaladamente, la conformidad con el ENS del artículo 2.3 del Real Decreto 311/2022 y el encargo de tratamiento del artículo 28 del RGPD—. Al no haber pliego, </w:t>
      </w:r>
      <w:r>
        <w:rPr>
          <w:rFonts w:ascii="Calibri" w:cs="Calibri" w:eastAsia="Calibri" w:hAnsi="Calibri"/>
          <w:b/>
          <w:bCs/>
          <w:sz w:val="21"/>
          <w:szCs w:val="21"/>
        </w:rPr>
        <w:t xml:space="preserve">no caben condiciones especiales de ejecución, penalidades tipificadas, obligaciones esenciales con efecto resolutorio ni criterios de adjudicación</w:t>
      </w:r>
      <w:r>
        <w:rPr>
          <w:rFonts w:ascii="Calibri" w:cs="Calibri" w:eastAsia="Calibri" w:hAnsi="Calibri"/>
          <w:sz w:val="21"/>
          <w:szCs w:val="21"/>
        </w:rPr>
        <w:t xml:space="preserve">: son instrumentos que presuponen pliegos. Queda prohibido fraccionar el objeto para situar un contrato por debajo del umbral del menor y eludir el catálogo; si se detecta, la ficha se deniega.</w:t>
      </w:r>
    </w:p>
    <w:p>
      <w:pPr>
        <w:spacing w:after="140" w:line="276"/>
      </w:pPr>
      <w:r>
        <w:rPr>
          <w:rFonts w:ascii="Calibri" w:cs="Calibri" w:eastAsia="Calibri" w:hAnsi="Calibri"/>
          <w:b/>
          <w:bCs/>
          <w:sz w:val="21"/>
          <w:szCs w:val="21"/>
        </w:rPr>
        <w:t xml:space="preserve">b) Contratos basados en un acuerdo marco y adhesiones a sistemas de adquisición centralizada.</w:t>
      </w:r>
      <w:r>
        <w:rPr>
          <w:rFonts w:ascii="Calibri" w:cs="Calibri" w:eastAsia="Calibri" w:hAnsi="Calibri"/>
          <w:sz w:val="21"/>
          <w:szCs w:val="21"/>
        </w:rPr>
        <w:t xml:space="preserve"> El pliego regulador del acuerdo marco o del sistema es </w:t>
      </w:r>
      <w:r>
        <w:rPr>
          <w:rFonts w:ascii="Calibri" w:cs="Calibri" w:eastAsia="Calibri" w:hAnsi="Calibri"/>
          <w:i/>
          <w:iCs/>
          <w:sz w:val="21"/>
          <w:szCs w:val="21"/>
        </w:rPr>
        <w:t xml:space="preserve">lex contractus</w:t>
      </w:r>
      <w:r>
        <w:rPr>
          <w:rFonts w:ascii="Calibri" w:cs="Calibri" w:eastAsia="Calibri" w:hAnsi="Calibri"/>
          <w:sz w:val="21"/>
          <w:szCs w:val="21"/>
        </w:rPr>
        <w:t xml:space="preserve"> y no admite que el poder adjudicador adherido añada obligaciones nuevas en el contrato basado. Regla:</w:t>
      </w:r>
    </w:p>
    <w:p>
      <w:pPr>
        <w:pStyle w:val="ListParagraph"/>
        <w:numPr>
          <w:ilvl w:val="0"/>
          <w:numId w:val="2"/>
        </w:numPr>
        <w:spacing w:after="70" w:line="268"/>
      </w:pPr>
      <w:r>
        <w:rPr>
          <w:rFonts w:ascii="Calibri" w:cs="Calibri" w:eastAsia="Calibri" w:hAnsi="Calibri"/>
          <w:sz w:val="21"/>
          <w:szCs w:val="21"/>
        </w:rPr>
        <w:t xml:space="preserve">Si el Ayuntamiento es quien licita el acuerdo marco, el catálogo se aplica </w:t>
      </w:r>
      <w:r>
        <w:rPr>
          <w:rFonts w:ascii="Calibri" w:cs="Calibri" w:eastAsia="Calibri" w:hAnsi="Calibri"/>
          <w:b/>
          <w:bCs/>
          <w:sz w:val="21"/>
          <w:szCs w:val="21"/>
        </w:rPr>
        <w:t xml:space="preserve">en esa licitación</w:t>
      </w:r>
      <w:r>
        <w:rPr>
          <w:rFonts w:ascii="Calibri" w:cs="Calibri" w:eastAsia="Calibri" w:hAnsi="Calibri"/>
          <w:sz w:val="21"/>
          <w:szCs w:val="21"/>
        </w:rPr>
        <w:t xml:space="preserve">, no en los basados.</w:t>
      </w:r>
    </w:p>
    <w:p>
      <w:pPr>
        <w:pStyle w:val="ListParagraph"/>
        <w:numPr>
          <w:ilvl w:val="0"/>
          <w:numId w:val="2"/>
        </w:numPr>
        <w:spacing w:after="70" w:line="268"/>
      </w:pPr>
      <w:r>
        <w:rPr>
          <w:rFonts w:ascii="Calibri" w:cs="Calibri" w:eastAsia="Calibri" w:hAnsi="Calibri"/>
          <w:sz w:val="21"/>
          <w:szCs w:val="21"/>
        </w:rPr>
        <w:t xml:space="preserve">Si el Ayuntamiento es adherido, sólo cabe utilizar los elementos que el propio acuerdo marco deje abiertos: los términos de la nueva licitación o segunda vuelta, cuando exista, y las condiciones de ejecución que el acuerdo marco remita al contrato basado.</w:t>
      </w:r>
    </w:p>
    <w:p>
      <w:pPr>
        <w:pStyle w:val="ListParagraph"/>
        <w:numPr>
          <w:ilvl w:val="0"/>
          <w:numId w:val="2"/>
        </w:numPr>
        <w:spacing w:after="70" w:line="268"/>
      </w:pPr>
      <w:r>
        <w:rPr>
          <w:rFonts w:ascii="Calibri" w:cs="Calibri" w:eastAsia="Calibri" w:hAnsi="Calibri"/>
          <w:sz w:val="21"/>
          <w:szCs w:val="21"/>
        </w:rPr>
        <w:t xml:space="preserve">En ambos casos, el informe de necesidad hará constar </w:t>
      </w:r>
      <w:r>
        <w:rPr>
          <w:rFonts w:ascii="Calibri" w:cs="Calibri" w:eastAsia="Calibri" w:hAnsi="Calibri"/>
          <w:b/>
          <w:bCs/>
          <w:sz w:val="21"/>
          <w:szCs w:val="21"/>
        </w:rPr>
        <w:t xml:space="preserve">qué exigencias del catálogo no han podido incorporarse y qué consecuencia asume el Ayuntamiento</w:t>
      </w:r>
      <w:r>
        <w:rPr>
          <w:rFonts w:ascii="Calibri" w:cs="Calibri" w:eastAsia="Calibri" w:hAnsi="Calibri"/>
          <w:sz w:val="21"/>
          <w:szCs w:val="21"/>
        </w:rPr>
        <w:t xml:space="preserve"> (típicamente: ausencia de reversibilidad pactada, ausencia de acceso de los órganos de control, ausencia de titularidad sobre desarrollos específicos). Esa constancia es la que permite, en la licitación siguiente, justificar la necesidad con datos y no con adjetivos.</w:t>
      </w:r>
    </w:p>
    <w:p>
      <w:pPr>
        <w:pStyle w:val="ListParagraph"/>
        <w:numPr>
          <w:ilvl w:val="0"/>
          <w:numId w:val="2"/>
        </w:numPr>
        <w:spacing w:after="70" w:line="268"/>
      </w:pPr>
      <w:r>
        <w:rPr>
          <w:rFonts w:ascii="Calibri" w:cs="Calibri" w:eastAsia="Calibri" w:hAnsi="Calibri"/>
          <w:sz w:val="21"/>
          <w:szCs w:val="21"/>
        </w:rPr>
        <w:t xml:space="preserve">Cuando la carencia sea relevante, el órgano de contratación trasladará la propuesta de incorporación al órgano que gestione el acuerdo marco o la central de compras. Es el único cauce eficaz.</w:t>
      </w:r>
    </w:p>
    <w:p>
      <w:pPr>
        <w:spacing w:after="140" w:line="276"/>
      </w:pPr>
      <w:r>
        <w:rPr>
          <w:rFonts w:ascii="Calibri" w:cs="Calibri" w:eastAsia="Calibri" w:hAnsi="Calibri"/>
          <w:b/>
          <w:bCs/>
          <w:sz w:val="21"/>
          <w:szCs w:val="21"/>
        </w:rPr>
        <w:t xml:space="preserve">c) Prórrogas.</w:t>
      </w:r>
      <w:r>
        <w:rPr>
          <w:rFonts w:ascii="Calibri" w:cs="Calibri" w:eastAsia="Calibri" w:hAnsi="Calibri"/>
          <w:sz w:val="21"/>
          <w:szCs w:val="21"/>
        </w:rPr>
        <w:t xml:space="preserve"> La prórroga ejecuta el contrato existente; </w:t>
      </w:r>
      <w:r>
        <w:rPr>
          <w:rFonts w:ascii="Calibri" w:cs="Calibri" w:eastAsia="Calibri" w:hAnsi="Calibri"/>
          <w:b/>
          <w:bCs/>
          <w:sz w:val="21"/>
          <w:szCs w:val="21"/>
        </w:rPr>
        <w:t xml:space="preserve">no introduce obligaciones nuevas</w:t>
      </w:r>
      <w:r>
        <w:rPr>
          <w:rFonts w:ascii="Calibri" w:cs="Calibri" w:eastAsia="Calibri" w:hAnsi="Calibri"/>
          <w:sz w:val="21"/>
          <w:szCs w:val="21"/>
        </w:rPr>
        <w:t xml:space="preserve"> ni altera su contenido. Regla:</w:t>
      </w:r>
    </w:p>
    <w:p>
      <w:pPr>
        <w:pStyle w:val="ListParagraph"/>
        <w:numPr>
          <w:ilvl w:val="0"/>
          <w:numId w:val="2"/>
        </w:numPr>
        <w:spacing w:after="70" w:line="268"/>
      </w:pPr>
      <w:r>
        <w:rPr>
          <w:rFonts w:ascii="Calibri" w:cs="Calibri" w:eastAsia="Calibri" w:hAnsi="Calibri"/>
          <w:sz w:val="21"/>
          <w:szCs w:val="21"/>
        </w:rPr>
        <w:t xml:space="preserve">En la prórroga </w:t>
      </w:r>
      <w:r>
        <w:rPr>
          <w:rFonts w:ascii="Calibri" w:cs="Calibri" w:eastAsia="Calibri" w:hAnsi="Calibri"/>
          <w:b/>
          <w:bCs/>
          <w:sz w:val="21"/>
          <w:szCs w:val="21"/>
        </w:rPr>
        <w:t xml:space="preserve">no se incorporan cláusulas del catálogo</w:t>
      </w:r>
      <w:r>
        <w:rPr>
          <w:rFonts w:ascii="Calibri" w:cs="Calibri" w:eastAsia="Calibri" w:hAnsi="Calibri"/>
          <w:sz w:val="21"/>
          <w:szCs w:val="21"/>
        </w:rPr>
        <w:t xml:space="preserve">.</w:t>
      </w:r>
    </w:p>
    <w:p>
      <w:pPr>
        <w:pStyle w:val="ListParagraph"/>
        <w:numPr>
          <w:ilvl w:val="0"/>
          <w:numId w:val="2"/>
        </w:numPr>
        <w:spacing w:after="70" w:line="268"/>
      </w:pPr>
      <w:r>
        <w:rPr>
          <w:rFonts w:ascii="Calibri" w:cs="Calibri" w:eastAsia="Calibri" w:hAnsi="Calibri"/>
          <w:sz w:val="21"/>
          <w:szCs w:val="21"/>
        </w:rPr>
        <w:t xml:space="preserve">Antes de acordarla se verifica el cumplimiento de las obligaciones tecnológicas ya vigentes y se documenta el resultado; una prórroga acordada sin esa verificación consolida el incumplimiento.</w:t>
      </w:r>
    </w:p>
    <w:p>
      <w:pPr>
        <w:pStyle w:val="ListParagraph"/>
        <w:numPr>
          <w:ilvl w:val="0"/>
          <w:numId w:val="2"/>
        </w:numPr>
        <w:spacing w:after="70" w:line="268"/>
      </w:pPr>
      <w:r>
        <w:rPr>
          <w:rFonts w:ascii="Calibri" w:cs="Calibri" w:eastAsia="Calibri" w:hAnsi="Calibri"/>
          <w:sz w:val="21"/>
          <w:szCs w:val="21"/>
        </w:rPr>
        <w:t xml:space="preserve">El Anexo V vigente durante la prórroga sigue siendo </w:t>
      </w:r>
      <w:r>
        <w:rPr>
          <w:rFonts w:ascii="Calibri" w:cs="Calibri" w:eastAsia="Calibri" w:hAnsi="Calibri"/>
          <w:b/>
          <w:bCs/>
          <w:sz w:val="21"/>
          <w:szCs w:val="21"/>
        </w:rPr>
        <w:t xml:space="preserve">el de la licitación</w:t>
      </w:r>
      <w:r>
        <w:rPr>
          <w:rFonts w:ascii="Calibri" w:cs="Calibri" w:eastAsia="Calibri" w:hAnsi="Calibri"/>
          <w:sz w:val="21"/>
          <w:szCs w:val="21"/>
        </w:rPr>
        <w:t xml:space="preserve">, por aplicación de la regla de invariabilidad (DT-9·v3). Las revisiones anuales posteriores no afectan a los contratos en vigor.</w:t>
      </w:r>
    </w:p>
    <w:p>
      <w:pPr>
        <w:pStyle w:val="ListParagraph"/>
        <w:numPr>
          <w:ilvl w:val="0"/>
          <w:numId w:val="2"/>
        </w:numPr>
        <w:spacing w:after="70" w:line="268"/>
      </w:pPr>
      <w:r>
        <w:rPr>
          <w:rFonts w:ascii="Calibri" w:cs="Calibri" w:eastAsia="Calibri" w:hAnsi="Calibri"/>
          <w:sz w:val="21"/>
          <w:szCs w:val="21"/>
        </w:rPr>
        <w:t xml:space="preserve">Las exigencias que se hayan echado en falta se recogen en el informe de prórroga y alimentan el expediente de la licitación siguiente.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§3. Armazón normativo de la necesidad</w:t>
      </w:r>
    </w:p>
    <w:p>
      <w:pPr>
        <w:spacing w:after="140" w:line="276"/>
      </w:pPr>
      <w:r>
        <w:rPr>
          <w:rFonts w:ascii="Calibri" w:cs="Calibri" w:eastAsia="Calibri" w:hAnsi="Calibri"/>
          <w:sz w:val="21"/>
          <w:szCs w:val="21"/>
        </w:rPr>
        <w:t xml:space="preserve">Esta es la sección más importante del documento. Responde a la dificultad que puede bloquear la aprobación de un expediente, la primera de las cuatro del §M1.1: unas cláusulas que nacen de necesidades que aún no demandan los gestores acaban resultando artificiosas al contrato.</w:t>
      </w:r>
    </w:p>
    <w:p>
      <w:pPr>
        <w:spacing w:after="140" w:line="276"/>
      </w:pPr>
      <w:r>
        <w:rPr>
          <w:rFonts w:ascii="Calibri" w:cs="Calibri" w:eastAsia="Calibri" w:hAnsi="Calibri"/>
          <w:sz w:val="21"/>
          <w:szCs w:val="21"/>
        </w:rPr>
        <w:t xml:space="preserve">La dificultad es correcta en el estándar y equivocada en el sujeto, y además </w:t>
      </w:r>
      <w:r>
        <w:rPr>
          <w:rFonts w:ascii="Calibri" w:cs="Calibri" w:eastAsia="Calibri" w:hAnsi="Calibri"/>
          <w:b/>
          <w:bCs/>
          <w:sz w:val="21"/>
          <w:szCs w:val="21"/>
        </w:rPr>
        <w:t xml:space="preserve">sólo cubre una parte del catálogo</w:t>
      </w:r>
      <w:r>
        <w:rPr>
          <w:rFonts w:ascii="Calibri" w:cs="Calibri" w:eastAsia="Calibri" w:hAnsi="Calibri"/>
          <w:sz w:val="21"/>
          <w:szCs w:val="21"/>
        </w:rPr>
        <w:t xml:space="preserve">. Las tres cosas se resuelven aquí.</w:t>
      </w:r>
    </w:p>
    <w:p>
      <w:pPr>
        <w:pStyle w:val="Heading3"/>
        <w:keepNext/>
        <w:spacing w:after="140" w:before="320"/>
      </w:pPr>
      <w:r>
        <w:rPr>
          <w:rFonts w:ascii="Georgia" w:cs="Georgia" w:eastAsia="Georgia" w:hAnsi="Georgia"/>
          <w:b/>
          <w:bCs/>
          <w:color w:val="2F5496"/>
          <w:sz w:val="22"/>
          <w:szCs w:val="22"/>
        </w:rPr>
        <w:t xml:space="preserve">3.1 El estándar legal: qué exige exactamente la ley</w:t>
      </w:r>
    </w:p>
    <w:p>
      <w:pPr>
        <w:spacing w:after="140" w:line="276"/>
      </w:pPr>
      <w:r>
        <w:rPr>
          <w:rFonts w:ascii="Calibri" w:cs="Calibri" w:eastAsia="Calibri" w:hAnsi="Calibri"/>
          <w:sz w:val="21"/>
          <w:szCs w:val="21"/>
        </w:rPr>
        <w:t xml:space="preserve">El artículo 28.1 LCSP no dice que la necesidad la formule un gestor. Dice que la naturaleza y extensión de las necesidades y la idoneidad del objeto para satisfacerlas «deben ser determinadas con precisión, dejando constancia de ello en la documentación preparatoria, antes de iniciar el procedimiento encaminado a su adjudicación». El artículo 116.1 obliga a motivar la necesidad en el expediente, y su párrafo segundo obliga además a especificar la finalidad del tratamiento cuando se traten datos personales. Y el artículo 116.4.e) fija el test que aplicará un tribunal: relación entre la necesidad y el objeto </w:t>
      </w:r>
      <w:r>
        <w:rPr>
          <w:rFonts w:ascii="Calibri" w:cs="Calibri" w:eastAsia="Calibri" w:hAnsi="Calibri"/>
          <w:b/>
          <w:bCs/>
          <w:sz w:val="21"/>
          <w:szCs w:val="21"/>
        </w:rPr>
        <w:t xml:space="preserve">directa, clara y proporcional</w:t>
      </w:r>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El estándar es documental, no de origen de la petición. Quien determina la necesidad es el órgano de contratación; de dónde le llega es indiferente para la ley y decisivo para la calidad de la motivación.</w:t>
      </w:r>
    </w:p>
    <w:p>
      <w:pPr>
        <w:pStyle w:val="Heading3"/>
        <w:keepNext/>
        <w:spacing w:after="140" w:before="320"/>
      </w:pPr>
      <w:r>
        <w:rPr>
          <w:rFonts w:ascii="Georgia" w:cs="Georgia" w:eastAsia="Georgia" w:hAnsi="Georgia"/>
          <w:b/>
          <w:bCs/>
          <w:color w:val="2F5496"/>
          <w:sz w:val="22"/>
          <w:szCs w:val="22"/>
        </w:rPr>
        <w:t xml:space="preserve">3.2 Por qué hacen falta tres orígenes y no uno</w:t>
      </w:r>
    </w:p>
    <w:p>
      <w:pPr>
        <w:spacing w:after="140" w:line="276"/>
      </w:pPr>
      <w:r>
        <w:rPr>
          <w:rFonts w:ascii="Calibri" w:cs="Calibri" w:eastAsia="Calibri" w:hAnsi="Calibri"/>
          <w:sz w:val="21"/>
          <w:szCs w:val="21"/>
        </w:rPr>
        <w:t xml:space="preserve">Una parte del catálogo nace de normas que obligan al Ayuntamiento entero y que ningún gestor pedirá nunca: la conformidad con el ENS, la condición especial de protección de datos, la titularidad suficiente para ceder la aplicación a otra Administración, el acceso de los órganos de control interno. Ahí la objeción no opera: la necesidad la formula la ley.</w:t>
      </w:r>
    </w:p>
    <w:p>
      <w:pPr>
        <w:spacing w:after="140" w:line="276"/>
      </w:pPr>
      <w:r>
        <w:rPr>
          <w:rFonts w:ascii="Calibri" w:cs="Calibri" w:eastAsia="Calibri" w:hAnsi="Calibri"/>
          <w:sz w:val="21"/>
          <w:szCs w:val="21"/>
        </w:rPr>
        <w:t xml:space="preserve">Otra parte nace del servicio: continuidad, poder cambiar de proveedor, reducir la carga de un procedimiento con volumen. Ahí la objeción opera plenamente y la respuesta es sencilla: si el gestor no la declara, no entra.</w:t>
      </w:r>
    </w:p>
    <w:p>
      <w:pPr>
        <w:spacing w:after="140" w:line="276"/>
      </w:pPr>
      <w:r>
        <w:rPr>
          <w:rFonts w:ascii="Calibri" w:cs="Calibri" w:eastAsia="Calibri" w:hAnsi="Calibri"/>
          <w:sz w:val="21"/>
          <w:szCs w:val="21"/>
        </w:rPr>
        <w:t xml:space="preserve">Y queda un tercer bloque —el núcleo tecnológico del catálogo: la interfaz normalizada de acceso para agentes, la operación autónoma supervisada, la trazabilidad de agentes— para el que </w:t>
      </w:r>
      <w:r>
        <w:rPr>
          <w:rFonts w:ascii="Calibri" w:cs="Calibri" w:eastAsia="Calibri" w:hAnsi="Calibri"/>
          <w:b/>
          <w:bCs/>
          <w:sz w:val="21"/>
          <w:szCs w:val="21"/>
        </w:rPr>
        <w:t xml:space="preserve">no hay norma que lo imponga y no habrá gestor que lo pida</w:t>
      </w:r>
      <w:r>
        <w:rPr>
          <w:rFonts w:ascii="Calibri" w:cs="Calibri" w:eastAsia="Calibri" w:hAnsi="Calibri"/>
          <w:sz w:val="21"/>
          <w:szCs w:val="21"/>
        </w:rPr>
        <w:t xml:space="preserve">. Ninguna norma obliga a un ayuntamiento a exponer sus sistemas de gestión a agentes de inteligencia artificial. Sostener que la necesidad existe porque está «desatendida» es una afirmación, no un instrumento: rellenada así, la ficha de cada expediente acabaría reproduciendo el mismo párrafo, que es la definición de justificación estereotipada.</w:t>
      </w:r>
    </w:p>
    <w:p>
      <w:pPr>
        <w:spacing w:after="140" w:line="276"/>
      </w:pPr>
      <w:r>
        <w:rPr>
          <w:rFonts w:ascii="Calibri" w:cs="Calibri" w:eastAsia="Calibri" w:hAnsi="Calibri"/>
          <w:sz w:val="21"/>
          <w:szCs w:val="21"/>
        </w:rPr>
        <w:t xml:space="preserve">Ese tercer bloque sólo tiene un fundamento válido: </w:t>
      </w:r>
      <w:r>
        <w:rPr>
          <w:rFonts w:ascii="Calibri" w:cs="Calibri" w:eastAsia="Calibri" w:hAnsi="Calibri"/>
          <w:b/>
          <w:bCs/>
          <w:sz w:val="21"/>
          <w:szCs w:val="21"/>
        </w:rPr>
        <w:t xml:space="preserve">un acto del órgano de gobierno municipal, con rango, publicado y fechado</w:t>
      </w:r>
      <w:r>
        <w:rPr>
          <w:rFonts w:ascii="Calibri" w:cs="Calibri" w:eastAsia="Calibri" w:hAnsi="Calibri"/>
          <w:sz w:val="21"/>
          <w:szCs w:val="21"/>
        </w:rPr>
        <w:t xml:space="preserve">, que apruebe el plan de digitalización y el catálogo anual de exigencias. Con él, el informe de necesidad de cada expediente no invoca un documento técnico de una concejalía: invoca un acuerdo del órgano de gobierno, y la relación con el objeto pasa a ser derivada de una política municipal aprobada. Sin él, ese bloque no entra en ningún pliego.</w:t>
      </w:r>
    </w:p>
    <w:p>
      <w:pPr>
        <w:spacing w:after="140" w:line="276"/>
      </w:pPr>
      <w:r>
        <w:rPr>
          <w:rFonts w:ascii="Calibri" w:cs="Calibri" w:eastAsia="Calibri" w:hAnsi="Calibri"/>
          <w:sz w:val="21"/>
          <w:szCs w:val="21"/>
        </w:rPr>
        <w:t xml:space="preserve">De ahí los </w:t>
      </w:r>
      <w:r>
        <w:rPr>
          <w:rFonts w:ascii="Calibri" w:cs="Calibri" w:eastAsia="Calibri" w:hAnsi="Calibri"/>
          <w:b/>
          <w:bCs/>
          <w:sz w:val="21"/>
          <w:szCs w:val="21"/>
        </w:rPr>
        <w:t xml:space="preserve">tres orígenes de necesidad</w:t>
      </w:r>
      <w:r>
        <w:rPr>
          <w:rFonts w:ascii="Calibri" w:cs="Calibri" w:eastAsia="Calibri" w:hAnsi="Calibri"/>
          <w:sz w:val="21"/>
          <w:szCs w:val="21"/>
        </w:rPr>
        <w:t xml:space="preserve">. Toda cláusula de este catálogo tiene que poder anclarse en uno de ellos, y el instrumento de motivación es distinto en cada caso.</w:t>
      </w:r>
    </w:p>
    <w:p>
      <w:pPr>
        <w:pStyle w:val="Heading3"/>
        <w:keepNext/>
        <w:spacing w:after="140" w:before="320"/>
      </w:pPr>
      <w:r>
        <w:rPr>
          <w:rFonts w:ascii="Georgia" w:cs="Georgia" w:eastAsia="Georgia" w:hAnsi="Georgia"/>
          <w:b/>
          <w:bCs/>
          <w:color w:val="2F5496"/>
          <w:sz w:val="22"/>
          <w:szCs w:val="22"/>
        </w:rPr>
        <w:t xml:space="preserve">3.3 Origen (i): necesidad normativa</w:t>
      </w:r>
    </w:p>
    <w:p>
      <w:pPr>
        <w:spacing w:after="140" w:line="276"/>
      </w:pPr>
      <w:r>
        <w:rPr>
          <w:rFonts w:ascii="Calibri" w:cs="Calibri" w:eastAsia="Calibri" w:hAnsi="Calibri"/>
          <w:sz w:val="21"/>
          <w:szCs w:val="21"/>
        </w:rPr>
        <w:t xml:space="preserve">La necesidad la impone una norma al Ayuntamiento. El expediente no la justifica: la identifica y acredita que concurre su presupuesto de hecho.</w:t>
      </w:r>
    </w:p>
    <w:p>
      <w:pPr>
        <w:spacing w:after="140" w:line="276"/>
      </w:pPr>
      <w:r>
        <w:rPr>
          <w:rFonts w:ascii="Calibri" w:cs="Calibri" w:eastAsia="Calibri" w:hAnsi="Calibri"/>
          <w:sz w:val="21"/>
          <w:szCs w:val="21"/>
        </w:rPr>
        <w:t xml:space="preserve">La columna «Exigibilidad» es de aplicación obligatoria: separa lo que hoy es obligación legal de lo que el Ayuntamiento anticipa voluntariamente. Confundir ambas cosas es, además de un error de cita, un problema de proporcionalidad —se estaría exigiendo como obligación legal vigente lo que la norma todavía no exige—.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Necesidad</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Norma que la impone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Exigibilidad a 01/09/2026</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Instrumento (·v3)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Conformidad con el ENS de los sistemas en que se sustenten los servicios del contratista, y de su cadena de suministro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RD 311/2022, art. 2.3; forma de acreditación, arts. 38.1 y 40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Exigible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Condición especial de ejecución de protección de datos, con carácter de obligación esencial, </w:t>
            </w:r>
            <w:r>
              <w:rPr>
                <w:rFonts w:ascii="Calibri" w:cs="Calibri" w:eastAsia="Calibri" w:hAnsi="Calibri"/>
                <w:b/>
                <w:bCs/>
                <w:sz w:val="18"/>
                <w:szCs w:val="18"/>
              </w:rPr>
              <w:t xml:space="preserve">cuando el contrato implique cesión de datos por el Ayuntamiento al contratista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LCSP art. 202.1, párr. 3.º</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Exigible </w:t>
            </w:r>
            <w:r>
              <w:rPr>
                <w:rFonts w:ascii="Calibri" w:cs="Calibri" w:eastAsia="Calibri" w:hAnsi="Calibri"/>
                <w:b/>
                <w:bCs/>
                <w:sz w:val="18"/>
                <w:szCs w:val="18"/>
              </w:rPr>
              <w:t xml:space="preserve">si concurre el supuesto</w:t>
            </w:r>
            <w:r>
              <w:rPr>
                <w:rFonts w:ascii="Calibri" w:cs="Calibri" w:eastAsia="Calibri" w:hAnsi="Calibri"/>
                <w:b w:val="false"/>
                <w:bCs w:val="false"/>
                <w:sz w:val="18"/>
                <w:szCs w:val="18"/>
              </w:rPr>
              <w:t xml:space="preserve">; si no concurre, la obligación no existe y no se declara esencial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ADM-6·v3, bloque 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Obligaciones sobre ubicación de servidores y su subcontratación, calificadas como esenciales en todo caso, </w:t>
            </w:r>
            <w:r>
              <w:rPr>
                <w:rFonts w:ascii="Calibri" w:cs="Calibri" w:eastAsia="Calibri" w:hAnsi="Calibri"/>
                <w:b/>
                <w:bCs/>
                <w:sz w:val="18"/>
                <w:szCs w:val="18"/>
              </w:rPr>
              <w:t xml:space="preserve">cuando la ejecución requiera el tratamiento por el contratista de datos personales por cuenta del responsable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LCSP art. 122.2, letras a) a e) y párrafo final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Exigible </w:t>
            </w:r>
            <w:r>
              <w:rPr>
                <w:rFonts w:ascii="Calibri" w:cs="Calibri" w:eastAsia="Calibri" w:hAnsi="Calibri"/>
                <w:b/>
                <w:bCs/>
                <w:sz w:val="18"/>
                <w:szCs w:val="18"/>
              </w:rPr>
              <w:t xml:space="preserve">si concurre el supuesto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ADM-6·v3, bloque 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Especificación de la finalidad del tratamiento de datos personales en el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LCSP art. 116.1, párr. 2.º</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Exigible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III (informe de necesidad)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Acceso de los órganos de control interno a los datos que acreditan la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TRLRHL art. 214; RD 424/2017 arts. 4.3, 6.3, 6.4, 6.7, 20.3, 30.1 y 30.3; DA 3.ª.3 LCSP. Complementariamente, y sólo para la información sobre operaciones, saldos y costes del tercero en actuaciones de auditoría pública, RD 424/2017 art. 33.4.d)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Exigible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ADM-12·v3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Determinación previa de los órganos competentes para especificaciones, programación, mantenimiento, supervisión, control de calidad y auditoría del sistema </w:t>
            </w:r>
            <w:r>
              <w:rPr>
                <w:rFonts w:ascii="Calibri" w:cs="Calibri" w:eastAsia="Calibri" w:hAnsi="Calibri"/>
                <w:b/>
                <w:bCs/>
                <w:sz w:val="18"/>
                <w:szCs w:val="18"/>
              </w:rPr>
              <w:t xml:space="preserve">y de su código fuente</w:t>
            </w:r>
            <w:r>
              <w:rPr>
                <w:rFonts w:ascii="Calibri" w:cs="Calibri" w:eastAsia="Calibri" w:hAnsi="Calibri"/>
                <w:b w:val="false"/>
                <w:bCs w:val="false"/>
                <w:sz w:val="18"/>
                <w:szCs w:val="18"/>
              </w:rPr>
              <w:t xml:space="preserve">, y del órgano responsable a efectos de impugnación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Ley 40/2015 art. 41.2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Exigible </w:t>
            </w:r>
            <w:r>
              <w:rPr>
                <w:rFonts w:ascii="Calibri" w:cs="Calibri" w:eastAsia="Calibri" w:hAnsi="Calibri"/>
                <w:b/>
                <w:bCs/>
                <w:sz w:val="18"/>
                <w:szCs w:val="18"/>
              </w:rPr>
              <w:t xml:space="preserve">cuando haya actuación administrativa automatizada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 y ADM-8·v3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Garantías frente a decisiones basadas únicamente en tratamiento automatizado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RGPD art. 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Exigible </w:t>
            </w:r>
            <w:r>
              <w:rPr>
                <w:rFonts w:ascii="Calibri" w:cs="Calibri" w:eastAsia="Calibri" w:hAnsi="Calibri"/>
                <w:b/>
                <w:bCs/>
                <w:sz w:val="18"/>
                <w:szCs w:val="18"/>
              </w:rPr>
              <w:t xml:space="preserve">si concurre el supuesto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Titularidad de derechos suficiente para poner la aplicación a disposición de cualquier otra Administración que la solicite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Ley 40/2015 arts. 157.1 y 158.1; RD 4/2010 (ENI) arts. 16 y 17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Exigible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ADM-8·v3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Consulta previa sobre soluciones ya disponibles y obligación de reutilizar, salvo justificación en términos de eficiencia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Ley 40/2015 art. 157.3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Exigible; </w:t>
            </w:r>
            <w:r>
              <w:rPr>
                <w:rFonts w:ascii="Calibri" w:cs="Calibri" w:eastAsia="Calibri" w:hAnsi="Calibri"/>
                <w:b/>
                <w:bCs/>
                <w:sz w:val="18"/>
                <w:szCs w:val="18"/>
              </w:rPr>
              <w:t xml:space="preserve">es trámite del expediente, no cláusula del pliego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III y Parte V</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Definición del objeto en atención a funcionalidades, sin cerrarlo a una solución única, en especial cuando puedan incorporarse innovaciones tecnológicas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LCSP art. 99.1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Exigible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DT-0·v3 y DT-9·v3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Formulación funcional de las prescripciones, admisión de equivalentes y prueba de la equivalencia en la oferta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LCSP arts. 126.5.a), 126.6, 126.7, 126.8 y 128.2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Exigible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DT-0·v3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Inclusión de al menos una condición especial de ejecución; la innovación es materia expresamente admitida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LCSP art. 202.1 y 202.2; Directiva 2014/24/UE art. 70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Exigible (habilitación, no obligación de contenido)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ADM-2·v3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Que el personal que se ocupe del funcionamiento y uso de sistemas de IA tenga un nivel suficiente de conocimientos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Reglamento (UE) 2024/1689, art. 4, </w:t>
            </w:r>
            <w:r>
              <w:rPr>
                <w:rFonts w:ascii="Calibri" w:cs="Calibri" w:eastAsia="Calibri" w:hAnsi="Calibri"/>
                <w:b/>
                <w:bCs/>
                <w:sz w:val="18"/>
                <w:szCs w:val="18"/>
              </w:rPr>
              <w:t xml:space="preserve">en su redacción vigente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Exigible; es obligación del Ayuntamiento. El contrato sólo puede aportar formación y materiales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Obligaciones del responsable del despliegue de sistemas de alto riesgo y evaluación de impacto relativa a los derechos fundamentales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Reglamento (UE) 2024/1689, arts. 26 y 27 (capítulo III, sección 3), en su redacción vigente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EXIGIBLE HOY.</w:t>
            </w:r>
            <w:r>
              <w:rPr>
                <w:rFonts w:ascii="Calibri" w:cs="Calibri" w:eastAsia="Calibri" w:hAnsi="Calibri"/>
                <w:b w:val="false"/>
                <w:bCs w:val="false"/>
                <w:sz w:val="18"/>
                <w:szCs w:val="18"/>
              </w:rPr>
              <w:t xml:space="preserve"> El </w:t>
            </w:r>
            <w:hyperlink w:history="1" r:id="rIdtew-mppllq6u2pgjgh54i">
              <w:r>
                <w:rPr>
                  <w:rFonts w:ascii="Calibri" w:cs="Calibri" w:eastAsia="Calibri" w:hAnsi="Calibri"/>
                  <w:b w:val="false"/>
                  <w:bCs w:val="false"/>
                  <w:color w:val="2F5496"/>
                  <w:sz w:val="18"/>
                  <w:szCs w:val="18"/>
                  <w:u w:val="single"/>
                </w:rPr>
                <w:t xml:space="preserve">Reglamento (UE) 2026/1744, de 8 de julio de 2026</w:t>
              </w:r>
            </w:hyperlink>
            <w:r>
              <w:rPr>
                <w:rFonts w:ascii="Calibri" w:cs="Calibri" w:eastAsia="Calibri" w:hAnsi="Calibri"/>
                <w:b w:val="false"/>
                <w:bCs w:val="false"/>
                <w:sz w:val="18"/>
                <w:szCs w:val="18"/>
              </w:rPr>
              <w:t xml:space="preserve"> fija la aplicación del capítulo III, secciones 1, 2 y 3, el </w:t>
            </w:r>
            <w:r>
              <w:rPr>
                <w:rFonts w:ascii="Calibri" w:cs="Calibri" w:eastAsia="Calibri" w:hAnsi="Calibri"/>
                <w:b/>
                <w:bCs/>
                <w:sz w:val="18"/>
                <w:szCs w:val="18"/>
              </w:rPr>
              <w:t xml:space="preserve">2 de diciembre de 2027</w:t>
            </w:r>
            <w:r>
              <w:rPr>
                <w:rFonts w:ascii="Calibri" w:cs="Calibri" w:eastAsia="Calibri" w:hAnsi="Calibri"/>
                <w:b w:val="false"/>
                <w:bCs w:val="false"/>
                <w:sz w:val="18"/>
                <w:szCs w:val="18"/>
              </w:rPr>
              <w:t xml:space="preserve"> para los sistemas de alto riesgo del art. 6.2 y anexo III, y el </w:t>
            </w:r>
            <w:r>
              <w:rPr>
                <w:rFonts w:ascii="Calibri" w:cs="Calibri" w:eastAsia="Calibri" w:hAnsi="Calibri"/>
                <w:b/>
                <w:bCs/>
                <w:sz w:val="18"/>
                <w:szCs w:val="18"/>
              </w:rPr>
              <w:t xml:space="preserve">2 de agosto de 2028</w:t>
            </w:r>
            <w:r>
              <w:rPr>
                <w:rFonts w:ascii="Calibri" w:cs="Calibri" w:eastAsia="Calibri" w:hAnsi="Calibri"/>
                <w:b w:val="false"/>
                <w:bCs w:val="false"/>
                <w:sz w:val="18"/>
                <w:szCs w:val="18"/>
              </w:rPr>
              <w:t xml:space="preserve"> para los del art. 6.1 y anexo 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como </w:t>
            </w:r>
            <w:r>
              <w:rPr>
                <w:rFonts w:ascii="Calibri" w:cs="Calibri" w:eastAsia="Calibri" w:hAnsi="Calibri"/>
                <w:b/>
                <w:bCs/>
                <w:sz w:val="18"/>
                <w:szCs w:val="18"/>
              </w:rPr>
              <w:t xml:space="preserve">anticipación voluntaria</w:t>
            </w:r>
            <w:r>
              <w:rPr>
                <w:rFonts w:ascii="Calibri" w:cs="Calibri" w:eastAsia="Calibri" w:hAnsi="Calibri"/>
                <w:b w:val="false"/>
                <w:bCs w:val="false"/>
                <w:sz w:val="18"/>
                <w:szCs w:val="18"/>
              </w:rPr>
              <w:t xml:space="preserve">: véase §3.5 y DT-1·v3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Registro en la base de datos de la UE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Reglamento (UE) 2024/1689, art. 49</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Exigible.</w:t>
            </w:r>
            <w:r>
              <w:rPr>
                <w:rFonts w:ascii="Calibri" w:cs="Calibri" w:eastAsia="Calibri" w:hAnsi="Calibri"/>
                <w:b w:val="false"/>
                <w:bCs w:val="false"/>
                <w:sz w:val="18"/>
                <w:szCs w:val="18"/>
              </w:rPr>
              <w:t xml:space="preserve"> El artículo 49 se integra en la </w:t>
            </w:r>
            <w:r>
              <w:rPr>
                <w:rFonts w:ascii="Calibri" w:cs="Calibri" w:eastAsia="Calibri" w:hAnsi="Calibri"/>
                <w:b/>
                <w:bCs/>
                <w:sz w:val="18"/>
                <w:szCs w:val="18"/>
              </w:rPr>
              <w:t xml:space="preserve">sección 5</w:t>
            </w:r>
            <w:r>
              <w:rPr>
                <w:rFonts w:ascii="Calibri" w:cs="Calibri" w:eastAsia="Calibri" w:hAnsi="Calibri"/>
                <w:b w:val="false"/>
                <w:bCs w:val="false"/>
                <w:sz w:val="18"/>
                <w:szCs w:val="18"/>
              </w:rPr>
              <w:t xml:space="preserve"> del capítulo III y no queda comprendido en el aplazamiento del Reglamento (UE) 2026/1744, que alcanza únicamente a las secciones 1, 2 y 3 de ese capítulo. Es obligación del Ayuntamiento como responsable del despliegue; el contrato sólo puede aportar la información y la documentación necesarias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XI</w:t>
            </w:r>
          </w:p>
        </w:tc>
      </w:tr>
    </w:tbl>
    <w:p>
      <w:pPr>
        <w:spacing w:after="200"/>
      </w:pPr>
    </w:p>
    <w:p>
      <w:pPr>
        <w:spacing w:after="140" w:line="276"/>
      </w:pPr>
      <w:r>
        <w:rPr>
          <w:rFonts w:ascii="Calibri" w:cs="Calibri" w:eastAsia="Calibri" w:hAnsi="Calibri"/>
          <w:sz w:val="21"/>
          <w:szCs w:val="21"/>
        </w:rPr>
        <w:t xml:space="preserve">Dos reglas de cierre de esta tabla:</w:t>
      </w:r>
    </w:p>
    <w:p>
      <w:pPr>
        <w:pStyle w:val="ListParagraph"/>
        <w:numPr>
          <w:ilvl w:val="0"/>
          <w:numId w:val="1"/>
        </w:numPr>
        <w:spacing w:after="70" w:line="268"/>
      </w:pPr>
      <w:r>
        <w:rPr>
          <w:rFonts w:ascii="Calibri" w:cs="Calibri" w:eastAsia="Calibri" w:hAnsi="Calibri"/>
          <w:b/>
          <w:bCs/>
          <w:sz w:val="21"/>
          <w:szCs w:val="21"/>
        </w:rPr>
        <w:t xml:space="preserve">Toda cita al Reglamento (UE) 2024/1689 se hace «en su redacción vigente».</w:t>
      </w:r>
      <w:r>
        <w:rPr>
          <w:rFonts w:ascii="Calibri" w:cs="Calibri" w:eastAsia="Calibri" w:hAnsi="Calibri"/>
          <w:sz w:val="21"/>
          <w:szCs w:val="21"/>
        </w:rPr>
        <w:t xml:space="preserve"> No se reproducen calendarios en el articulado: viven en el Anexo XI, con fecha de corte. La versión 2.0 de este clausulado y el resumen ejecutivo de la versión 1 describen el calendario original y han quedado desactualizados; así se hace constar en la tabla de correspondencias del Anexo XII.</w:t>
      </w:r>
    </w:p>
    <w:p>
      <w:pPr>
        <w:pStyle w:val="ListParagraph"/>
        <w:numPr>
          <w:ilvl w:val="0"/>
          <w:numId w:val="1"/>
        </w:numPr>
        <w:spacing w:after="70" w:line="268"/>
      </w:pPr>
      <w:r>
        <w:rPr>
          <w:rFonts w:ascii="Calibri" w:cs="Calibri" w:eastAsia="Calibri" w:hAnsi="Calibri"/>
          <w:b/>
          <w:bCs/>
          <w:sz w:val="21"/>
          <w:szCs w:val="21"/>
        </w:rPr>
        <w:t xml:space="preserve">Una fila «no exigible hoy» no es un origen normativo de necesidad.</w:t>
      </w:r>
      <w:r>
        <w:rPr>
          <w:rFonts w:ascii="Calibri" w:cs="Calibri" w:eastAsia="Calibri" w:hAnsi="Calibri"/>
          <w:sz w:val="21"/>
          <w:szCs w:val="21"/>
        </w:rPr>
        <w:t xml:space="preserve"> Si el Ayuntamiento quiere anticiparla, necesita el origen (iii). No puede escribirse en la memoria que la impone una norma.</w:t>
      </w:r>
    </w:p>
    <w:p>
      <w:pPr>
        <w:pStyle w:val="Heading3"/>
        <w:keepNext/>
        <w:spacing w:after="140" w:before="320"/>
      </w:pPr>
      <w:r>
        <w:rPr>
          <w:rFonts w:ascii="Georgia" w:cs="Georgia" w:eastAsia="Georgia" w:hAnsi="Georgia"/>
          <w:b/>
          <w:bCs/>
          <w:color w:val="2F5496"/>
          <w:sz w:val="22"/>
          <w:szCs w:val="22"/>
        </w:rPr>
        <w:t xml:space="preserve">3.4 Origen (ii): necesidad funcional del servicio gestor</w:t>
      </w:r>
    </w:p>
    <w:p>
      <w:pPr>
        <w:spacing w:after="140" w:line="276"/>
      </w:pPr>
      <w:r>
        <w:rPr>
          <w:rFonts w:ascii="Calibri" w:cs="Calibri" w:eastAsia="Calibri" w:hAnsi="Calibri"/>
          <w:sz w:val="21"/>
          <w:szCs w:val="21"/>
        </w:rPr>
        <w:t xml:space="preserve">La necesidad la declara el servicio gestor, por escrito, con datos. No hace falta norma alguna. Lo que hace falta es que la declaración sea verificable: volumen, coste, incidencias, plazo. Una necesidad funcional declarada con adjetivos no es una necesidad declarada.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Necesidad funcional típica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Cómo se acredita en el informe de necesidad</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Instrumento (·v3)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Que el servicio no se interrumpa si desaparece el proveedor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Criticidad del servicio, tiempo máximo de indisponibilidad tolerable, dependencia actual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ADM-11·v3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Poder cambiar de proveedor al término del contrato sin rehacer el sistema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Coste de cambio estimado, formatos en que hoy están los datos, dependencias conocidas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la carga de tramitación de un procedimiento concreto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Número de expedientes al año, tiempo medio por expediente, personas dedicadas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DT-4·v3, sobre lista cerrada de procesos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Explotar los datos de la ejecución sin pedírselos al proveedor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Número de peticiones de información al año y plazo medio de respuesta actual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ADM-12·v3 y DT-5·v3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Disponer de un entorno de pruebas para validar cambios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Incidencias en producción atribuibles a cambios no probados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DT-9·v3 (criterio de entorno de pruebas del Anexo V)</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Integrarse con los servicios comunes de obligada utilización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Servicios afectados y estado actual de la integración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DT-5·v3, con la excepción de equivalencia del DT-0·v3</w:t>
            </w:r>
          </w:p>
        </w:tc>
      </w:tr>
    </w:tbl>
    <w:p>
      <w:pPr>
        <w:spacing w:after="200"/>
      </w:pPr>
    </w:p>
    <w:p>
      <w:pPr>
        <w:pStyle w:val="Heading3"/>
        <w:keepNext/>
        <w:spacing w:after="140" w:before="320"/>
      </w:pPr>
      <w:r>
        <w:rPr>
          <w:rFonts w:ascii="Georgia" w:cs="Georgia" w:eastAsia="Georgia" w:hAnsi="Georgia"/>
          <w:b/>
          <w:bCs/>
          <w:color w:val="2F5496"/>
          <w:sz w:val="22"/>
          <w:szCs w:val="22"/>
        </w:rPr>
        <w:t xml:space="preserve">3.5 Origen (iii): necesidad institucional aprobada por el órgano de gobierno</w:t>
      </w:r>
    </w:p>
    <w:p>
      <w:pPr>
        <w:spacing w:after="140" w:line="276"/>
      </w:pPr>
      <w:r>
        <w:rPr>
          <w:rFonts w:ascii="Calibri" w:cs="Calibri" w:eastAsia="Calibri" w:hAnsi="Calibri"/>
          <w:sz w:val="21"/>
          <w:szCs w:val="21"/>
        </w:rPr>
        <w:t xml:space="preserve">Es el origen que faltaba y sin el cual el núcleo tecnológico de este catálogo no puede entrar en ningún pliego.</w:t>
      </w:r>
    </w:p>
    <w:p>
      <w:pPr>
        <w:spacing w:after="140" w:line="276"/>
      </w:pPr>
      <w:r>
        <w:rPr>
          <w:rFonts w:ascii="Calibri" w:cs="Calibri" w:eastAsia="Calibri" w:hAnsi="Calibri"/>
          <w:b/>
          <w:bCs/>
          <w:sz w:val="21"/>
          <w:szCs w:val="21"/>
        </w:rPr>
        <w:t xml:space="preserve">Requisitos del acto.</w:t>
      </w:r>
      <w:r>
        <w:rPr>
          <w:rFonts w:ascii="Calibri" w:cs="Calibri" w:eastAsia="Calibri" w:hAnsi="Calibri"/>
          <w:sz w:val="21"/>
          <w:szCs w:val="21"/>
        </w:rPr>
        <w:t xml:space="preserve"> Para servir de origen de necesidad, el acuerdo debe reunir cinco condiciones acumulativas:</w:t>
      </w:r>
    </w:p>
    <w:p>
      <w:pPr>
        <w:pStyle w:val="ListParagraph"/>
        <w:numPr>
          <w:ilvl w:val="0"/>
          <w:numId w:val="2"/>
        </w:numPr>
        <w:spacing w:after="70" w:line="268"/>
      </w:pPr>
      <w:r>
        <w:rPr>
          <w:rFonts w:ascii="Calibri" w:cs="Calibri" w:eastAsia="Calibri" w:hAnsi="Calibri"/>
          <w:sz w:val="21"/>
          <w:szCs w:val="21"/>
        </w:rPr>
        <w:t xml:space="preserve">Estar adoptado por el </w:t>
      </w:r>
      <w:r>
        <w:rPr>
          <w:rFonts w:ascii="Calibri" w:cs="Calibri" w:eastAsia="Calibri" w:hAnsi="Calibri"/>
          <w:b/>
          <w:bCs/>
          <w:sz w:val="21"/>
          <w:szCs w:val="21"/>
        </w:rPr>
        <w:t xml:space="preserve">órgano de gobierno</w:t>
      </w:r>
      <w:r>
        <w:rPr>
          <w:rFonts w:ascii="Calibri" w:cs="Calibri" w:eastAsia="Calibri" w:hAnsi="Calibri"/>
          <w:sz w:val="21"/>
          <w:szCs w:val="21"/>
        </w:rPr>
        <w:t xml:space="preserve"> de la entidad (en los municipios de gran población, la Junta de Gobierno Local, salvo atribución distinta en sus normas de organización), no por un área ni por una concejalía.</w:t>
      </w:r>
    </w:p>
    <w:p>
      <w:pPr>
        <w:pStyle w:val="ListParagraph"/>
        <w:numPr>
          <w:ilvl w:val="0"/>
          <w:numId w:val="2"/>
        </w:numPr>
        <w:spacing w:after="70" w:line="268"/>
      </w:pPr>
      <w:r>
        <w:rPr>
          <w:rFonts w:ascii="Calibri" w:cs="Calibri" w:eastAsia="Calibri" w:hAnsi="Calibri"/>
          <w:b/>
          <w:bCs/>
          <w:sz w:val="21"/>
          <w:szCs w:val="21"/>
        </w:rPr>
        <w:t xml:space="preserve">Identificar objetivos y calendario</w:t>
      </w:r>
      <w:r>
        <w:rPr>
          <w:rFonts w:ascii="Calibri" w:cs="Calibri" w:eastAsia="Calibri" w:hAnsi="Calibri"/>
          <w:sz w:val="21"/>
          <w:szCs w:val="21"/>
        </w:rPr>
        <w:t xml:space="preserve"> verificables, no declaraciones de intenciones.</w:t>
      </w:r>
    </w:p>
    <w:p>
      <w:pPr>
        <w:pStyle w:val="ListParagraph"/>
        <w:numPr>
          <w:ilvl w:val="0"/>
          <w:numId w:val="2"/>
        </w:numPr>
        <w:spacing w:after="70" w:line="268"/>
      </w:pPr>
      <w:r>
        <w:rPr>
          <w:rFonts w:ascii="Calibri" w:cs="Calibri" w:eastAsia="Calibri" w:hAnsi="Calibri"/>
          <w:b/>
          <w:bCs/>
          <w:sz w:val="21"/>
          <w:szCs w:val="21"/>
        </w:rPr>
        <w:t xml:space="preserve">Aprobar el catálogo anual de exigencias tecnológicas determinadas</w:t>
      </w:r>
      <w:r>
        <w:rPr>
          <w:rFonts w:ascii="Calibri" w:cs="Calibri" w:eastAsia="Calibri" w:hAnsi="Calibri"/>
          <w:sz w:val="21"/>
          <w:szCs w:val="21"/>
        </w:rPr>
        <w:t xml:space="preserve"> (Anexo V del ejercicio), con número de versión y fecha, o remitir expresamente al órgano que lo apruebe y al procedimiento.</w:t>
      </w:r>
    </w:p>
    <w:p>
      <w:pPr>
        <w:pStyle w:val="ListParagraph"/>
        <w:numPr>
          <w:ilvl w:val="0"/>
          <w:numId w:val="2"/>
        </w:numPr>
        <w:spacing w:after="70" w:line="268"/>
      </w:pPr>
      <w:r>
        <w:rPr>
          <w:rFonts w:ascii="Calibri" w:cs="Calibri" w:eastAsia="Calibri" w:hAnsi="Calibri"/>
          <w:sz w:val="21"/>
          <w:szCs w:val="21"/>
        </w:rPr>
        <w:t xml:space="preserve">Fijar su </w:t>
      </w:r>
      <w:r>
        <w:rPr>
          <w:rFonts w:ascii="Calibri" w:cs="Calibri" w:eastAsia="Calibri" w:hAnsi="Calibri"/>
          <w:b/>
          <w:bCs/>
          <w:sz w:val="21"/>
          <w:szCs w:val="21"/>
        </w:rPr>
        <w:t xml:space="preserve">vigencia y revisión</w:t>
      </w:r>
      <w:r>
        <w:rPr>
          <w:rFonts w:ascii="Calibri" w:cs="Calibri" w:eastAsia="Calibri" w:hAnsi="Calibri"/>
          <w:sz w:val="21"/>
          <w:szCs w:val="21"/>
        </w:rPr>
        <w:t xml:space="preserve"> —recomendado: un ejercicio, con revisión antes del cierre del ejercicio anterior— y hacer constar el </w:t>
      </w:r>
      <w:r>
        <w:rPr>
          <w:rFonts w:ascii="Calibri" w:cs="Calibri" w:eastAsia="Calibri" w:hAnsi="Calibri"/>
          <w:b/>
          <w:bCs/>
          <w:sz w:val="21"/>
          <w:szCs w:val="21"/>
        </w:rPr>
        <w:t xml:space="preserve">contraste de mercado documentado</w:t>
      </w:r>
      <w:r>
        <w:rPr>
          <w:rFonts w:ascii="Calibri" w:cs="Calibri" w:eastAsia="Calibri" w:hAnsi="Calibri"/>
          <w:sz w:val="21"/>
          <w:szCs w:val="21"/>
        </w:rPr>
        <w:t xml:space="preserve"> que sustenta el catálogo.</w:t>
      </w:r>
    </w:p>
    <w:p>
      <w:pPr>
        <w:pStyle w:val="ListParagraph"/>
        <w:numPr>
          <w:ilvl w:val="0"/>
          <w:numId w:val="2"/>
        </w:numPr>
        <w:spacing w:after="70" w:line="268"/>
      </w:pPr>
      <w:r>
        <w:rPr>
          <w:rFonts w:ascii="Calibri" w:cs="Calibri" w:eastAsia="Calibri" w:hAnsi="Calibri"/>
          <w:b/>
          <w:bCs/>
          <w:sz w:val="21"/>
          <w:szCs w:val="21"/>
        </w:rPr>
        <w:t xml:space="preserve">Publicarse</w:t>
      </w:r>
      <w:r>
        <w:rPr>
          <w:rFonts w:ascii="Calibri" w:cs="Calibri" w:eastAsia="Calibri" w:hAnsi="Calibri"/>
          <w:sz w:val="21"/>
          <w:szCs w:val="21"/>
        </w:rPr>
        <w:t xml:space="preserve">, de modo que el informe de necesidad de cada expediente pueda remitirse a un acto identificable por cualquiera, incluido un recurrente.</w:t>
      </w:r>
    </w:p>
    <w:p>
      <w:pPr>
        <w:spacing w:after="140" w:line="276"/>
      </w:pPr>
      <w:r>
        <w:rPr>
          <w:rFonts w:ascii="Calibri" w:cs="Calibri" w:eastAsia="Calibri" w:hAnsi="Calibri"/>
          <w:b/>
          <w:bCs/>
          <w:sz w:val="21"/>
          <w:szCs w:val="21"/>
        </w:rPr>
        <w:t xml:space="preserve">Modelo de acuerdo</w:t>
      </w:r>
      <w:r>
        <w:rPr>
          <w:rFonts w:ascii="Calibri" w:cs="Calibri" w:eastAsia="Calibri" w:hAnsi="Calibri"/>
          <w:sz w:val="21"/>
          <w:szCs w:val="21"/>
        </w:rPr>
        <w:t xml:space="preserve"> </w:t>
      </w:r>
      <w:r>
        <w:rPr>
          <w:rFonts w:ascii="Calibri" w:cs="Calibri" w:eastAsia="Calibri" w:hAnsi="Calibri"/>
          <w:i/>
          <w:iCs/>
          <w:sz w:val="21"/>
          <w:szCs w:val="21"/>
        </w:rPr>
        <w:t xml:space="preserve">(documento del expediente de aprobación; no es texto de pliego y no se copia a ningún pliego)</w:t>
      </w:r>
      <w:r>
        <w:rPr>
          <w:rFonts w:ascii="Calibri" w:cs="Calibri" w:eastAsia="Calibri" w:hAnsi="Calibri"/>
          <w:sz w:val="21"/>
          <w:szCs w:val="21"/>
        </w:rPr>
        <w:t xml:space="preserve">:</w:t>
      </w:r>
    </w:p>
    <w:p>
      <w:pPr>
        <w:pBdr>
          <w:left w:val="single" w:color="BFBFBF" w:sz="12" w:space="8"/>
        </w:pBdr>
        <w:spacing w:after="140" w:line="264"/>
        <w:ind w:left="400"/>
      </w:pPr>
      <w:r>
        <w:rPr>
          <w:rFonts w:ascii="Georgia" w:cs="Georgia" w:eastAsia="Georgia" w:hAnsi="Georgia"/>
          <w:b/>
          <w:bCs/>
          <w:i/>
          <w:iCs/>
          <w:color w:val="595959"/>
          <w:sz w:val="20"/>
          <w:szCs w:val="20"/>
        </w:rPr>
        <w:t xml:space="preserve">Acuerdo de la [Junta de Gobierno Local] por el que se aprueba el Plan de Digitalización y Automatización [20XX-20XX] y el Catálogo Anual de Exigencias Tecnológicas Determinadas del ejercicio [20XX].</w:t>
      </w:r>
    </w:p>
    <w:p>
      <w:pPr>
        <w:pBdr>
          <w:left w:val="single" w:color="BFBFBF" w:sz="12" w:space="8"/>
        </w:pBdr>
        <w:spacing w:after="140" w:line="264"/>
        <w:ind w:left="400"/>
      </w:pPr>
      <w:r>
        <w:rPr>
          <w:rFonts w:ascii="Georgia" w:cs="Georgia" w:eastAsia="Georgia" w:hAnsi="Georgia"/>
          <w:b/>
          <w:bCs/>
          <w:i/>
          <w:iCs/>
          <w:color w:val="595959"/>
          <w:sz w:val="20"/>
          <w:szCs w:val="20"/>
        </w:rPr>
        <w:t xml:space="preserve">Primero.</w:t>
      </w:r>
      <w:r>
        <w:rPr>
          <w:rFonts w:ascii="Georgia" w:cs="Georgia" w:eastAsia="Georgia" w:hAnsi="Georgia"/>
          <w:i/>
          <w:iCs/>
          <w:color w:val="595959"/>
          <w:sz w:val="20"/>
          <w:szCs w:val="20"/>
        </w:rPr>
        <w:t xml:space="preserve"> Aprobar el Plan de Digitalización y Automatización [20XX-20XX], que fija como objetivo que los sistemas de información municipales relacionados en su anexo [ ] puedan ser operados y consultados de forma programática, bajo control municipal, con supervisión humana y trazabilidad completa, en el calendario que el propio Plan establece.</w:t>
      </w:r>
    </w:p>
    <w:p>
      <w:pPr>
        <w:pBdr>
          <w:left w:val="single" w:color="BFBFBF" w:sz="12" w:space="8"/>
        </w:pBdr>
        <w:spacing w:after="140" w:line="264"/>
        <w:ind w:left="400"/>
      </w:pPr>
      <w:r>
        <w:rPr>
          <w:rFonts w:ascii="Georgia" w:cs="Georgia" w:eastAsia="Georgia" w:hAnsi="Georgia"/>
          <w:b/>
          <w:bCs/>
          <w:i/>
          <w:iCs/>
          <w:color w:val="595959"/>
          <w:sz w:val="20"/>
          <w:szCs w:val="20"/>
        </w:rPr>
        <w:t xml:space="preserve">Segundo.</w:t>
      </w:r>
      <w:r>
        <w:rPr>
          <w:rFonts w:ascii="Georgia" w:cs="Georgia" w:eastAsia="Georgia" w:hAnsi="Georgia"/>
          <w:i/>
          <w:iCs/>
          <w:color w:val="595959"/>
          <w:sz w:val="20"/>
          <w:szCs w:val="20"/>
        </w:rPr>
        <w:t xml:space="preserve"> Aprobar el Catálogo Anual de Exigencias Tecnológicas Determinadas del ejercicio [20XX], versión [ ], de fecha [ ], que se incorpora como anexo, con las capacidades, plazos y criterios de aceptación que en él se relacionan, y a la vista del contraste de mercado documentado que obra en el expediente [ ].</w:t>
      </w:r>
    </w:p>
    <w:p>
      <w:pPr>
        <w:pBdr>
          <w:left w:val="single" w:color="BFBFBF" w:sz="12" w:space="8"/>
        </w:pBdr>
        <w:spacing w:after="140" w:line="264"/>
        <w:ind w:left="400"/>
      </w:pPr>
      <w:r>
        <w:rPr>
          <w:rFonts w:ascii="Georgia" w:cs="Georgia" w:eastAsia="Georgia" w:hAnsi="Georgia"/>
          <w:b/>
          <w:bCs/>
          <w:i/>
          <w:iCs/>
          <w:color w:val="595959"/>
          <w:sz w:val="20"/>
          <w:szCs w:val="20"/>
        </w:rPr>
        <w:t xml:space="preserve">Tercero.</w:t>
      </w:r>
      <w:r>
        <w:rPr>
          <w:rFonts w:ascii="Georgia" w:cs="Georgia" w:eastAsia="Georgia" w:hAnsi="Georgia"/>
          <w:i/>
          <w:iCs/>
          <w:color w:val="595959"/>
          <w:sz w:val="20"/>
          <w:szCs w:val="20"/>
        </w:rPr>
        <w:t xml:space="preserve"> Declarar que las exigencias del Catálogo responden a una necesidad de esta Administración en el sentido de los artículos 28.1 y 116.4.e) de la Ley 9/2017, de 8 de noviembre, de Contratos del Sector Público, y que su incorporación a cada pliego requerirá, en todo caso, la acreditación en el expediente correspondiente de la relación directa, clara y proporcional con el objeto de ese contrato, conforme a la ficha del Anexo II del clausulado.</w:t>
      </w:r>
    </w:p>
    <w:p>
      <w:pPr>
        <w:pBdr>
          <w:left w:val="single" w:color="BFBFBF" w:sz="12" w:space="8"/>
        </w:pBdr>
        <w:spacing w:after="140" w:line="264"/>
        <w:ind w:left="400"/>
      </w:pPr>
      <w:r>
        <w:rPr>
          <w:rFonts w:ascii="Georgia" w:cs="Georgia" w:eastAsia="Georgia" w:hAnsi="Georgia"/>
          <w:b/>
          <w:bCs/>
          <w:i/>
          <w:iCs/>
          <w:color w:val="595959"/>
          <w:sz w:val="20"/>
          <w:szCs w:val="20"/>
        </w:rPr>
        <w:t xml:space="preserve">Cuarto.</w:t>
      </w:r>
      <w:r>
        <w:rPr>
          <w:rFonts w:ascii="Georgia" w:cs="Georgia" w:eastAsia="Georgia" w:hAnsi="Georgia"/>
          <w:i/>
          <w:iCs/>
          <w:color w:val="595959"/>
          <w:sz w:val="20"/>
          <w:szCs w:val="20"/>
        </w:rPr>
        <w:t xml:space="preserve"> El Catálogo se revisará anualmente. Las revisiones producirán efectos únicamente sobre las licitaciones que se convoquen a partir de su aprobación, sin afectar a los contratos en vigor ni a sus prórrogas.</w:t>
      </w:r>
    </w:p>
    <w:p>
      <w:pPr>
        <w:pBdr>
          <w:left w:val="single" w:color="BFBFBF" w:sz="12" w:space="8"/>
        </w:pBdr>
        <w:spacing w:after="140" w:line="264"/>
        <w:ind w:left="400"/>
      </w:pPr>
      <w:r>
        <w:rPr>
          <w:rFonts w:ascii="Georgia" w:cs="Georgia" w:eastAsia="Georgia" w:hAnsi="Georgia"/>
          <w:b/>
          <w:bCs/>
          <w:i/>
          <w:iCs/>
          <w:color w:val="595959"/>
          <w:sz w:val="20"/>
          <w:szCs w:val="20"/>
        </w:rPr>
        <w:t xml:space="preserve">Quinto.</w:t>
      </w:r>
      <w:r>
        <w:rPr>
          <w:rFonts w:ascii="Georgia" w:cs="Georgia" w:eastAsia="Georgia" w:hAnsi="Georgia"/>
          <w:i/>
          <w:iCs/>
          <w:color w:val="595959"/>
          <w:sz w:val="20"/>
          <w:szCs w:val="20"/>
        </w:rPr>
        <w:t xml:space="preserve"> Publicar el presente acuerdo y sus anexos en [el portal de transparencia y el perfil de contratante], y dar traslado a [órgano de contratación, Intervención General, Asesoría Jurídica y servicios gestores].</w:t>
      </w:r>
    </w:p>
    <w:p>
      <w:pPr>
        <w:spacing w:after="140" w:line="276"/>
      </w:pPr>
      <w:r>
        <w:rPr>
          <w:rFonts w:ascii="Calibri" w:cs="Calibri" w:eastAsia="Calibri" w:hAnsi="Calibri"/>
          <w:b/>
          <w:bCs/>
          <w:sz w:val="21"/>
          <w:szCs w:val="21"/>
        </w:rPr>
        <w:t xml:space="preserve">Lo que el acuerdo no hace.</w:t>
      </w:r>
      <w:r>
        <w:rPr>
          <w:rFonts w:ascii="Calibri" w:cs="Calibri" w:eastAsia="Calibri" w:hAnsi="Calibri"/>
          <w:sz w:val="21"/>
          <w:szCs w:val="21"/>
        </w:rPr>
        <w:t xml:space="preserve"> No incorpora nada a ningún pliego, no sustituye a la memoria justificativa de ningún expediente y no releva de la ficha. La remisión al acuerdo acredita </w:t>
      </w:r>
      <w:r>
        <w:rPr>
          <w:rFonts w:ascii="Calibri" w:cs="Calibri" w:eastAsia="Calibri" w:hAnsi="Calibri"/>
          <w:b/>
          <w:bCs/>
          <w:sz w:val="21"/>
          <w:szCs w:val="21"/>
        </w:rPr>
        <w:t xml:space="preserve">de dónde nace</w:t>
      </w:r>
      <w:r>
        <w:rPr>
          <w:rFonts w:ascii="Calibri" w:cs="Calibri" w:eastAsia="Calibri" w:hAnsi="Calibri"/>
          <w:sz w:val="21"/>
          <w:szCs w:val="21"/>
        </w:rPr>
        <w:t xml:space="preserve"> la exigencia; la proporcionalidad respecto de </w:t>
      </w:r>
      <w:r>
        <w:rPr>
          <w:rFonts w:ascii="Calibri" w:cs="Calibri" w:eastAsia="Calibri" w:hAnsi="Calibri"/>
          <w:i/>
          <w:iCs/>
          <w:sz w:val="21"/>
          <w:szCs w:val="21"/>
        </w:rPr>
        <w:t xml:space="preserve">ese</w:t>
      </w:r>
      <w:r>
        <w:rPr>
          <w:rFonts w:ascii="Calibri" w:cs="Calibri" w:eastAsia="Calibri" w:hAnsi="Calibri"/>
          <w:sz w:val="21"/>
          <w:szCs w:val="21"/>
        </w:rPr>
        <w:t xml:space="preserve"> contrato hay que escribirla igualmente (§3.8).</w:t>
      </w:r>
    </w:p>
    <w:p>
      <w:pPr>
        <w:pStyle w:val="Heading3"/>
        <w:keepNext/>
        <w:spacing w:after="140" w:before="320"/>
      </w:pPr>
      <w:r>
        <w:rPr>
          <w:rFonts w:ascii="Georgia" w:cs="Georgia" w:eastAsia="Georgia" w:hAnsi="Georgia"/>
          <w:b/>
          <w:bCs/>
          <w:color w:val="2F5496"/>
          <w:sz w:val="22"/>
          <w:szCs w:val="22"/>
        </w:rPr>
        <w:t xml:space="preserve">3.6 Regla de cierre de los tres orígenes</w:t>
      </w:r>
    </w:p>
    <w:p>
      <w:pPr>
        <w:pBdr>
          <w:left w:val="single" w:color="BFBFBF" w:sz="12" w:space="8"/>
        </w:pBdr>
        <w:spacing w:after="140" w:line="264"/>
        <w:ind w:left="400"/>
      </w:pPr>
      <w:r>
        <w:rPr>
          <w:rFonts w:ascii="Georgia" w:cs="Georgia" w:eastAsia="Georgia" w:hAnsi="Georgia"/>
          <w:b/>
          <w:bCs/>
          <w:i/>
          <w:iCs/>
          <w:color w:val="595959"/>
          <w:sz w:val="20"/>
          <w:szCs w:val="20"/>
        </w:rPr>
        <w:t xml:space="preserve">Ninguna cláusula de este catálogo se incorpora a un pliego si no puede anclarse, en la ficha del Anexo II, en uno de los tres orígenes de necesidad: normativo, funcional o institucional. La que no tenga ninguno de los tres se marca NO APLICA y no entra en el pliego.</w:t>
      </w:r>
    </w:p>
    <w:p>
      <w:pPr>
        <w:spacing w:after="140" w:line="276"/>
      </w:pPr>
      <w:r>
        <w:rPr>
          <w:rFonts w:ascii="Calibri" w:cs="Calibri" w:eastAsia="Calibri" w:hAnsi="Calibri"/>
          <w:sz w:val="21"/>
          <w:szCs w:val="21"/>
        </w:rPr>
        <w:t xml:space="preserve">Corolarios:</w:t>
      </w:r>
    </w:p>
    <w:p>
      <w:pPr>
        <w:pStyle w:val="ListParagraph"/>
        <w:numPr>
          <w:ilvl w:val="0"/>
          <w:numId w:val="1"/>
        </w:numPr>
        <w:spacing w:after="70" w:line="268"/>
      </w:pPr>
      <w:r>
        <w:rPr>
          <w:rFonts w:ascii="Calibri" w:cs="Calibri" w:eastAsia="Calibri" w:hAnsi="Calibri"/>
          <w:sz w:val="21"/>
          <w:szCs w:val="21"/>
        </w:rPr>
        <w:t xml:space="preserve">Un origen se acredita, no se invoca. «Origen normativo» exige precepto; «origen funcional», datos del gestor; «origen institucional», número y fecha del acuerdo.</w:t>
      </w:r>
    </w:p>
    <w:p>
      <w:pPr>
        <w:pStyle w:val="ListParagraph"/>
        <w:numPr>
          <w:ilvl w:val="0"/>
          <w:numId w:val="1"/>
        </w:numPr>
        <w:spacing w:after="70" w:line="268"/>
      </w:pPr>
      <w:r>
        <w:rPr>
          <w:rFonts w:ascii="Calibri" w:cs="Calibri" w:eastAsia="Calibri" w:hAnsi="Calibri"/>
          <w:sz w:val="21"/>
          <w:szCs w:val="21"/>
        </w:rPr>
        <w:t xml:space="preserve">Un mismo contrato puede incorporar cláusulas de los tres orígenes; cada una lleva el suyo.</w:t>
      </w:r>
    </w:p>
    <w:p>
      <w:pPr>
        <w:pStyle w:val="ListParagraph"/>
        <w:numPr>
          <w:ilvl w:val="0"/>
          <w:numId w:val="1"/>
        </w:numPr>
        <w:spacing w:after="70" w:line="268"/>
      </w:pPr>
      <w:r>
        <w:rPr>
          <w:rFonts w:ascii="Calibri" w:cs="Calibri" w:eastAsia="Calibri" w:hAnsi="Calibri"/>
          <w:sz w:val="21"/>
          <w:szCs w:val="21"/>
        </w:rPr>
        <w:t xml:space="preserve">La ausencia de origen </w:t>
      </w:r>
      <w:r>
        <w:rPr>
          <w:rFonts w:ascii="Calibri" w:cs="Calibri" w:eastAsia="Calibri" w:hAnsi="Calibri"/>
          <w:b/>
          <w:bCs/>
          <w:sz w:val="21"/>
          <w:szCs w:val="21"/>
        </w:rPr>
        <w:t xml:space="preserve">no se subsana en sede de recurso</w:t>
      </w:r>
      <w:r>
        <w:rPr>
          <w:rFonts w:ascii="Calibri" w:cs="Calibri" w:eastAsia="Calibri" w:hAnsi="Calibri"/>
          <w:sz w:val="21"/>
          <w:szCs w:val="21"/>
        </w:rPr>
        <w:t xml:space="preserve"> (§3.8).</w:t>
      </w:r>
    </w:p>
    <w:p>
      <w:pPr>
        <w:pStyle w:val="Heading3"/>
        <w:keepNext/>
        <w:spacing w:after="140" w:before="320"/>
      </w:pPr>
      <w:r>
        <w:rPr>
          <w:rFonts w:ascii="Georgia" w:cs="Georgia" w:eastAsia="Georgia" w:hAnsi="Georgia"/>
          <w:b/>
          <w:bCs/>
          <w:color w:val="2F5496"/>
          <w:sz w:val="22"/>
          <w:szCs w:val="22"/>
        </w:rPr>
        <w:t xml:space="preserve">3.7 Doble vía de firma de la ficha</w:t>
      </w:r>
    </w:p>
    <w:p>
      <w:pPr>
        <w:spacing w:after="140" w:line="276"/>
      </w:pPr>
      <w:r>
        <w:rPr>
          <w:rFonts w:ascii="Calibri" w:cs="Calibri" w:eastAsia="Calibri" w:hAnsi="Calibri"/>
          <w:sz w:val="21"/>
          <w:szCs w:val="21"/>
        </w:rPr>
        <w:t xml:space="preserve">El §1.3 exige ficha firmada; el §3.3 acredita que hay necesidades que ningún gestor puede declarar. La contradicción se resuelve con dos vías de firma. El gestor de un servicio no puede firmar la ficha del ENS ni la del acceso de los órganos de control interno: no es su necesidad y no le consta.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Origen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 declara la necesidad</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 que la acredita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 firma la ficha del Anexo II</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 Normativo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servicio competente por razón de la materia: seguridad de la información para el ENS; delegado de protección de datos para RGPD; Intervención General para el control interno; servicio de informática para titularidad, interoperabilidad y reutilización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del servicio competente, o remisión al precepto con acreditación de que concurre su presupuesto de hecho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responsable del servicio competente que declara la necesidad</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(ii) Funcional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servicio gestor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necesidad del Anexo III, con los datos del §3.4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gestor del contrato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(iii) Institucional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órgano de gobierno, mediante el acuerdo del §3.5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Remisión al acuerdo, con número y fecha, más la motivación de proporcionalidad respecto de este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responsable del área impulsora del Plan, con remisión expresa al acuerdo</w:t>
            </w:r>
          </w:p>
        </w:tc>
      </w:tr>
    </w:tbl>
    <w:p>
      <w:pPr>
        <w:spacing w:after="200"/>
      </w:pPr>
    </w:p>
    <w:p>
      <w:pPr>
        <w:spacing w:after="140" w:line="276"/>
      </w:pPr>
      <w:r>
        <w:rPr>
          <w:rFonts w:ascii="Calibri" w:cs="Calibri" w:eastAsia="Calibri" w:hAnsi="Calibri"/>
          <w:sz w:val="21"/>
          <w:szCs w:val="21"/>
        </w:rPr>
        <w:t xml:space="preserve">Una ficha firmada por quien no puede declarar esa necesidad es una ficha sin motivación, y su efecto es el mismo que si no existiera. El órgano al que corresponda el informe jurídico preceptivo (Asesoría Jurídica en municipios de gran población; Secretaría en el régimen común) lo comprueba antes de informar.</w:t>
      </w:r>
    </w:p>
    <w:p>
      <w:pPr>
        <w:pStyle w:val="Heading3"/>
        <w:keepNext/>
        <w:spacing w:after="140" w:before="320"/>
      </w:pPr>
      <w:r>
        <w:rPr>
          <w:rFonts w:ascii="Georgia" w:cs="Georgia" w:eastAsia="Georgia" w:hAnsi="Georgia"/>
          <w:b/>
          <w:bCs/>
          <w:color w:val="2F5496"/>
          <w:sz w:val="22"/>
          <w:szCs w:val="22"/>
        </w:rPr>
        <w:t xml:space="preserve">3.8 Dónde se motiva: la advertencia de Parla</w:t>
      </w:r>
    </w:p>
    <w:p>
      <w:pPr>
        <w:spacing w:after="140" w:line="276"/>
      </w:pPr>
      <w:r>
        <w:rPr>
          <w:rFonts w:ascii="Calibri" w:cs="Calibri" w:eastAsia="Calibri" w:hAnsi="Calibri"/>
          <w:sz w:val="21"/>
          <w:szCs w:val="21"/>
        </w:rPr>
        <w:t xml:space="preserve">La motivación se hace en la </w:t>
      </w:r>
      <w:r>
        <w:rPr>
          <w:rFonts w:ascii="Calibri" w:cs="Calibri" w:eastAsia="Calibri" w:hAnsi="Calibri"/>
          <w:b/>
          <w:bCs/>
          <w:sz w:val="21"/>
          <w:szCs w:val="21"/>
        </w:rPr>
        <w:t xml:space="preserve">memoria justificativa del expediente</w:t>
      </w:r>
      <w:r>
        <w:rPr>
          <w:rFonts w:ascii="Calibri" w:cs="Calibri" w:eastAsia="Calibri" w:hAnsi="Calibri"/>
          <w:sz w:val="21"/>
          <w:szCs w:val="21"/>
        </w:rPr>
        <w:t xml:space="preserve">, y no se puede completar después.</w:t>
      </w:r>
    </w:p>
    <w:p>
      <w:pPr>
        <w:spacing w:after="140" w:line="276"/>
      </w:pPr>
      <w:r>
        <w:rPr>
          <w:rFonts w:ascii="Calibri" w:cs="Calibri" w:eastAsia="Calibri" w:hAnsi="Calibri"/>
          <w:b/>
          <w:bCs/>
          <w:sz w:val="21"/>
          <w:szCs w:val="21"/>
        </w:rPr>
        <w:t xml:space="preserve">Tribunal Administrativo de Contratación Pública de la Comunidad de Madrid, Resolución 383/2024, de 3 de octubre de 2024, expediente y recurso 383/2024</w:t>
      </w:r>
      <w:r>
        <w:rPr>
          <w:rFonts w:ascii="Calibri" w:cs="Calibri" w:eastAsia="Calibri" w:hAnsi="Calibri"/>
          <w:sz w:val="21"/>
          <w:szCs w:val="21"/>
        </w:rPr>
        <w:t xml:space="preserve"> (recurso de Tecnologías Viales Aplicadas TEVA, S.L. contra los pliegos del Ayuntamiento de Parla para un sistema de gestión de zona de bajas emisiones). El Tribunal </w:t>
      </w:r>
      <w:r>
        <w:rPr>
          <w:rFonts w:ascii="Calibri" w:cs="Calibri" w:eastAsia="Calibri" w:hAnsi="Calibri"/>
          <w:b/>
          <w:bCs/>
          <w:sz w:val="21"/>
          <w:szCs w:val="21"/>
        </w:rPr>
        <w:t xml:space="preserve">estimó el recurso</w:t>
      </w:r>
      <w:r>
        <w:rPr>
          <w:rFonts w:ascii="Calibri" w:cs="Calibri" w:eastAsia="Calibri" w:hAnsi="Calibri"/>
          <w:sz w:val="21"/>
          <w:szCs w:val="21"/>
        </w:rPr>
        <w:t xml:space="preserve"> por exigir certificaciones de conformidad con el Esquema Nacional de Seguridad de nivel ALTO sin justificación en la memoria. Precisión de cita, porque un lector hostil coteja el fallo: el ACUERDA se limita a decir «Estimar el recurso»; </w:t>
      </w:r>
      <w:r>
        <w:rPr>
          <w:rFonts w:ascii="Calibri" w:cs="Calibri" w:eastAsia="Calibri" w:hAnsi="Calibri"/>
          <w:b/>
          <w:bCs/>
          <w:sz w:val="21"/>
          <w:szCs w:val="21"/>
        </w:rPr>
        <w:t xml:space="preserve">la anulación de los pliegos consta en el fundamento de derecho Quinto</w:t>
      </w:r>
      <w:r>
        <w:rPr>
          <w:rFonts w:ascii="Calibri" w:cs="Calibri" w:eastAsia="Calibri" w:hAnsi="Calibri"/>
          <w:sz w:val="21"/>
          <w:szCs w:val="21"/>
        </w:rPr>
        <w:t xml:space="preserve">. El Tribunal no calificó la exigencia de desproporcionada: anuló por falta de justificación en el expediente, con arreglo al artículo 116.2 LCSP. Literal:</w:t>
      </w:r>
    </w:p>
    <w:p>
      <w:pPr>
        <w:pBdr>
          <w:left w:val="single" w:color="BFBFBF" w:sz="12" w:space="8"/>
        </w:pBdr>
        <w:spacing w:after="140" w:line="264"/>
        <w:ind w:left="400"/>
      </w:pPr>
      <w:r>
        <w:rPr>
          <w:rFonts w:ascii="Georgia" w:cs="Georgia" w:eastAsia="Georgia" w:hAnsi="Georgia"/>
          <w:i/>
          <w:iCs/>
          <w:color w:val="595959"/>
          <w:sz w:val="20"/>
          <w:szCs w:val="20"/>
        </w:rPr>
        <w:t xml:space="preserve">«analizada la memoria justificativa publicada en la plataforma, en su apartado 13, consta exclusivamente la exigencia de la habilitación empresarial sin que aparezca la más mínima justificación de tal exigencia, como establece el artículo 116.2 de la LCSP. Esta justificación debe realizarse en la memoria justificativa de la contratación, sin que sea admisible la justificación realizada en sede de recurso»</w:t>
      </w:r>
    </w:p>
    <w:p>
      <w:pPr>
        <w:spacing w:after="140" w:line="276"/>
      </w:pPr>
      <w:hyperlink w:history="1" r:id="rIdoocytgovwhci6izq7-cqx">
        <w:r>
          <w:rPr>
            <w:rFonts w:ascii="Calibri" w:cs="Calibri" w:eastAsia="Calibri" w:hAnsi="Calibri"/>
            <w:color w:val="2F5496"/>
            <w:sz w:val="21"/>
            <w:szCs w:val="21"/>
            <w:u w:val="single"/>
          </w:rPr>
          <w:t xml:space="preserve">Resolución 383/2024 (PDF)</w:t>
        </w:r>
      </w:hyperlink>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Es el tribunal que resolvería un recurso contra los pliegos de un ayuntamiento de la Comunidad de Madrid, sobre el supuesto exacto de la cláusula de seguridad de la versión 2.0 de este clausulado, y contra un ayuntamiento de la misma provincia. Se cita como doctrina directamente aplicable en cuanto al </w:t>
      </w:r>
      <w:r>
        <w:rPr>
          <w:rFonts w:ascii="Calibri" w:cs="Calibri" w:eastAsia="Calibri" w:hAnsi="Calibri"/>
          <w:b/>
          <w:bCs/>
          <w:sz w:val="21"/>
          <w:szCs w:val="21"/>
        </w:rPr>
        <w:t xml:space="preserve">deber de motivar en la memoria del expediente</w:t>
      </w:r>
      <w:r>
        <w:rPr>
          <w:rFonts w:ascii="Calibri" w:cs="Calibri" w:eastAsia="Calibri" w:hAnsi="Calibri"/>
          <w:sz w:val="21"/>
          <w:szCs w:val="21"/>
        </w:rPr>
        <w:t xml:space="preserve">; para el resto de exigencias de este catálogo se traslada </w:t>
      </w:r>
      <w:r>
        <w:rPr>
          <w:rFonts w:ascii="Calibri" w:cs="Calibri" w:eastAsia="Calibri" w:hAnsi="Calibri"/>
          <w:b/>
          <w:bCs/>
          <w:sz w:val="21"/>
          <w:szCs w:val="21"/>
        </w:rPr>
        <w:t xml:space="preserve">por analogía</w:t>
      </w:r>
      <w:r>
        <w:rPr>
          <w:rFonts w:ascii="Calibri" w:cs="Calibri" w:eastAsia="Calibri" w:hAnsi="Calibri"/>
          <w:sz w:val="21"/>
          <w:szCs w:val="21"/>
        </w:rPr>
        <w:t xml:space="preserve">, porque no consta doctrina específica sobre ellas (§1.4).</w:t>
      </w:r>
    </w:p>
    <w:p>
      <w:pPr>
        <w:spacing w:after="140" w:line="276"/>
      </w:pPr>
      <w:r>
        <w:rPr>
          <w:rFonts w:ascii="Calibri" w:cs="Calibri" w:eastAsia="Calibri" w:hAnsi="Calibri"/>
          <w:sz w:val="21"/>
          <w:szCs w:val="21"/>
        </w:rPr>
        <w:t xml:space="preserve">Consecuencias operativas, que hay que escribir sin adornos:</w:t>
      </w:r>
    </w:p>
    <w:p>
      <w:pPr>
        <w:pStyle w:val="ListParagraph"/>
        <w:numPr>
          <w:ilvl w:val="0"/>
          <w:numId w:val="2"/>
        </w:numPr>
        <w:spacing w:after="70" w:line="268"/>
      </w:pPr>
      <w:r>
        <w:rPr>
          <w:rFonts w:ascii="Calibri" w:cs="Calibri" w:eastAsia="Calibri" w:hAnsi="Calibri"/>
          <w:b/>
          <w:bCs/>
          <w:sz w:val="21"/>
          <w:szCs w:val="21"/>
        </w:rPr>
        <w:t xml:space="preserve">Este catálogo no es la memoria justificativa de ningún expediente.</w:t>
      </w:r>
      <w:r>
        <w:rPr>
          <w:rFonts w:ascii="Calibri" w:cs="Calibri" w:eastAsia="Calibri" w:hAnsi="Calibri"/>
          <w:sz w:val="21"/>
          <w:szCs w:val="21"/>
        </w:rPr>
        <w:t xml:space="preserve"> Ni el catálogo, ni sus anexos, ni la ficha lo son.</w:t>
      </w:r>
    </w:p>
    <w:p>
      <w:pPr>
        <w:pStyle w:val="ListParagraph"/>
        <w:numPr>
          <w:ilvl w:val="0"/>
          <w:numId w:val="2"/>
        </w:numPr>
        <w:spacing w:after="70" w:line="268"/>
      </w:pPr>
      <w:r>
        <w:rPr>
          <w:rFonts w:ascii="Calibri" w:cs="Calibri" w:eastAsia="Calibri" w:hAnsi="Calibri"/>
          <w:b/>
          <w:bCs/>
          <w:sz w:val="21"/>
          <w:szCs w:val="21"/>
        </w:rPr>
        <w:t xml:space="preserve">Una memoria que se limite a remitirse al catálogo es una justificación por remisión</w:t>
      </w:r>
      <w:r>
        <w:rPr>
          <w:rFonts w:ascii="Calibri" w:cs="Calibri" w:eastAsia="Calibri" w:hAnsi="Calibri"/>
          <w:sz w:val="21"/>
          <w:szCs w:val="21"/>
        </w:rPr>
        <w:t xml:space="preserve">, y por tanto estereotipada. La remisión sirve para acreditar el origen; la proporcionalidad respecto de este contrato hay que escribirla.</w:t>
      </w:r>
    </w:p>
    <w:p>
      <w:pPr>
        <w:pStyle w:val="ListParagraph"/>
        <w:numPr>
          <w:ilvl w:val="0"/>
          <w:numId w:val="2"/>
        </w:numPr>
        <w:spacing w:after="70" w:line="268"/>
      </w:pPr>
      <w:r>
        <w:rPr>
          <w:rFonts w:ascii="Calibri" w:cs="Calibri" w:eastAsia="Calibri" w:hAnsi="Calibri"/>
          <w:b/>
          <w:bCs/>
          <w:sz w:val="21"/>
          <w:szCs w:val="21"/>
        </w:rPr>
        <w:t xml:space="preserve">La ficha del Anexo II y el informe de necesidad del Anexo III son documento público</w:t>
      </w:r>
      <w:r>
        <w:rPr>
          <w:rFonts w:ascii="Calibri" w:cs="Calibri" w:eastAsia="Calibri" w:hAnsi="Calibri"/>
          <w:sz w:val="21"/>
          <w:szCs w:val="21"/>
        </w:rPr>
        <w:t xml:space="preserve"> desde que se publica el expediente: el artículo 116.1 obliga a publicar en el perfil de contratante la motivación de la necesidad, y el artículo 63.3.a) LCSP relaciona la documentación que acompaña al anuncio. Se redactan sabiendo que los lee un recurrente.</w:t>
      </w:r>
    </w:p>
    <w:p>
      <w:pPr>
        <w:pStyle w:val="Heading3"/>
        <w:keepNext/>
        <w:spacing w:after="140" w:before="320"/>
      </w:pPr>
      <w:r>
        <w:rPr>
          <w:rFonts w:ascii="Georgia" w:cs="Georgia" w:eastAsia="Georgia" w:hAnsi="Georgia"/>
          <w:b/>
          <w:bCs/>
          <w:color w:val="2F5496"/>
          <w:sz w:val="22"/>
          <w:szCs w:val="22"/>
        </w:rPr>
        <w:t xml:space="preserve">3.9 Párrafo de cierre</w:t>
      </w:r>
    </w:p>
    <w:p>
      <w:pPr>
        <w:spacing w:after="140" w:line="276"/>
      </w:pPr>
      <w:r>
        <w:rPr>
          <w:rFonts w:ascii="Calibri" w:cs="Calibri" w:eastAsia="Calibri" w:hAnsi="Calibri"/>
          <w:sz w:val="21"/>
          <w:szCs w:val="21"/>
        </w:rPr>
        <w:t xml:space="preserve">El artículo 28.1 LCSP no dice que la necesidad la formule un gestor: dice que el órgano de contratación la determine con precisión y deje constancia de ello en la documentación preparatoria. Que ningún gestor haya demandado una necesidad no la convierte automáticamente en artificiosa —pero tampoco la convierte automáticamente en necesidad—. La diferencia entre una cosa y otra no la marca la prosa: la marca el origen. Si viene de una norma, se cita el precepto; si viene del servicio, se aportan sus datos; si no viene de ninguno de los dos, hace falta un acuerdo del órgano de gobierno que la asuma como política municipal, con calendario y con contraste de mercado. Y si no hay ninguna de las tres cosas, la exigencia no entra en el pliego. Ese es todo el mecanismo, y es verificable línea por línea en cada expediente.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§4. Marco normativo, en tres bloques separados</w:t>
      </w:r>
    </w:p>
    <w:p>
      <w:pPr>
        <w:spacing w:after="140" w:line="276"/>
      </w:pPr>
      <w:r>
        <w:rPr>
          <w:rFonts w:ascii="Calibri" w:cs="Calibri" w:eastAsia="Calibri" w:hAnsi="Calibri"/>
          <w:sz w:val="21"/>
          <w:szCs w:val="21"/>
        </w:rPr>
        <w:t xml:space="preserve">La versión 2.0 mezclaba en una sola lista normas jurídicas, normas técnicas y una especificación privada. Esa mezcla es el primer defecto que subraya el abogado de un licitador, porque de ella se derivan efectos jurídicos que la ley no permite. Se separa en tres bloques.</w:t>
      </w:r>
    </w:p>
    <w:p>
      <w:pPr>
        <w:pStyle w:val="Heading3"/>
        <w:keepNext/>
        <w:spacing w:after="140" w:before="320"/>
      </w:pPr>
      <w:r>
        <w:rPr>
          <w:rFonts w:ascii="Georgia" w:cs="Georgia" w:eastAsia="Georgia" w:hAnsi="Georgia"/>
          <w:b/>
          <w:bCs/>
          <w:color w:val="2F5496"/>
          <w:sz w:val="22"/>
          <w:szCs w:val="22"/>
        </w:rPr>
        <w:t xml:space="preserve">4.1 Normas de aplicación obligatoria</w:t>
      </w:r>
    </w:p>
    <w:p>
      <w:pPr>
        <w:spacing w:after="140" w:line="276"/>
      </w:pPr>
      <w:r>
        <w:rPr>
          <w:rFonts w:ascii="Calibri" w:cs="Calibri" w:eastAsia="Calibri" w:hAnsi="Calibri"/>
          <w:sz w:val="21"/>
          <w:szCs w:val="21"/>
        </w:rPr>
        <w:t xml:space="preserve">Contratación pública</w:t>
      </w:r>
    </w:p>
    <w:p>
      <w:pPr>
        <w:pStyle w:val="ListParagraph"/>
        <w:numPr>
          <w:ilvl w:val="0"/>
          <w:numId w:val="1"/>
        </w:numPr>
        <w:spacing w:after="70" w:line="268"/>
      </w:pPr>
      <w:r>
        <w:rPr>
          <w:rFonts w:ascii="Calibri" w:cs="Calibri" w:eastAsia="Calibri" w:hAnsi="Calibri"/>
          <w:sz w:val="21"/>
          <w:szCs w:val="21"/>
        </w:rPr>
        <w:t xml:space="preserve">Ley 9/2017, de 8 de noviembre, de Contratos del Sector Público (LCSP), y Directiva 2014/24/UE.</w:t>
      </w:r>
    </w:p>
    <w:p>
      <w:pPr>
        <w:pStyle w:val="ListParagraph"/>
        <w:numPr>
          <w:ilvl w:val="0"/>
          <w:numId w:val="1"/>
        </w:numPr>
        <w:spacing w:after="70" w:line="268"/>
      </w:pPr>
      <w:r>
        <w:rPr>
          <w:rFonts w:ascii="Calibri" w:cs="Calibri" w:eastAsia="Calibri" w:hAnsi="Calibri"/>
          <w:sz w:val="21"/>
          <w:szCs w:val="21"/>
        </w:rPr>
        <w:t xml:space="preserve">Real Decreto 817/2009, de 8 de mayo, de desarrollo parcial de la Ley 30/2007 (en lo aplicable a mesas y procedimiento de valoración).</w:t>
      </w:r>
    </w:p>
    <w:p>
      <w:pPr>
        <w:spacing w:after="140" w:line="276"/>
      </w:pPr>
      <w:r>
        <w:rPr>
          <w:rFonts w:ascii="Calibri" w:cs="Calibri" w:eastAsia="Calibri" w:hAnsi="Calibri"/>
          <w:sz w:val="21"/>
          <w:szCs w:val="21"/>
        </w:rPr>
        <w:t xml:space="preserve">Inteligencia artificial</w:t>
      </w:r>
    </w:p>
    <w:p>
      <w:pPr>
        <w:pStyle w:val="ListParagraph"/>
        <w:numPr>
          <w:ilvl w:val="0"/>
          <w:numId w:val="1"/>
        </w:numPr>
        <w:spacing w:after="70" w:line="268"/>
      </w:pPr>
      <w:r>
        <w:rPr>
          <w:rFonts w:ascii="Calibri" w:cs="Calibri" w:eastAsia="Calibri" w:hAnsi="Calibri"/>
          <w:sz w:val="21"/>
          <w:szCs w:val="21"/>
        </w:rPr>
        <w:t xml:space="preserve">Reglamento (UE) 2024/1689, del Parlamento Europeo y del Consejo, </w:t>
      </w:r>
      <w:r>
        <w:rPr>
          <w:rFonts w:ascii="Calibri" w:cs="Calibri" w:eastAsia="Calibri" w:hAnsi="Calibri"/>
          <w:b/>
          <w:bCs/>
          <w:sz w:val="21"/>
          <w:szCs w:val="21"/>
        </w:rPr>
        <w:t xml:space="preserve">en su redacción vigente</w:t>
      </w:r>
      <w:r>
        <w:rPr>
          <w:rFonts w:ascii="Calibri" w:cs="Calibri" w:eastAsia="Calibri" w:hAnsi="Calibri"/>
          <w:sz w:val="21"/>
          <w:szCs w:val="21"/>
        </w:rPr>
        <w:t xml:space="preserve">, modificada por el </w:t>
      </w:r>
      <w:hyperlink w:history="1" r:id="rId-7gv3s-jscebpawpmmkmc">
        <w:r>
          <w:rPr>
            <w:rFonts w:ascii="Calibri" w:cs="Calibri" w:eastAsia="Calibri" w:hAnsi="Calibri"/>
            <w:color w:val="2F5496"/>
            <w:sz w:val="21"/>
            <w:szCs w:val="21"/>
            <w:u w:val="single"/>
          </w:rPr>
          <w:t xml:space="preserve">Reglamento (UE) 2026/1744, de 8 de julio de 2026</w:t>
        </w:r>
      </w:hyperlink>
      <w:r>
        <w:rPr>
          <w:rFonts w:ascii="Calibri" w:cs="Calibri" w:eastAsia="Calibri" w:hAnsi="Calibri"/>
          <w:sz w:val="21"/>
          <w:szCs w:val="21"/>
        </w:rPr>
        <w:t xml:space="preserve">. Las fechas de exigibilidad, en el Anexo XI.</w:t>
      </w:r>
    </w:p>
    <w:p>
      <w:pPr>
        <w:pStyle w:val="ListParagraph"/>
        <w:numPr>
          <w:ilvl w:val="0"/>
          <w:numId w:val="1"/>
        </w:numPr>
        <w:spacing w:after="70" w:line="268"/>
      </w:pPr>
      <w:r>
        <w:rPr>
          <w:rFonts w:ascii="Calibri" w:cs="Calibri" w:eastAsia="Calibri" w:hAnsi="Calibri"/>
          <w:sz w:val="21"/>
          <w:szCs w:val="21"/>
        </w:rPr>
        <w:t xml:space="preserve">Agencia Española de Supervisión de la Inteligencia Artificial (AESIA), creada por el Real Decreto 729/2023, de 22 de agosto, que aprueba su Estatuto. Es un organismo, no una norma; la versión 2.0 la citaba como «normativa nacional de desarrollo».</w:t>
      </w:r>
    </w:p>
    <w:p>
      <w:pPr>
        <w:spacing w:after="140" w:line="276"/>
      </w:pPr>
      <w:r>
        <w:rPr>
          <w:rFonts w:ascii="Calibri" w:cs="Calibri" w:eastAsia="Calibri" w:hAnsi="Calibri"/>
          <w:sz w:val="21"/>
          <w:szCs w:val="21"/>
        </w:rPr>
        <w:t xml:space="preserve">Protección de datos</w:t>
      </w:r>
    </w:p>
    <w:p>
      <w:pPr>
        <w:pStyle w:val="ListParagraph"/>
        <w:numPr>
          <w:ilvl w:val="0"/>
          <w:numId w:val="1"/>
        </w:numPr>
        <w:spacing w:after="70" w:line="268"/>
      </w:pPr>
      <w:r>
        <w:rPr>
          <w:rFonts w:ascii="Calibri" w:cs="Calibri" w:eastAsia="Calibri" w:hAnsi="Calibri"/>
          <w:sz w:val="21"/>
          <w:szCs w:val="21"/>
        </w:rPr>
        <w:t xml:space="preserve">Reglamento (UE) 2016/679 (RGPD), en particular sus artículos 22 y 28.</w:t>
      </w:r>
    </w:p>
    <w:p>
      <w:pPr>
        <w:pStyle w:val="ListParagraph"/>
        <w:numPr>
          <w:ilvl w:val="0"/>
          <w:numId w:val="1"/>
        </w:numPr>
        <w:spacing w:after="70" w:line="268"/>
      </w:pPr>
      <w:r>
        <w:rPr>
          <w:rFonts w:ascii="Calibri" w:cs="Calibri" w:eastAsia="Calibri" w:hAnsi="Calibri"/>
          <w:sz w:val="21"/>
          <w:szCs w:val="21"/>
        </w:rPr>
        <w:t xml:space="preserve">Ley Orgánica 3/2018, de 5 de diciembre.</w:t>
      </w:r>
    </w:p>
    <w:p>
      <w:pPr>
        <w:spacing w:after="140" w:line="276"/>
      </w:pPr>
      <w:r>
        <w:rPr>
          <w:rFonts w:ascii="Calibri" w:cs="Calibri" w:eastAsia="Calibri" w:hAnsi="Calibri"/>
          <w:sz w:val="21"/>
          <w:szCs w:val="21"/>
        </w:rPr>
        <w:t xml:space="preserve">Administración electrónica, seguridad e interoperabilidad</w:t>
      </w:r>
    </w:p>
    <w:p>
      <w:pPr>
        <w:pStyle w:val="ListParagraph"/>
        <w:numPr>
          <w:ilvl w:val="0"/>
          <w:numId w:val="1"/>
        </w:numPr>
        <w:spacing w:after="70" w:line="268"/>
      </w:pPr>
      <w:r>
        <w:rPr>
          <w:rFonts w:ascii="Calibri" w:cs="Calibri" w:eastAsia="Calibri" w:hAnsi="Calibri"/>
          <w:sz w:val="21"/>
          <w:szCs w:val="21"/>
        </w:rPr>
        <w:t xml:space="preserve">Leyes 39/2015 y 40/2015, en particular los artículos 41, 157 y 158 de la segunda.</w:t>
      </w:r>
    </w:p>
    <w:p>
      <w:pPr>
        <w:pStyle w:val="ListParagraph"/>
        <w:numPr>
          <w:ilvl w:val="0"/>
          <w:numId w:val="1"/>
        </w:numPr>
        <w:spacing w:after="70" w:line="268"/>
      </w:pPr>
      <w:r>
        <w:rPr>
          <w:rFonts w:ascii="Calibri" w:cs="Calibri" w:eastAsia="Calibri" w:hAnsi="Calibri"/>
          <w:sz w:val="21"/>
          <w:szCs w:val="21"/>
        </w:rPr>
        <w:t xml:space="preserve">Real Decreto 311/2022, de 3 de mayo (Esquema Nacional de Seguridad), y guías CCN-STIC del Centro Criptológico Nacional.</w:t>
      </w:r>
    </w:p>
    <w:p>
      <w:pPr>
        <w:pStyle w:val="ListParagraph"/>
        <w:numPr>
          <w:ilvl w:val="0"/>
          <w:numId w:val="1"/>
        </w:numPr>
        <w:spacing w:after="70" w:line="268"/>
      </w:pPr>
      <w:r>
        <w:rPr>
          <w:rFonts w:ascii="Calibri" w:cs="Calibri" w:eastAsia="Calibri" w:hAnsi="Calibri"/>
          <w:sz w:val="21"/>
          <w:szCs w:val="21"/>
        </w:rPr>
        <w:t xml:space="preserve">Real Decreto 4/2010, de 8 de enero (Esquema Nacional de Interoperabilidad), y Normas Técnicas de Interoperabilidad; Real Decreto 203/2021, de 30 de marzo.</w:t>
      </w:r>
    </w:p>
    <w:p>
      <w:pPr>
        <w:pStyle w:val="ListParagraph"/>
        <w:numPr>
          <w:ilvl w:val="0"/>
          <w:numId w:val="1"/>
        </w:numPr>
        <w:spacing w:after="70" w:line="268"/>
      </w:pPr>
      <w:r>
        <w:rPr>
          <w:rFonts w:ascii="Calibri" w:cs="Calibri" w:eastAsia="Calibri" w:hAnsi="Calibri"/>
          <w:sz w:val="21"/>
          <w:szCs w:val="21"/>
        </w:rPr>
        <w:t xml:space="preserve">Reglamento (UE) 910/2014 y Reglamento (UE) 2024/1183 (marco europeo de identidad digital).</w:t>
      </w:r>
    </w:p>
    <w:p>
      <w:pPr>
        <w:spacing w:after="140" w:line="276"/>
      </w:pPr>
      <w:r>
        <w:rPr>
          <w:rFonts w:ascii="Calibri" w:cs="Calibri" w:eastAsia="Calibri" w:hAnsi="Calibri"/>
          <w:sz w:val="21"/>
          <w:szCs w:val="21"/>
        </w:rPr>
        <w:t xml:space="preserve">Propiedad intelectual</w:t>
      </w:r>
    </w:p>
    <w:p>
      <w:pPr>
        <w:pStyle w:val="ListParagraph"/>
        <w:numPr>
          <w:ilvl w:val="0"/>
          <w:numId w:val="1"/>
        </w:numPr>
        <w:spacing w:after="70" w:line="268"/>
      </w:pPr>
      <w:r>
        <w:rPr>
          <w:rFonts w:ascii="Calibri" w:cs="Calibri" w:eastAsia="Calibri" w:hAnsi="Calibri"/>
          <w:sz w:val="21"/>
          <w:szCs w:val="21"/>
        </w:rPr>
        <w:t xml:space="preserve">Real Decreto Legislativo 1/1996, de 12 de abril (TRLPI), en particular sus artículos 43, 97, 99 y 100.</w:t>
      </w:r>
    </w:p>
    <w:p>
      <w:pPr>
        <w:spacing w:after="140" w:line="276"/>
      </w:pPr>
      <w:r>
        <w:rPr>
          <w:rFonts w:ascii="Calibri" w:cs="Calibri" w:eastAsia="Calibri" w:hAnsi="Calibri"/>
          <w:sz w:val="21"/>
          <w:szCs w:val="21"/>
        </w:rPr>
        <w:t xml:space="preserve">Control interno y régimen local</w:t>
      </w:r>
    </w:p>
    <w:p>
      <w:pPr>
        <w:pStyle w:val="ListParagraph"/>
        <w:numPr>
          <w:ilvl w:val="0"/>
          <w:numId w:val="1"/>
        </w:numPr>
        <w:spacing w:after="70" w:line="268"/>
      </w:pPr>
      <w:r>
        <w:rPr>
          <w:rFonts w:ascii="Calibri" w:cs="Calibri" w:eastAsia="Calibri" w:hAnsi="Calibri"/>
          <w:sz w:val="21"/>
          <w:szCs w:val="21"/>
        </w:rPr>
        <w:t xml:space="preserve">Ley 7/1985, de 2 de abril, reguladora de las Bases del Régimen Local, en especial su Título X para los municipios de gran población y su disposición adicional octava.</w:t>
      </w:r>
    </w:p>
    <w:p>
      <w:pPr>
        <w:pStyle w:val="ListParagraph"/>
        <w:numPr>
          <w:ilvl w:val="0"/>
          <w:numId w:val="1"/>
        </w:numPr>
        <w:spacing w:after="70" w:line="268"/>
      </w:pPr>
      <w:r>
        <w:rPr>
          <w:rFonts w:ascii="Calibri" w:cs="Calibri" w:eastAsia="Calibri" w:hAnsi="Calibri"/>
          <w:sz w:val="21"/>
          <w:szCs w:val="21"/>
        </w:rPr>
        <w:t xml:space="preserve">Real Decreto Legislativo 2/2004 (TRLRHL), artículos 213, 214 y 220 a 222.</w:t>
      </w:r>
    </w:p>
    <w:p>
      <w:pPr>
        <w:pStyle w:val="ListParagraph"/>
        <w:numPr>
          <w:ilvl w:val="0"/>
          <w:numId w:val="1"/>
        </w:numPr>
        <w:spacing w:after="70" w:line="268"/>
      </w:pPr>
      <w:r>
        <w:rPr>
          <w:rFonts w:ascii="Calibri" w:cs="Calibri" w:eastAsia="Calibri" w:hAnsi="Calibri"/>
          <w:sz w:val="21"/>
          <w:szCs w:val="21"/>
        </w:rPr>
        <w:t xml:space="preserve">Real Decreto 424/2017, de 28 de abril, de régimen jurídico del control interno.</w:t>
      </w:r>
    </w:p>
    <w:p>
      <w:pPr>
        <w:pStyle w:val="ListParagraph"/>
        <w:numPr>
          <w:ilvl w:val="0"/>
          <w:numId w:val="1"/>
        </w:numPr>
        <w:spacing w:after="70" w:line="268"/>
      </w:pPr>
      <w:r>
        <w:rPr>
          <w:rFonts w:ascii="Calibri" w:cs="Calibri" w:eastAsia="Calibri" w:hAnsi="Calibri"/>
          <w:sz w:val="21"/>
          <w:szCs w:val="21"/>
        </w:rPr>
        <w:t xml:space="preserve">Ley 19/2013, de 9 de diciembre, de transparencia.</w:t>
      </w:r>
    </w:p>
    <w:p>
      <w:pPr>
        <w:pStyle w:val="Heading3"/>
        <w:keepNext/>
        <w:spacing w:after="140" w:before="320"/>
      </w:pPr>
      <w:r>
        <w:rPr>
          <w:rFonts w:ascii="Georgia" w:cs="Georgia" w:eastAsia="Georgia" w:hAnsi="Georgia"/>
          <w:b/>
          <w:bCs/>
          <w:color w:val="2F5496"/>
          <w:sz w:val="22"/>
          <w:szCs w:val="22"/>
        </w:rPr>
        <w:t xml:space="preserve">4.2 Normas técnicas y referencias del estado del arte</w:t>
      </w:r>
    </w:p>
    <w:p>
      <w:pPr>
        <w:spacing w:after="140" w:line="276"/>
      </w:pPr>
      <w:r>
        <w:rPr>
          <w:rFonts w:ascii="Calibri" w:cs="Calibri" w:eastAsia="Calibri" w:hAnsi="Calibri"/>
          <w:sz w:val="21"/>
          <w:szCs w:val="21"/>
        </w:rPr>
        <w:t xml:space="preserve">Se distinguen dos categorías, porque su efecto jurídico es distinto y la confusión entre ambas es un vicio de construcción, no de motivación.</w:t>
      </w:r>
    </w:p>
    <w:p>
      <w:pPr>
        <w:spacing w:after="140" w:line="276"/>
      </w:pPr>
      <w:r>
        <w:rPr>
          <w:rFonts w:ascii="Calibri" w:cs="Calibri" w:eastAsia="Calibri" w:hAnsi="Calibri"/>
          <w:b/>
          <w:bCs/>
          <w:sz w:val="21"/>
          <w:szCs w:val="21"/>
        </w:rPr>
        <w:t xml:space="preserve">a) Normas técnicas en el sentido del artículo 125 LCSP.</w:t>
      </w:r>
      <w:r>
        <w:rPr>
          <w:rFonts w:ascii="Calibri" w:cs="Calibri" w:eastAsia="Calibri" w:hAnsi="Calibri"/>
          <w:sz w:val="21"/>
          <w:szCs w:val="21"/>
        </w:rPr>
        <w:t xml:space="preserve"> Pueden citarse en las prescripciones técnicas por la vía del artículo 126.5.b), acompañando </w:t>
      </w:r>
      <w:r>
        <w:rPr>
          <w:rFonts w:ascii="Calibri" w:cs="Calibri" w:eastAsia="Calibri" w:hAnsi="Calibri"/>
          <w:b/>
          <w:bCs/>
          <w:sz w:val="21"/>
          <w:szCs w:val="21"/>
        </w:rPr>
        <w:t xml:space="preserve">cada referencia</w:t>
      </w:r>
      <w:r>
        <w:rPr>
          <w:rFonts w:ascii="Calibri" w:cs="Calibri" w:eastAsia="Calibri" w:hAnsi="Calibri"/>
          <w:sz w:val="21"/>
          <w:szCs w:val="21"/>
        </w:rPr>
        <w:t xml:space="preserve"> de la mención «o equivalente», y operan como medio de presunción de conformidad. Son las aprobadas por un organismo de normalización reconocido:</w:t>
      </w:r>
    </w:p>
    <w:p>
      <w:pPr>
        <w:pStyle w:val="ListParagraph"/>
        <w:numPr>
          <w:ilvl w:val="0"/>
          <w:numId w:val="1"/>
        </w:numPr>
        <w:spacing w:after="70" w:line="268"/>
      </w:pPr>
      <w:r>
        <w:rPr>
          <w:rFonts w:ascii="Calibri" w:cs="Calibri" w:eastAsia="Calibri" w:hAnsi="Calibri"/>
          <w:sz w:val="21"/>
          <w:szCs w:val="21"/>
        </w:rPr>
        <w:t xml:space="preserve">UNE-EN ISO/IEC 27001 y UNE-EN ISO/IEC 27701, o normas que las sustituyan, o equivalentes.</w:t>
      </w:r>
    </w:p>
    <w:p>
      <w:pPr>
        <w:pStyle w:val="ListParagraph"/>
        <w:numPr>
          <w:ilvl w:val="0"/>
          <w:numId w:val="1"/>
        </w:numPr>
        <w:spacing w:after="70" w:line="268"/>
      </w:pPr>
      <w:r>
        <w:rPr>
          <w:rFonts w:ascii="Calibri" w:cs="Calibri" w:eastAsia="Calibri" w:hAnsi="Calibri"/>
          <w:b/>
          <w:bCs/>
          <w:sz w:val="21"/>
          <w:szCs w:val="21"/>
        </w:rPr>
        <w:t xml:space="preserve">UNE-EN ISO/IEC 42001:2026</w:t>
      </w:r>
      <w:r>
        <w:rPr>
          <w:rFonts w:ascii="Calibri" w:cs="Calibri" w:eastAsia="Calibri" w:hAnsi="Calibri"/>
          <w:sz w:val="21"/>
          <w:szCs w:val="21"/>
        </w:rPr>
        <w:t xml:space="preserve">, «Tecnología de la información. Inteligencia artificial. Sistema de gestión», edición de 8 de abril de 2026, que anula la UNE-ISO/IEC 42001:2025, o equivalente. Cuando esta norma se exija en un pliego, la designación se cita con año expreso y con la regla de referencia estática de ADM-1·v3, que excluye la fórmula «o norma que la sustituya» porque permitiría que el contenido de la obligación cambiase después de que el licitador hubiera ofertado. Su tratamiento contractual y la fundamentación de la designación están en ADM-1·v3, nota al redactor, punto Sexto.</w:t>
      </w:r>
    </w:p>
    <w:p>
      <w:pPr>
        <w:pStyle w:val="ListParagraph"/>
        <w:numPr>
          <w:ilvl w:val="0"/>
          <w:numId w:val="1"/>
        </w:numPr>
        <w:spacing w:after="70" w:line="268"/>
      </w:pPr>
      <w:r>
        <w:rPr>
          <w:rFonts w:ascii="Calibri" w:cs="Calibri" w:eastAsia="Calibri" w:hAnsi="Calibri"/>
          <w:sz w:val="21"/>
          <w:szCs w:val="21"/>
        </w:rPr>
        <w:t xml:space="preserve">Normas técnicas de interoperabilidad y guías CCN-STIC, en los términos en que sean de obligado cumplimiento.</w:t>
      </w:r>
    </w:p>
    <w:p>
      <w:pPr>
        <w:spacing w:after="140" w:line="276"/>
      </w:pPr>
      <w:r>
        <w:rPr>
          <w:rFonts w:ascii="Calibri" w:cs="Calibri" w:eastAsia="Calibri" w:hAnsi="Calibri"/>
          <w:sz w:val="21"/>
          <w:szCs w:val="21"/>
        </w:rPr>
        <w:t xml:space="preserve">Advertencia: la certificación de un sistema de gestión </w:t>
      </w:r>
      <w:r>
        <w:rPr>
          <w:rFonts w:ascii="Calibri" w:cs="Calibri" w:eastAsia="Calibri" w:hAnsi="Calibri"/>
          <w:b/>
          <w:bCs/>
          <w:sz w:val="21"/>
          <w:szCs w:val="21"/>
        </w:rPr>
        <w:t xml:space="preserve">no otorga presunción de conformidad con el Reglamento (UE) 2024/1689</w:t>
      </w:r>
      <w:r>
        <w:rPr>
          <w:rFonts w:ascii="Calibri" w:cs="Calibri" w:eastAsia="Calibri" w:hAnsi="Calibri"/>
          <w:sz w:val="21"/>
          <w:szCs w:val="21"/>
        </w:rPr>
        <w:t xml:space="preserve">. Esa presunción sólo la producen las normas armonizadas publicadas en el Diario Oficial de la Unión Europea conforme a su artículo 40. Esta advertencia se formula como criterio propio del Ayuntamiento y no se apoya en doctrina, que no consta.</w:t>
      </w:r>
    </w:p>
    <w:p>
      <w:pPr>
        <w:spacing w:after="140" w:line="276"/>
      </w:pPr>
      <w:r>
        <w:rPr>
          <w:rFonts w:ascii="Calibri" w:cs="Calibri" w:eastAsia="Calibri" w:hAnsi="Calibri"/>
          <w:b/>
          <w:bCs/>
          <w:sz w:val="21"/>
          <w:szCs w:val="21"/>
        </w:rPr>
        <w:t xml:space="preserve">b) Referencias que NO son normas y no producen presunción de conformidad.</w:t>
      </w:r>
      <w:r>
        <w:rPr>
          <w:rFonts w:ascii="Calibri" w:cs="Calibri" w:eastAsia="Calibri" w:hAnsi="Calibri"/>
          <w:sz w:val="21"/>
          <w:szCs w:val="21"/>
        </w:rPr>
        <w:t xml:space="preserve"> Se citan </w:t>
      </w:r>
      <w:r>
        <w:rPr>
          <w:rFonts w:ascii="Calibri" w:cs="Calibri" w:eastAsia="Calibri" w:hAnsi="Calibri"/>
          <w:b/>
          <w:bCs/>
          <w:sz w:val="21"/>
          <w:szCs w:val="21"/>
        </w:rPr>
        <w:t xml:space="preserve">fuera del articulado</w:t>
      </w:r>
      <w:r>
        <w:rPr>
          <w:rFonts w:ascii="Calibri" w:cs="Calibri" w:eastAsia="Calibri" w:hAnsi="Calibri"/>
          <w:sz w:val="21"/>
          <w:szCs w:val="21"/>
        </w:rPr>
        <w:t xml:space="preserve">, a título ilustrativo del estado del arte, y no pueden fundar por sí solas ninguna obligación:</w:t>
      </w:r>
    </w:p>
    <w:p>
      <w:pPr>
        <w:pStyle w:val="ListParagraph"/>
        <w:numPr>
          <w:ilvl w:val="0"/>
          <w:numId w:val="1"/>
        </w:numPr>
        <w:spacing w:after="70" w:line="268"/>
      </w:pPr>
      <w:r>
        <w:rPr>
          <w:rFonts w:ascii="Calibri" w:cs="Calibri" w:eastAsia="Calibri" w:hAnsi="Calibri"/>
          <w:b/>
          <w:bCs/>
          <w:sz w:val="21"/>
          <w:szCs w:val="21"/>
        </w:rPr>
        <w:t xml:space="preserve">Model Context Protocol (MCP).</w:t>
      </w:r>
      <w:r>
        <w:rPr>
          <w:rFonts w:ascii="Calibri" w:cs="Calibri" w:eastAsia="Calibri" w:hAnsi="Calibri"/>
          <w:sz w:val="21"/>
          <w:szCs w:val="21"/>
        </w:rPr>
        <w:t xml:space="preserve"> Especificación abierta bajo gobernanza de la Agentic AI Foundation (Linux Foundation) desde el </w:t>
      </w:r>
      <w:hyperlink w:history="1" r:id="rIdw7o9q4zc-dheeudr_4i8d">
        <w:r>
          <w:rPr>
            <w:rFonts w:ascii="Calibri" w:cs="Calibri" w:eastAsia="Calibri" w:hAnsi="Calibri"/>
            <w:color w:val="2F5496"/>
            <w:sz w:val="21"/>
            <w:szCs w:val="21"/>
            <w:u w:val="single"/>
          </w:rPr>
          <w:t xml:space="preserve">9 de diciembre de 2025</w:t>
        </w:r>
      </w:hyperlink>
      <w:r>
        <w:rPr>
          <w:rFonts w:ascii="Calibri" w:cs="Calibri" w:eastAsia="Calibri" w:hAnsi="Calibri"/>
          <w:sz w:val="21"/>
          <w:szCs w:val="21"/>
        </w:rPr>
        <w:t xml:space="preserve">, con participación de múltiples operadores. Ese dato acredita que no caracteriza los productos de un empresario determinado, lo que es relevante frente al artículo 126.6 LCSP. </w:t>
      </w:r>
      <w:r>
        <w:rPr>
          <w:rFonts w:ascii="Calibri" w:cs="Calibri" w:eastAsia="Calibri" w:hAnsi="Calibri"/>
          <w:b/>
          <w:bCs/>
          <w:sz w:val="21"/>
          <w:szCs w:val="21"/>
        </w:rPr>
        <w:t xml:space="preserve">Pero el MCP no es «norma» en el sentido del artículo 125.2 LCSP ni «especificación técnica común» en el del artículo 125.4</w:t>
      </w:r>
      <w:r>
        <w:rPr>
          <w:rFonts w:ascii="Calibri" w:cs="Calibri" w:eastAsia="Calibri" w:hAnsi="Calibri"/>
          <w:sz w:val="21"/>
          <w:szCs w:val="21"/>
        </w:rPr>
        <w:t xml:space="preserve">, y por tanto </w:t>
      </w:r>
      <w:r>
        <w:rPr>
          <w:rFonts w:ascii="Calibri" w:cs="Calibri" w:eastAsia="Calibri" w:hAnsi="Calibri"/>
          <w:b/>
          <w:bCs/>
          <w:sz w:val="21"/>
          <w:szCs w:val="21"/>
        </w:rPr>
        <w:t xml:space="preserve">no puede citarse como medio de presunción de conformidad del artículo 126.5.c)</w:t>
      </w:r>
      <w:r>
        <w:rPr>
          <w:rFonts w:ascii="Calibri" w:cs="Calibri" w:eastAsia="Calibri" w:hAnsi="Calibri"/>
          <w:sz w:val="21"/>
          <w:szCs w:val="21"/>
        </w:rPr>
        <w:t xml:space="preserve">, cuyo efecto está reservado a las especificaciones de la letra b). La </w:t>
      </w:r>
      <w:hyperlink w:history="1" r:id="rIdoq6iobxpcpmr9bsbjhj9v">
        <w:r>
          <w:rPr>
            <w:rFonts w:ascii="Calibri" w:cs="Calibri" w:eastAsia="Calibri" w:hAnsi="Calibri"/>
            <w:color w:val="2F5496"/>
            <w:sz w:val="21"/>
            <w:szCs w:val="21"/>
            <w:u w:val="single"/>
          </w:rPr>
          <w:t xml:space="preserve">lista de especificaciones técnicas del ámbito TIC identificadas por la Comisión Europea</w:t>
        </w:r>
      </w:hyperlink>
      <w:r>
        <w:rPr>
          <w:rFonts w:ascii="Calibri" w:cs="Calibri" w:eastAsia="Calibri" w:hAnsi="Calibri"/>
          <w:sz w:val="21"/>
          <w:szCs w:val="21"/>
        </w:rPr>
        <w:t xml:space="preserve"> para poder ser referenciadas en contratación pública, conforme a los artículos 13 y 14 del Reglamento (UE) n.º 1025/2012, </w:t>
      </w:r>
      <w:r>
        <w:rPr>
          <w:rFonts w:ascii="Calibri" w:cs="Calibri" w:eastAsia="Calibri" w:hAnsi="Calibri"/>
          <w:b/>
          <w:bCs/>
          <w:sz w:val="21"/>
          <w:szCs w:val="21"/>
        </w:rPr>
        <w:t xml:space="preserve">no incluye, a 1 de septiembre de 2026, ningún protocolo de agentes</w:t>
      </w:r>
      <w:r>
        <w:rPr>
          <w:rFonts w:ascii="Calibri" w:cs="Calibri" w:eastAsia="Calibri" w:hAnsi="Calibri"/>
          <w:sz w:val="21"/>
          <w:szCs w:val="21"/>
        </w:rPr>
        <w:t xml:space="preserve">. Es una afirmación negativa sobre un catálogo vivo: se hace con esa fecha de corte y sobre la lista consultada en esa dirección, y debe recomprobarse antes de cada uso.</w:t>
      </w:r>
    </w:p>
    <w:p>
      <w:pPr>
        <w:pStyle w:val="ListParagraph"/>
        <w:numPr>
          <w:ilvl w:val="0"/>
          <w:numId w:val="1"/>
        </w:numPr>
        <w:spacing w:after="70" w:line="268"/>
      </w:pPr>
      <w:r>
        <w:rPr>
          <w:rFonts w:ascii="Calibri" w:cs="Calibri" w:eastAsia="Calibri" w:hAnsi="Calibri"/>
          <w:b/>
          <w:bCs/>
          <w:sz w:val="21"/>
          <w:szCs w:val="21"/>
        </w:rPr>
        <w:t xml:space="preserve">FIPS 203, 204 y 205 del NIST.</w:t>
      </w:r>
      <w:r>
        <w:rPr>
          <w:rFonts w:ascii="Calibri" w:cs="Calibri" w:eastAsia="Calibri" w:hAnsi="Calibri"/>
          <w:sz w:val="21"/>
          <w:szCs w:val="21"/>
        </w:rPr>
        <w:t xml:space="preserve"> Normas federales de los Estados Unidos: no son normas europeas, internacionales ni nacionales españolas a los efectos del artículo 125. Mismo tratamiento.</w:t>
      </w:r>
    </w:p>
    <w:p>
      <w:pPr>
        <w:pStyle w:val="ListParagraph"/>
        <w:numPr>
          <w:ilvl w:val="0"/>
          <w:numId w:val="1"/>
        </w:numPr>
        <w:spacing w:after="70" w:line="268"/>
      </w:pPr>
      <w:r>
        <w:rPr>
          <w:rFonts w:ascii="Calibri" w:cs="Calibri" w:eastAsia="Calibri" w:hAnsi="Calibri"/>
          <w:b/>
          <w:bCs/>
          <w:sz w:val="21"/>
          <w:szCs w:val="21"/>
        </w:rPr>
        <w:t xml:space="preserve">EBSI e infraestructuras de registro distribuido</w:t>
      </w:r>
      <w:r>
        <w:rPr>
          <w:rFonts w:ascii="Calibri" w:cs="Calibri" w:eastAsia="Calibri" w:hAnsi="Calibri"/>
          <w:sz w:val="21"/>
          <w:szCs w:val="21"/>
        </w:rPr>
        <w:t xml:space="preserve">, incluida ISBE. Mismo tratamiento, con la regla adicional del §5.3.</w:t>
      </w:r>
    </w:p>
    <w:p>
      <w:pPr>
        <w:spacing w:after="140" w:line="276"/>
      </w:pPr>
      <w:r>
        <w:rPr>
          <w:rFonts w:ascii="Calibri" w:cs="Calibri" w:eastAsia="Calibri" w:hAnsi="Calibri"/>
          <w:b/>
          <w:bCs/>
          <w:sz w:val="21"/>
          <w:szCs w:val="21"/>
        </w:rPr>
        <w:t xml:space="preserve">Consecuencia obligatoria para la redacción de los pliegos.</w:t>
      </w:r>
      <w:r>
        <w:rPr>
          <w:rFonts w:ascii="Calibri" w:cs="Calibri" w:eastAsia="Calibri" w:hAnsi="Calibri"/>
          <w:sz w:val="21"/>
          <w:szCs w:val="21"/>
        </w:rPr>
        <w:t xml:space="preserve"> La obligación se define por lo que la solución </w:t>
      </w:r>
      <w:r>
        <w:rPr>
          <w:rFonts w:ascii="Calibri" w:cs="Calibri" w:eastAsia="Calibri" w:hAnsi="Calibri"/>
          <w:b/>
          <w:bCs/>
          <w:sz w:val="21"/>
          <w:szCs w:val="21"/>
        </w:rPr>
        <w:t xml:space="preserve">debe hacer</w:t>
      </w:r>
      <w:r>
        <w:rPr>
          <w:rFonts w:ascii="Calibri" w:cs="Calibri" w:eastAsia="Calibri" w:hAnsi="Calibri"/>
          <w:sz w:val="21"/>
          <w:szCs w:val="21"/>
        </w:rPr>
        <w:t xml:space="preserve">, no por el protocolo que use. La prescripción se formula en términos de rendimiento o de exigencias funcionales al amparo del artículo 126.5.a); el nombre del protocolo, si aparece, es una ayuda a la comprensión del licitador y va siempre acompañado de «o equivalente». Está prohibido escribir en un pliego que el MCP, las FIPS del NIST o la pertenencia a una red concreta acreditan el cumplimiento.</w:t>
      </w:r>
    </w:p>
    <w:p>
      <w:pPr>
        <w:spacing w:after="140" w:line="276"/>
      </w:pPr>
      <w:r>
        <w:rPr>
          <w:rFonts w:ascii="Calibri" w:cs="Calibri" w:eastAsia="Calibri" w:hAnsi="Calibri"/>
          <w:sz w:val="21"/>
          <w:szCs w:val="21"/>
        </w:rPr>
        <w:t xml:space="preserve">Texto que se copia al PPT cuando el pliego mencione cualquiera de estas referencias:</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Referencias técnicas no normativas.</w:t>
            </w:r>
            <w:r>
              <w:rPr>
                <w:rFonts w:ascii="Georgia" w:cs="Georgia" w:eastAsia="Georgia" w:hAnsi="Georgia"/>
                <w:sz w:val="20"/>
                <w:szCs w:val="20"/>
              </w:rPr>
              <w:t xml:space="preserve"> Las prescripciones técnicas de este pliego se formulan en términos de rendimiento y de exigencias funcionales, conforme al artículo 126.5.a) de la Ley 9/2017, de 8 de noviembre, de Contratos del Sector Público. Cuando este pliego mencione un protocolo, una especificación, una infraestructura o una red determinados, la mención se efectúa a título ilustrativo del estado del arte, se entiende acompañada de la expresión «o equivalente» y </w:t>
            </w:r>
            <w:r>
              <w:rPr>
                <w:rFonts w:ascii="Georgia" w:cs="Georgia" w:eastAsia="Georgia" w:hAnsi="Georgia"/>
                <w:b/>
                <w:bCs/>
                <w:sz w:val="20"/>
                <w:szCs w:val="20"/>
              </w:rPr>
              <w:t xml:space="preserve">no constituye medio de presunción de conformidad</w:t>
            </w:r>
            <w:r>
              <w:rPr>
                <w:rFonts w:ascii="Georgia" w:cs="Georgia" w:eastAsia="Georgia" w:hAnsi="Georgia"/>
                <w:sz w:val="20"/>
                <w:szCs w:val="20"/>
              </w:rPr>
              <w:t xml:space="preserve"> ni sustituye a la acreditación de las exigencias funcionales establecidas en la cláusula correspondiente. El cumplimiento se acredita respecto de dichas exigencias funcionales, cualquiera que sea la solución técnica empleada.</w:t>
            </w:r>
          </w:p>
        </w:tc>
      </w:tr>
    </w:tbl>
    <w:p>
      <w:pPr>
        <w:spacing w:after="220"/>
      </w:pPr>
    </w:p>
    <w:p>
      <w:pPr>
        <w:pStyle w:val="Heading3"/>
        <w:keepNext/>
        <w:spacing w:after="140" w:before="320"/>
      </w:pPr>
      <w:r>
        <w:rPr>
          <w:rFonts w:ascii="Georgia" w:cs="Georgia" w:eastAsia="Georgia" w:hAnsi="Georgia"/>
          <w:b/>
          <w:bCs/>
          <w:color w:val="2F5496"/>
          <w:sz w:val="22"/>
          <w:szCs w:val="22"/>
        </w:rPr>
        <w:t xml:space="preserve">4.3 Vigencia normativa y fecha de corte</w:t>
      </w:r>
    </w:p>
    <w:p>
      <w:pPr>
        <w:spacing w:after="140" w:line="276"/>
      </w:pPr>
      <w:r>
        <w:rPr>
          <w:rFonts w:ascii="Calibri" w:cs="Calibri" w:eastAsia="Calibri" w:hAnsi="Calibri"/>
          <w:sz w:val="21"/>
          <w:szCs w:val="21"/>
        </w:rPr>
        <w:t xml:space="preserve">Toda afirmación sobre exigibilidad, calendarios y umbrales de este documento se remite al </w:t>
      </w:r>
      <w:r>
        <w:rPr>
          <w:rFonts w:ascii="Calibri" w:cs="Calibri" w:eastAsia="Calibri" w:hAnsi="Calibri"/>
          <w:b/>
          <w:bCs/>
          <w:sz w:val="21"/>
          <w:szCs w:val="21"/>
        </w:rPr>
        <w:t xml:space="preserve">Anexo XI, Vigencia normativa</w:t>
      </w:r>
      <w:r>
        <w:rPr>
          <w:rFonts w:ascii="Calibri" w:cs="Calibri" w:eastAsia="Calibri" w:hAnsi="Calibri"/>
          <w:sz w:val="21"/>
          <w:szCs w:val="21"/>
        </w:rPr>
        <w:t xml:space="preserve">, que se estructura en dos columnas —</w:t>
      </w:r>
      <w:r>
        <w:rPr>
          <w:rFonts w:ascii="Calibri" w:cs="Calibri" w:eastAsia="Calibri" w:hAnsi="Calibri"/>
          <w:b/>
          <w:bCs/>
          <w:sz w:val="21"/>
          <w:szCs w:val="21"/>
        </w:rPr>
        <w:t xml:space="preserve">obligación legal ya exigible</w:t>
      </w:r>
      <w:r>
        <w:rPr>
          <w:rFonts w:ascii="Calibri" w:cs="Calibri" w:eastAsia="Calibri" w:hAnsi="Calibri"/>
          <w:sz w:val="21"/>
          <w:szCs w:val="21"/>
        </w:rPr>
        <w:t xml:space="preserve"> frente a </w:t>
      </w:r>
      <w:r>
        <w:rPr>
          <w:rFonts w:ascii="Calibri" w:cs="Calibri" w:eastAsia="Calibri" w:hAnsi="Calibri"/>
          <w:b/>
          <w:bCs/>
          <w:sz w:val="21"/>
          <w:szCs w:val="21"/>
        </w:rPr>
        <w:t xml:space="preserve">exigencia contractual anticipada por el Ayuntamiento</w:t>
      </w:r>
      <w:r>
        <w:rPr>
          <w:rFonts w:ascii="Calibri" w:cs="Calibri" w:eastAsia="Calibri" w:hAnsi="Calibri"/>
          <w:sz w:val="21"/>
          <w:szCs w:val="21"/>
        </w:rPr>
        <w:t xml:space="preserve">— y lleva fecha de corte expresa. Antes de cada uso del catálogo debe comprobarse que el Anexo XI está actualizado; si no lo está, el catálogo se usa igualmente pero las exigencias ancladas en el bloque de exigibilidad se verifican una a una.</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§5. Definiciones</w:t>
      </w:r>
    </w:p>
    <w:p>
      <w:pPr>
        <w:pStyle w:val="Heading3"/>
        <w:keepNext/>
        <w:spacing w:after="140" w:before="320"/>
      </w:pPr>
      <w:r>
        <w:rPr>
          <w:rFonts w:ascii="Georgia" w:cs="Georgia" w:eastAsia="Georgia" w:hAnsi="Georgia"/>
          <w:b/>
          <w:bCs/>
          <w:color w:val="2F5496"/>
          <w:sz w:val="22"/>
          <w:szCs w:val="22"/>
        </w:rPr>
        <w:t xml:space="preserve">5.1 Regla sobre las definiciones</w:t>
      </w:r>
    </w:p>
    <w:p>
      <w:pPr>
        <w:spacing w:after="140" w:line="276"/>
      </w:pPr>
      <w:r>
        <w:rPr>
          <w:rFonts w:ascii="Calibri" w:cs="Calibri" w:eastAsia="Calibri" w:hAnsi="Calibri"/>
          <w:sz w:val="21"/>
          <w:szCs w:val="21"/>
        </w:rPr>
        <w:t xml:space="preserve">Sólo se transcriben al pliego las definiciones que </w:t>
      </w:r>
      <w:r>
        <w:rPr>
          <w:rFonts w:ascii="Calibri" w:cs="Calibri" w:eastAsia="Calibri" w:hAnsi="Calibri"/>
          <w:b/>
          <w:bCs/>
          <w:sz w:val="21"/>
          <w:szCs w:val="21"/>
        </w:rPr>
        <w:t xml:space="preserve">generan obligación</w:t>
      </w:r>
      <w:r>
        <w:rPr>
          <w:rFonts w:ascii="Calibri" w:cs="Calibri" w:eastAsia="Calibri" w:hAnsi="Calibri"/>
          <w:sz w:val="21"/>
          <w:szCs w:val="21"/>
        </w:rPr>
        <w:t xml:space="preserve"> o que delimitan el alcance de una obligación. Las demás viven en el glosario descriptivo del Anexo XIII, que carece de efectos jurídicos y así lo hace constar.</w:t>
      </w:r>
    </w:p>
    <w:p>
      <w:pPr>
        <w:spacing w:after="140" w:line="276"/>
      </w:pPr>
      <w:r>
        <w:rPr>
          <w:rFonts w:ascii="Calibri" w:cs="Calibri" w:eastAsia="Calibri" w:hAnsi="Calibri"/>
          <w:b/>
          <w:bCs/>
          <w:sz w:val="21"/>
          <w:szCs w:val="21"/>
        </w:rPr>
        <w:t xml:space="preserve">Se eliminan como definiciones operativas</w:t>
      </w:r>
      <w:r>
        <w:rPr>
          <w:rFonts w:ascii="Calibri" w:cs="Calibri" w:eastAsia="Calibri" w:hAnsi="Calibri"/>
          <w:sz w:val="21"/>
          <w:szCs w:val="21"/>
        </w:rPr>
        <w:t xml:space="preserve"> y pasan al glosario descriptivo, sin efectos: «Loop Engineering», «Skills / harness / loops» e «hiperautomatización». No tienen definición normalizada y no son verificables en un procedimiento contradictorio; una obligación que no se puede verificar no sostiene ni una penalidad ni una resolución.</w:t>
      </w:r>
    </w:p>
    <w:p>
      <w:pPr>
        <w:pStyle w:val="Heading3"/>
        <w:keepNext/>
        <w:spacing w:after="140" w:before="320"/>
      </w:pPr>
      <w:r>
        <w:rPr>
          <w:rFonts w:ascii="Georgia" w:cs="Georgia" w:eastAsia="Georgia" w:hAnsi="Georgia"/>
          <w:b/>
          <w:bCs/>
          <w:color w:val="2F5496"/>
          <w:sz w:val="22"/>
          <w:szCs w:val="22"/>
        </w:rPr>
        <w:t xml:space="preserve">5.2 Definiciones que se transcriben al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Definiciones.</w:t>
            </w:r>
            <w:r>
              <w:rPr>
                <w:rFonts w:ascii="Georgia" w:cs="Georgia" w:eastAsia="Georgia" w:hAnsi="Georgia"/>
                <w:sz w:val="20"/>
                <w:szCs w:val="20"/>
              </w:rPr>
              <w:t xml:space="preserve"> A los efectos de este pliego se entiende por:</w:t>
            </w:r>
          </w:p>
          <w:p>
            <w:pPr>
              <w:spacing w:after="100" w:line="264"/>
            </w:pPr>
            <w:r>
              <w:rPr>
                <w:rFonts w:ascii="Georgia" w:cs="Georgia" w:eastAsia="Georgia" w:hAnsi="Georgia"/>
                <w:b/>
                <w:bCs/>
                <w:sz w:val="20"/>
                <w:szCs w:val="20"/>
              </w:rPr>
              <w:t xml:space="preserve">a) Producto base o estándar.</w:t>
            </w:r>
            <w:r>
              <w:rPr>
                <w:rFonts w:ascii="Georgia" w:cs="Georgia" w:eastAsia="Georgia" w:hAnsi="Georgia"/>
                <w:sz w:val="20"/>
                <w:szCs w:val="20"/>
              </w:rPr>
              <w:t xml:space="preserve"> El programa de ordenador, propiedad del adjudicatario o de un tercero licenciante, que se comercializa con anterioridad e independencia de este contrato, con sus actualizaciones y versiones sucesoras. No forma parte del producto base la parametrización, configuración o desarrollo realizados para el Ayuntamiento.</w:t>
            </w:r>
          </w:p>
          <w:p>
            <w:pPr>
              <w:spacing w:after="100" w:line="264"/>
            </w:pPr>
            <w:r>
              <w:rPr>
                <w:rFonts w:ascii="Georgia" w:cs="Georgia" w:eastAsia="Georgia" w:hAnsi="Georgia"/>
                <w:b/>
                <w:bCs/>
                <w:sz w:val="20"/>
                <w:szCs w:val="20"/>
              </w:rPr>
              <w:t xml:space="preserve">b) Desarrollo específico.</w:t>
            </w:r>
            <w:r>
              <w:rPr>
                <w:rFonts w:ascii="Georgia" w:cs="Georgia" w:eastAsia="Georgia" w:hAnsi="Georgia"/>
                <w:sz w:val="20"/>
                <w:szCs w:val="20"/>
              </w:rPr>
              <w:t xml:space="preserve"> El código, las reglas de negocio, los algoritmos de cálculo o de decisión, los flujos, las integraciones, las plantillas, los modelos ajustados con datos municipales y la documentación técnica correspondiente, diseñados o realizados específicamente para el Ayuntamiento en ejecución de este contrato, cualquiera que sea el soporte y comprendidos tanto el código fuente como el código objeto.</w:t>
            </w:r>
          </w:p>
          <w:p>
            <w:pPr>
              <w:spacing w:after="100" w:line="264"/>
            </w:pPr>
            <w:r>
              <w:rPr>
                <w:rFonts w:ascii="Georgia" w:cs="Georgia" w:eastAsia="Georgia" w:hAnsi="Georgia"/>
                <w:b/>
                <w:bCs/>
                <w:sz w:val="20"/>
                <w:szCs w:val="20"/>
              </w:rPr>
              <w:t xml:space="preserve">c) Inventario de Componentes.</w:t>
            </w:r>
            <w:r>
              <w:rPr>
                <w:rFonts w:ascii="Georgia" w:cs="Georgia" w:eastAsia="Georgia" w:hAnsi="Georgia"/>
                <w:sz w:val="20"/>
                <w:szCs w:val="20"/>
              </w:rPr>
              <w:t xml:space="preserve"> Relación, mantenida y actualizada por el adjudicatario desde el inicio de la ejecución y entregada al Ayuntamiento con la periodicidad que este pliego establece, que identifica y separa: el producto base; los desarrollos específicos; los componentes de terceros integrados, con su licencia y versión; y las configuraciones y parametrizaciones. Su función es delimitar, en cualquier momento de la ejecución, el objeto de la obligación de reversibilidad.</w:t>
            </w:r>
          </w:p>
          <w:p>
            <w:pPr>
              <w:spacing w:after="100" w:line="264"/>
            </w:pPr>
            <w:r>
              <w:rPr>
                <w:rFonts w:ascii="Georgia" w:cs="Georgia" w:eastAsia="Georgia" w:hAnsi="Georgia"/>
                <w:b/>
                <w:bCs/>
                <w:sz w:val="20"/>
                <w:szCs w:val="20"/>
              </w:rPr>
              <w:t xml:space="preserve">d) Reversibilidad.</w:t>
            </w:r>
            <w:r>
              <w:rPr>
                <w:rFonts w:ascii="Georgia" w:cs="Georgia" w:eastAsia="Georgia" w:hAnsi="Georgia"/>
                <w:sz w:val="20"/>
                <w:szCs w:val="20"/>
              </w:rPr>
              <w:t xml:space="preserve"> Conjunto de obligaciones del adjudicatario dirigidas a que el Ayuntamiento pueda continuar prestando el servicio por sí o por medio de otro contratista al término del contrato. Comprende la entrega ordenada, sin coste adicional y en formato abierto, reutilizable y documentado, de los datos y del material de titularidad municipal; la asistencia durante el período de transición; y, cuando el sistema no pueda operarse sin el producto base, una licencia de uso transitoria de éste, limitada a la finalidad de continuidad y migración, por plazo de </w:t>
            </w:r>
            <w:r>
              <w:rPr>
                <w:rFonts w:ascii="Georgia" w:cs="Georgia" w:eastAsia="Georgia" w:hAnsi="Georgia"/>
                <w:b/>
                <w:bCs/>
                <w:sz w:val="20"/>
                <w:szCs w:val="20"/>
              </w:rPr>
              <w:t xml:space="preserve">[X; se recomienda 6] meses</w:t>
            </w:r>
            <w:r>
              <w:rPr>
                <w:rFonts w:ascii="Georgia" w:cs="Georgia" w:eastAsia="Georgia" w:hAnsi="Georgia"/>
                <w:sz w:val="20"/>
                <w:szCs w:val="20"/>
              </w:rPr>
              <w:t xml:space="preserve"> a contar desde la extinción del contrato. El contenido concreto de la entrega, su alcance y sus plazos son los que establece la cláusula </w:t>
            </w:r>
            <w:r>
              <w:rPr>
                <w:rFonts w:ascii="Georgia" w:cs="Georgia" w:eastAsia="Georgia" w:hAnsi="Georgia"/>
                <w:b/>
                <w:bCs/>
                <w:sz w:val="20"/>
                <w:szCs w:val="20"/>
              </w:rPr>
              <w:t xml:space="preserve">[DT-8·v3], apartado 1</w:t>
            </w:r>
            <w:r>
              <w:rPr>
                <w:rFonts w:ascii="Georgia" w:cs="Georgia" w:eastAsia="Georgia" w:hAnsi="Georgia"/>
                <w:sz w:val="20"/>
                <w:szCs w:val="20"/>
              </w:rPr>
              <w:t xml:space="preserve">; los límites de la obligación en materia de derechos de propiedad intelectual, y en particular sobre el código fuente del producto base y el de terceros licenciantes, son los que establece la cláusula </w:t>
            </w:r>
            <w:r>
              <w:rPr>
                <w:rFonts w:ascii="Georgia" w:cs="Georgia" w:eastAsia="Georgia" w:hAnsi="Georgia"/>
                <w:b/>
                <w:bCs/>
                <w:sz w:val="20"/>
                <w:szCs w:val="20"/>
              </w:rPr>
              <w:t xml:space="preserve">[ADM-8·v3], apartado 4</w:t>
            </w:r>
            <w:r>
              <w:rPr>
                <w:rFonts w:ascii="Georgia" w:cs="Georgia" w:eastAsia="Georgia" w:hAnsi="Georgia"/>
                <w:sz w:val="20"/>
                <w:szCs w:val="20"/>
              </w:rPr>
              <w:t xml:space="preserve">. La devolución o supresión de los datos personales se regirá por lo previsto en el artículo 28.3.g) del Reglamento (UE) 2016/679.</w:t>
            </w:r>
          </w:p>
          <w:p>
            <w:pPr>
              <w:spacing w:after="100" w:line="264"/>
            </w:pPr>
            <w:r>
              <w:rPr>
                <w:rFonts w:ascii="Georgia" w:cs="Georgia" w:eastAsia="Georgia" w:hAnsi="Georgia"/>
                <w:b/>
                <w:bCs/>
                <w:sz w:val="20"/>
                <w:szCs w:val="20"/>
              </w:rPr>
              <w:t xml:space="preserve">e) Versión sucesora.</w:t>
            </w:r>
            <w:r>
              <w:rPr>
                <w:rFonts w:ascii="Georgia" w:cs="Georgia" w:eastAsia="Georgia" w:hAnsi="Georgia"/>
                <w:sz w:val="20"/>
                <w:szCs w:val="20"/>
              </w:rPr>
              <w:t xml:space="preserve"> La versión del producto base que, con independencia de su denominación comercial, presente continuidad funcional con el producto contratado, lo sustituya en el catálogo del fabricante o cuente con una ruta de migración ofrecida por el propio fabricante. La concurrencia de cualquiera de estas tres circunstancias se acredita mediante documentación del fabricante.</w:t>
            </w:r>
          </w:p>
          <w:p>
            <w:pPr>
              <w:spacing w:after="100" w:line="264"/>
            </w:pPr>
            <w:r>
              <w:rPr>
                <w:rFonts w:ascii="Georgia" w:cs="Georgia" w:eastAsia="Georgia" w:hAnsi="Georgia"/>
                <w:b/>
                <w:bCs/>
                <w:sz w:val="20"/>
                <w:szCs w:val="20"/>
              </w:rPr>
              <w:t xml:space="preserve">f) Obsolescencia tecnológica.</w:t>
            </w:r>
            <w:r>
              <w:rPr>
                <w:rFonts w:ascii="Georgia" w:cs="Georgia" w:eastAsia="Georgia" w:hAnsi="Georgia"/>
                <w:sz w:val="20"/>
                <w:szCs w:val="20"/>
              </w:rPr>
              <w:t xml:space="preserve"> A los efectos de este contrato, se entiende producida cuando concurra alguna de estas dos circunstancias, y sólo ellas: (i) que el adjudicatario no haya implantado, en el plazo establecido, una exigencia de las relacionadas en el Anexo [V] de este pliego; o (ii) que no haya puesto a disposición del Ayuntamiento, en el plazo comprometido, una versión sucesora del producto contratado. Fuera de estos dos supuestos no existe obligación de evolución exigible al amparo de este pliego. La calificación de estos incumplimientos y sus consecuencias son las que expresamente establece la cláusula [ADM-6·v3].</w:t>
            </w:r>
          </w:p>
          <w:p>
            <w:pPr>
              <w:spacing w:after="100" w:line="264"/>
            </w:pPr>
            <w:r>
              <w:rPr>
                <w:rFonts w:ascii="Georgia" w:cs="Georgia" w:eastAsia="Georgia" w:hAnsi="Georgia"/>
                <w:b/>
                <w:bCs/>
                <w:sz w:val="20"/>
                <w:szCs w:val="20"/>
              </w:rPr>
              <w:t xml:space="preserve">g) Solución equivalente.</w:t>
            </w:r>
            <w:r>
              <w:rPr>
                <w:rFonts w:ascii="Georgia" w:cs="Georgia" w:eastAsia="Georgia" w:hAnsi="Georgia"/>
                <w:sz w:val="20"/>
                <w:szCs w:val="20"/>
              </w:rPr>
              <w:t xml:space="preserve"> La que cumple de forma equivalente los requisitos funcionales exigidos en este pliego, conforme a los artículos 126.7 y 126.8 de la Ley 9/2017. La equivalencia se aprecia respecto de las exigencias funcionales expresadas en la cláusula correspondiente, y no respecto de un producto, marca, protocolo o infraestructura determinados. Corresponde al licitador acreditarla en su oferta, por cualquier medio adecuado, incluidos los medios de prueba supletorios admitidos por el artículo 128.2. El régimen y el trámite de acreditación son los de la cláusula [DT-0·v3].</w:t>
            </w:r>
          </w:p>
          <w:p>
            <w:pPr>
              <w:spacing w:after="100" w:line="264"/>
            </w:pPr>
            <w:r>
              <w:rPr>
                <w:rFonts w:ascii="Georgia" w:cs="Georgia" w:eastAsia="Georgia" w:hAnsi="Georgia"/>
                <w:b/>
                <w:bCs/>
                <w:sz w:val="20"/>
                <w:szCs w:val="20"/>
              </w:rPr>
              <w:t xml:space="preserve">h) Interfaz normalizada de acceso programático.</w:t>
            </w:r>
            <w:r>
              <w:rPr>
                <w:rFonts w:ascii="Georgia" w:cs="Georgia" w:eastAsia="Georgia" w:hAnsi="Georgia"/>
                <w:sz w:val="20"/>
                <w:szCs w:val="20"/>
              </w:rPr>
              <w:t xml:space="preserve"> Interfaz documentada, versionada, autenticada y auditable que expone de forma segura, para su consulta y, cuando el pliego lo prevea, para su operación, los datos y funciones de los módulos identificados en este pliego, con control de acceso diferenciado por módulo, por operación y por ámbito de datos, y con registro de auditoría de las consultas y acciones realizadas. La obligación se define por estas capacidades funcionales, cualquiera que sea el protocolo empleado para prestarlas.</w:t>
            </w:r>
          </w:p>
          <w:p>
            <w:pPr>
              <w:spacing w:after="100" w:line="264"/>
            </w:pPr>
            <w:r>
              <w:rPr>
                <w:rFonts w:ascii="Georgia" w:cs="Georgia" w:eastAsia="Georgia" w:hAnsi="Georgia"/>
                <w:b/>
                <w:bCs/>
                <w:sz w:val="20"/>
                <w:szCs w:val="20"/>
              </w:rPr>
              <w:t xml:space="preserve">i) Sistema de IA</w:t>
            </w:r>
            <w:r>
              <w:rPr>
                <w:rFonts w:ascii="Georgia" w:cs="Georgia" w:eastAsia="Georgia" w:hAnsi="Georgia"/>
                <w:sz w:val="20"/>
                <w:szCs w:val="20"/>
              </w:rPr>
              <w:t xml:space="preserve"> y </w:t>
            </w:r>
            <w:r>
              <w:rPr>
                <w:rFonts w:ascii="Georgia" w:cs="Georgia" w:eastAsia="Georgia" w:hAnsi="Georgia"/>
                <w:b/>
                <w:bCs/>
                <w:sz w:val="20"/>
                <w:szCs w:val="20"/>
              </w:rPr>
              <w:t xml:space="preserve">sistema de IA de alto riesgo.</w:t>
            </w:r>
            <w:r>
              <w:rPr>
                <w:rFonts w:ascii="Georgia" w:cs="Georgia" w:eastAsia="Georgia" w:hAnsi="Georgia"/>
                <w:sz w:val="20"/>
                <w:szCs w:val="20"/>
              </w:rPr>
              <w:t xml:space="preserve"> Los así definidos y clasificados por el Reglamento (UE) 2024/1689, en su redacción vigente.</w:t>
            </w:r>
          </w:p>
          <w:p>
            <w:pPr>
              <w:spacing w:after="100" w:line="264"/>
            </w:pPr>
            <w:r>
              <w:rPr>
                <w:rFonts w:ascii="Georgia" w:cs="Georgia" w:eastAsia="Georgia" w:hAnsi="Georgia"/>
                <w:b/>
                <w:bCs/>
                <w:sz w:val="20"/>
                <w:szCs w:val="20"/>
              </w:rPr>
              <w:t xml:space="preserve">j) Agente de IA.</w:t>
            </w:r>
            <w:r>
              <w:rPr>
                <w:rFonts w:ascii="Georgia" w:cs="Georgia" w:eastAsia="Georgia" w:hAnsi="Georgia"/>
                <w:sz w:val="20"/>
                <w:szCs w:val="20"/>
              </w:rPr>
              <w:t xml:space="preserve"> Sistema de IA que, sobre la base de instrucciones u objetivos, encadena y ejecuta operaciones sobre otros sistemas mediante interfaces, dentro de los límites configurados por el Ayuntamiento, con trazabilidad completa de sus actuaciones, con posibilidad de intervención y parada humana y con capacidad de revertir las actuaciones realizadas.</w:t>
            </w:r>
          </w:p>
          <w:p>
            <w:pPr>
              <w:spacing w:after="100" w:line="264"/>
            </w:pPr>
            <w:r>
              <w:rPr>
                <w:rFonts w:ascii="Georgia" w:cs="Georgia" w:eastAsia="Georgia" w:hAnsi="Georgia"/>
                <w:b/>
                <w:bCs/>
                <w:sz w:val="20"/>
                <w:szCs w:val="20"/>
              </w:rPr>
              <w:t xml:space="preserve">k) Información municipal no pública.</w:t>
            </w:r>
            <w:r>
              <w:rPr>
                <w:rFonts w:ascii="Georgia" w:cs="Georgia" w:eastAsia="Georgia" w:hAnsi="Georgia"/>
                <w:sz w:val="20"/>
                <w:szCs w:val="20"/>
              </w:rPr>
              <w:t xml:space="preserve"> Cualquier información de la que el Ayuntamiento sea responsable y que no haya sido objeto de publicación oficial, incluidos los datos personales, la información sometida a confidencialidad, la relativa a procedimientos en tramitación y la de seguridad de los sistemas.</w:t>
            </w:r>
          </w:p>
          <w:p>
            <w:pPr>
              <w:spacing w:after="100" w:line="264"/>
            </w:pPr>
            <w:r>
              <w:rPr>
                <w:rFonts w:ascii="Georgia" w:cs="Georgia" w:eastAsia="Georgia" w:hAnsi="Georgia"/>
                <w:b/>
                <w:bCs/>
                <w:sz w:val="20"/>
                <w:szCs w:val="20"/>
              </w:rPr>
              <w:t xml:space="preserve">l) Información municipal restringida (nivel 1).</w:t>
            </w:r>
            <w:r>
              <w:rPr>
                <w:rFonts w:ascii="Georgia" w:cs="Georgia" w:eastAsia="Georgia" w:hAnsi="Georgia"/>
                <w:sz w:val="20"/>
                <w:szCs w:val="20"/>
              </w:rPr>
              <w:t xml:space="preserve"> La comprendida en el nivel 1 de la cláusula [ADM-13], apartado 1: datos personales; expedientes en tramitación; documentación contractual no publicada; informes internos; datos de los entornos de producción; y cualquier información municipal clasificada como de acceso restringido por la política de seguridad del Ayuntamiento. Es un subconjunto de la información municipal no pública definida en la letra k) y no comprende los artefactos técnicos del nivel 2 cuando no contengan información de nivel 1.</w:t>
            </w:r>
          </w:p>
          <w:p>
            <w:pPr>
              <w:spacing w:after="100" w:line="264"/>
            </w:pPr>
            <w:r>
              <w:rPr>
                <w:rFonts w:ascii="Georgia" w:cs="Georgia" w:eastAsia="Georgia" w:hAnsi="Georgia"/>
                <w:b/>
                <w:bCs/>
                <w:sz w:val="20"/>
                <w:szCs w:val="20"/>
              </w:rPr>
              <w:t xml:space="preserve">m) Exigencias Tecnológicas Determinadas.</w:t>
            </w:r>
            <w:r>
              <w:rPr>
                <w:rFonts w:ascii="Georgia" w:cs="Georgia" w:eastAsia="Georgia" w:hAnsi="Georgia"/>
                <w:sz w:val="20"/>
                <w:szCs w:val="20"/>
              </w:rPr>
              <w:t xml:space="preserve"> Las capacidades concretas, con plazo y criterios de aceptación verificables, relacionadas en el Anexo [V] de este pliego, que forman parte del alcance ordinario del contrato y se entienden retribuidas con el precio ofertado. El régimen de incorporación física de dicho anexo y su invariabilidad durante la vigencia del contrato y de sus prórrogas son los de la cláusula </w:t>
            </w:r>
            <w:r>
              <w:rPr>
                <w:rFonts w:ascii="Georgia" w:cs="Georgia" w:eastAsia="Georgia" w:hAnsi="Georgia"/>
                <w:b/>
                <w:bCs/>
                <w:sz w:val="20"/>
                <w:szCs w:val="20"/>
              </w:rPr>
              <w:t xml:space="preserve">[DT-9·v3], apartado 2</w:t>
            </w:r>
            <w:r>
              <w:rPr>
                <w:rFonts w:ascii="Georgia" w:cs="Georgia" w:eastAsia="Georgia" w:hAnsi="Georgia"/>
                <w:sz w:val="20"/>
                <w:szCs w:val="20"/>
              </w:rPr>
              <w:t xml:space="preserve">.</w:t>
            </w:r>
          </w:p>
        </w:tc>
      </w:tr>
    </w:tbl>
    <w:p>
      <w:pPr>
        <w:spacing w:after="220"/>
      </w:pPr>
    </w:p>
    <w:p>
      <w:pPr>
        <w:pStyle w:val="Heading3"/>
        <w:keepNext/>
        <w:spacing w:after="140" w:before="320"/>
      </w:pPr>
      <w:r>
        <w:rPr>
          <w:rFonts w:ascii="Georgia" w:cs="Georgia" w:eastAsia="Georgia" w:hAnsi="Georgia"/>
          <w:b/>
          <w:bCs/>
          <w:color w:val="2F5496"/>
          <w:sz w:val="22"/>
          <w:szCs w:val="22"/>
        </w:rPr>
        <w:t xml:space="preserve">5.3 Comentario a las cuatro definiciones reescritas</w:t>
      </w:r>
    </w:p>
    <w:p>
      <w:pPr>
        <w:spacing w:after="140" w:line="276"/>
      </w:pPr>
      <w:r>
        <w:rPr>
          <w:rFonts w:ascii="Calibri" w:cs="Calibri" w:eastAsia="Calibri" w:hAnsi="Calibri"/>
          <w:b/>
          <w:bCs/>
          <w:sz w:val="21"/>
          <w:szCs w:val="21"/>
        </w:rPr>
        <w:t xml:space="preserve">Reversibilidad.</w:t>
      </w:r>
      <w:r>
        <w:rPr>
          <w:rFonts w:ascii="Calibri" w:cs="Calibri" w:eastAsia="Calibri" w:hAnsi="Calibri"/>
          <w:sz w:val="21"/>
          <w:szCs w:val="21"/>
        </w:rPr>
        <w:t xml:space="preserve"> La definición de la versión 2.0 —«portabilidad de datos, código, configuraciones y modelos»— exigía literalmente, leída sin matiz, el código fuente del producto estándar del adjudicatario. Ningún fabricante de software de mercado lo acepta, de modo que la cláusula operaba como barrera de concurrencia sin dar al Ayuntamiento nada que no le diera una redacción delimitada. La nueva definición incorpora la delimitación propuesta en la revisión de modificaciones (modificación 2). El contenido de la entrega no se repite aquí: vive en DT-8·v3, apartado 1, al que la definición remite, y añade tres piezas que la propuesta de modificación no contemplaba y sin las cuales la delimitación se vuelve en contra del Ayuntamiento: el Inventario de Componentes —sin él, la frontera entre producto base y desarrollo específico se discute al final del contrato, que es cuando ya no hay palanca—, la licencia de uso transitoria del producto base —sin ella se devuelve un código que no arranca— y el diccionario de datos.</w:t>
      </w:r>
    </w:p>
    <w:p>
      <w:pPr>
        <w:spacing w:after="140" w:line="276"/>
      </w:pPr>
      <w:r>
        <w:rPr>
          <w:rFonts w:ascii="Calibri" w:cs="Calibri" w:eastAsia="Calibri" w:hAnsi="Calibri"/>
          <w:b/>
          <w:bCs/>
          <w:sz w:val="21"/>
          <w:szCs w:val="21"/>
        </w:rPr>
        <w:t xml:space="preserve">Obsolescencia tecnológica.</w:t>
      </w:r>
      <w:r>
        <w:rPr>
          <w:rFonts w:ascii="Calibri" w:cs="Calibri" w:eastAsia="Calibri" w:hAnsi="Calibri"/>
          <w:sz w:val="21"/>
          <w:szCs w:val="21"/>
        </w:rPr>
        <w:t xml:space="preserve"> La definición de la versión 2.0 remitía a «las tecnologías y mejoras que mantienen su vigencia funcional» y se autocalificaba como incumplimiento esencial. Tenía dos defectos acumulados: obligaba a probar, en un procedimiento contradictorio, qué tecnología del mercado era necesaria —cuestión de apreciación técnica—, y anudaba a esa apreciación el efecto resolutorio. El artículo 211.1.f).2.º LCSP exige que las obligaciones esenciales figuren «enumeradas de manera precisa, clara e inequívoca en los pliegos […] no siendo admisibles cláusulas de tipo general». La doctrina es tajante sobre el punto: </w:t>
      </w:r>
      <w:r>
        <w:rPr>
          <w:rFonts w:ascii="Calibri" w:cs="Calibri" w:eastAsia="Calibri" w:hAnsi="Calibri"/>
          <w:i/>
          <w:iCs/>
          <w:sz w:val="21"/>
          <w:szCs w:val="21"/>
        </w:rPr>
        <w:t xml:space="preserve">«las obligaciones genéricas o imprecisas no pueden configurarse como propias de un contrato […] menos aún pueden elevarse a categoría de obligaciones esenciales de este, cuyo incumplimiento habilite a la resolución»</w:t>
      </w:r>
      <w:r>
        <w:rPr>
          <w:rFonts w:ascii="Calibri" w:cs="Calibri" w:eastAsia="Calibri" w:hAnsi="Calibri"/>
          <w:sz w:val="21"/>
          <w:szCs w:val="21"/>
        </w:rPr>
        <w:t xml:space="preserve"> (Tribunal Administrativo Central de Recursos Contractuales, </w:t>
      </w:r>
      <w:hyperlink w:history="1" r:id="rIddch1pvhraja6opcxgj8nk">
        <w:r>
          <w:rPr>
            <w:rFonts w:ascii="Calibri" w:cs="Calibri" w:eastAsia="Calibri" w:hAnsi="Calibri"/>
            <w:color w:val="2F5496"/>
            <w:sz w:val="21"/>
            <w:szCs w:val="21"/>
            <w:u w:val="single"/>
          </w:rPr>
          <w:t xml:space="preserve">Resolución 1113/2022, de 27 de septiembre de 2022, recurso 998/2022</w:t>
        </w:r>
      </w:hyperlink>
      <w:r>
        <w:rPr>
          <w:rFonts w:ascii="Calibri" w:cs="Calibri" w:eastAsia="Calibri" w:hAnsi="Calibri"/>
          <w:sz w:val="21"/>
          <w:szCs w:val="21"/>
        </w:rPr>
        <w:t xml:space="preserve">%2027-9-2022.pdf), fundamento de derecho séptimo; el Tribunal declaró la nulidad de las cláusulas 29 y 39 del pliego y acordó la retroacción). Se cita como doctrina general sobre condiciones especiales de ejecución, trasladada por analogía: no consta doctrina sobre cláusulas de contenido tecnológico-evolutivo. La traslación es además </w:t>
      </w:r>
      <w:r>
        <w:rPr>
          <w:rFonts w:ascii="Calibri" w:cs="Calibri" w:eastAsia="Calibri" w:hAnsi="Calibri"/>
          <w:b/>
          <w:bCs/>
          <w:sz w:val="21"/>
          <w:szCs w:val="21"/>
        </w:rPr>
        <w:t xml:space="preserve">de régimen</w:t>
      </w:r>
      <w:r>
        <w:rPr>
          <w:rFonts w:ascii="Calibri" w:cs="Calibri" w:eastAsia="Calibri" w:hAnsi="Calibri"/>
          <w:sz w:val="21"/>
          <w:szCs w:val="21"/>
        </w:rPr>
        <w:t xml:space="preserve">, y así se advierte: la Resolución 1113/2022 resuelve una reclamación en sectores excluidos (ADIF Alta Velocidad) al amparo del Real Decreto-ley 3/2020, no un recurso especial de la LCSP; lo que se traslada es el estándar de precisión, no el precepto aplicado. La nueva definición sustituye la apreciación por dos hechos comprobables y remite la calificación a la lista cerrada de ADM-6·v3.</w:t>
      </w:r>
    </w:p>
    <w:p>
      <w:pPr>
        <w:spacing w:after="140" w:line="276"/>
      </w:pPr>
      <w:r>
        <w:rPr>
          <w:rFonts w:ascii="Calibri" w:cs="Calibri" w:eastAsia="Calibri" w:hAnsi="Calibri"/>
          <w:b/>
          <w:bCs/>
          <w:sz w:val="21"/>
          <w:szCs w:val="21"/>
        </w:rPr>
        <w:t xml:space="preserve">Solución equivalente.</w:t>
      </w:r>
      <w:r>
        <w:rPr>
          <w:rFonts w:ascii="Calibri" w:cs="Calibri" w:eastAsia="Calibri" w:hAnsi="Calibri"/>
          <w:sz w:val="21"/>
          <w:szCs w:val="21"/>
        </w:rPr>
        <w:t xml:space="preserve"> La versión 2.0 la definía como la que «acredite niveles equivalentes» respecto de lo citado «como referencia», es decir, respecto del producto nombrado. Ese es exactamente el punto por el que una cláusula de equivalencia deja de proteger: si la equivalencia se mide contra un producto, el producto nombrado gana siempre. La nueva definición fija la referencia en las </w:t>
      </w:r>
      <w:r>
        <w:rPr>
          <w:rFonts w:ascii="Calibri" w:cs="Calibri" w:eastAsia="Calibri" w:hAnsi="Calibri"/>
          <w:b/>
          <w:bCs/>
          <w:sz w:val="21"/>
          <w:szCs w:val="21"/>
        </w:rPr>
        <w:t xml:space="preserve">exigencias funcionales</w:t>
      </w:r>
      <w:r>
        <w:rPr>
          <w:rFonts w:ascii="Calibri" w:cs="Calibri" w:eastAsia="Calibri" w:hAnsi="Calibri"/>
          <w:sz w:val="21"/>
          <w:szCs w:val="21"/>
        </w:rPr>
        <w:t xml:space="preserve"> y traslada expresamente la carga de la prueba al licitador, que es donde la sitúa la ley y donde la sitúa también la práctica del tribunal competente: en su </w:t>
      </w:r>
      <w:hyperlink w:history="1" r:id="rIdcuyopdnaoobhfrtmyfmqf">
        <w:r>
          <w:rPr>
            <w:rFonts w:ascii="Calibri" w:cs="Calibri" w:eastAsia="Calibri" w:hAnsi="Calibri"/>
            <w:color w:val="2F5496"/>
            <w:sz w:val="21"/>
            <w:szCs w:val="21"/>
            <w:u w:val="single"/>
          </w:rPr>
          <w:t xml:space="preserve">Resolución 535/2025, de 18 de diciembre de 2025, recurso 526/2025</w:t>
        </w:r>
      </w:hyperlink>
      <w:r>
        <w:rPr>
          <w:rFonts w:ascii="Calibri" w:cs="Calibri" w:eastAsia="Calibri" w:hAnsi="Calibri"/>
          <w:sz w:val="21"/>
          <w:szCs w:val="21"/>
        </w:rPr>
        <w:t xml:space="preserve"> —</w:t>
      </w:r>
      <w:r>
        <w:rPr>
          <w:rFonts w:ascii="Calibri" w:cs="Calibri" w:eastAsia="Calibri" w:hAnsi="Calibri"/>
          <w:b/>
          <w:bCs/>
          <w:sz w:val="21"/>
          <w:szCs w:val="21"/>
        </w:rPr>
        <w:t xml:space="preserve">desestimatoria</w:t>
      </w:r>
      <w:r>
        <w:rPr>
          <w:rFonts w:ascii="Calibri" w:cs="Calibri" w:eastAsia="Calibri" w:hAnsi="Calibri"/>
          <w:sz w:val="21"/>
          <w:szCs w:val="21"/>
        </w:rPr>
        <w:t xml:space="preserve">, resuelta por discrecionalidad técnica—, el Tribunal Administrativo de Contratación Pública de la Comunidad de Madrid confirmó que corresponde al licitador demostrar la equivalencia y al órgano de contratación apreciarla. Se cita por lo que resuelve. </w:t>
      </w:r>
      <w:r>
        <w:rPr>
          <w:rFonts w:ascii="Calibri" w:cs="Calibri" w:eastAsia="Calibri" w:hAnsi="Calibri"/>
          <w:b/>
          <w:bCs/>
          <w:sz w:val="21"/>
          <w:szCs w:val="21"/>
        </w:rPr>
        <w:t xml:space="preserve">No consta que esa resolución declare conforme a Derecho ninguna definición de equivalencia</w:t>
      </w:r>
      <w:r>
        <w:rPr>
          <w:rFonts w:ascii="Calibri" w:cs="Calibri" w:eastAsia="Calibri" w:hAnsi="Calibri"/>
          <w:sz w:val="21"/>
          <w:szCs w:val="21"/>
        </w:rPr>
        <w:t xml:space="preserve">: la definición en tres condiciones acumulativas que allí aparece es una cláusula de un pliego autonómico, aplicada y no impugnada en ese recurso, y así se cita en DT-0·v3. El régimen completo y el trámite están en DT-0·v3.</w:t>
      </w:r>
    </w:p>
    <w:p>
      <w:pPr>
        <w:spacing w:after="140" w:line="276"/>
      </w:pPr>
      <w:r>
        <w:rPr>
          <w:rFonts w:ascii="Calibri" w:cs="Calibri" w:eastAsia="Calibri" w:hAnsi="Calibri"/>
          <w:b/>
          <w:bCs/>
          <w:sz w:val="21"/>
          <w:szCs w:val="21"/>
        </w:rPr>
        <w:t xml:space="preserve">ISBE.</w:t>
      </w:r>
      <w:r>
        <w:rPr>
          <w:rFonts w:ascii="Calibri" w:cs="Calibri" w:eastAsia="Calibri" w:hAnsi="Calibri"/>
          <w:sz w:val="21"/>
          <w:szCs w:val="21"/>
        </w:rPr>
        <w:t xml:space="preserve"> No se transcribe al pliego y no genera obligación alguna. Descripción, a efectos exclusivamente informativos: Infraestructura de Servicios Blockchain de España, implementada por Alastria y alineada con la infraestructura europea EBSI. Se elimina toda la carga preferencial de la definición de la versión 2.0 —el impulso institucional, la financiación y el alineamiento estratégico— porque no describía una capacidad funcional sino un arraigo, y el arraigo territorial no es criterio admisible. Regla de cierre, aplicable a cualquier infraestructura o red gestionada por un tercero:</w:t>
      </w:r>
    </w:p>
    <w:p>
      <w:pPr>
        <w:pBdr>
          <w:left w:val="single" w:color="BFBFBF" w:sz="12" w:space="8"/>
        </w:pBdr>
        <w:spacing w:after="140" w:line="264"/>
        <w:ind w:left="400"/>
      </w:pPr>
      <w:r>
        <w:rPr>
          <w:rFonts w:ascii="Georgia" w:cs="Georgia" w:eastAsia="Georgia" w:hAnsi="Georgia"/>
          <w:b/>
          <w:bCs/>
          <w:i/>
          <w:iCs/>
          <w:color w:val="595959"/>
          <w:sz w:val="20"/>
          <w:szCs w:val="20"/>
        </w:rPr>
        <w:t xml:space="preserve">La pertenencia o adhesión a una red o infraestructura nominada no puede configurarse como prescripción técnica de obligado cumplimiento, ni como requisito de solvencia, ni como criterio de adjudicación, ni como condición especial de ejecución.</w:t>
      </w:r>
      <w:r>
        <w:rPr>
          <w:rFonts w:ascii="Georgia" w:cs="Georgia" w:eastAsia="Georgia" w:hAnsi="Georgia"/>
          <w:i/>
          <w:iCs/>
          <w:color w:val="595959"/>
          <w:sz w:val="20"/>
          <w:szCs w:val="20"/>
        </w:rPr>
        <w:t xml:space="preserve"> Cuando el pliego quiera asegurar una capacidad —anclaje de evidencias verificable por un tercero sin acceso privilegiado, identidad digital verificable conforme al marco europeo, interoperabilidad acreditada—, la exigirá por su función. Un requisito cuyo cumplimiento dependa de la admisión de un tercero es un obstáculo injustificado a la apertura de la contratación a la competencia en el sentido del artículo 126.1 LCSP.</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§6. Principios rectores</w:t>
      </w:r>
    </w:p>
    <w:p>
      <w:pPr>
        <w:spacing w:after="140" w:line="276"/>
      </w:pPr>
      <w:r>
        <w:rPr>
          <w:rFonts w:ascii="Calibri" w:cs="Calibri" w:eastAsia="Calibri" w:hAnsi="Calibri"/>
          <w:sz w:val="21"/>
          <w:szCs w:val="21"/>
        </w:rPr>
        <w:t xml:space="preserve">Los principios se conservan porque orientan correctamente la lectura del catálogo, y se les añade el noveno. Se antepone la regla que la versión 2.0 no tenía y que es imprescindible:</w:t>
      </w:r>
    </w:p>
    <w:p>
      <w:pPr>
        <w:pBdr>
          <w:left w:val="single" w:color="BFBFBF" w:sz="12" w:space="8"/>
        </w:pBdr>
        <w:spacing w:after="140" w:line="264"/>
        <w:ind w:left="400"/>
      </w:pPr>
      <w:r>
        <w:rPr>
          <w:rFonts w:ascii="Georgia" w:cs="Georgia" w:eastAsia="Georgia" w:hAnsi="Georgia"/>
          <w:b/>
          <w:bCs/>
          <w:i/>
          <w:iCs/>
          <w:color w:val="595959"/>
          <w:sz w:val="20"/>
          <w:szCs w:val="20"/>
        </w:rPr>
        <w:t xml:space="preserve">Los principios de este apartado tienen valor interpretativo. No constituyen por sí solos obligaciones exigibles ni fundan penalidad o resolución alguna: las obligaciones del contratista son, exclusivamente, las expresamente establecidas en las cláusulas de los pliegos.</w:t>
      </w:r>
    </w:p>
    <w:p>
      <w:pPr>
        <w:spacing w:after="140" w:line="276"/>
      </w:pPr>
      <w:r>
        <w:rPr>
          <w:rFonts w:ascii="Calibri" w:cs="Calibri" w:eastAsia="Calibri" w:hAnsi="Calibri"/>
          <w:sz w:val="21"/>
          <w:szCs w:val="21"/>
        </w:rPr>
        <w:t xml:space="preserve">Sin esa regla, un pliego que transcribiera los principios estaría exigiendo el cumplimiento de documentos que no son normas jurídicas —señaladamente, las directrices éticas de la Unión sobre inteligencia artificial fiable—, y creando una obligación que ningún órgano puede verificar en un procedimiento contradictorio.</w:t>
      </w:r>
    </w:p>
    <w:p>
      <w:pPr>
        <w:pStyle w:val="ListParagraph"/>
        <w:numPr>
          <w:ilvl w:val="0"/>
          <w:numId w:val="2"/>
        </w:numPr>
        <w:spacing w:after="70" w:line="268"/>
      </w:pPr>
      <w:r>
        <w:rPr>
          <w:rFonts w:ascii="Calibri" w:cs="Calibri" w:eastAsia="Calibri" w:hAnsi="Calibri"/>
          <w:b/>
          <w:bCs/>
          <w:sz w:val="21"/>
          <w:szCs w:val="21"/>
        </w:rPr>
        <w:t xml:space="preserve">Legalidad, transparencia y trazabilidad.</w:t>
      </w:r>
      <w:r>
        <w:rPr>
          <w:rFonts w:ascii="Calibri" w:cs="Calibri" w:eastAsia="Calibri" w:hAnsi="Calibri"/>
          <w:sz w:val="21"/>
          <w:szCs w:val="21"/>
        </w:rPr>
        <w:t xml:space="preserve"> Actuación conforme a Derecho, documentada y auditable de extremo a extremo.</w:t>
      </w:r>
    </w:p>
    <w:p>
      <w:pPr>
        <w:pStyle w:val="ListParagraph"/>
        <w:numPr>
          <w:ilvl w:val="0"/>
          <w:numId w:val="2"/>
        </w:numPr>
        <w:spacing w:after="70" w:line="268"/>
      </w:pPr>
      <w:r>
        <w:rPr>
          <w:rFonts w:ascii="Calibri" w:cs="Calibri" w:eastAsia="Calibri" w:hAnsi="Calibri"/>
          <w:b/>
          <w:bCs/>
          <w:sz w:val="21"/>
          <w:szCs w:val="21"/>
        </w:rPr>
        <w:t xml:space="preserve">Explicabilidad y supervisión humana.</w:t>
      </w:r>
      <w:r>
        <w:rPr>
          <w:rFonts w:ascii="Calibri" w:cs="Calibri" w:eastAsia="Calibri" w:hAnsi="Calibri"/>
          <w:sz w:val="21"/>
          <w:szCs w:val="21"/>
        </w:rPr>
        <w:t xml:space="preserve"> Capacidad de explicar las decisiones de forma suficiente y de mantener control humano efectivo en las decisiones con impacto significativo sobre las personas.</w:t>
      </w:r>
    </w:p>
    <w:p>
      <w:pPr>
        <w:pStyle w:val="ListParagraph"/>
        <w:numPr>
          <w:ilvl w:val="0"/>
          <w:numId w:val="2"/>
        </w:numPr>
        <w:spacing w:after="70" w:line="268"/>
      </w:pPr>
      <w:r>
        <w:rPr>
          <w:rFonts w:ascii="Calibri" w:cs="Calibri" w:eastAsia="Calibri" w:hAnsi="Calibri"/>
          <w:b/>
          <w:bCs/>
          <w:sz w:val="21"/>
          <w:szCs w:val="21"/>
        </w:rPr>
        <w:t xml:space="preserve">Fiabilidad de la inteligencia artificial.</w:t>
      </w:r>
      <w:r>
        <w:rPr>
          <w:rFonts w:ascii="Calibri" w:cs="Calibri" w:eastAsia="Calibri" w:hAnsi="Calibri"/>
          <w:sz w:val="21"/>
          <w:szCs w:val="21"/>
        </w:rPr>
        <w:t xml:space="preserve"> Gestión del riesgo, calidad de los datos, robustez, exactitud y ciberseguridad, en los términos de las cláusulas que los concretan.</w:t>
      </w:r>
    </w:p>
    <w:p>
      <w:pPr>
        <w:pStyle w:val="ListParagraph"/>
        <w:numPr>
          <w:ilvl w:val="0"/>
          <w:numId w:val="2"/>
        </w:numPr>
        <w:spacing w:after="70" w:line="268"/>
      </w:pPr>
      <w:r>
        <w:rPr>
          <w:rFonts w:ascii="Calibri" w:cs="Calibri" w:eastAsia="Calibri" w:hAnsi="Calibri"/>
          <w:b/>
          <w:bCs/>
          <w:sz w:val="21"/>
          <w:szCs w:val="21"/>
        </w:rPr>
        <w:t xml:space="preserve">Minimización, seguridad y privacidad desde el diseño y por defecto.</w:t>
      </w:r>
    </w:p>
    <w:p>
      <w:pPr>
        <w:pStyle w:val="ListParagraph"/>
        <w:numPr>
          <w:ilvl w:val="0"/>
          <w:numId w:val="2"/>
        </w:numPr>
        <w:spacing w:after="70" w:line="268"/>
      </w:pPr>
      <w:r>
        <w:rPr>
          <w:rFonts w:ascii="Calibri" w:cs="Calibri" w:eastAsia="Calibri" w:hAnsi="Calibri"/>
          <w:b/>
          <w:bCs/>
          <w:sz w:val="21"/>
          <w:szCs w:val="21"/>
        </w:rPr>
        <w:t xml:space="preserve">Neutralidad tecnológica, interoperabilidad y accesibilidad universal.</w:t>
      </w:r>
    </w:p>
    <w:p>
      <w:pPr>
        <w:pStyle w:val="ListParagraph"/>
        <w:numPr>
          <w:ilvl w:val="0"/>
          <w:numId w:val="2"/>
        </w:numPr>
        <w:spacing w:after="70" w:line="268"/>
      </w:pPr>
      <w:r>
        <w:rPr>
          <w:rFonts w:ascii="Calibri" w:cs="Calibri" w:eastAsia="Calibri" w:hAnsi="Calibri"/>
          <w:b/>
          <w:bCs/>
          <w:sz w:val="21"/>
          <w:szCs w:val="21"/>
        </w:rPr>
        <w:t xml:space="preserve">No discriminación, control de sesgos, auditabilidad y reversibilidad.</w:t>
      </w:r>
    </w:p>
    <w:p>
      <w:pPr>
        <w:pStyle w:val="ListParagraph"/>
        <w:numPr>
          <w:ilvl w:val="0"/>
          <w:numId w:val="2"/>
        </w:numPr>
        <w:spacing w:after="70" w:line="268"/>
      </w:pPr>
      <w:r>
        <w:rPr>
          <w:rFonts w:ascii="Calibri" w:cs="Calibri" w:eastAsia="Calibri" w:hAnsi="Calibri"/>
          <w:b/>
          <w:bCs/>
          <w:sz w:val="21"/>
          <w:szCs w:val="21"/>
        </w:rPr>
        <w:t xml:space="preserve">Libre concurrencia, igualdad de trato, proporcionalidad y eficiencia en el uso de los fondos públicos, con plena vinculación al objeto del contrato.</w:t>
      </w:r>
    </w:p>
    <w:p>
      <w:pPr>
        <w:pStyle w:val="ListParagraph"/>
        <w:numPr>
          <w:ilvl w:val="0"/>
          <w:numId w:val="2"/>
        </w:numPr>
        <w:spacing w:after="70" w:line="268"/>
      </w:pPr>
      <w:r>
        <w:rPr>
          <w:rFonts w:ascii="Calibri" w:cs="Calibri" w:eastAsia="Calibri" w:hAnsi="Calibri"/>
          <w:b/>
          <w:bCs/>
          <w:sz w:val="21"/>
          <w:szCs w:val="21"/>
        </w:rPr>
        <w:t xml:space="preserve">Soberanía del dato y sostenibilidad.</w:t>
      </w:r>
      <w:r>
        <w:rPr>
          <w:rFonts w:ascii="Calibri" w:cs="Calibri" w:eastAsia="Calibri" w:hAnsi="Calibri"/>
          <w:sz w:val="21"/>
          <w:szCs w:val="21"/>
        </w:rPr>
        <w:t xml:space="preserve"> Control público sobre la información y eficiencia en el uso de recursos.</w:t>
      </w:r>
    </w:p>
    <w:p>
      <w:pPr>
        <w:pStyle w:val="ListParagraph"/>
        <w:numPr>
          <w:ilvl w:val="0"/>
          <w:numId w:val="2"/>
        </w:numPr>
        <w:spacing w:after="70" w:line="268"/>
      </w:pPr>
      <w:r>
        <w:rPr>
          <w:rFonts w:ascii="Calibri" w:cs="Calibri" w:eastAsia="Calibri" w:hAnsi="Calibri"/>
          <w:b/>
          <w:bCs/>
          <w:sz w:val="21"/>
          <w:szCs w:val="21"/>
        </w:rPr>
        <w:t xml:space="preserve">Separación de instrumentos</w:t>
      </w:r>
      <w:r>
        <w:rPr>
          <w:rFonts w:ascii="Calibri" w:cs="Calibri" w:eastAsia="Calibri" w:hAnsi="Calibri"/>
          <w:sz w:val="21"/>
          <w:szCs w:val="21"/>
        </w:rPr>
        <w:t xml:space="preserve"> </w:t>
      </w:r>
      <w:r>
        <w:rPr>
          <w:rFonts w:ascii="Calibri" w:cs="Calibri" w:eastAsia="Calibri" w:hAnsi="Calibri"/>
          <w:i/>
          <w:iCs/>
          <w:sz w:val="21"/>
          <w:szCs w:val="21"/>
        </w:rPr>
        <w:t xml:space="preserve">(nuevo)</w:t>
      </w:r>
      <w:r>
        <w:rPr>
          <w:rFonts w:ascii="Calibri" w:cs="Calibri" w:eastAsia="Calibri" w:hAnsi="Calibri"/>
          <w:sz w:val="21"/>
          <w:szCs w:val="21"/>
        </w:rPr>
        <w:t xml:space="preserve">. Cada exigencia se canaliza por un solo instrumento contractual y no se computa dos veces. Su desarrollo es la regla §7.3 y su instrumento de control, el Cuadro Maestro del Anexo I.</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§7. Las reglas de integración</w:t>
      </w:r>
    </w:p>
    <w:p>
      <w:pPr>
        <w:spacing w:after="140" w:line="276"/>
      </w:pPr>
      <w:r>
        <w:rPr>
          <w:rFonts w:ascii="Calibri" w:cs="Calibri" w:eastAsia="Calibri" w:hAnsi="Calibri"/>
          <w:sz w:val="21"/>
          <w:szCs w:val="21"/>
        </w:rPr>
        <w:t xml:space="preserve">Son el régimen interno del catálogo. Gobiernan cómo se leen y cómo se usan sus cláusulas. Las reglas 1 a 9 se aplican </w:t>
      </w:r>
      <w:r>
        <w:rPr>
          <w:rFonts w:ascii="Calibri" w:cs="Calibri" w:eastAsia="Calibri" w:hAnsi="Calibri"/>
          <w:b/>
          <w:bCs/>
          <w:sz w:val="21"/>
          <w:szCs w:val="21"/>
        </w:rPr>
        <w:t xml:space="preserve">al redactar el expediente</w:t>
      </w:r>
      <w:r>
        <w:rPr>
          <w:rFonts w:ascii="Calibri" w:cs="Calibri" w:eastAsia="Calibri" w:hAnsi="Calibri"/>
          <w:sz w:val="21"/>
          <w:szCs w:val="21"/>
        </w:rPr>
        <w:t xml:space="preserve">; la regla 10 dice cuáles de ellas hay que llevarse al pliego, y con qué texto.</w:t>
      </w:r>
    </w:p>
    <w:p>
      <w:pPr>
        <w:pStyle w:val="Heading3"/>
        <w:keepNext/>
        <w:spacing w:after="140" w:before="320"/>
      </w:pPr>
      <w:r>
        <w:rPr>
          <w:rFonts w:ascii="Georgia" w:cs="Georgia" w:eastAsia="Georgia" w:hAnsi="Georgia"/>
          <w:b/>
          <w:bCs/>
          <w:color w:val="2F5496"/>
          <w:sz w:val="22"/>
          <w:szCs w:val="22"/>
        </w:rPr>
        <w:t xml:space="preserve">7.1 Regla de ubicación</w:t>
      </w:r>
    </w:p>
    <w:p>
      <w:pPr>
        <w:spacing w:after="140" w:line="276"/>
      </w:pPr>
      <w:r>
        <w:rPr>
          <w:rFonts w:ascii="Calibri" w:cs="Calibri" w:eastAsia="Calibri" w:hAnsi="Calibri"/>
          <w:sz w:val="21"/>
          <w:szCs w:val="21"/>
        </w:rPr>
        <w:t xml:space="preserve">La cláusula de modificación prevista y las condiciones especiales de ejecución van </w:t>
      </w:r>
      <w:r>
        <w:rPr>
          <w:rFonts w:ascii="Calibri" w:cs="Calibri" w:eastAsia="Calibri" w:hAnsi="Calibri"/>
          <w:b/>
          <w:bCs/>
          <w:sz w:val="21"/>
          <w:szCs w:val="21"/>
        </w:rPr>
        <w:t xml:space="preserve">siempre al PCAP</w:t>
      </w:r>
      <w:r>
        <w:rPr>
          <w:rFonts w:ascii="Calibri" w:cs="Calibri" w:eastAsia="Calibri" w:hAnsi="Calibri"/>
          <w:sz w:val="21"/>
          <w:szCs w:val="21"/>
        </w:rPr>
        <w:t xml:space="preserve">. Su reproducción en el PPT carece de efectos y genera contradicción entre pliegos. Simétricamente, las prescripciones técnicas van al PPT.</w:t>
      </w:r>
    </w:p>
    <w:p>
      <w:pPr>
        <w:spacing w:after="140" w:line="276"/>
      </w:pPr>
      <w:r>
        <w:rPr>
          <w:rFonts w:ascii="Calibri" w:cs="Calibri" w:eastAsia="Calibri" w:hAnsi="Calibri"/>
          <w:sz w:val="21"/>
          <w:szCs w:val="21"/>
        </w:rPr>
        <w:t xml:space="preserve">Aplicación inmediata: si en un expediente ya redactado el requerimiento de adaptación tecnológica ha quedado en el PPT, está en el pliego equivocado y debe trasladarse antes de aprobar.</w:t>
      </w:r>
    </w:p>
    <w:p>
      <w:pPr>
        <w:pStyle w:val="Heading3"/>
        <w:keepNext/>
        <w:spacing w:after="140" w:before="320"/>
      </w:pPr>
      <w:r>
        <w:rPr>
          <w:rFonts w:ascii="Georgia" w:cs="Georgia" w:eastAsia="Georgia" w:hAnsi="Georgia"/>
          <w:b/>
          <w:bCs/>
          <w:color w:val="2F5496"/>
          <w:sz w:val="22"/>
          <w:szCs w:val="22"/>
        </w:rPr>
        <w:t xml:space="preserve">7.2 Regla de prevalencia funcional</w:t>
      </w:r>
    </w:p>
    <w:p>
      <w:pPr>
        <w:spacing w:after="140" w:line="276"/>
      </w:pPr>
      <w:r>
        <w:rPr>
          <w:rFonts w:ascii="Calibri" w:cs="Calibri" w:eastAsia="Calibri" w:hAnsi="Calibri"/>
          <w:sz w:val="21"/>
          <w:szCs w:val="21"/>
        </w:rPr>
        <w:t xml:space="preserve">En caso de contradicción entre una prescripción que cite un producto, marca, red, infraestructura, protocolo o metodología determinados y la formulación funcional de la misma exigencia, </w:t>
      </w:r>
      <w:r>
        <w:rPr>
          <w:rFonts w:ascii="Calibri" w:cs="Calibri" w:eastAsia="Calibri" w:hAnsi="Calibri"/>
          <w:b/>
          <w:bCs/>
          <w:sz w:val="21"/>
          <w:szCs w:val="21"/>
        </w:rPr>
        <w:t xml:space="preserve">prevalece la formulación funcional</w:t>
      </w:r>
      <w:r>
        <w:rPr>
          <w:rFonts w:ascii="Calibri" w:cs="Calibri" w:eastAsia="Calibri" w:hAnsi="Calibri"/>
          <w:sz w:val="21"/>
          <w:szCs w:val="21"/>
        </w:rPr>
        <w:t xml:space="preserve"> y la admisión de equivalentes.</w:t>
      </w:r>
    </w:p>
    <w:p>
      <w:pPr>
        <w:spacing w:after="140" w:line="276"/>
      </w:pPr>
      <w:r>
        <w:rPr>
          <w:rFonts w:ascii="Calibri" w:cs="Calibri" w:eastAsia="Calibri" w:hAnsi="Calibri"/>
          <w:sz w:val="21"/>
          <w:szCs w:val="21"/>
        </w:rPr>
        <w:t xml:space="preserve">La mención «o equivalente» debe acompañar a </w:t>
      </w:r>
      <w:r>
        <w:rPr>
          <w:rFonts w:ascii="Calibri" w:cs="Calibri" w:eastAsia="Calibri" w:hAnsi="Calibri"/>
          <w:b/>
          <w:bCs/>
          <w:sz w:val="21"/>
          <w:szCs w:val="21"/>
        </w:rPr>
        <w:t xml:space="preserve">cada referencia operativa</w:t>
      </w:r>
      <w:r>
        <w:rPr>
          <w:rFonts w:ascii="Calibri" w:cs="Calibri" w:eastAsia="Calibri" w:hAnsi="Calibri"/>
          <w:sz w:val="21"/>
          <w:szCs w:val="21"/>
        </w:rPr>
        <w:t xml:space="preserve">, no figurar una sola vez en el preámbulo. Una cláusula-paraguas no cura una prescripción concreta que después obliga, penaliza y resuelve por el nombre del producto. El Tribunal de Justicia de la Unión Europea lo ha fijado con claridad: </w:t>
      </w:r>
      <w:r>
        <w:rPr>
          <w:rFonts w:ascii="Calibri" w:cs="Calibri" w:eastAsia="Calibri" w:hAnsi="Calibri"/>
          <w:i/>
          <w:iCs/>
          <w:sz w:val="21"/>
          <w:szCs w:val="21"/>
        </w:rPr>
        <w:t xml:space="preserve">«Salvo en los casos en que la utilización de un material resulta inevitablemente del objeto del contrato, el poder adjudicador no puede exigir la utilización de un material determinado sin añadir la mención “o equivalente”»</w:t>
      </w:r>
      <w:r>
        <w:rPr>
          <w:rFonts w:ascii="Calibri" w:cs="Calibri" w:eastAsia="Calibri" w:hAnsi="Calibri"/>
          <w:sz w:val="21"/>
          <w:szCs w:val="21"/>
        </w:rPr>
        <w:t xml:space="preserve"> (sentencia de 16 de enero de 2025, </w:t>
      </w:r>
      <w:hyperlink w:history="1" r:id="rIdprwqynqdhn8lpz01kww-y">
        <w:r>
          <w:rPr>
            <w:rFonts w:ascii="Calibri" w:cs="Calibri" w:eastAsia="Calibri" w:hAnsi="Calibri"/>
            <w:color w:val="2F5496"/>
            <w:sz w:val="21"/>
            <w:szCs w:val="21"/>
            <w:u w:val="single"/>
          </w:rPr>
          <w:t xml:space="preserve">asunto C-424/23, DYKA Plastics</w:t>
        </w:r>
      </w:hyperlink>
      <w:r>
        <w:rPr>
          <w:rFonts w:ascii="Calibri" w:cs="Calibri" w:eastAsia="Calibri" w:hAnsi="Calibri"/>
          <w:sz w:val="21"/>
          <w:szCs w:val="21"/>
        </w:rPr>
        <w:t xml:space="preserve">, apartado 61); y el poder adjudicador </w:t>
      </w:r>
      <w:r>
        <w:rPr>
          <w:rFonts w:ascii="Calibri" w:cs="Calibri" w:eastAsia="Calibri" w:hAnsi="Calibri"/>
          <w:b/>
          <w:bCs/>
          <w:sz w:val="21"/>
          <w:szCs w:val="21"/>
        </w:rPr>
        <w:t xml:space="preserve">debe exigir</w:t>
      </w:r>
      <w:r>
        <w:rPr>
          <w:rFonts w:ascii="Calibri" w:cs="Calibri" w:eastAsia="Calibri" w:hAnsi="Calibri"/>
          <w:sz w:val="21"/>
          <w:szCs w:val="21"/>
        </w:rPr>
        <w:t xml:space="preserve"> que el licitador aporte la prueba de la equivalencia «ya en su oferta» (sentencia de 12 de julio de 2018, </w:t>
      </w:r>
      <w:hyperlink w:history="1" r:id="rIdgiuhn_wkstae37roh6u0d">
        <w:r>
          <w:rPr>
            <w:rFonts w:ascii="Calibri" w:cs="Calibri" w:eastAsia="Calibri" w:hAnsi="Calibri"/>
            <w:color w:val="2F5496"/>
            <w:sz w:val="21"/>
            <w:szCs w:val="21"/>
            <w:u w:val="single"/>
          </w:rPr>
          <w:t xml:space="preserve">asunto C-14/17, VAR y ATM / Iveco Orecchia</w:t>
        </w:r>
      </w:hyperlink>
      <w:r>
        <w:rPr>
          <w:rFonts w:ascii="Calibri" w:cs="Calibri" w:eastAsia="Calibri" w:hAnsi="Calibri"/>
          <w:sz w:val="21"/>
          <w:szCs w:val="21"/>
        </w:rPr>
        <w:t xml:space="preserve">; el literal es el fallo). De esta segunda sentencia se advierte su encuadre, porque es la primera objeción que opondrá el letrado de un licitador: interpreta el artículo 34, apartado 8, de la Directiva 2004/17, de sectores del agua, la energía y los transportes, hoy derogada, y aquí se emplea para fundar una obligación del artículo 126.6 LCSP. De ahí que el trámite de acreditación de DT-0·v3 sea obligatorio y no facultativo.</w:t>
      </w:r>
    </w:p>
    <w:p>
      <w:pPr>
        <w:pStyle w:val="Heading3"/>
        <w:keepNext/>
        <w:spacing w:after="140" w:before="320"/>
      </w:pPr>
      <w:r>
        <w:rPr>
          <w:rFonts w:ascii="Georgia" w:cs="Georgia" w:eastAsia="Georgia" w:hAnsi="Georgia"/>
          <w:b/>
          <w:bCs/>
          <w:color w:val="2F5496"/>
          <w:sz w:val="22"/>
          <w:szCs w:val="22"/>
        </w:rPr>
        <w:t xml:space="preserve">7.3 Regla de separación de instrumentos</w:t>
      </w:r>
    </w:p>
    <w:p>
      <w:pPr>
        <w:spacing w:after="140" w:line="276"/>
      </w:pPr>
      <w:r>
        <w:rPr>
          <w:rFonts w:ascii="Calibri" w:cs="Calibri" w:eastAsia="Calibri" w:hAnsi="Calibri"/>
          <w:sz w:val="21"/>
          <w:szCs w:val="21"/>
        </w:rPr>
        <w:t xml:space="preserve">Ninguna exigencia puede computarse dos veces. Quedan prohibidas las </w:t>
      </w:r>
      <w:r>
        <w:rPr>
          <w:rFonts w:ascii="Calibri" w:cs="Calibri" w:eastAsia="Calibri" w:hAnsi="Calibri"/>
          <w:b/>
          <w:bCs/>
          <w:sz w:val="21"/>
          <w:szCs w:val="21"/>
        </w:rPr>
        <w:t xml:space="preserve">tres</w:t>
      </w:r>
      <w:r>
        <w:rPr>
          <w:rFonts w:ascii="Calibri" w:cs="Calibri" w:eastAsia="Calibri" w:hAnsi="Calibri"/>
          <w:sz w:val="21"/>
          <w:szCs w:val="21"/>
        </w:rPr>
        <w:t xml:space="preserve"> combinaciones siguientes:</w:t>
      </w:r>
    </w:p>
    <w:p>
      <w:pPr>
        <w:pStyle w:val="ListParagraph"/>
        <w:numPr>
          <w:ilvl w:val="0"/>
          <w:numId w:val="2"/>
        </w:numPr>
        <w:spacing w:after="70" w:line="268"/>
      </w:pPr>
      <w:r>
        <w:rPr>
          <w:rFonts w:ascii="Calibri" w:cs="Calibri" w:eastAsia="Calibri" w:hAnsi="Calibri"/>
          <w:b/>
          <w:bCs/>
          <w:sz w:val="21"/>
          <w:szCs w:val="21"/>
        </w:rPr>
        <w:t xml:space="preserve">Solvencia + criterio de adjudicación.</w:t>
      </w:r>
      <w:r>
        <w:rPr>
          <w:rFonts w:ascii="Calibri" w:cs="Calibri" w:eastAsia="Calibri" w:hAnsi="Calibri"/>
          <w:sz w:val="21"/>
          <w:szCs w:val="21"/>
        </w:rPr>
        <w:t xml:space="preserve"> Lo que se exige para poder licitar no se puntúa. La jurisprudencia y la doctrina son constantes en separar las características de la empresa de las de la prestación: </w:t>
      </w:r>
      <w:r>
        <w:rPr>
          <w:rFonts w:ascii="Calibri" w:cs="Calibri" w:eastAsia="Calibri" w:hAnsi="Calibri"/>
          <w:i/>
          <w:iCs/>
          <w:sz w:val="21"/>
          <w:szCs w:val="21"/>
        </w:rPr>
        <w:t xml:space="preserve">«los certificados exigidos verdaderamente se refieren a la actividad global de la empresa, no siendo por ello aptos como criterios de adjudicación»</w:t>
      </w:r>
      <w:r>
        <w:rPr>
          <w:rFonts w:ascii="Calibri" w:cs="Calibri" w:eastAsia="Calibri" w:hAnsi="Calibri"/>
          <w:sz w:val="21"/>
          <w:szCs w:val="21"/>
        </w:rPr>
        <w:t xml:space="preserve"> (TACRC, </w:t>
      </w:r>
      <w:hyperlink w:history="1" r:id="rIdhjf8sql7ycazy68s-lico">
        <w:r>
          <w:rPr>
            <w:rFonts w:ascii="Calibri" w:cs="Calibri" w:eastAsia="Calibri" w:hAnsi="Calibri"/>
            <w:color w:val="2F5496"/>
            <w:sz w:val="21"/>
            <w:szCs w:val="21"/>
            <w:u w:val="single"/>
          </w:rPr>
          <w:t xml:space="preserve">Resolución 1727/2021, de 2 de diciembre de 2021, recurso 1372/2021</w:t>
        </w:r>
      </w:hyperlink>
      <w:r>
        <w:rPr>
          <w:rFonts w:ascii="Calibri" w:cs="Calibri" w:eastAsia="Calibri" w:hAnsi="Calibri"/>
          <w:sz w:val="21"/>
          <w:szCs w:val="21"/>
        </w:rPr>
        <w:t xml:space="preserve">%2002-12-2021.pdf), Ayuntamiento de Cofrentes; el Tribunal anuló el pliego en ese punto).</w:t>
      </w:r>
    </w:p>
    <w:p>
      <w:pPr>
        <w:pStyle w:val="ListParagraph"/>
        <w:numPr>
          <w:ilvl w:val="0"/>
          <w:numId w:val="2"/>
        </w:numPr>
        <w:spacing w:after="70" w:line="268"/>
      </w:pPr>
      <w:r>
        <w:rPr>
          <w:rFonts w:ascii="Calibri" w:cs="Calibri" w:eastAsia="Calibri" w:hAnsi="Calibri"/>
          <w:b/>
          <w:bCs/>
          <w:sz w:val="21"/>
          <w:szCs w:val="21"/>
        </w:rPr>
        <w:t xml:space="preserve">Prescripción técnica de obligado cumplimiento + criterio de adjudicación.</w:t>
      </w:r>
      <w:r>
        <w:rPr>
          <w:rFonts w:ascii="Calibri" w:cs="Calibri" w:eastAsia="Calibri" w:hAnsi="Calibri"/>
          <w:sz w:val="21"/>
          <w:szCs w:val="21"/>
        </w:rPr>
        <w:t xml:space="preserve"> No se puntúa el cumplimiento de lo que el PPT ya impone como obligación. Si lo que se quiere puntuar es algo </w:t>
      </w:r>
      <w:r>
        <w:rPr>
          <w:rFonts w:ascii="Calibri" w:cs="Calibri" w:eastAsia="Calibri" w:hAnsi="Calibri"/>
          <w:b/>
          <w:bCs/>
          <w:sz w:val="21"/>
          <w:szCs w:val="21"/>
        </w:rPr>
        <w:t xml:space="preserve">adicional</w:t>
      </w:r>
      <w:r>
        <w:rPr>
          <w:rFonts w:ascii="Calibri" w:cs="Calibri" w:eastAsia="Calibri" w:hAnsi="Calibri"/>
          <w:sz w:val="21"/>
          <w:szCs w:val="21"/>
        </w:rPr>
        <w:t xml:space="preserve"> a lo exigido, entonces es una mejora en el sentido del artículo 145.7 LCSP y queda sujeta a los límites de ese precepto; y si no lo es, el criterio retribuye el mínimo obligatorio y es indefendible.</w:t>
      </w:r>
    </w:p>
    <w:p>
      <w:pPr>
        <w:pStyle w:val="ListParagraph"/>
        <w:numPr>
          <w:ilvl w:val="0"/>
          <w:numId w:val="2"/>
        </w:numPr>
        <w:spacing w:after="70" w:line="268"/>
      </w:pPr>
      <w:r>
        <w:rPr>
          <w:rFonts w:ascii="Calibri" w:cs="Calibri" w:eastAsia="Calibri" w:hAnsi="Calibri"/>
          <w:b/>
          <w:bCs/>
          <w:sz w:val="21"/>
          <w:szCs w:val="21"/>
        </w:rPr>
        <w:t xml:space="preserve">Criterio de adjudicación + condición especial de ejecución sobre el mismo contenido.</w:t>
      </w:r>
      <w:r>
        <w:rPr>
          <w:rFonts w:ascii="Calibri" w:cs="Calibri" w:eastAsia="Calibri" w:hAnsi="Calibri"/>
          <w:sz w:val="21"/>
          <w:szCs w:val="21"/>
        </w:rPr>
        <w:t xml:space="preserve"> Lo comprometido en la oferta y valorado se convierte en obligación por la vía del artículo 145.6 y del propio compromiso; volver a configurarlo como condición especial de ejecución valorable duplica el instrumento.</w:t>
      </w:r>
    </w:p>
    <w:p>
      <w:pPr>
        <w:spacing w:after="140" w:line="276"/>
      </w:pPr>
      <w:r>
        <w:rPr>
          <w:rFonts w:ascii="Calibri" w:cs="Calibri" w:eastAsia="Calibri" w:hAnsi="Calibri"/>
          <w:sz w:val="21"/>
          <w:szCs w:val="21"/>
        </w:rPr>
        <w:t xml:space="preserve">Instrumento de control: el </w:t>
      </w:r>
      <w:r>
        <w:rPr>
          <w:rFonts w:ascii="Calibri" w:cs="Calibri" w:eastAsia="Calibri" w:hAnsi="Calibri"/>
          <w:b/>
          <w:bCs/>
          <w:sz w:val="21"/>
          <w:szCs w:val="21"/>
        </w:rPr>
        <w:t xml:space="preserve">Cuadro Maestro del Anexo I</w:t>
      </w:r>
      <w:r>
        <w:rPr>
          <w:rFonts w:ascii="Calibri" w:cs="Calibri" w:eastAsia="Calibri" w:hAnsi="Calibri"/>
          <w:sz w:val="21"/>
          <w:szCs w:val="21"/>
        </w:rPr>
        <w:t xml:space="preserve">, en el que cada exigencia aparece una sola vez con un único instrumento —prescripción técnica, solvencia, adscripción de medios, condición especial de ejecución, criterio de adjudicación o documento de expediente—. Un expediente cuyo Cuadro Maestro tenga una exigencia con dos instrumentos no se aprueba.</w:t>
      </w:r>
    </w:p>
    <w:p>
      <w:pPr>
        <w:spacing w:after="140" w:line="276"/>
      </w:pPr>
      <w:r>
        <w:rPr>
          <w:rFonts w:ascii="Calibri" w:cs="Calibri" w:eastAsia="Calibri" w:hAnsi="Calibri"/>
          <w:sz w:val="21"/>
          <w:szCs w:val="21"/>
        </w:rPr>
        <w:t xml:space="preserve">Advertencia adicional: la falta de motivación del vínculo entre un criterio y el objeto del contrato basta por sí sola para anularlo, sin necesidad de discutir el fondo (TACRC, </w:t>
      </w:r>
      <w:hyperlink w:history="1" r:id="rIdftgyjmnqi3rn2_wsjpto-">
        <w:r>
          <w:rPr>
            <w:rFonts w:ascii="Calibri" w:cs="Calibri" w:eastAsia="Calibri" w:hAnsi="Calibri"/>
            <w:color w:val="2F5496"/>
            <w:sz w:val="21"/>
            <w:szCs w:val="21"/>
            <w:u w:val="single"/>
          </w:rPr>
          <w:t xml:space="preserve">Resolución 549/2020, de 17 de abril de 2020, recurso 323/2020</w:t>
        </w:r>
      </w:hyperlink>
      <w:r>
        <w:rPr>
          <w:rFonts w:ascii="Calibri" w:cs="Calibri" w:eastAsia="Calibri" w:hAnsi="Calibri"/>
          <w:sz w:val="21"/>
          <w:szCs w:val="21"/>
        </w:rPr>
        <w:t xml:space="preserve">%2017-04-2020.pdf): </w:t>
      </w:r>
      <w:r>
        <w:rPr>
          <w:rFonts w:ascii="Calibri" w:cs="Calibri" w:eastAsia="Calibri" w:hAnsi="Calibri"/>
          <w:i/>
          <w:iCs/>
          <w:sz w:val="21"/>
          <w:szCs w:val="21"/>
        </w:rPr>
        <w:t xml:space="preserve">«La falta de motivación del vínculo entre los citados sistemas y el objeto del contrato, por sí sola, produce la infracción de la norma, determinando la anulación del criterio de adjudicación»</w:t>
      </w:r>
      <w:r>
        <w:rPr>
          <w:rFonts w:ascii="Calibri" w:cs="Calibri" w:eastAsia="Calibri" w:hAnsi="Calibri"/>
          <w:sz w:val="21"/>
          <w:szCs w:val="21"/>
        </w:rPr>
        <w:t xml:space="preserve">). Ambas resoluciones se citan como doctrina general sobre criterios de adjudicación, trasladada por analogía.</w:t>
      </w:r>
    </w:p>
    <w:p>
      <w:pPr>
        <w:pStyle w:val="Heading3"/>
        <w:keepNext/>
        <w:spacing w:after="140" w:before="320"/>
      </w:pPr>
      <w:r>
        <w:rPr>
          <w:rFonts w:ascii="Georgia" w:cs="Georgia" w:eastAsia="Georgia" w:hAnsi="Georgia"/>
          <w:b/>
          <w:bCs/>
          <w:color w:val="2F5496"/>
          <w:sz w:val="22"/>
          <w:szCs w:val="22"/>
        </w:rPr>
        <w:t xml:space="preserve">7.4 Regla de agotamiento</w:t>
      </w:r>
    </w:p>
    <w:p>
      <w:pPr>
        <w:spacing w:after="140" w:line="276"/>
      </w:pPr>
      <w:r>
        <w:rPr>
          <w:rFonts w:ascii="Calibri" w:cs="Calibri" w:eastAsia="Calibri" w:hAnsi="Calibri"/>
          <w:sz w:val="21"/>
          <w:szCs w:val="21"/>
        </w:rPr>
        <w:t xml:space="preserve">Fuera del Anexo V incorporado al pliego no existe obligación de evolución tecnológica exigible al amparo de este catálogo. Lo que exceda de ese anexo se tramita por la vía de los artículos 203 y 204 LCSP, si procede, o se incorpora a la licitación siguiente.</w:t>
      </w:r>
    </w:p>
    <w:p>
      <w:pPr>
        <w:spacing w:after="140" w:line="276"/>
      </w:pPr>
      <w:r>
        <w:rPr>
          <w:rFonts w:ascii="Calibri" w:cs="Calibri" w:eastAsia="Calibri" w:hAnsi="Calibri"/>
          <w:sz w:val="21"/>
          <w:szCs w:val="21"/>
        </w:rPr>
        <w:t xml:space="preserve">Se rechaza expresamente la convivencia de un régimen abierto de anti-obsolescencia con el anexo determinado. Una obligación de contenido indeterminado sigue siendo indeterminada aunque no se le anuden penalidades: el licitador tiene que valorarla económicamente, y un recurso contra el pliego ataca la cláusula, no la penalidad.</w:t>
      </w:r>
    </w:p>
    <w:p>
      <w:pPr>
        <w:pStyle w:val="Heading3"/>
        <w:keepNext/>
        <w:spacing w:after="140" w:before="320"/>
      </w:pPr>
      <w:r>
        <w:rPr>
          <w:rFonts w:ascii="Georgia" w:cs="Georgia" w:eastAsia="Georgia" w:hAnsi="Georgia"/>
          <w:b/>
          <w:bCs/>
          <w:color w:val="2F5496"/>
          <w:sz w:val="22"/>
          <w:szCs w:val="22"/>
        </w:rPr>
        <w:t xml:space="preserve">7.5 Regla de esencialidad tasada</w:t>
      </w:r>
    </w:p>
    <w:p>
      <w:pPr>
        <w:spacing w:after="140" w:line="276"/>
      </w:pPr>
      <w:r>
        <w:rPr>
          <w:rFonts w:ascii="Calibri" w:cs="Calibri" w:eastAsia="Calibri" w:hAnsi="Calibri"/>
          <w:sz w:val="21"/>
          <w:szCs w:val="21"/>
        </w:rPr>
        <w:t xml:space="preserve">Ninguna obligación incorporada en virtud de este catálogo tiene carácter de obligación contractual esencial si no figura en la lista cerrada de ADM-6·v3. El resto de incumplimientos genera, en su caso, penalidad conforme a ADM-5·v3.</w:t>
      </w:r>
    </w:p>
    <w:p>
      <w:pPr>
        <w:spacing w:after="140" w:line="276"/>
      </w:pPr>
      <w:r>
        <w:rPr>
          <w:rFonts w:ascii="Calibri" w:cs="Calibri" w:eastAsia="Calibri" w:hAnsi="Calibri"/>
          <w:sz w:val="21"/>
          <w:szCs w:val="21"/>
        </w:rPr>
        <w:t xml:space="preserve">Precaución de redacción, de aplicación obligatoria: la cláusula de cierre </w:t>
      </w:r>
      <w:r>
        <w:rPr>
          <w:rFonts w:ascii="Calibri" w:cs="Calibri" w:eastAsia="Calibri" w:hAnsi="Calibri"/>
          <w:b/>
          <w:bCs/>
          <w:sz w:val="21"/>
          <w:szCs w:val="21"/>
        </w:rPr>
        <w:t xml:space="preserve">no puede escribirse</w:t>
      </w:r>
      <w:r>
        <w:rPr>
          <w:rFonts w:ascii="Calibri" w:cs="Calibri" w:eastAsia="Calibri" w:hAnsi="Calibri"/>
          <w:sz w:val="21"/>
          <w:szCs w:val="21"/>
        </w:rPr>
        <w:t xml:space="preserve"> como «ninguna otra obligación de este clausulado tiene carácter esencial», porque copiada al PCAP deja de decir «de este clausulado» y arrastra consigo las obligaciones que ese PCAP declara esenciales por otro título —adscripción de medios, condiciones salariales, las que la ley califica como esenciales </w:t>
      </w:r>
      <w:r>
        <w:rPr>
          <w:rFonts w:ascii="Calibri" w:cs="Calibri" w:eastAsia="Calibri" w:hAnsi="Calibri"/>
          <w:i/>
          <w:iCs/>
          <w:sz w:val="21"/>
          <w:szCs w:val="21"/>
        </w:rPr>
        <w:t xml:space="preserve">ex lege</w:t>
      </w:r>
      <w:r>
        <w:rPr>
          <w:rFonts w:ascii="Calibri" w:cs="Calibri" w:eastAsia="Calibri" w:hAnsi="Calibri"/>
          <w:sz w:val="21"/>
          <w:szCs w:val="21"/>
        </w:rPr>
        <w:t xml:space="preserve">—. La redacción correcta es la del §7.10, apartado 4.</w:t>
      </w:r>
    </w:p>
    <w:p>
      <w:pPr>
        <w:spacing w:after="140" w:line="276"/>
      </w:pPr>
      <w:r>
        <w:rPr>
          <w:rFonts w:ascii="Calibri" w:cs="Calibri" w:eastAsia="Calibri" w:hAnsi="Calibri"/>
          <w:sz w:val="21"/>
          <w:szCs w:val="21"/>
        </w:rPr>
        <w:t xml:space="preserve">Precaución sustantiva: el bloque de esencialidades </w:t>
      </w:r>
      <w:r>
        <w:rPr>
          <w:rFonts w:ascii="Calibri" w:cs="Calibri" w:eastAsia="Calibri" w:hAnsi="Calibri"/>
          <w:i/>
          <w:iCs/>
          <w:sz w:val="21"/>
          <w:szCs w:val="21"/>
        </w:rPr>
        <w:t xml:space="preserve">ex lege</w:t>
      </w:r>
      <w:r>
        <w:rPr>
          <w:rFonts w:ascii="Calibri" w:cs="Calibri" w:eastAsia="Calibri" w:hAnsi="Calibri"/>
          <w:sz w:val="21"/>
          <w:szCs w:val="21"/>
        </w:rPr>
        <w:t xml:space="preserve"> </w:t>
      </w:r>
      <w:r>
        <w:rPr>
          <w:rFonts w:ascii="Calibri" w:cs="Calibri" w:eastAsia="Calibri" w:hAnsi="Calibri"/>
          <w:b/>
          <w:bCs/>
          <w:sz w:val="21"/>
          <w:szCs w:val="21"/>
        </w:rPr>
        <w:t xml:space="preserve">está condicionado a su presupuesto de hecho</w:t>
      </w:r>
      <w:r>
        <w:rPr>
          <w:rFonts w:ascii="Calibri" w:cs="Calibri" w:eastAsia="Calibri" w:hAnsi="Calibri"/>
          <w:sz w:val="21"/>
          <w:szCs w:val="21"/>
        </w:rPr>
        <w:t xml:space="preserve">. El artículo 202.1, párrafo tercero, sólo opera en los contratos cuya ejecución implique la cesión de datos por las entidades del sector público al contratista; el artículo 122.2, sólo en aquellos cuya ejecución requiera el tratamiento por el contratista de datos personales por cuenta del responsable. En un contrato sin encargo de tratamiento, ese bloque no existe, y declararlo esencial es precisamente lo que el artículo 211.1.f).2.º prohíbe.</w:t>
      </w:r>
    </w:p>
    <w:p>
      <w:pPr>
        <w:pStyle w:val="Heading3"/>
        <w:keepNext/>
        <w:spacing w:after="140" w:before="320"/>
      </w:pPr>
      <w:r>
        <w:rPr>
          <w:rFonts w:ascii="Georgia" w:cs="Georgia" w:eastAsia="Georgia" w:hAnsi="Georgia"/>
          <w:b/>
          <w:bCs/>
          <w:color w:val="2F5496"/>
          <w:sz w:val="22"/>
          <w:szCs w:val="22"/>
        </w:rPr>
        <w:t xml:space="preserve">7.6 Regla de motivación e integridad de las remisiones</w:t>
      </w:r>
    </w:p>
    <w:p>
      <w:pPr>
        <w:pStyle w:val="ListParagraph"/>
        <w:numPr>
          <w:ilvl w:val="0"/>
          <w:numId w:val="2"/>
        </w:numPr>
        <w:spacing w:after="70" w:line="268"/>
      </w:pPr>
      <w:r>
        <w:rPr>
          <w:rFonts w:ascii="Calibri" w:cs="Calibri" w:eastAsia="Calibri" w:hAnsi="Calibri"/>
          <w:sz w:val="21"/>
          <w:szCs w:val="21"/>
        </w:rPr>
        <w:t xml:space="preserve">Ninguna cláusula y ningún criterio se incorporan sin su ficha (Anexos II, III y IV). Es la regla de cierre del §1.3, con la doble vía de firma del §3.7.</w:t>
      </w:r>
    </w:p>
    <w:p>
      <w:pPr>
        <w:pStyle w:val="ListParagraph"/>
        <w:numPr>
          <w:ilvl w:val="0"/>
          <w:numId w:val="2"/>
        </w:numPr>
        <w:spacing w:after="70" w:line="268"/>
      </w:pPr>
      <w:r>
        <w:rPr>
          <w:rFonts w:ascii="Calibri" w:cs="Calibri" w:eastAsia="Calibri" w:hAnsi="Calibri"/>
          <w:sz w:val="21"/>
          <w:szCs w:val="21"/>
        </w:rPr>
        <w:t xml:space="preserve">La ficha no sustituye a la memoria justificativa del expediente (§3.8).</w:t>
      </w:r>
    </w:p>
    <w:p>
      <w:pPr>
        <w:pStyle w:val="ListParagraph"/>
        <w:numPr>
          <w:ilvl w:val="0"/>
          <w:numId w:val="2"/>
        </w:numPr>
        <w:spacing w:after="70" w:line="268"/>
      </w:pPr>
      <w:r>
        <w:rPr>
          <w:rFonts w:ascii="Calibri" w:cs="Calibri" w:eastAsia="Calibri" w:hAnsi="Calibri"/>
          <w:b/>
          <w:bCs/>
          <w:sz w:val="21"/>
          <w:szCs w:val="21"/>
        </w:rPr>
        <w:t xml:space="preserve">Depuración de menciones.</w:t>
      </w:r>
      <w:r>
        <w:rPr>
          <w:rFonts w:ascii="Calibri" w:cs="Calibri" w:eastAsia="Calibri" w:hAnsi="Calibri"/>
          <w:sz w:val="21"/>
          <w:szCs w:val="21"/>
        </w:rPr>
        <w:t xml:space="preserve"> Cuando una cláusula se marque NO APLICA, el redactor eliminará del pliego </w:t>
      </w:r>
      <w:r>
        <w:rPr>
          <w:rFonts w:ascii="Calibri" w:cs="Calibri" w:eastAsia="Calibri" w:hAnsi="Calibri"/>
          <w:b/>
          <w:bCs/>
          <w:sz w:val="21"/>
          <w:szCs w:val="21"/>
        </w:rPr>
        <w:t xml:space="preserve">todas sus menciones</w:t>
      </w:r>
      <w:r>
        <w:rPr>
          <w:rFonts w:ascii="Calibri" w:cs="Calibri" w:eastAsia="Calibri" w:hAnsi="Calibri"/>
          <w:sz w:val="21"/>
          <w:szCs w:val="21"/>
        </w:rPr>
        <w:t xml:space="preserve">, en particular las del cuadro de penalidades, la lista de obligaciones esenciales, los criterios de adjudicación, la declaración responsable y los anexos. La tabla de dependencias del Anexo VI, que es la única fuente, indica para cada cláusula qué menciones arrastra. Un pliego que penalice el incumplimiento de una cláusula que no se ha incorporado es un pliego contradictorio, y la contradicción se resuelve siempre contra el órgano de contratación.</w:t>
      </w:r>
    </w:p>
    <w:p>
      <w:pPr>
        <w:pStyle w:val="Heading3"/>
        <w:keepNext/>
        <w:spacing w:after="140" w:before="320"/>
      </w:pPr>
      <w:r>
        <w:rPr>
          <w:rFonts w:ascii="Georgia" w:cs="Georgia" w:eastAsia="Georgia" w:hAnsi="Georgia"/>
          <w:b/>
          <w:bCs/>
          <w:color w:val="2F5496"/>
          <w:sz w:val="22"/>
          <w:szCs w:val="22"/>
        </w:rPr>
        <w:t xml:space="preserve">7.7 Regla de equivalencia</w:t>
      </w:r>
    </w:p>
    <w:p>
      <w:pPr>
        <w:spacing w:after="140" w:line="276"/>
      </w:pPr>
      <w:r>
        <w:rPr>
          <w:rFonts w:ascii="Calibri" w:cs="Calibri" w:eastAsia="Calibri" w:hAnsi="Calibri"/>
          <w:sz w:val="21"/>
          <w:szCs w:val="21"/>
        </w:rPr>
        <w:t xml:space="preserve">Toda referencia a producto, marca, red, infraestructura, protocolo o metodología determinados va acompañada de «o equivalente» y del trámite de acreditación de DT-0·v3, </w:t>
      </w:r>
      <w:r>
        <w:rPr>
          <w:rFonts w:ascii="Calibri" w:cs="Calibri" w:eastAsia="Calibri" w:hAnsi="Calibri"/>
          <w:b/>
          <w:bCs/>
          <w:sz w:val="21"/>
          <w:szCs w:val="21"/>
        </w:rPr>
        <w:t xml:space="preserve">con dos excepciones tasadas</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b/>
          <w:bCs/>
          <w:sz w:val="21"/>
          <w:szCs w:val="21"/>
        </w:rPr>
        <w:t xml:space="preserve">Los servicios comunes de obligada utilización</w:t>
      </w:r>
      <w:r>
        <w:rPr>
          <w:rFonts w:ascii="Calibri" w:cs="Calibri" w:eastAsia="Calibri" w:hAnsi="Calibri"/>
          <w:sz w:val="21"/>
          <w:szCs w:val="21"/>
        </w:rPr>
        <w:t xml:space="preserve"> —los que el Esquema Nacional de Interoperabilidad y la Ley 39/2015 imponen— no admiten equivalente. Añadirles «o servicios equivalentes» debilita la exigencia y permite al adjudicatario ofrecer un sustitutivo propio. La excepción está en DT-0·v3, apartado 7, y </w:t>
      </w:r>
      <w:r>
        <w:rPr>
          <w:rFonts w:ascii="Calibri" w:cs="Calibri" w:eastAsia="Calibri" w:hAnsi="Calibri"/>
          <w:b/>
          <w:bCs/>
          <w:sz w:val="21"/>
          <w:szCs w:val="21"/>
        </w:rPr>
        <w:t xml:space="preserve">la relación cerrada figura en la cláusula DT-5·v3, apartado 2</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b/>
          <w:bCs/>
          <w:sz w:val="21"/>
          <w:szCs w:val="21"/>
        </w:rPr>
        <w:t xml:space="preserve">Las normas y reglamentos técnicos nacionales de obligado cumplimiento</w:t>
      </w:r>
      <w:r>
        <w:rPr>
          <w:rFonts w:ascii="Calibri" w:cs="Calibri" w:eastAsia="Calibri" w:hAnsi="Calibri"/>
          <w:sz w:val="21"/>
          <w:szCs w:val="21"/>
        </w:rPr>
        <w:t xml:space="preserve">, que se aplican por su propia fuerza.</w:t>
      </w:r>
    </w:p>
    <w:p>
      <w:pPr>
        <w:pStyle w:val="Heading3"/>
        <w:keepNext/>
        <w:spacing w:after="140" w:before="320"/>
      </w:pPr>
      <w:r>
        <w:rPr>
          <w:rFonts w:ascii="Georgia" w:cs="Georgia" w:eastAsia="Georgia" w:hAnsi="Georgia"/>
          <w:b/>
          <w:bCs/>
          <w:color w:val="2F5496"/>
          <w:sz w:val="22"/>
          <w:szCs w:val="22"/>
        </w:rPr>
        <w:t xml:space="preserve">7.8 Regla de separabilidad</w:t>
      </w:r>
    </w:p>
    <w:p>
      <w:pPr>
        <w:spacing w:after="140" w:line="276"/>
      </w:pPr>
      <w:r>
        <w:rPr>
          <w:rFonts w:ascii="Calibri" w:cs="Calibri" w:eastAsia="Calibri" w:hAnsi="Calibri"/>
          <w:sz w:val="21"/>
          <w:szCs w:val="21"/>
        </w:rPr>
        <w:t xml:space="preserve">Se separa en dos regímenes, porque la operación no es la misma sobre una obligación que sobre un criterio de adjudicación.</w:t>
      </w:r>
    </w:p>
    <w:p>
      <w:pPr>
        <w:spacing w:after="140" w:line="276"/>
      </w:pPr>
      <w:r>
        <w:rPr>
          <w:rFonts w:ascii="Calibri" w:cs="Calibri" w:eastAsia="Calibri" w:hAnsi="Calibri"/>
          <w:b/>
          <w:bCs/>
          <w:sz w:val="21"/>
          <w:szCs w:val="21"/>
        </w:rPr>
        <w:t xml:space="preserve">a) Cláusulas y obligaciones: separabilidad sí.</w:t>
      </w:r>
      <w:r>
        <w:rPr>
          <w:rFonts w:ascii="Calibri" w:cs="Calibri" w:eastAsia="Calibri" w:hAnsi="Calibri"/>
          <w:sz w:val="21"/>
          <w:szCs w:val="21"/>
        </w:rPr>
        <w:t xml:space="preserve"> La nulidad o anulación de una cláusula o de una obligación incorporada en virtud de este catálogo no afectará a la validez de las restantes, que conservarán íntegramente su eficacia, salvo que la cláusula anulada constituya presupuesto necesario de otra, en cuyo caso decaerá también ésta. La tabla de dependencias del Anexo VI identifica esos casos.</w:t>
      </w:r>
    </w:p>
    <w:p>
      <w:pPr>
        <w:spacing w:after="140" w:line="276"/>
      </w:pPr>
      <w:r>
        <w:rPr>
          <w:rFonts w:ascii="Calibri" w:cs="Calibri" w:eastAsia="Calibri" w:hAnsi="Calibri"/>
          <w:b/>
          <w:bCs/>
          <w:sz w:val="21"/>
          <w:szCs w:val="21"/>
        </w:rPr>
        <w:t xml:space="preserve">b) Criterios de adjudicación: no hay reescalado automático.</w:t>
      </w:r>
      <w:r>
        <w:rPr>
          <w:rFonts w:ascii="Calibri" w:cs="Calibri" w:eastAsia="Calibri" w:hAnsi="Calibri"/>
          <w:sz w:val="21"/>
          <w:szCs w:val="21"/>
        </w:rPr>
        <w:t xml:space="preserve"> Está </w:t>
      </w:r>
      <w:r>
        <w:rPr>
          <w:rFonts w:ascii="Calibri" w:cs="Calibri" w:eastAsia="Calibri" w:hAnsi="Calibri"/>
          <w:b/>
          <w:bCs/>
          <w:sz w:val="21"/>
          <w:szCs w:val="21"/>
        </w:rPr>
        <w:t xml:space="preserve">prohibido</w:t>
      </w:r>
      <w:r>
        <w:rPr>
          <w:rFonts w:ascii="Calibri" w:cs="Calibri" w:eastAsia="Calibri" w:hAnsi="Calibri"/>
          <w:sz w:val="21"/>
          <w:szCs w:val="21"/>
        </w:rPr>
        <w:t xml:space="preserve"> incluir en el PCAP una cláusula que reescale proporcionalmente las ponderaciones publicadas en caso de anulación de un criterio. El artículo 146 LCSP obliga a precisar en el pliego la ponderación relativa atribuida a cada criterio; valorar las ofertas con ponderaciones distintas de las publicadas altera las reglas conocidas por los licitadores al ofertar y, además, sugiere que los pesos publicados no respondían a ninguna justificación material. Regla:</w:t>
      </w:r>
    </w:p>
    <w:p>
      <w:pPr>
        <w:pStyle w:val="ListParagraph"/>
        <w:numPr>
          <w:ilvl w:val="0"/>
          <w:numId w:val="2"/>
        </w:numPr>
        <w:spacing w:after="70" w:line="268"/>
      </w:pPr>
      <w:r>
        <w:rPr>
          <w:rFonts w:ascii="Calibri" w:cs="Calibri" w:eastAsia="Calibri" w:hAnsi="Calibri"/>
          <w:sz w:val="21"/>
          <w:szCs w:val="21"/>
        </w:rPr>
        <w:t xml:space="preserve">Cada criterio se motiva individualmente en su ficha del Anexo IV (Ficha por criterio y hoja de comprobación del baremo), de modo que su eventual caída no contamine la motivación de los demás.</w:t>
      </w:r>
    </w:p>
    <w:p>
      <w:pPr>
        <w:pStyle w:val="ListParagraph"/>
        <w:numPr>
          <w:ilvl w:val="0"/>
          <w:numId w:val="2"/>
        </w:numPr>
        <w:spacing w:after="70" w:line="268"/>
      </w:pPr>
      <w:r>
        <w:rPr>
          <w:rFonts w:ascii="Calibri" w:cs="Calibri" w:eastAsia="Calibri" w:hAnsi="Calibri"/>
          <w:sz w:val="21"/>
          <w:szCs w:val="21"/>
        </w:rPr>
        <w:t xml:space="preserve">Si un criterio es anulado, la consecuencia la determina el órgano que lo anule; el pliego no la anticipa.</w:t>
      </w:r>
    </w:p>
    <w:p>
      <w:pPr>
        <w:pStyle w:val="ListParagraph"/>
        <w:numPr>
          <w:ilvl w:val="0"/>
          <w:numId w:val="2"/>
        </w:numPr>
        <w:spacing w:after="70" w:line="268"/>
      </w:pPr>
      <w:r>
        <w:rPr>
          <w:rFonts w:ascii="Calibri" w:cs="Calibri" w:eastAsia="Calibri" w:hAnsi="Calibri"/>
          <w:sz w:val="21"/>
          <w:szCs w:val="21"/>
        </w:rPr>
        <w:t xml:space="preserve">Si el órgano de contratación quisiera, pese a todo, incorporar alguna previsión sobre los efectos de la anulación de un criterio, </w:t>
      </w:r>
      <w:r>
        <w:rPr>
          <w:rFonts w:ascii="Calibri" w:cs="Calibri" w:eastAsia="Calibri" w:hAnsi="Calibri"/>
          <w:b/>
          <w:bCs/>
          <w:sz w:val="21"/>
          <w:szCs w:val="21"/>
        </w:rPr>
        <w:t xml:space="preserve">requiere informe previo, expreso y favorable del órgano al que corresponda el informe jurídico preceptivo</w:t>
      </w:r>
      <w:r>
        <w:rPr>
          <w:rFonts w:ascii="Calibri" w:cs="Calibri" w:eastAsia="Calibri" w:hAnsi="Calibri"/>
          <w:sz w:val="21"/>
          <w:szCs w:val="21"/>
        </w:rPr>
        <w:t xml:space="preserve"> (Asesoría Jurídica en municipios de gran población; Secretaría en el régimen común), emitido </w:t>
      </w:r>
      <w:r>
        <w:rPr>
          <w:rFonts w:ascii="Calibri" w:cs="Calibri" w:eastAsia="Calibri" w:hAnsi="Calibri"/>
          <w:b/>
          <w:bCs/>
          <w:sz w:val="21"/>
          <w:szCs w:val="21"/>
        </w:rPr>
        <w:t xml:space="preserve">antes de publicar</w:t>
      </w:r>
      <w:r>
        <w:rPr>
          <w:rFonts w:ascii="Calibri" w:cs="Calibri" w:eastAsia="Calibri" w:hAnsi="Calibri"/>
          <w:sz w:val="21"/>
          <w:szCs w:val="21"/>
        </w:rPr>
        <w:t xml:space="preserve"> el pliego.</w:t>
      </w:r>
    </w:p>
    <w:p>
      <w:pPr>
        <w:pStyle w:val="Heading3"/>
        <w:keepNext/>
        <w:spacing w:after="140" w:before="320"/>
      </w:pPr>
      <w:r>
        <w:rPr>
          <w:rFonts w:ascii="Georgia" w:cs="Georgia" w:eastAsia="Georgia" w:hAnsi="Georgia"/>
          <w:b/>
          <w:bCs/>
          <w:color w:val="2F5496"/>
          <w:sz w:val="22"/>
          <w:szCs w:val="22"/>
        </w:rPr>
        <w:t xml:space="preserve">7.9 Regla de verificabilidad municipal *(nueva)*</w:t>
      </w:r>
    </w:p>
    <w:p>
      <w:pPr>
        <w:pBdr>
          <w:left w:val="single" w:color="BFBFBF" w:sz="12" w:space="8"/>
        </w:pBdr>
        <w:spacing w:after="140" w:line="264"/>
        <w:ind w:left="400"/>
      </w:pPr>
      <w:r>
        <w:rPr>
          <w:rFonts w:ascii="Georgia" w:cs="Georgia" w:eastAsia="Georgia" w:hAnsi="Georgia"/>
          <w:b/>
          <w:bCs/>
          <w:i/>
          <w:iCs/>
          <w:color w:val="595959"/>
          <w:sz w:val="20"/>
          <w:szCs w:val="20"/>
        </w:rPr>
        <w:t xml:space="preserve">No se incorpora a un pliego ninguna cláusula cuya verificación no tenga actor municipal designado por su puesto, periodicidad determinada y carga anual estimada.</w:t>
      </w:r>
    </w:p>
    <w:p>
      <w:pPr>
        <w:spacing w:after="140" w:line="276"/>
      </w:pPr>
      <w:r>
        <w:rPr>
          <w:rFonts w:ascii="Calibri" w:cs="Calibri" w:eastAsia="Calibri" w:hAnsi="Calibri"/>
          <w:sz w:val="21"/>
          <w:szCs w:val="21"/>
        </w:rPr>
        <w:t xml:space="preserve">Desarrollo:</w:t>
      </w:r>
    </w:p>
    <w:p>
      <w:pPr>
        <w:pStyle w:val="ListParagraph"/>
        <w:numPr>
          <w:ilvl w:val="0"/>
          <w:numId w:val="2"/>
        </w:numPr>
        <w:spacing w:after="70" w:line="268"/>
      </w:pPr>
      <w:r>
        <w:rPr>
          <w:rFonts w:ascii="Calibri" w:cs="Calibri" w:eastAsia="Calibri" w:hAnsi="Calibri"/>
          <w:sz w:val="21"/>
          <w:szCs w:val="21"/>
        </w:rPr>
        <w:t xml:space="preserve">La ficha del Anexo II incluye, para cada cláusula marcada, </w:t>
      </w:r>
      <w:r>
        <w:rPr>
          <w:rFonts w:ascii="Calibri" w:cs="Calibri" w:eastAsia="Calibri" w:hAnsi="Calibri"/>
          <w:b/>
          <w:bCs/>
          <w:sz w:val="21"/>
          <w:szCs w:val="21"/>
        </w:rPr>
        <w:t xml:space="preserve">seis casillas obligatorias</w:t>
      </w:r>
      <w:r>
        <w:rPr>
          <w:rFonts w:ascii="Calibri" w:cs="Calibri" w:eastAsia="Calibri" w:hAnsi="Calibri"/>
          <w:sz w:val="21"/>
          <w:szCs w:val="21"/>
        </w:rPr>
        <w:t xml:space="preserve">: (a) </w:t>
      </w:r>
      <w:r>
        <w:rPr>
          <w:rFonts w:ascii="Calibri" w:cs="Calibri" w:eastAsia="Calibri" w:hAnsi="Calibri"/>
          <w:b/>
          <w:bCs/>
          <w:sz w:val="21"/>
          <w:szCs w:val="21"/>
        </w:rPr>
        <w:t xml:space="preserve">necesidad</w:t>
      </w:r>
      <w:r>
        <w:rPr>
          <w:rFonts w:ascii="Calibri" w:cs="Calibri" w:eastAsia="Calibri" w:hAnsi="Calibri"/>
          <w:sz w:val="21"/>
          <w:szCs w:val="21"/>
        </w:rPr>
        <w:t xml:space="preserve">; (b) </w:t>
      </w:r>
      <w:r>
        <w:rPr>
          <w:rFonts w:ascii="Calibri" w:cs="Calibri" w:eastAsia="Calibri" w:hAnsi="Calibri"/>
          <w:b/>
          <w:bCs/>
          <w:sz w:val="21"/>
          <w:szCs w:val="21"/>
        </w:rPr>
        <w:t xml:space="preserve">norma o acuerdo</w:t>
      </w:r>
      <w:r>
        <w:rPr>
          <w:rFonts w:ascii="Calibri" w:cs="Calibri" w:eastAsia="Calibri" w:hAnsi="Calibri"/>
          <w:sz w:val="21"/>
          <w:szCs w:val="21"/>
        </w:rPr>
        <w:t xml:space="preserve"> que la origina; (c) </w:t>
      </w:r>
      <w:r>
        <w:rPr>
          <w:rFonts w:ascii="Calibri" w:cs="Calibri" w:eastAsia="Calibri" w:hAnsi="Calibri"/>
          <w:b/>
          <w:bCs/>
          <w:sz w:val="21"/>
          <w:szCs w:val="21"/>
        </w:rPr>
        <w:t xml:space="preserve">proporcionalidad</w:t>
      </w:r>
      <w:r>
        <w:rPr>
          <w:rFonts w:ascii="Calibri" w:cs="Calibri" w:eastAsia="Calibri" w:hAnsi="Calibri"/>
          <w:sz w:val="21"/>
          <w:szCs w:val="21"/>
        </w:rPr>
        <w:t xml:space="preserve"> respecto de este contrato; (d) </w:t>
      </w:r>
      <w:r>
        <w:rPr>
          <w:rFonts w:ascii="Calibri" w:cs="Calibri" w:eastAsia="Calibri" w:hAnsi="Calibri"/>
          <w:b/>
          <w:bCs/>
          <w:sz w:val="21"/>
          <w:szCs w:val="21"/>
        </w:rPr>
        <w:t xml:space="preserve">quién verifica</w:t>
      </w:r>
      <w:r>
        <w:rPr>
          <w:rFonts w:ascii="Calibri" w:cs="Calibri" w:eastAsia="Calibri" w:hAnsi="Calibri"/>
          <w:sz w:val="21"/>
          <w:szCs w:val="21"/>
        </w:rPr>
        <w:t xml:space="preserve"> (puesto, no persona); (e) </w:t>
      </w:r>
      <w:r>
        <w:rPr>
          <w:rFonts w:ascii="Calibri" w:cs="Calibri" w:eastAsia="Calibri" w:hAnsi="Calibri"/>
          <w:b/>
          <w:bCs/>
          <w:sz w:val="21"/>
          <w:szCs w:val="21"/>
        </w:rPr>
        <w:t xml:space="preserve">cuándo</w:t>
      </w:r>
      <w:r>
        <w:rPr>
          <w:rFonts w:ascii="Calibri" w:cs="Calibri" w:eastAsia="Calibri" w:hAnsi="Calibri"/>
          <w:sz w:val="21"/>
          <w:szCs w:val="21"/>
        </w:rPr>
        <w:t xml:space="preserve"> (periodicidad o hito); y (f) </w:t>
      </w:r>
      <w:r>
        <w:rPr>
          <w:rFonts w:ascii="Calibri" w:cs="Calibri" w:eastAsia="Calibri" w:hAnsi="Calibri"/>
          <w:b/>
          <w:bCs/>
          <w:sz w:val="21"/>
          <w:szCs w:val="21"/>
        </w:rPr>
        <w:t xml:space="preserve">con qué documento</w:t>
      </w:r>
      <w:r>
        <w:rPr>
          <w:rFonts w:ascii="Calibri" w:cs="Calibri" w:eastAsia="Calibri" w:hAnsi="Calibri"/>
          <w:sz w:val="21"/>
          <w:szCs w:val="21"/>
        </w:rPr>
        <w:t xml:space="preserve"> (acta, informe, certificado). Marcar una cláusula sin rellenar las seis es error que anula la ficha (V.4.4).</w:t>
      </w:r>
    </w:p>
    <w:p>
      <w:pPr>
        <w:pStyle w:val="ListParagraph"/>
        <w:numPr>
          <w:ilvl w:val="0"/>
          <w:numId w:val="2"/>
        </w:numPr>
        <w:spacing w:after="70" w:line="268"/>
      </w:pPr>
      <w:r>
        <w:rPr>
          <w:rFonts w:ascii="Calibri" w:cs="Calibri" w:eastAsia="Calibri" w:hAnsi="Calibri"/>
          <w:sz w:val="21"/>
          <w:szCs w:val="21"/>
        </w:rPr>
        <w:t xml:space="preserve">Se acompaña la </w:t>
      </w:r>
      <w:r>
        <w:rPr>
          <w:rFonts w:ascii="Calibri" w:cs="Calibri" w:eastAsia="Calibri" w:hAnsi="Calibri"/>
          <w:b/>
          <w:bCs/>
          <w:sz w:val="21"/>
          <w:szCs w:val="21"/>
        </w:rPr>
        <w:t xml:space="preserve">estimación de carga anual</w:t>
      </w:r>
      <w:r>
        <w:rPr>
          <w:rFonts w:ascii="Calibri" w:cs="Calibri" w:eastAsia="Calibri" w:hAnsi="Calibri"/>
          <w:sz w:val="21"/>
          <w:szCs w:val="21"/>
        </w:rPr>
        <w:t xml:space="preserve"> de verificación del contrato, en horas por año y por puesto. Valor de referencia recomendado: si la suma supera </w:t>
      </w:r>
      <w:r>
        <w:rPr>
          <w:rFonts w:ascii="Calibri" w:cs="Calibri" w:eastAsia="Calibri" w:hAnsi="Calibri"/>
          <w:b/>
          <w:bCs/>
          <w:sz w:val="21"/>
          <w:szCs w:val="21"/>
        </w:rPr>
        <w:t xml:space="preserve">[X; se recomienda 20] horas/año</w:t>
      </w:r>
      <w:r>
        <w:rPr>
          <w:rFonts w:ascii="Calibri" w:cs="Calibri" w:eastAsia="Calibri" w:hAnsi="Calibri"/>
          <w:sz w:val="21"/>
          <w:szCs w:val="21"/>
        </w:rPr>
        <w:t xml:space="preserve"> por contrato, se reduce el número de cláusulas incorporadas o se agrupa la verificación en la comisión de seguimiento; si supera </w:t>
      </w:r>
      <w:r>
        <w:rPr>
          <w:rFonts w:ascii="Calibri" w:cs="Calibri" w:eastAsia="Calibri" w:hAnsi="Calibri"/>
          <w:b/>
          <w:bCs/>
          <w:sz w:val="21"/>
          <w:szCs w:val="21"/>
        </w:rPr>
        <w:t xml:space="preserve">[Y; se recomienda 40] horas/año</w:t>
      </w:r>
      <w:r>
        <w:rPr>
          <w:rFonts w:ascii="Calibri" w:cs="Calibri" w:eastAsia="Calibri" w:hAnsi="Calibri"/>
          <w:sz w:val="21"/>
          <w:szCs w:val="21"/>
        </w:rPr>
        <w:t xml:space="preserve">, la incorporación requiere conformidad expresa del servicio que ha de verificar. Esa conformidad es un documento propio del expediente, firmado por el jefe del servicio verificador, y como tal figura en el circuito del apartado V.2.1 y en la lista de comprobación del apartado V.10.</w:t>
      </w:r>
    </w:p>
    <w:p>
      <w:pPr>
        <w:pStyle w:val="ListParagraph"/>
        <w:numPr>
          <w:ilvl w:val="0"/>
          <w:numId w:val="2"/>
        </w:numPr>
        <w:spacing w:after="70" w:line="268"/>
      </w:pPr>
      <w:r>
        <w:rPr>
          <w:rFonts w:ascii="Calibri" w:cs="Calibri" w:eastAsia="Calibri" w:hAnsi="Calibri"/>
          <w:sz w:val="21"/>
          <w:szCs w:val="21"/>
        </w:rPr>
        <w:t xml:space="preserve">Ninguna cláusula puede declararse obligación esencial si su verificación no está asignada. </w:t>
      </w:r>
      <w:r>
        <w:rPr>
          <w:rFonts w:ascii="Calibri" w:cs="Calibri" w:eastAsia="Calibri" w:hAnsi="Calibri"/>
          <w:b/>
          <w:bCs/>
          <w:sz w:val="21"/>
          <w:szCs w:val="21"/>
        </w:rPr>
        <w:t xml:space="preserve">Crear obligaciones esenciales que nadie verifica es peor que no crearlas</w:t>
      </w:r>
      <w:r>
        <w:rPr>
          <w:rFonts w:ascii="Calibri" w:cs="Calibri" w:eastAsia="Calibri" w:hAnsi="Calibri"/>
          <w:sz w:val="21"/>
          <w:szCs w:val="21"/>
        </w:rPr>
        <w:t xml:space="preserve">: produce un incumplimiento consentido que después no se puede invocar, y es un reparo previsible en fiscalización.</w:t>
      </w:r>
    </w:p>
    <w:p>
      <w:pPr>
        <w:pStyle w:val="ListParagraph"/>
        <w:numPr>
          <w:ilvl w:val="0"/>
          <w:numId w:val="2"/>
        </w:numPr>
        <w:spacing w:after="70" w:line="268"/>
      </w:pPr>
      <w:r>
        <w:rPr>
          <w:rFonts w:ascii="Calibri" w:cs="Calibri" w:eastAsia="Calibri" w:hAnsi="Calibri"/>
          <w:sz w:val="21"/>
          <w:szCs w:val="21"/>
        </w:rPr>
        <w:t xml:space="preserve">El resultado de cada verificación se documenta. Un contrato en el que la única verificación practicada sea la del gasto no acredita el cumplimiento de ninguna de estas cláusulas.</w:t>
      </w:r>
    </w:p>
    <w:p>
      <w:pPr>
        <w:pStyle w:val="Heading3"/>
        <w:keepNext/>
        <w:spacing w:after="140" w:before="320"/>
      </w:pPr>
      <w:r>
        <w:rPr>
          <w:rFonts w:ascii="Georgia" w:cs="Georgia" w:eastAsia="Georgia" w:hAnsi="Georgia"/>
          <w:b/>
          <w:bCs/>
          <w:color w:val="2F5496"/>
          <w:sz w:val="22"/>
          <w:szCs w:val="22"/>
        </w:rPr>
        <w:t xml:space="preserve">7.10 Regla de transcripción obligatoria al pliego *(nueva)*</w:t>
      </w:r>
    </w:p>
    <w:p>
      <w:pPr>
        <w:spacing w:after="140" w:line="276"/>
      </w:pPr>
      <w:r>
        <w:rPr>
          <w:rFonts w:ascii="Calibri" w:cs="Calibri" w:eastAsia="Calibri" w:hAnsi="Calibri"/>
          <w:sz w:val="21"/>
          <w:szCs w:val="21"/>
        </w:rPr>
        <w:t xml:space="preserve">Las reglas de esta Parte I no producen efectos frente al contratista si no están en el pliego: el pliego es el que define los derechos y obligaciones de las partes. Sin esta regla, el pliego recibiría las cargas del catálogo y no sus límites.</w:t>
      </w:r>
    </w:p>
    <w:p>
      <w:pPr>
        <w:spacing w:after="140" w:line="276"/>
      </w:pPr>
      <w:r>
        <w:rPr>
          <w:rFonts w:ascii="Calibri" w:cs="Calibri" w:eastAsia="Calibri" w:hAnsi="Calibri"/>
          <w:b/>
          <w:bCs/>
          <w:sz w:val="21"/>
          <w:szCs w:val="21"/>
        </w:rPr>
        <w:t xml:space="preserve">Se transcriben obligatoriamente al PCAP</w:t>
      </w:r>
      <w:r>
        <w:rPr>
          <w:rFonts w:ascii="Calibri" w:cs="Calibri" w:eastAsia="Calibri" w:hAnsi="Calibri"/>
          <w:sz w:val="21"/>
          <w:szCs w:val="21"/>
        </w:rPr>
        <w:t xml:space="preserve">, siempre que se incorpore cualquier cláusula de este catálogo: la identificación de la versión del catálogo, la prevalencia funcional y la equivalencia (§7.2 y §7.7), el agotamiento (§7.4), la esencialidad tasada (§7.5), la separación de instrumentos en su efecto sobre la valoración (§7.3), la separabilidad de cláusulas y obligaciones (§7.8.a) y el valor interpretativo de los principios (§6).</w:t>
      </w:r>
    </w:p>
    <w:p>
      <w:pPr>
        <w:spacing w:after="140" w:line="276"/>
      </w:pPr>
      <w:r>
        <w:rPr>
          <w:rFonts w:ascii="Calibri" w:cs="Calibri" w:eastAsia="Calibri" w:hAnsi="Calibri"/>
          <w:b/>
          <w:bCs/>
          <w:sz w:val="21"/>
          <w:szCs w:val="21"/>
        </w:rPr>
        <w:t xml:space="preserve">Se transcribe obligatoriamente al PPT</w:t>
      </w:r>
      <w:r>
        <w:rPr>
          <w:rFonts w:ascii="Calibri" w:cs="Calibri" w:eastAsia="Calibri" w:hAnsi="Calibri"/>
          <w:sz w:val="21"/>
          <w:szCs w:val="21"/>
        </w:rPr>
        <w:t xml:space="preserve">: el bloque de referencias técnicas no normativas del §4.2; las definiciones del §5.2 que resulten aplicables a las cláusulas incorporadas; y el </w:t>
      </w:r>
      <w:r>
        <w:rPr>
          <w:rFonts w:ascii="Calibri" w:cs="Calibri" w:eastAsia="Calibri" w:hAnsi="Calibri"/>
          <w:b/>
          <w:bCs/>
          <w:sz w:val="21"/>
          <w:szCs w:val="21"/>
        </w:rPr>
        <w:t xml:space="preserve">extracto de vigencia normativa del Anexo XIX</w:t>
      </w:r>
      <w:r>
        <w:rPr>
          <w:rFonts w:ascii="Calibri" w:cs="Calibri" w:eastAsia="Calibri" w:hAnsi="Calibri"/>
          <w:sz w:val="21"/>
          <w:szCs w:val="21"/>
        </w:rPr>
        <w:t xml:space="preserve"> que afecte a esas cláusulas, con su fecha de corte. Este último es el «anexo de vigencia normativa de este pliego» al que remite DT-1·v3: sin transcribirlo, esas remisiones apuntan a un documento que el pliego no contiene.</w:t>
      </w:r>
    </w:p>
    <w:p>
      <w:pPr>
        <w:spacing w:after="140" w:line="276"/>
      </w:pPr>
      <w:r>
        <w:rPr>
          <w:rFonts w:ascii="Calibri" w:cs="Calibri" w:eastAsia="Calibri" w:hAnsi="Calibri"/>
          <w:b/>
          <w:bCs/>
          <w:sz w:val="21"/>
          <w:szCs w:val="21"/>
        </w:rPr>
        <w:t xml:space="preserve">Composición de los apéndices técnicos del PPT.</w:t>
      </w:r>
      <w:r>
        <w:rPr>
          <w:rFonts w:ascii="Calibri" w:cs="Calibri" w:eastAsia="Calibri" w:hAnsi="Calibri"/>
          <w:sz w:val="21"/>
          <w:szCs w:val="21"/>
        </w:rPr>
        <w:t xml:space="preserve"> El criterio C1 exige el </w:t>
      </w:r>
      <w:r>
        <w:rPr>
          <w:rFonts w:ascii="Calibri" w:cs="Calibri" w:eastAsia="Calibri" w:hAnsi="Calibri"/>
          <w:b/>
          <w:bCs/>
          <w:sz w:val="21"/>
          <w:szCs w:val="21"/>
        </w:rPr>
        <w:t xml:space="preserve">Apéndice técnico 0 · Matriz de requisitos funcionales</w:t>
      </w:r>
      <w:r>
        <w:rPr>
          <w:rFonts w:ascii="Calibri" w:cs="Calibri" w:eastAsia="Calibri" w:hAnsi="Calibri"/>
          <w:sz w:val="21"/>
          <w:szCs w:val="21"/>
        </w:rPr>
        <w:t xml:space="preserve">; DT-4·v3 exige un apéndice propio del PPT; y DT-7·v3 y DT-9·v3 comparten uno solo, porque ambas versan sobre la misma interfaz. Su número, su rótulo y su orden se rigen por el </w:t>
      </w:r>
      <w:r>
        <w:rPr>
          <w:rFonts w:ascii="Calibri" w:cs="Calibri" w:eastAsia="Calibri" w:hAnsi="Calibri"/>
          <w:b/>
          <w:bCs/>
          <w:sz w:val="21"/>
          <w:szCs w:val="21"/>
        </w:rPr>
        <w:t xml:space="preserve">Anexo XXV</w:t>
      </w:r>
      <w:r>
        <w:rPr>
          <w:rFonts w:ascii="Calibri" w:cs="Calibri" w:eastAsia="Calibri" w:hAnsi="Calibri"/>
          <w:sz w:val="21"/>
          <w:szCs w:val="21"/>
        </w:rPr>
        <w:t xml:space="preserve">; el redactor no los numera a su criterio.</w:t>
      </w:r>
    </w:p>
    <w:p>
      <w:pPr>
        <w:spacing w:after="140" w:line="276"/>
      </w:pPr>
      <w:r>
        <w:rPr>
          <w:rFonts w:ascii="Calibri" w:cs="Calibri" w:eastAsia="Calibri" w:hAnsi="Calibri"/>
          <w:b/>
          <w:bCs/>
          <w:sz w:val="21"/>
          <w:szCs w:val="21"/>
        </w:rPr>
        <w:t xml:space="preserve">No se transcriben</w:t>
      </w:r>
      <w:r>
        <w:rPr>
          <w:rFonts w:ascii="Calibri" w:cs="Calibri" w:eastAsia="Calibri" w:hAnsi="Calibri"/>
          <w:sz w:val="21"/>
          <w:szCs w:val="21"/>
        </w:rPr>
        <w:t xml:space="preserve">, por ser reglas internas del expediente: la regla de ubicación (§7.1), la regla de motivación (§7.6) y la regla de verificabilidad (§7.9), cuyo reflejo en el pliego es la designación del responsable del contrato y el régimen de seguimiento de ADM-4·v3.</w:t>
      </w:r>
    </w:p>
    <w:p>
      <w:pPr>
        <w:spacing w:after="140" w:line="276"/>
      </w:pPr>
      <w:r>
        <w:rPr>
          <w:rFonts w:ascii="Calibri" w:cs="Calibri" w:eastAsia="Calibri" w:hAnsi="Calibri"/>
          <w:sz w:val="21"/>
          <w:szCs w:val="21"/>
        </w:rPr>
        <w:t xml:space="preserve">Texto para el PCAP:</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Reglas de interpretación e integración de las cláusulas de contenido tecnológico.</w:t>
            </w:r>
          </w:p>
          <w:p>
            <w:pPr>
              <w:spacing w:after="100" w:line="264"/>
            </w:pPr>
            <w:r>
              <w:rPr>
                <w:rFonts w:ascii="Georgia" w:cs="Georgia" w:eastAsia="Georgia" w:hAnsi="Georgia"/>
                <w:b/>
                <w:bCs/>
                <w:sz w:val="20"/>
                <w:szCs w:val="20"/>
              </w:rPr>
              <w:t xml:space="preserve">1. Identificación.</w:t>
            </w:r>
            <w:r>
              <w:rPr>
                <w:rFonts w:ascii="Georgia" w:cs="Georgia" w:eastAsia="Georgia" w:hAnsi="Georgia"/>
                <w:sz w:val="20"/>
                <w:szCs w:val="20"/>
              </w:rPr>
              <w:t xml:space="preserve"> Las cláusulas de contenido tecnológico y de inteligencia artificial de este pliego y del Pliego de Prescripciones Técnicas proceden del Clausulado de Inteligencia Artificial y Deep Tech, versión 3.0, aprobado por [órgano] con fecha [fecha]. Las referencias a códigos de cláusula (DT-n·v3, ADM-n·v3) se entienden hechas a dicha versión. La aprobación de versiones posteriores del clausulado no afecta a este contrato.</w:t>
            </w:r>
          </w:p>
          <w:p>
            <w:pPr>
              <w:spacing w:after="100" w:line="264"/>
            </w:pPr>
            <w:r>
              <w:rPr>
                <w:rFonts w:ascii="Georgia" w:cs="Georgia" w:eastAsia="Georgia" w:hAnsi="Georgia"/>
                <w:b/>
                <w:bCs/>
                <w:sz w:val="20"/>
                <w:szCs w:val="20"/>
              </w:rPr>
              <w:t xml:space="preserve">2. Prevalencia funcional y equivalencia.</w:t>
            </w:r>
            <w:r>
              <w:rPr>
                <w:rFonts w:ascii="Georgia" w:cs="Georgia" w:eastAsia="Georgia" w:hAnsi="Georgia"/>
                <w:sz w:val="20"/>
                <w:szCs w:val="20"/>
              </w:rPr>
              <w:t xml:space="preserve"> Las prescripciones técnicas de este contrato se formulan en términos de rendimiento y de exigencias funcionales. Cuando este pliego o el de prescripciones técnicas mencionen un producto, marca, red, infraestructura, protocolo o metodología determinados, la mención se entiende efectuada a título ilustrativo y acompañada de la expresión «o equivalente». En caso de contradicción entre esa mención y la formulación funcional de la misma exigencia, prevalece la formulación funcional. El licitador que oferte una solución equivalente deberá acreditarlo en su oferta, por cualquier medio adecuado, conforme a los artículos 126.8 y 128.2 de la Ley 9/2017, de 8 de noviembre; el órgano de contratación motivará por escrito, en su caso, el rechazo de la equivalencia. Se exceptúan de esta regla los servicios comunes de obligada utilización relacionados en la cláusula [DT-5·v3], apartado 2, del Pliego de Prescripciones Técnicas, que no admiten solución equivalente, y las normas y reglamentos técnicos de obligado cumplimiento.</w:t>
            </w:r>
          </w:p>
          <w:p>
            <w:pPr>
              <w:spacing w:after="100" w:line="264"/>
            </w:pPr>
            <w:r>
              <w:rPr>
                <w:rFonts w:ascii="Georgia" w:cs="Georgia" w:eastAsia="Georgia" w:hAnsi="Georgia"/>
                <w:b/>
                <w:bCs/>
                <w:sz w:val="20"/>
                <w:szCs w:val="20"/>
              </w:rPr>
              <w:t xml:space="preserve">3. Alcance de las obligaciones de evolución tecnológica.</w:t>
            </w:r>
            <w:r>
              <w:rPr>
                <w:rFonts w:ascii="Georgia" w:cs="Georgia" w:eastAsia="Georgia" w:hAnsi="Georgia"/>
                <w:sz w:val="20"/>
                <w:szCs w:val="20"/>
              </w:rPr>
              <w:t xml:space="preserve"> Las obligaciones de evolución tecnológica del contratista se agotan en las exigencias relacionadas en el Anexo [V] del Pliego de Prescripciones Técnicas, en los plazos y con los criterios de aceptación que en él se establecen, y en la puesta a disposición de las versiones sucesoras del producto contratado. Fuera de dichas exigencias no existe obligación de incorporar tecnologías, funcionalidades o prestaciones distintas al amparo de este contrato. Toda ampliación se tramitará conforme a los artículos 203 y 204 de la Ley 9/2017 o se incorporará a una licitación posterior.</w:t>
            </w:r>
          </w:p>
          <w:p>
            <w:pPr>
              <w:spacing w:after="100" w:line="264"/>
            </w:pPr>
            <w:r>
              <w:rPr>
                <w:rFonts w:ascii="Georgia" w:cs="Georgia" w:eastAsia="Georgia" w:hAnsi="Georgia"/>
                <w:b/>
                <w:bCs/>
                <w:sz w:val="20"/>
                <w:szCs w:val="20"/>
              </w:rPr>
              <w:t xml:space="preserve">4. Obligaciones esenciales.</w:t>
            </w:r>
            <w:r>
              <w:rPr>
                <w:rFonts w:ascii="Georgia" w:cs="Georgia" w:eastAsia="Georgia" w:hAnsi="Georgia"/>
                <w:sz w:val="20"/>
                <w:szCs w:val="20"/>
              </w:rPr>
              <w:t xml:space="preserve"> Únicamente tienen el carácter de obligación contractual esencial, a los efectos de la letra f) del apartado 1 del artículo 211 de la Ley 9/2017, los incumplimientos enumerados de manera expresa en la cláusula [ADM-6·v3] de este pliego. Ninguna otra de las obligaciones incorporadas en virtud del clausulado identificado en el apartado 1 tiene carácter esencial. Lo anterior se entiende sin perjuicio de las demás obligaciones que este pliego califique expresamente como esenciales por otro título y de las que deban ser calificadas como tales por mandato legal.</w:t>
            </w:r>
          </w:p>
          <w:p>
            <w:pPr>
              <w:spacing w:after="100" w:line="264"/>
            </w:pPr>
            <w:r>
              <w:rPr>
                <w:rFonts w:ascii="Georgia" w:cs="Georgia" w:eastAsia="Georgia" w:hAnsi="Georgia"/>
                <w:b/>
                <w:bCs/>
                <w:sz w:val="20"/>
                <w:szCs w:val="20"/>
              </w:rPr>
              <w:t xml:space="preserve">5. Separación de instrumentos.</w:t>
            </w:r>
            <w:r>
              <w:rPr>
                <w:rFonts w:ascii="Georgia" w:cs="Georgia" w:eastAsia="Georgia" w:hAnsi="Georgia"/>
                <w:sz w:val="20"/>
                <w:szCs w:val="20"/>
              </w:rPr>
              <w:t xml:space="preserve"> Las prestaciones exigidas en este contrato como prescripción técnica de obligado cumplimiento, como requisito de solvencia o como medio que el adjudicatario deba adscribir a la ejecución, no son objeto de valoración como criterio de adjudicación. Los criterios de adjudicación de este pliego valoran exclusivamente prestaciones adicionales o niveles de calidad superiores al mínimo exigido, en los términos que para cada criterio se establecen.</w:t>
            </w:r>
          </w:p>
          <w:p>
            <w:pPr>
              <w:spacing w:after="100" w:line="264"/>
            </w:pPr>
            <w:r>
              <w:rPr>
                <w:rFonts w:ascii="Georgia" w:cs="Georgia" w:eastAsia="Georgia" w:hAnsi="Georgia"/>
                <w:b/>
                <w:bCs/>
                <w:sz w:val="20"/>
                <w:szCs w:val="20"/>
              </w:rPr>
              <w:t xml:space="preserve">6. Separabilidad.</w:t>
            </w:r>
            <w:r>
              <w:rPr>
                <w:rFonts w:ascii="Georgia" w:cs="Georgia" w:eastAsia="Georgia" w:hAnsi="Georgia"/>
                <w:sz w:val="20"/>
                <w:szCs w:val="20"/>
              </w:rPr>
              <w:t xml:space="preserve"> La declaración de nulidad o la anulación de alguna de las cláusulas de contenido tecnológico de este pliego o del de prescripciones técnicas no afectará a la validez y eficacia de las restantes, salvo que la cláusula afectada constituya presupuesto necesario de otra, en cuyo caso decaerá igualmente esta última. Esta previsión no altera las ponderaciones de los criterios de adjudicación publicadas en este pliego, que no serán objeto de reescalado.</w:t>
            </w:r>
          </w:p>
          <w:p>
            <w:pPr>
              <w:spacing w:after="100" w:line="264"/>
            </w:pPr>
            <w:r>
              <w:rPr>
                <w:rFonts w:ascii="Georgia" w:cs="Georgia" w:eastAsia="Georgia" w:hAnsi="Georgia"/>
                <w:b/>
                <w:bCs/>
                <w:sz w:val="20"/>
                <w:szCs w:val="20"/>
              </w:rPr>
              <w:t xml:space="preserve">7. Valor de los principios.</w:t>
            </w:r>
            <w:r>
              <w:rPr>
                <w:rFonts w:ascii="Georgia" w:cs="Georgia" w:eastAsia="Georgia" w:hAnsi="Georgia"/>
                <w:sz w:val="20"/>
                <w:szCs w:val="20"/>
              </w:rPr>
              <w:t xml:space="preserve"> Los principios enunciados en [apartado del pliego] tienen valor interpretativo. No constituyen por sí solos obligaciones exigibles al contratista ni pueden fundar la imposición de penalidades ni la resolución del contrato. Las obligaciones del contratista son, exclusivamente, las expresamente establecidas en las cláusulas de este pliego y del Pliego de Prescripciones Técnicas.</w:t>
            </w:r>
          </w:p>
        </w:tc>
      </w:tr>
    </w:tbl>
    <w:p>
      <w:pPr>
        <w:spacing w:after="220"/>
      </w:pPr>
    </w:p>
    <w:p>
      <w:pPr>
        <w:spacing w:after="140" w:line="276"/>
      </w:pPr>
      <w:r>
        <w:rPr>
          <w:rFonts w:ascii="Calibri" w:cs="Calibri" w:eastAsia="Calibri" w:hAnsi="Calibri"/>
          <w:sz w:val="21"/>
          <w:szCs w:val="21"/>
        </w:rPr>
        <w:t xml:space="preserve">Texto para el PPT, cuando se incorpore cualquier cláusula técnica del catálogo: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Interpretación de las prescripciones técnicas de contenido tecnológico.</w:t>
            </w:r>
          </w:p>
          <w:p>
            <w:pPr>
              <w:spacing w:after="100" w:line="264"/>
            </w:pPr>
            <w:r>
              <w:rPr>
                <w:rFonts w:ascii="Georgia" w:cs="Georgia" w:eastAsia="Georgia" w:hAnsi="Georgia"/>
                <w:b/>
                <w:bCs/>
                <w:sz w:val="20"/>
                <w:szCs w:val="20"/>
              </w:rPr>
              <w:t xml:space="preserve">1.</w:t>
            </w:r>
            <w:r>
              <w:rPr>
                <w:rFonts w:ascii="Georgia" w:cs="Georgia" w:eastAsia="Georgia" w:hAnsi="Georgia"/>
                <w:sz w:val="20"/>
                <w:szCs w:val="20"/>
              </w:rPr>
              <w:t xml:space="preserve"> Las prescripciones técnicas de este pliego relativas a inteligencia artificial, automatización, interoperabilidad, seguridad, servicios de confianza y reversibilidad se formulan en términos de rendimiento y de exigencias funcionales, conforme al artículo 126.5.a) de la Ley 9/2017, de 8 de noviembre. Toda mención a un producto, marca, red, infraestructura, protocolo o metodología determinados se entiende acompañada de la expresión «o equivalente» y no constituye medio de presunción de conformidad; el cumplimiento se acredita respecto de las exigencias funcionales de la cláusula correspondiente. Se exceptúan los servicios comunes de obligada utilización relacionados en la cláusula [DT-5·v3], apartado 2, que no admiten solución equivalente.</w:t>
            </w:r>
          </w:p>
          <w:p>
            <w:pPr>
              <w:spacing w:after="100" w:line="264"/>
            </w:pPr>
            <w:r>
              <w:rPr>
                <w:rFonts w:ascii="Georgia" w:cs="Georgia" w:eastAsia="Georgia" w:hAnsi="Georgia"/>
                <w:b/>
                <w:bCs/>
                <w:sz w:val="20"/>
                <w:szCs w:val="20"/>
              </w:rPr>
              <w:t xml:space="preserve">2.</w:t>
            </w:r>
            <w:r>
              <w:rPr>
                <w:rFonts w:ascii="Georgia" w:cs="Georgia" w:eastAsia="Georgia" w:hAnsi="Georgia"/>
                <w:sz w:val="20"/>
                <w:szCs w:val="20"/>
              </w:rPr>
              <w:t xml:space="preserve"> Las definiciones aplicables a estas prescripciones son las contenidas en el apartado [ ] de este pliego. En caso de discrepancia entre una definición y el texto de una cláusula, prevalece el texto de la cláusula.</w:t>
            </w:r>
          </w:p>
          <w:p>
            <w:pPr>
              <w:spacing w:after="100" w:line="264"/>
            </w:pPr>
            <w:r>
              <w:rPr>
                <w:rFonts w:ascii="Georgia" w:cs="Georgia" w:eastAsia="Georgia" w:hAnsi="Georgia"/>
                <w:b/>
                <w:bCs/>
                <w:sz w:val="20"/>
                <w:szCs w:val="20"/>
              </w:rPr>
              <w:t xml:space="preserve">3.</w:t>
            </w:r>
            <w:r>
              <w:rPr>
                <w:rFonts w:ascii="Georgia" w:cs="Georgia" w:eastAsia="Georgia" w:hAnsi="Georgia"/>
                <w:sz w:val="20"/>
                <w:szCs w:val="20"/>
              </w:rPr>
              <w:t xml:space="preserve"> Las obligaciones de evolución tecnológica se agotan en el Anexo [V] de este pliego, que se incorpora físicamente a él con número de versión y fecha y permanece invariable durante toda la vigencia del contrato y de sus prórrogas. Las revisiones posteriores del catálogo municipal de exigencias tecnológicas no producen efectos sobre este contrato.</w:t>
            </w:r>
          </w:p>
        </w:tc>
      </w:tr>
    </w:tbl>
    <w:p>
      <w:pPr>
        <w:spacing w:after="220"/>
      </w:pP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§8. Parámetros de la Parte I y valores recomendados</w:t>
      </w:r>
    </w:p>
    <w:p>
      <w:pPr>
        <w:spacing w:after="140" w:line="276"/>
      </w:pPr>
      <w:r>
        <w:rPr>
          <w:rFonts w:ascii="Calibri" w:cs="Calibri" w:eastAsia="Calibri" w:hAnsi="Calibri"/>
          <w:sz w:val="21"/>
          <w:szCs w:val="21"/>
        </w:rPr>
        <w:t xml:space="preserve">Recogidos también en la tabla consolidada del Anexo X. Todos son decisión del órgano de contratación; el valor recomendado es el punto de partida, no una decisión ajena.</w:t>
      </w:r>
    </w:p>
    <w:p>
      <w:pPr>
        <w:spacing w:after="140" w:line="276"/>
      </w:pPr>
      <w:r>
        <w:rPr>
          <w:rFonts w:ascii="Calibri" w:cs="Calibri" w:eastAsia="Calibri" w:hAnsi="Calibri"/>
          <w:b/>
          <w:bCs/>
          <w:sz w:val="21"/>
          <w:szCs w:val="21"/>
        </w:rPr>
        <w:t xml:space="preserve">Regla de precedencia.</w:t>
      </w:r>
      <w:r>
        <w:rPr>
          <w:rFonts w:ascii="Calibri" w:cs="Calibri" w:eastAsia="Calibri" w:hAnsi="Calibri"/>
          <w:sz w:val="21"/>
          <w:szCs w:val="21"/>
        </w:rPr>
        <w:t xml:space="preserve"> Este cuadro reproduce; no decide. En caso de discrepancia entre un valor de este cuadro y el de la cláusula correspondiente, </w:t>
      </w:r>
      <w:r>
        <w:rPr>
          <w:rFonts w:ascii="Calibri" w:cs="Calibri" w:eastAsia="Calibri" w:hAnsi="Calibri"/>
          <w:b/>
          <w:bCs/>
          <w:sz w:val="21"/>
          <w:szCs w:val="21"/>
        </w:rPr>
        <w:t xml:space="preserve">prevalece el de la cláusula</w:t>
      </w:r>
      <w:r>
        <w:rPr>
          <w:rFonts w:ascii="Calibri" w:cs="Calibri" w:eastAsia="Calibri" w:hAnsi="Calibri"/>
          <w:sz w:val="21"/>
          <w:szCs w:val="21"/>
        </w:rPr>
        <w:t xml:space="preserve">. Si se detecta una discrepancia, se corrige el cuadro, nunca la cláusula.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Parámetro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Dónde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Valor recomendado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Cuándo moverlo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Umbral de nivel mínimo de aplicación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50.000 € de valor estimado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Subirlo en entidades con menos capacidad de seguimiento; bajarlo si el contrato soporta un servicio crítico aunque sea de poca cuantía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Umbral de nivel reforzado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Umbral de contratos sujetos a regulación armonizada vigente (216.000 € en servicios y suministros para 2026-2027, conforme al Reglamento Delegado (UE) 2025/2152, incorporado a los arts. 21.1.b) y 22.1.b) LCSP por la Orden HAC/1517/2025, de 18 de diciembre; revisar antes del 31/12/2027)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Bajarlo cuando el sistema sea de categoría ENS MEDIA o ALTA con independencia de la cuantía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Vigencia del acuerdo institucional y del catálogo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 ejercicio, con revisión antes del cierre del anterior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Ampliarlo sólo si el contraste de mercado no ha variado, y haciéndolo constar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Licencia de uso transitoria del producto base en la reversión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§5.2.d)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 meses desde la extinción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Ampliarlo en sistemas cuya migración exija cierre de ejercicio o campañas periódicas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Carga anual de verificación por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Aviso a partir de 20 horas/año; conformidad expresa del servicio verificador a partir de 40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Ajustarlo a la plantilla real del servicio; no al tamaño del contrato</w:t>
            </w:r>
          </w:p>
        </w:tc>
      </w:tr>
    </w:tbl>
    <w:p>
      <w:pPr>
        <w:spacing w:after="200"/>
      </w:pP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§9. Qué cambia respecto de la versión 2.0</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Apartado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Cambio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Motivo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documento deja de ser un clausulado de incorporación transversal «con independencia del área gestora» y pasa a ser catálogo de aplicación motivada, con regla de cierre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fórmula anterior describía el supuesto que el art. 116.4.e) LCSP no admite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renuncia por escrito a prometer que ningún tribunal pueda anular nada, y se declara el estado real de la doctrina con fecha de corte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Prometer inanulabilidad ante un órgano de control destruye la credibilidad del documento entero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Cuadro de intensidad con tres niveles y valores por defecto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proporcionalidad enunciada sin umbrales no es aplicable un martes por la mañana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 de reutilización con doce elementos a adaptar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documento se publica en abierto; la copia literal importa las cargas sin las defensas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Reglas para contratos menores, basados en acuerdo marco y prórrogas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existían, y son la mayoría de los expedientes de un ayuntamiento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Nuevo. Tres orígenes de necesidad, con la necesidad institucional aprobada por el órgano de gobierno y modelo de acuerdo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tabla necesidad-norma sólo cubría un tercio del catálogo; el resto quedaba sin fundamento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Columna de exigibilidad que separa lo ya exigible de lo anticipado voluntariamente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Los arts. 26 y 27 del Reglamento de IA no son exigibles hoy tras el Reglamento (UE) 2026/1744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§3.3, fila 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acceso de los órganos de control se reancla en el bloque de control interno; el art. 33.4.d) RD 424/2017 pasa a cita complementaria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anclaje correcto es el bloque de control interno; la explicación completa, en ADM-12·v3 y en la memoria justificativa (M1.4), que no se reproduce aquí</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Doble vía de firma de la ficha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gestor no puede firmar necesidades que no son suyas; sin esta vía, esas cláusulas no entrarían nunca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Marco normativo separado en tres bloques; el MCP sale de la lista de normas y </w:t>
            </w: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se presenta como medio de presunción de conformidad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art. 126.5.c) reserva ese efecto a las especificaciones de la letra b); el MCP no pertenece a ninguna de esas categorías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Reescritas reversibilidad, obsolescencia tecnológica y solución equivalente; ISBE despojada de carga preferencial; suprimidas «Loop Engineering» y «skills / harness / loops» como definiciones operativas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Eran las cuatro definiciones que un licitador usaba como munición, y tres términos sin definición normalizada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Los principios pasan a tener valor expresamente interpretativo; se añade el de separación de instrumentos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versión 2.0 los declaraba «exigibles y verificables», lo que convertía en obligación contractual documentos que no son normas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regla de separación prohíbe las tres combinaciones, no sólo solvencia + adjudicación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combinación que más pliegos tumba es prescripción obligatoria + criterio de adjudicación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separabilidad se parte: sí para cláusulas y obligaciones; para criterios, prohibición de reescalado automático e informe jurídico previo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Reescalar ponderaciones publicadas altera las reglas conocidas al ofertar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Nueva regla de verificabilidad municipal, con actor, periodicidad y carga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Crear obligaciones esenciales que nadie verifica es peor que no crearlas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Nueva regla de transcripción obligatoria, con el texto listo para copiar al PCAP y al 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ella, las salvaguardas se quedaban en la Parte I y el pliego recibía sólo las cargas</w:t>
            </w:r>
          </w:p>
        </w:tc>
      </w:tr>
    </w:tbl>
    <w:p>
      <w:pPr>
        <w:spacing w:after="200"/>
      </w:pP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PARTE II · CLÁUSULAS TÉCNICAS (PPT)</w:t>
      </w:r>
    </w:p>
    <w:p>
      <w:pPr>
        <w:spacing w:after="140" w:line="276"/>
      </w:pPr>
      <w:r>
        <w:rPr>
          <w:rFonts w:ascii="Calibri" w:cs="Calibri" w:eastAsia="Calibri" w:hAnsi="Calibri"/>
          <w:sz w:val="21"/>
          <w:szCs w:val="21"/>
        </w:rPr>
        <w:t xml:space="preserve">Las cláusulas de esta Parte se incorporan al </w:t>
      </w:r>
      <w:r>
        <w:rPr>
          <w:rFonts w:ascii="Calibri" w:cs="Calibri" w:eastAsia="Calibri" w:hAnsi="Calibri"/>
          <w:b/>
          <w:bCs/>
          <w:sz w:val="21"/>
          <w:szCs w:val="21"/>
        </w:rPr>
        <w:t xml:space="preserve">Pliego de Prescripciones Técnicas</w:t>
      </w:r>
      <w:r>
        <w:rPr>
          <w:rFonts w:ascii="Calibri" w:cs="Calibri" w:eastAsia="Calibri" w:hAnsi="Calibri"/>
          <w:sz w:val="21"/>
          <w:szCs w:val="21"/>
        </w:rPr>
        <w:t xml:space="preserve">. Ninguna de ellas entra en un pliego por el hecho de figurar aquí: entra cuando la Ficha de Aplicabilidad del Anexo II está cumplimentada y firmada, y cuando el Informe de Necesidad del Anexo III identifica la necesidad concreta que la cláusula satisface. En su defecto, la cláusula se marca </w:t>
      </w:r>
      <w:r>
        <w:rPr>
          <w:rFonts w:ascii="Calibri" w:cs="Calibri" w:eastAsia="Calibri" w:hAnsi="Calibri"/>
          <w:b/>
          <w:bCs/>
          <w:sz w:val="21"/>
          <w:szCs w:val="21"/>
        </w:rPr>
        <w:t xml:space="preserve">NO APLICA</w:t>
      </w:r>
      <w:r>
        <w:rPr>
          <w:rFonts w:ascii="Calibri" w:cs="Calibri" w:eastAsia="Calibri" w:hAnsi="Calibri"/>
          <w:sz w:val="21"/>
          <w:szCs w:val="21"/>
        </w:rPr>
        <w:t xml:space="preserve"> y no se copia.</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II.0 · Cómo se usa esta Parte</w:t>
      </w:r>
    </w:p>
    <w:p>
      <w:pPr>
        <w:spacing w:after="140" w:line="276"/>
      </w:pPr>
      <w:r>
        <w:rPr>
          <w:rFonts w:ascii="Calibri" w:cs="Calibri" w:eastAsia="Calibri" w:hAnsi="Calibri"/>
          <w:b/>
          <w:bCs/>
          <w:sz w:val="21"/>
          <w:szCs w:val="21"/>
        </w:rPr>
        <w:t xml:space="preserve">Qué se copia y qué no.</w:t>
      </w:r>
      <w:r>
        <w:rPr>
          <w:rFonts w:ascii="Calibri" w:cs="Calibri" w:eastAsia="Calibri" w:hAnsi="Calibri"/>
          <w:sz w:val="21"/>
          <w:szCs w:val="21"/>
        </w:rPr>
        <w:t xml:space="preserve"> Cada cláusula tiene siete epígrafes fijos. Sólo el primero contiene texto de pliego, y ese texto va dentro de un bloque delimitado así:</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sz w:val="20"/>
                <w:szCs w:val="20"/>
              </w:rPr>
              <w:t xml:space="preserve">Texto literal que se copia al PPT.</w:t>
            </w:r>
          </w:p>
        </w:tc>
      </w:tr>
    </w:tbl>
    <w:p>
      <w:pPr>
        <w:spacing w:after="220"/>
      </w:pPr>
    </w:p>
    <w:p>
      <w:pPr>
        <w:spacing w:after="140" w:line="276"/>
      </w:pPr>
      <w:r>
        <w:rPr>
          <w:rFonts w:ascii="Calibri" w:cs="Calibri" w:eastAsia="Calibri" w:hAnsi="Calibri"/>
          <w:sz w:val="21"/>
          <w:szCs w:val="21"/>
        </w:rPr>
        <w:t xml:space="preserve">Todo lo que queda fuera del bloque —motivo, norma, riesgo, advertencias, carga de trabajo— es material de trabajo del redactor y de la memoria del expediente. </w:t>
      </w:r>
      <w:r>
        <w:rPr>
          <w:rFonts w:ascii="Calibri" w:cs="Calibri" w:eastAsia="Calibri" w:hAnsi="Calibri"/>
          <w:b/>
          <w:bCs/>
          <w:sz w:val="21"/>
          <w:szCs w:val="21"/>
        </w:rPr>
        <w:t xml:space="preserve">Nada de lo que está fuera del bloque puede acabar en un pliego.</w:t>
      </w:r>
      <w:r>
        <w:rPr>
          <w:rFonts w:ascii="Calibri" w:cs="Calibri" w:eastAsia="Calibri" w:hAnsi="Calibri"/>
          <w:sz w:val="21"/>
          <w:szCs w:val="21"/>
        </w:rPr>
        <w:t xml:space="preserve"> Ésta es la corrección material de la queja de que el clausulado anterior tenía «un grado de abstracción muy elevado»: el texto normativo y su justificación estaban mezclados en el mismo párrafo, y el redactor no sabía qué copiar.</w:t>
      </w:r>
    </w:p>
    <w:p>
      <w:pPr>
        <w:spacing w:after="140" w:line="276"/>
      </w:pPr>
      <w:r>
        <w:rPr>
          <w:rFonts w:ascii="Calibri" w:cs="Calibri" w:eastAsia="Calibri" w:hAnsi="Calibri"/>
          <w:b/>
          <w:bCs/>
          <w:sz w:val="21"/>
          <w:szCs w:val="21"/>
        </w:rPr>
        <w:t xml:space="preserve">Los siete epígrafes.</w:t>
      </w:r>
    </w:p>
    <w:p>
      <w:pPr>
        <w:pStyle w:val="ListParagraph"/>
        <w:numPr>
          <w:ilvl w:val="0"/>
          <w:numId w:val="2"/>
        </w:numPr>
        <w:spacing w:after="70" w:line="268"/>
      </w:pPr>
      <w:r>
        <w:rPr>
          <w:rFonts w:ascii="Calibri" w:cs="Calibri" w:eastAsia="Calibri" w:hAnsi="Calibri"/>
          <w:b/>
          <w:bCs/>
          <w:sz w:val="21"/>
          <w:szCs w:val="21"/>
        </w:rPr>
        <w:t xml:space="preserve">Texto para el pliego</w:t>
      </w:r>
      <w:r>
        <w:rPr>
          <w:rFonts w:ascii="Calibri" w:cs="Calibri" w:eastAsia="Calibri" w:hAnsi="Calibri"/>
          <w:sz w:val="21"/>
          <w:szCs w:val="21"/>
        </w:rPr>
        <w:t xml:space="preserve"> — el bloque </w:t>
      </w:r>
      <w:r>
        <w:rPr>
          <w:rFonts w:ascii="Calibri" w:cs="Calibri" w:eastAsia="Calibri" w:hAnsi="Calibri"/>
          <w:color w:val="2F5496"/>
          <w:sz w:val="21"/>
          <w:szCs w:val="21"/>
        </w:rPr>
        <w:t xml:space="preserve">:::pliego</w:t>
      </w:r>
      <w:r>
        <w:rPr>
          <w:rFonts w:ascii="Calibri" w:cs="Calibri" w:eastAsia="Calibri" w:hAnsi="Calibri"/>
          <w:sz w:val="21"/>
          <w:szCs w:val="21"/>
        </w:rPr>
        <w:t xml:space="preserve">.</w:t>
      </w:r>
    </w:p>
    <w:p>
      <w:pPr>
        <w:pStyle w:val="ListParagraph"/>
        <w:numPr>
          <w:ilvl w:val="0"/>
          <w:numId w:val="2"/>
        </w:numPr>
        <w:spacing w:after="70" w:line="268"/>
      </w:pPr>
      <w:r>
        <w:rPr>
          <w:rFonts w:ascii="Calibri" w:cs="Calibri" w:eastAsia="Calibri" w:hAnsi="Calibri"/>
          <w:b/>
          <w:bCs/>
          <w:sz w:val="21"/>
          <w:szCs w:val="21"/>
        </w:rPr>
        <w:t xml:space="preserve">Dónde va</w:t>
      </w:r>
      <w:r>
        <w:rPr>
          <w:rFonts w:ascii="Calibri" w:cs="Calibri" w:eastAsia="Calibri" w:hAnsi="Calibri"/>
          <w:sz w:val="21"/>
          <w:szCs w:val="21"/>
        </w:rPr>
        <w:t xml:space="preserve"> — pliego y apartado.</w:t>
      </w:r>
    </w:p>
    <w:p>
      <w:pPr>
        <w:pStyle w:val="ListParagraph"/>
        <w:numPr>
          <w:ilvl w:val="0"/>
          <w:numId w:val="2"/>
        </w:numPr>
        <w:spacing w:after="70" w:line="268"/>
      </w:pPr>
      <w:r>
        <w:rPr>
          <w:rFonts w:ascii="Calibri" w:cs="Calibri" w:eastAsia="Calibri" w:hAnsi="Calibri"/>
          <w:b/>
          <w:bCs/>
          <w:sz w:val="21"/>
          <w:szCs w:val="21"/>
        </w:rPr>
        <w:t xml:space="preserve">Necesidad y norma que la impone</w:t>
      </w:r>
      <w:r>
        <w:rPr>
          <w:rFonts w:ascii="Calibri" w:cs="Calibri" w:eastAsia="Calibri" w:hAnsi="Calibri"/>
          <w:sz w:val="21"/>
          <w:szCs w:val="21"/>
        </w:rPr>
        <w:t xml:space="preserve"> — el precepto concreto, en una o dos líneas.</w:t>
      </w:r>
    </w:p>
    <w:p>
      <w:pPr>
        <w:pStyle w:val="ListParagraph"/>
        <w:numPr>
          <w:ilvl w:val="0"/>
          <w:numId w:val="2"/>
        </w:numPr>
        <w:spacing w:after="70" w:line="268"/>
      </w:pPr>
      <w:r>
        <w:rPr>
          <w:rFonts w:ascii="Calibri" w:cs="Calibri" w:eastAsia="Calibri" w:hAnsi="Calibri"/>
          <w:b/>
          <w:bCs/>
          <w:sz w:val="21"/>
          <w:szCs w:val="21"/>
        </w:rPr>
        <w:t xml:space="preserve">Cómo se acredita</w:t>
      </w:r>
      <w:r>
        <w:rPr>
          <w:rFonts w:ascii="Calibri" w:cs="Calibri" w:eastAsia="Calibri" w:hAnsi="Calibri"/>
          <w:sz w:val="21"/>
          <w:szCs w:val="21"/>
        </w:rPr>
        <w:t xml:space="preserve"> — medios de prueba tasados.</w:t>
      </w:r>
    </w:p>
    <w:p>
      <w:pPr>
        <w:pStyle w:val="ListParagraph"/>
        <w:numPr>
          <w:ilvl w:val="0"/>
          <w:numId w:val="2"/>
        </w:numPr>
        <w:spacing w:after="70" w:line="268"/>
      </w:pPr>
      <w:r>
        <w:rPr>
          <w:rFonts w:ascii="Calibri" w:cs="Calibri" w:eastAsia="Calibri" w:hAnsi="Calibri"/>
          <w:b/>
          <w:bCs/>
          <w:sz w:val="21"/>
          <w:szCs w:val="21"/>
        </w:rPr>
        <w:t xml:space="preserve">Cómo se verifica</w:t>
      </w:r>
      <w:r>
        <w:rPr>
          <w:rFonts w:ascii="Calibri" w:cs="Calibri" w:eastAsia="Calibri" w:hAnsi="Calibri"/>
          <w:sz w:val="21"/>
          <w:szCs w:val="21"/>
        </w:rPr>
        <w:t xml:space="preserve"> — quién, cuándo, con qué documento, y carga estimada al año.</w:t>
      </w:r>
    </w:p>
    <w:p>
      <w:pPr>
        <w:pStyle w:val="ListParagraph"/>
        <w:numPr>
          <w:ilvl w:val="0"/>
          <w:numId w:val="2"/>
        </w:numPr>
        <w:spacing w:after="70" w:line="268"/>
      </w:pPr>
      <w:r>
        <w:rPr>
          <w:rFonts w:ascii="Calibri" w:cs="Calibri" w:eastAsia="Calibri" w:hAnsi="Calibri"/>
          <w:b/>
          <w:bCs/>
          <w:sz w:val="21"/>
          <w:szCs w:val="21"/>
        </w:rPr>
        <w:t xml:space="preserve">Consecuencia del incumplimiento</w:t>
      </w:r>
      <w:r>
        <w:rPr>
          <w:rFonts w:ascii="Calibri" w:cs="Calibri" w:eastAsia="Calibri" w:hAnsi="Calibri"/>
          <w:sz w:val="21"/>
          <w:szCs w:val="21"/>
        </w:rPr>
        <w:t xml:space="preserve"> — penalidad tipificada y si es obligación esencial, SÍ o NO.</w:t>
      </w:r>
    </w:p>
    <w:p>
      <w:pPr>
        <w:pStyle w:val="ListParagraph"/>
        <w:numPr>
          <w:ilvl w:val="0"/>
          <w:numId w:val="2"/>
        </w:numPr>
        <w:spacing w:after="70" w:line="268"/>
      </w:pPr>
      <w:r>
        <w:rPr>
          <w:rFonts w:ascii="Calibri" w:cs="Calibri" w:eastAsia="Calibri" w:hAnsi="Calibri"/>
          <w:b/>
          <w:bCs/>
          <w:sz w:val="21"/>
          <w:szCs w:val="21"/>
        </w:rPr>
        <w:t xml:space="preserve">Cuándo NO se aplica</w:t>
      </w:r>
      <w:r>
        <w:rPr>
          <w:rFonts w:ascii="Calibri" w:cs="Calibri" w:eastAsia="Calibri" w:hAnsi="Calibri"/>
          <w:sz w:val="21"/>
          <w:szCs w:val="21"/>
        </w:rPr>
        <w:t xml:space="preserve">.</w:t>
      </w:r>
    </w:p>
    <w:p>
      <w:pPr>
        <w:spacing w:after="140" w:line="276"/>
      </w:pPr>
      <w:r>
        <w:rPr>
          <w:rFonts w:ascii="Calibri" w:cs="Calibri" w:eastAsia="Calibri" w:hAnsi="Calibri"/>
          <w:b/>
          <w:bCs/>
          <w:sz w:val="21"/>
          <w:szCs w:val="21"/>
        </w:rPr>
        <w:t xml:space="preserve">Los corchetes.</w:t>
      </w:r>
      <w:r>
        <w:rPr>
          <w:rFonts w:ascii="Calibri" w:cs="Calibri" w:eastAsia="Calibri" w:hAnsi="Calibri"/>
          <w:sz w:val="21"/>
          <w:szCs w:val="21"/>
        </w:rPr>
        <w:t xml:space="preserve"> Todo valor que fija el órgano de contratación va entre corchetes y </w:t>
      </w:r>
      <w:r>
        <w:rPr>
          <w:rFonts w:ascii="Calibri" w:cs="Calibri" w:eastAsia="Calibri" w:hAnsi="Calibri"/>
          <w:b/>
          <w:bCs/>
          <w:sz w:val="21"/>
          <w:szCs w:val="21"/>
        </w:rPr>
        <w:t xml:space="preserve">con valor recomendado por defecto</w:t>
      </w:r>
      <w:r>
        <w:rPr>
          <w:rFonts w:ascii="Calibri" w:cs="Calibri" w:eastAsia="Calibri" w:hAnsi="Calibri"/>
          <w:sz w:val="21"/>
          <w:szCs w:val="21"/>
        </w:rPr>
        <w:t xml:space="preserve">, en la forma </w:t>
      </w:r>
      <w:r>
        <w:rPr>
          <w:rFonts w:ascii="Calibri" w:cs="Calibri" w:eastAsia="Calibri" w:hAnsi="Calibri"/>
          <w:color w:val="2F5496"/>
          <w:sz w:val="21"/>
          <w:szCs w:val="21"/>
        </w:rPr>
        <w:t xml:space="preserve">[X; se recomienda 12] meses</w:t>
      </w:r>
      <w:r>
        <w:rPr>
          <w:rFonts w:ascii="Calibri" w:cs="Calibri" w:eastAsia="Calibri" w:hAnsi="Calibri"/>
          <w:sz w:val="21"/>
          <w:szCs w:val="21"/>
        </w:rPr>
        <w:t xml:space="preserve">. El valor recomendado es el que debe usarse salvo que el expediente motive otro; el epígrafe correspondiente indica en qué caso conviene moverlo. Todos los corchetes de esta Parte están recogidos, con su valor por defecto, en el cuadro del apartado II.13 y en la tabla consolidada del Anexo X.</w:t>
      </w:r>
    </w:p>
    <w:p>
      <w:pPr>
        <w:spacing w:after="140" w:line="276"/>
      </w:pPr>
      <w:r>
        <w:rPr>
          <w:rFonts w:ascii="Calibri" w:cs="Calibri" w:eastAsia="Calibri" w:hAnsi="Calibri"/>
          <w:b/>
          <w:bCs/>
          <w:sz w:val="21"/>
          <w:szCs w:val="21"/>
        </w:rPr>
        <w:t xml:space="preserve">Las penalidades no las impone esta Parte.</w:t>
      </w:r>
      <w:r>
        <w:rPr>
          <w:rFonts w:ascii="Calibri" w:cs="Calibri" w:eastAsia="Calibri" w:hAnsi="Calibri"/>
          <w:sz w:val="21"/>
          <w:szCs w:val="21"/>
        </w:rPr>
        <w:t xml:space="preserve"> El epígrafe 6 de cada cláusula tipifica </w:t>
      </w:r>
      <w:r>
        <w:rPr>
          <w:rFonts w:ascii="Calibri" w:cs="Calibri" w:eastAsia="Calibri" w:hAnsi="Calibri"/>
          <w:b/>
          <w:bCs/>
          <w:sz w:val="21"/>
          <w:szCs w:val="21"/>
        </w:rPr>
        <w:t xml:space="preserve">hechos verificables</w:t>
      </w:r>
      <w:r>
        <w:rPr>
          <w:rFonts w:ascii="Calibri" w:cs="Calibri" w:eastAsia="Calibri" w:hAnsi="Calibri"/>
          <w:sz w:val="21"/>
          <w:szCs w:val="21"/>
        </w:rPr>
        <w:t xml:space="preserve">, no penalidades. La penalidad la impone el cuadro de la cláusula ADM-5·v3, que es texto del pliego de cláusulas administrativas particulares y cuyo apartado 3 enumera los incumplimientos sancionables con la palabra «exclusivamente»; la esencialidad, cuando procede, la declara la lista cerrada de ADM-6·v3. </w:t>
      </w:r>
      <w:r>
        <w:rPr>
          <w:rFonts w:ascii="Calibri" w:cs="Calibri" w:eastAsia="Calibri" w:hAnsi="Calibri"/>
          <w:b/>
          <w:bCs/>
          <w:sz w:val="21"/>
          <w:szCs w:val="21"/>
        </w:rPr>
        <w:t xml:space="preserve">Un hecho tipificado aquí y no codificado allí no genera penalidad alguna.</w:t>
      </w:r>
      <w:r>
        <w:rPr>
          <w:rFonts w:ascii="Calibri" w:cs="Calibri" w:eastAsia="Calibri" w:hAnsi="Calibri"/>
          <w:sz w:val="21"/>
          <w:szCs w:val="21"/>
        </w:rPr>
        <w:t xml:space="preserve"> Por eso cada tabla del epígrafe 6 va precedida de la advertencia correspondiente: lo que esta Parte entrega es el hecho redactado de forma verificable, para que ADM-5·v3 lo recoja con su código.</w:t>
      </w:r>
    </w:p>
    <w:p>
      <w:pPr>
        <w:spacing w:after="140" w:line="276"/>
      </w:pPr>
      <w:r>
        <w:rPr>
          <w:rFonts w:ascii="Calibri" w:cs="Calibri" w:eastAsia="Calibri" w:hAnsi="Calibri"/>
          <w:b/>
          <w:bCs/>
          <w:sz w:val="21"/>
          <w:szCs w:val="21"/>
        </w:rPr>
        <w:t xml:space="preserve">Los modelos de acta.</w:t>
      </w:r>
      <w:r>
        <w:rPr>
          <w:rFonts w:ascii="Calibri" w:cs="Calibri" w:eastAsia="Calibri" w:hAnsi="Calibri"/>
          <w:sz w:val="21"/>
          <w:szCs w:val="21"/>
        </w:rPr>
        <w:t xml:space="preserve"> Los epígrafes 4 y 5 convierten el acta en el medio de acreditación tasado de casi todas estas obligaciones. Los modelos que esta Parte emplea —aceptación, ensayo de reversibilidad, reversión y diligencia de acceso de los órganos de control y exportación— están en el </w:t>
      </w:r>
      <w:r>
        <w:rPr>
          <w:rFonts w:ascii="Calibri" w:cs="Calibri" w:eastAsia="Calibri" w:hAnsi="Calibri"/>
          <w:b/>
          <w:bCs/>
          <w:sz w:val="21"/>
          <w:szCs w:val="21"/>
        </w:rPr>
        <w:t xml:space="preserve">Anexo XVIII</w:t>
      </w:r>
      <w:r>
        <w:rPr>
          <w:rFonts w:ascii="Calibri" w:cs="Calibri" w:eastAsia="Calibri" w:hAnsi="Calibri"/>
          <w:sz w:val="21"/>
          <w:szCs w:val="21"/>
        </w:rPr>
        <w:t xml:space="preserve"> y se cumplimentan sin alterar sus columnas. Un acta que no recoja el resultado de todos los extremos comprobados no acredita nada.</w:t>
      </w:r>
    </w:p>
    <w:p>
      <w:pPr>
        <w:spacing w:after="140" w:line="276"/>
      </w:pPr>
      <w:r>
        <w:rPr>
          <w:rFonts w:ascii="Calibri" w:cs="Calibri" w:eastAsia="Calibri" w:hAnsi="Calibri"/>
          <w:b/>
          <w:bCs/>
          <w:sz w:val="21"/>
          <w:szCs w:val="21"/>
        </w:rPr>
        <w:t xml:space="preserve">Los apéndices técnicos del PPT.</w:t>
      </w:r>
      <w:r>
        <w:rPr>
          <w:rFonts w:ascii="Calibri" w:cs="Calibri" w:eastAsia="Calibri" w:hAnsi="Calibri"/>
          <w:sz w:val="21"/>
          <w:szCs w:val="21"/>
        </w:rPr>
        <w:t xml:space="preserve"> El criterio C1 exige el </w:t>
      </w:r>
      <w:r>
        <w:rPr>
          <w:rFonts w:ascii="Calibri" w:cs="Calibri" w:eastAsia="Calibri" w:hAnsi="Calibri"/>
          <w:b/>
          <w:bCs/>
          <w:sz w:val="21"/>
          <w:szCs w:val="21"/>
        </w:rPr>
        <w:t xml:space="preserve">Apéndice técnico 0 · Matriz de requisitos funcionales</w:t>
      </w:r>
      <w:r>
        <w:rPr>
          <w:rFonts w:ascii="Calibri" w:cs="Calibri" w:eastAsia="Calibri" w:hAnsi="Calibri"/>
          <w:sz w:val="21"/>
          <w:szCs w:val="21"/>
        </w:rPr>
        <w:t xml:space="preserve">. Las cláusulas DT-4·v3, DT-7·v3 y DT-9·v3 exigen además apéndices que se transcriben físicamente dentro del PPT: DT-4·v3 el suyo propio, y DT-7·v3 y DT-9·v3 </w:t>
      </w:r>
      <w:r>
        <w:rPr>
          <w:rFonts w:ascii="Calibri" w:cs="Calibri" w:eastAsia="Calibri" w:hAnsi="Calibri"/>
          <w:b/>
          <w:bCs/>
          <w:sz w:val="21"/>
          <w:szCs w:val="21"/>
        </w:rPr>
        <w:t xml:space="preserve">uno común</w:t>
      </w:r>
      <w:r>
        <w:rPr>
          <w:rFonts w:ascii="Calibri" w:cs="Calibri" w:eastAsia="Calibri" w:hAnsi="Calibri"/>
          <w:sz w:val="21"/>
          <w:szCs w:val="21"/>
        </w:rPr>
        <w:t xml:space="preserve">, porque ambas versan sobre la misma interfaz y dos listas cerradas sobre el mismo elemento dejan indeterminado el criterio de adjudicación que mide el exceso. La regla de composición, rotulación y numeración de esos apéndices está en el </w:t>
      </w:r>
      <w:r>
        <w:rPr>
          <w:rFonts w:ascii="Calibri" w:cs="Calibri" w:eastAsia="Calibri" w:hAnsi="Calibri"/>
          <w:b/>
          <w:bCs/>
          <w:sz w:val="21"/>
          <w:szCs w:val="21"/>
        </w:rPr>
        <w:t xml:space="preserve">Anexo XXV</w:t>
      </w:r>
      <w:r>
        <w:rPr>
          <w:rFonts w:ascii="Calibri" w:cs="Calibri" w:eastAsia="Calibri" w:hAnsi="Calibri"/>
          <w:sz w:val="21"/>
          <w:szCs w:val="21"/>
        </w:rPr>
        <w:t xml:space="preserve">; se aplica antes de rellenar ningún corchete de numeración, para que el mismo pliego no tenga dos apéndices con el mismo número.</w:t>
      </w:r>
    </w:p>
    <w:p>
      <w:pPr>
        <w:spacing w:after="140" w:line="276"/>
      </w:pPr>
      <w:r>
        <w:rPr>
          <w:rFonts w:ascii="Calibri" w:cs="Calibri" w:eastAsia="Calibri" w:hAnsi="Calibri"/>
          <w:b/>
          <w:bCs/>
          <w:sz w:val="21"/>
          <w:szCs w:val="21"/>
        </w:rPr>
        <w:t xml:space="preserve">Reutilización por otra administración.</w:t>
      </w:r>
      <w:r>
        <w:rPr>
          <w:rFonts w:ascii="Calibri" w:cs="Calibri" w:eastAsia="Calibri" w:hAnsi="Calibri"/>
          <w:sz w:val="21"/>
          <w:szCs w:val="21"/>
        </w:rPr>
        <w:t xml:space="preserve"> Las cláusulas están escritas en regla general, y el régimen concreto aparece, cuando aparece, como ejemplo entre paréntesis. Lo que otra administración debe adaptar obligatoriamente antes de usar esta Parte es: la categoría de seguridad del sistema, el órgano competente en cada trámite, los umbrales económicos, el Anexo V del ejercicio y todos los corchetes. Copiar el texto sin la ficha de necesidad no traslada la protección: traslada el vicio.</w:t>
      </w:r>
    </w:p>
    <w:p>
      <w:pPr>
        <w:spacing w:after="140" w:line="276"/>
      </w:pPr>
      <w:r>
        <w:rPr>
          <w:rFonts w:ascii="Calibri" w:cs="Calibri" w:eastAsia="Calibri" w:hAnsi="Calibri"/>
          <w:b/>
          <w:bCs/>
          <w:sz w:val="21"/>
          <w:szCs w:val="21"/>
        </w:rPr>
        <w:t xml:space="preserve">Códigos.</w:t>
      </w:r>
      <w:r>
        <w:rPr>
          <w:rFonts w:ascii="Calibri" w:cs="Calibri" w:eastAsia="Calibri" w:hAnsi="Calibri"/>
          <w:sz w:val="21"/>
          <w:szCs w:val="21"/>
        </w:rPr>
        <w:t xml:space="preserve"> Se conservan los códigos del clausulado de junio de 2026 cuando la cláusula subsiste, escritos con versión: </w:t>
      </w:r>
      <w:r>
        <w:rPr>
          <w:rFonts w:ascii="Calibri" w:cs="Calibri" w:eastAsia="Calibri" w:hAnsi="Calibri"/>
          <w:color w:val="2F5496"/>
          <w:sz w:val="21"/>
          <w:szCs w:val="21"/>
        </w:rPr>
        <w:t xml:space="preserve">DT-6·v3</w:t>
      </w:r>
      <w:r>
        <w:rPr>
          <w:rFonts w:ascii="Calibri" w:cs="Calibri" w:eastAsia="Calibri" w:hAnsi="Calibri"/>
          <w:sz w:val="21"/>
          <w:szCs w:val="21"/>
        </w:rPr>
        <w:t xml:space="preserve">. Los expedientes que ya citan </w:t>
      </w:r>
      <w:r>
        <w:rPr>
          <w:rFonts w:ascii="Calibri" w:cs="Calibri" w:eastAsia="Calibri" w:hAnsi="Calibri"/>
          <w:color w:val="2F5496"/>
          <w:sz w:val="21"/>
          <w:szCs w:val="21"/>
        </w:rPr>
        <w:t xml:space="preserve">DT-6</w:t>
      </w:r>
      <w:r>
        <w:rPr>
          <w:rFonts w:ascii="Calibri" w:cs="Calibri" w:eastAsia="Calibri" w:hAnsi="Calibri"/>
          <w:sz w:val="21"/>
          <w:szCs w:val="21"/>
        </w:rPr>
        <w:t xml:space="preserve"> sin versión se refieren al texto anterior, cuyo contenido es distinto. </w:t>
      </w:r>
      <w:r>
        <w:rPr>
          <w:rFonts w:ascii="Calibri" w:cs="Calibri" w:eastAsia="Calibri" w:hAnsi="Calibri"/>
          <w:color w:val="2F5496"/>
          <w:sz w:val="21"/>
          <w:szCs w:val="21"/>
        </w:rPr>
        <w:t xml:space="preserve">DT-0·v3</w:t>
      </w:r>
      <w:r>
        <w:rPr>
          <w:rFonts w:ascii="Calibri" w:cs="Calibri" w:eastAsia="Calibri" w:hAnsi="Calibri"/>
          <w:sz w:val="21"/>
          <w:szCs w:val="21"/>
        </w:rPr>
        <w:t xml:space="preserve">, </w:t>
      </w:r>
      <w:r>
        <w:rPr>
          <w:rFonts w:ascii="Calibri" w:cs="Calibri" w:eastAsia="Calibri" w:hAnsi="Calibri"/>
          <w:color w:val="2F5496"/>
          <w:sz w:val="21"/>
          <w:szCs w:val="21"/>
        </w:rPr>
        <w:t xml:space="preserve">DT-8·v3</w:t>
      </w:r>
      <w:r>
        <w:rPr>
          <w:rFonts w:ascii="Calibri" w:cs="Calibri" w:eastAsia="Calibri" w:hAnsi="Calibri"/>
          <w:sz w:val="21"/>
          <w:szCs w:val="21"/>
        </w:rPr>
        <w:t xml:space="preserve"> y </w:t>
      </w:r>
      <w:r>
        <w:rPr>
          <w:rFonts w:ascii="Calibri" w:cs="Calibri" w:eastAsia="Calibri" w:hAnsi="Calibri"/>
          <w:color w:val="2F5496"/>
          <w:sz w:val="21"/>
          <w:szCs w:val="21"/>
        </w:rPr>
        <w:t xml:space="preserve">DT-9·v3</w:t>
      </w:r>
      <w:r>
        <w:rPr>
          <w:rFonts w:ascii="Calibri" w:cs="Calibri" w:eastAsia="Calibri" w:hAnsi="Calibri"/>
          <w:sz w:val="21"/>
          <w:szCs w:val="21"/>
        </w:rPr>
        <w:t xml:space="preserve"> no tienen correspondencia en la versión anterior. La tabla de correspondencias completa está en el Anexo XII.</w:t>
      </w:r>
    </w:p>
    <w:p>
      <w:pPr>
        <w:spacing w:after="140" w:line="276"/>
      </w:pPr>
      <w:r>
        <w:rPr>
          <w:rFonts w:ascii="Calibri" w:cs="Calibri" w:eastAsia="Calibri" w:hAnsi="Calibri"/>
          <w:b/>
          <w:bCs/>
          <w:sz w:val="21"/>
          <w:szCs w:val="21"/>
        </w:rPr>
        <w:t xml:space="preserve">Cuadro de las diez cláusulas.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Código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Rúbrica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Aplicación por defecto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Instrumento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¿Puede ser esencial?</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DT-0·v3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Régimen de equivalencia y acreditación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SIEMPRE</w:t>
            </w:r>
            <w:r>
              <w:rPr>
                <w:rFonts w:ascii="Calibri" w:cs="Calibri" w:eastAsia="Calibri" w:hAnsi="Calibri"/>
                <w:b w:val="false"/>
                <w:bCs w:val="false"/>
                <w:sz w:val="18"/>
                <w:szCs w:val="18"/>
              </w:rPr>
              <w:t xml:space="preserve"> que el PPT cite un estándar, red, protocolo, producto o metodología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 de interpretación del pliego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procede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Incorporación de IA, IA generativa y agentes de 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si la solución incorpora o va a incorporar sistemas de 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salvo el bloque de protección de datos </w:t>
            </w:r>
            <w:r>
              <w:rPr>
                <w:rFonts w:ascii="Calibri" w:cs="Calibri" w:eastAsia="Calibri" w:hAnsi="Calibri"/>
                <w:b w:val="false"/>
                <w:bCs w:val="false"/>
                <w:i/>
                <w:iCs/>
                <w:sz w:val="18"/>
                <w:szCs w:val="18"/>
              </w:rPr>
              <w:t xml:space="preserve">ex lege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Capa de confianza: anclaje de evidencias e identidad digital verificable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APLICA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DT-3·v3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Criptoagilidad y preparación para la criptografía post-cuántica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APLICA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Automatización de procesos municipales identificados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con lista cerrada de procesos en el 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DT-5·v3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Interoperabilidad, servicios comunes y soberanía del dato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en todo contrato con sistema de información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ubicación de servidores y su subcontratación, cuando proceda (art. 122.2 LCSP)</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Seguridad conforme al ENS en la categoría que corresponda y protección de datos desde el diseño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en todo contrato con sistema de información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la condición especial de protección de datos, cuando proceda (art. 202.1 LCSP)</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DT-7·v3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Interfaz normalizada de acceso programático para agentes de 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sobre los módulos identificados en el Anexo 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si el pliego lo declara y la ficha lo justifica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Reversibilidad, Inventario de Componentes y Dossier de Reversibilidad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en todo contrato con sistema de información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la negativa a entregar la reversibilidad</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DT-9·v3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Exigencias tecnológicas determinadas del ejercicio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con Anexo V vigente y contraste de mercado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 + remisión a ADM-2·v3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si el pliego lo declara y la ficha lo justifica</w:t>
            </w:r>
          </w:p>
        </w:tc>
      </w:tr>
    </w:tbl>
    <w:p>
      <w:pPr>
        <w:spacing w:after="200"/>
      </w:pP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II.1 · DT-0·v3 — Régimen de equivalencia y acreditación</w:t>
      </w:r>
    </w:p>
    <w:p>
      <w:pPr>
        <w:spacing w:after="140" w:line="276"/>
      </w:pPr>
      <w:r>
        <w:rPr>
          <w:rFonts w:ascii="Calibri" w:cs="Calibri" w:eastAsia="Calibri" w:hAnsi="Calibri"/>
          <w:i/>
          <w:iCs/>
          <w:sz w:val="21"/>
          <w:szCs w:val="21"/>
        </w:rPr>
        <w:t xml:space="preserve">(NUEVA. Es la laguna más grave del clausulado anterior: citaba estándares, redes y protocolos, y no decía qué es un equivalente, ni cómo se prueba, ni cómo se rechaza.)</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DT-0. Régimen de equivalencia y acreditación.</w:t>
            </w:r>
          </w:p>
          <w:p>
            <w:pPr>
              <w:spacing w:after="100" w:line="264"/>
            </w:pPr>
            <w:r>
              <w:rPr>
                <w:rFonts w:ascii="Georgia" w:cs="Georgia" w:eastAsia="Georgia" w:hAnsi="Georgia"/>
                <w:b/>
                <w:bCs/>
                <w:sz w:val="20"/>
                <w:szCs w:val="20"/>
              </w:rPr>
              <w:t xml:space="preserve">1. Formulación funcional.</w:t>
            </w:r>
            <w:r>
              <w:rPr>
                <w:rFonts w:ascii="Georgia" w:cs="Georgia" w:eastAsia="Georgia" w:hAnsi="Georgia"/>
                <w:sz w:val="20"/>
                <w:szCs w:val="20"/>
              </w:rPr>
              <w:t xml:space="preserve"> Todas las prescripciones técnicas de este pliego se formulan en términos de rendimiento y de exigencias funcionales, conforme al artículo 126.5.a) de la Ley 9/2017, de 8 de noviembre, de Contratos del Sector Público (LCSP). Cuando en alguna prescripción se cite un estándar, especificación, red, infraestructura, protocolo, marca, producto o metodología determinados, la cita se efectúa </w:t>
            </w:r>
            <w:r>
              <w:rPr>
                <w:rFonts w:ascii="Georgia" w:cs="Georgia" w:eastAsia="Georgia" w:hAnsi="Georgia"/>
                <w:b/>
                <w:bCs/>
                <w:sz w:val="20"/>
                <w:szCs w:val="20"/>
              </w:rPr>
              <w:t xml:space="preserve">a título ilustrativo y no excluyente</w:t>
            </w:r>
            <w:r>
              <w:rPr>
                <w:rFonts w:ascii="Georgia" w:cs="Georgia" w:eastAsia="Georgia" w:hAnsi="Georgia"/>
                <w:sz w:val="20"/>
                <w:szCs w:val="20"/>
              </w:rPr>
              <w:t xml:space="preserve">, irá acompañada en la propia prescripción de la mención «o equivalente», y no configura por sí sola requisito alguno.</w:t>
            </w:r>
          </w:p>
          <w:p>
            <w:pPr>
              <w:spacing w:after="100" w:line="264"/>
            </w:pPr>
            <w:r>
              <w:rPr>
                <w:rFonts w:ascii="Georgia" w:cs="Georgia" w:eastAsia="Georgia" w:hAnsi="Georgia"/>
                <w:b/>
                <w:bCs/>
                <w:sz w:val="20"/>
                <w:szCs w:val="20"/>
              </w:rPr>
              <w:t xml:space="preserve">2. Prevalencia de la formulación funcional.</w:t>
            </w:r>
            <w:r>
              <w:rPr>
                <w:rFonts w:ascii="Georgia" w:cs="Georgia" w:eastAsia="Georgia" w:hAnsi="Georgia"/>
                <w:sz w:val="20"/>
                <w:szCs w:val="20"/>
              </w:rPr>
              <w:t xml:space="preserve"> En caso de contradicción entre una prescripción que cite un producto, red, infraestructura o protocolo determinados y la formulación funcional de la exigencia, prevalecerá siempre la formulación funcional y la admisión de equivalentes.</w:t>
            </w:r>
          </w:p>
          <w:p>
            <w:pPr>
              <w:spacing w:after="100" w:line="264"/>
            </w:pPr>
            <w:r>
              <w:rPr>
                <w:rFonts w:ascii="Georgia" w:cs="Georgia" w:eastAsia="Georgia" w:hAnsi="Georgia"/>
                <w:b/>
                <w:bCs/>
                <w:sz w:val="20"/>
                <w:szCs w:val="20"/>
              </w:rPr>
              <w:t xml:space="preserve">3. Definición de equivalencia.</w:t>
            </w:r>
            <w:r>
              <w:rPr>
                <w:rFonts w:ascii="Georgia" w:cs="Georgia" w:eastAsia="Georgia" w:hAnsi="Georgia"/>
                <w:sz w:val="20"/>
                <w:szCs w:val="20"/>
              </w:rPr>
              <w:t xml:space="preserve"> Se apreciará que una solución incluida en la oferta de un licitador es equivalente a la citada en este pliego cuando concurran, de forma acumulativa, las tres condiciones siguientes:</w:t>
            </w:r>
          </w:p>
          <w:p>
            <w:pPr>
              <w:spacing w:after="100" w:line="264"/>
            </w:pPr>
            <w:r>
              <w:rPr>
                <w:rFonts w:ascii="Georgia" w:cs="Georgia" w:eastAsia="Georgia" w:hAnsi="Georgia"/>
                <w:sz w:val="20"/>
                <w:szCs w:val="20"/>
              </w:rPr>
              <w:t xml:space="preserve">a) La solución ofertada puede realizar todas las funciones exigidas en la prescripción técnica correspondiente.</w:t>
            </w:r>
          </w:p>
          <w:p>
            <w:pPr>
              <w:spacing w:after="100" w:line="264"/>
            </w:pPr>
            <w:r>
              <w:rPr>
                <w:rFonts w:ascii="Georgia" w:cs="Georgia" w:eastAsia="Georgia" w:hAnsi="Georgia"/>
                <w:sz w:val="20"/>
                <w:szCs w:val="20"/>
              </w:rPr>
              <w:t xml:space="preserve">b) La solución ofertada es interoperable con los sistemas municipales afectados que este pliego identifica, y es capaz de tratar toda la información que trataría la solución citada, sin pérdida de calidad, integridad ni trazabilidad.</w:t>
            </w:r>
          </w:p>
          <w:p>
            <w:pPr>
              <w:spacing w:after="100" w:line="264"/>
            </w:pPr>
            <w:r>
              <w:rPr>
                <w:rFonts w:ascii="Georgia" w:cs="Georgia" w:eastAsia="Georgia" w:hAnsi="Georgia"/>
                <w:sz w:val="20"/>
                <w:szCs w:val="20"/>
              </w:rPr>
              <w:t xml:space="preserve">c) Los costes y esfuerzos que la implantación, configuración, puesta en marcha y operación de la solución ofertada requieran </w:t>
            </w:r>
            <w:r>
              <w:rPr>
                <w:rFonts w:ascii="Georgia" w:cs="Georgia" w:eastAsia="Georgia" w:hAnsi="Georgia"/>
                <w:b/>
                <w:bCs/>
                <w:sz w:val="20"/>
                <w:szCs w:val="20"/>
              </w:rPr>
              <w:t xml:space="preserve">del Ayuntamiento</w:t>
            </w:r>
            <w:r>
              <w:rPr>
                <w:rFonts w:ascii="Georgia" w:cs="Georgia" w:eastAsia="Georgia" w:hAnsi="Georgia"/>
                <w:sz w:val="20"/>
                <w:szCs w:val="20"/>
              </w:rPr>
              <w:t xml:space="preserve"> no exceden de los previstos en este pliego y en su presupuesto base de licitación para la implantación de la prestación. </w:t>
            </w:r>
            <w:r>
              <w:rPr>
                <w:rFonts w:ascii="Georgia" w:cs="Georgia" w:eastAsia="Georgia" w:hAnsi="Georgia"/>
                <w:i/>
                <w:iCs/>
                <w:sz w:val="20"/>
                <w:szCs w:val="20"/>
              </w:rPr>
              <w:t xml:space="preserve">No se computarán como sobrecoste ni como sobreesfuerzo los trabajos de migración, conversión de datos, integración o formación que correspondan al adjudicatario conforme a este pliego, ni los derivados de sustituir una solución preexistente, salvo que este pliego imponga expresamente la continuidad de esa solución y lo justifique en la memoria del expediente.</w:t>
            </w:r>
          </w:p>
          <w:p>
            <w:pPr>
              <w:spacing w:after="100" w:line="264"/>
            </w:pPr>
            <w:r>
              <w:rPr>
                <w:rFonts w:ascii="Georgia" w:cs="Georgia" w:eastAsia="Georgia" w:hAnsi="Georgia"/>
                <w:b/>
                <w:bCs/>
                <w:sz w:val="20"/>
                <w:szCs w:val="20"/>
              </w:rPr>
              <w:t xml:space="preserve">4. Acreditación en la oferta.</w:t>
            </w:r>
            <w:r>
              <w:rPr>
                <w:rFonts w:ascii="Georgia" w:cs="Georgia" w:eastAsia="Georgia" w:hAnsi="Georgia"/>
                <w:sz w:val="20"/>
                <w:szCs w:val="20"/>
              </w:rPr>
              <w:t xml:space="preserve"> El licitador que oferte una solución equivalente deberá aportar </w:t>
            </w:r>
            <w:r>
              <w:rPr>
                <w:rFonts w:ascii="Georgia" w:cs="Georgia" w:eastAsia="Georgia" w:hAnsi="Georgia"/>
                <w:b/>
                <w:bCs/>
                <w:sz w:val="20"/>
                <w:szCs w:val="20"/>
              </w:rPr>
              <w:t xml:space="preserve">en su propia oferta</w:t>
            </w:r>
            <w:r>
              <w:rPr>
                <w:rFonts w:ascii="Georgia" w:cs="Georgia" w:eastAsia="Georgia" w:hAnsi="Georgia"/>
                <w:sz w:val="20"/>
                <w:szCs w:val="20"/>
              </w:rPr>
              <w:t xml:space="preserve"> la prueba de la equivalencia, conforme a los artículos 126.7 y 126.8 LCSP, por cualquier medio adecuado: informe técnico del fabricante, certificado de organismo de evaluación de la conformidad, documentación técnica de la interfaz, informes de ensayo o pruebas, o los resultados de la verificación prevista en el pliego de cláusulas administrativas particulares. Se aceptarán los certificados equivalentes expedidos por organismos establecidos en cualquier Estado miembro y, cuando el licitador no tenga acceso a ellos por causa que no le sea imputable, otros medios de prueba adecuados conforme al artículo 128.2 LCSP. La prueba deberá identificar, condición por condición, cuál de las tres del apartado 3 acredita.</w:t>
            </w:r>
          </w:p>
          <w:p>
            <w:pPr>
              <w:spacing w:after="100" w:line="264"/>
            </w:pPr>
            <w:r>
              <w:rPr>
                <w:rFonts w:ascii="Georgia" w:cs="Georgia" w:eastAsia="Georgia" w:hAnsi="Georgia"/>
                <w:b/>
                <w:bCs/>
                <w:sz w:val="20"/>
                <w:szCs w:val="20"/>
              </w:rPr>
              <w:t xml:space="preserve">5. Motivación del rechazo.</w:t>
            </w:r>
            <w:r>
              <w:rPr>
                <w:rFonts w:ascii="Georgia" w:cs="Georgia" w:eastAsia="Georgia" w:hAnsi="Georgia"/>
                <w:sz w:val="20"/>
                <w:szCs w:val="20"/>
              </w:rPr>
              <w:t xml:space="preserve"> El rechazo de una solución ofertada como equivalente deberá motivarse por escrito mediante informe técnico que identifique cuál de las tres condiciones del apartado 3 no concurre y con qué prueba se sustenta. La apreciación de la equivalencia corresponde al órgano de contratación.</w:t>
            </w:r>
          </w:p>
          <w:p>
            <w:pPr>
              <w:spacing w:after="100" w:line="264"/>
            </w:pPr>
            <w:r>
              <w:rPr>
                <w:rFonts w:ascii="Georgia" w:cs="Georgia" w:eastAsia="Georgia" w:hAnsi="Georgia"/>
                <w:b/>
                <w:bCs/>
                <w:sz w:val="20"/>
                <w:szCs w:val="20"/>
              </w:rPr>
              <w:t xml:space="preserve">6. Prohibición de exigencia nominativa.</w:t>
            </w:r>
            <w:r>
              <w:rPr>
                <w:rFonts w:ascii="Georgia" w:cs="Georgia" w:eastAsia="Georgia" w:hAnsi="Georgia"/>
                <w:sz w:val="20"/>
                <w:szCs w:val="20"/>
              </w:rPr>
              <w:t xml:space="preserve"> En ningún caso podrá configurarse la utilización de un producto, red, infraestructura o protocolo nominados como requisito de admisión, como criterio de solvencia, como condición excluyente ni como criterio de adjudicación referido a su denominación. Lo que se exige y, en su caso, se valora es la capacidad funcional acreditada.</w:t>
            </w:r>
          </w:p>
          <w:p>
            <w:pPr>
              <w:spacing w:after="100" w:line="264"/>
            </w:pPr>
            <w:r>
              <w:rPr>
                <w:rFonts w:ascii="Georgia" w:cs="Georgia" w:eastAsia="Georgia" w:hAnsi="Georgia"/>
                <w:b/>
                <w:bCs/>
                <w:sz w:val="20"/>
                <w:szCs w:val="20"/>
              </w:rPr>
              <w:t xml:space="preserve">7. Excepción: plataformas y servicios comunes de utilización obligatoria.</w:t>
            </w:r>
            <w:r>
              <w:rPr>
                <w:rFonts w:ascii="Georgia" w:cs="Georgia" w:eastAsia="Georgia" w:hAnsi="Georgia"/>
                <w:sz w:val="20"/>
                <w:szCs w:val="20"/>
              </w:rPr>
              <w:t xml:space="preserve"> El régimen de equivalencia de esta cláusula </w:t>
            </w:r>
            <w:r>
              <w:rPr>
                <w:rFonts w:ascii="Georgia" w:cs="Georgia" w:eastAsia="Georgia" w:hAnsi="Georgia"/>
                <w:b/>
                <w:bCs/>
                <w:sz w:val="20"/>
                <w:szCs w:val="20"/>
              </w:rPr>
              <w:t xml:space="preserve">no será de aplicación</w:t>
            </w:r>
            <w:r>
              <w:rPr>
                <w:rFonts w:ascii="Georgia" w:cs="Georgia" w:eastAsia="Georgia" w:hAnsi="Georgia"/>
                <w:sz w:val="20"/>
                <w:szCs w:val="20"/>
              </w:rPr>
              <w:t xml:space="preserve"> a las plataformas y servicios comunes de administración electrónica cuya utilización venga impuesta al Ayuntamiento por norma, que este pliego relaciona de forma cerrada en la cláusula DT-5, apartado 2, con indicación de la norma que impone cada uno. Respecto de ellos la integración es obligatoria y no admite sustitución por servicio propio o de tercero.</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PPT, apartado de disposiciones generales, </w:t>
      </w:r>
      <w:r>
        <w:rPr>
          <w:rFonts w:ascii="Calibri" w:cs="Calibri" w:eastAsia="Calibri" w:hAnsi="Calibri"/>
          <w:b/>
          <w:bCs/>
          <w:sz w:val="21"/>
          <w:szCs w:val="21"/>
        </w:rPr>
        <w:t xml:space="preserve">antes de cualquier prescripción técnica concreta</w:t>
      </w:r>
      <w:r>
        <w:rPr>
          <w:rFonts w:ascii="Calibri" w:cs="Calibri" w:eastAsia="Calibri" w:hAnsi="Calibri"/>
          <w:sz w:val="21"/>
          <w:szCs w:val="21"/>
        </w:rPr>
        <w:t xml:space="preserve">. Es la primera cláusula del pliego técnico porque gobierna la lectura de todas las demás.</w:t>
      </w:r>
    </w:p>
    <w:p>
      <w:pPr>
        <w:spacing w:after="140" w:line="276"/>
      </w:pPr>
      <w:r>
        <w:rPr>
          <w:rFonts w:ascii="Calibri" w:cs="Calibri" w:eastAsia="Calibri" w:hAnsi="Calibri"/>
          <w:sz w:val="21"/>
          <w:szCs w:val="21"/>
        </w:rPr>
        <w:t xml:space="preserve">Debe además reproducirse una remisión en el PCAP, en el apartado de documentación técnica de la oferta, para que el trámite de acreditación del apartado 4 tenga reflejo en el sobre correspondiente: sin esa remisión, el licitador no sabe dónde presentar la prueba.</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sz w:val="21"/>
          <w:szCs w:val="21"/>
        </w:rPr>
        <w:t xml:space="preserve">El artículo 126.5 LCSP contiene una lista de formas de formular las prescripciones técnicas, y el artículo 126.6 prohíbe la referencia a marcas, patentes o tipos salvo excepción, en cuyo caso «irá acompañada de la mención "o equivalente"». El Tribunal de Justicia de la Unión Europea ha declarado que la excepción se interpreta de manera restrictiva y sólo cubre lo que se deriva </w:t>
      </w:r>
      <w:r>
        <w:rPr>
          <w:rFonts w:ascii="Calibri" w:cs="Calibri" w:eastAsia="Calibri" w:hAnsi="Calibri"/>
          <w:b/>
          <w:bCs/>
          <w:sz w:val="21"/>
          <w:szCs w:val="21"/>
        </w:rPr>
        <w:t xml:space="preserve">inevitablemente</w:t>
      </w:r>
      <w:r>
        <w:rPr>
          <w:rFonts w:ascii="Calibri" w:cs="Calibri" w:eastAsia="Calibri" w:hAnsi="Calibri"/>
          <w:sz w:val="21"/>
          <w:szCs w:val="21"/>
        </w:rPr>
        <w:t xml:space="preserve"> del objeto (STJUE de 16 de enero de 2025, asunto C-424/23, </w:t>
      </w:r>
      <w:r>
        <w:rPr>
          <w:rFonts w:ascii="Calibri" w:cs="Calibri" w:eastAsia="Calibri" w:hAnsi="Calibri"/>
          <w:i/>
          <w:iCs/>
          <w:sz w:val="21"/>
          <w:szCs w:val="21"/>
        </w:rPr>
        <w:t xml:space="preserve">DYKA Plastics NV c. Fluvius System Operator CV</w:t>
      </w:r>
      <w:r>
        <w:rPr>
          <w:rFonts w:ascii="Calibri" w:cs="Calibri" w:eastAsia="Calibri" w:hAnsi="Calibri"/>
          <w:sz w:val="21"/>
          <w:szCs w:val="21"/>
        </w:rPr>
        <w:t xml:space="preserve">, ap. 53), y que el remedio correcto es mencionar el producto añadiendo «o equivalente», lo que da al operador «la posibilidad de demostrar la equivalencia» (ap. 61). La misma jurisprudencia convierte en </w:t>
      </w:r>
      <w:r>
        <w:rPr>
          <w:rFonts w:ascii="Calibri" w:cs="Calibri" w:eastAsia="Calibri" w:hAnsi="Calibri"/>
          <w:b/>
          <w:bCs/>
          <w:sz w:val="21"/>
          <w:szCs w:val="21"/>
        </w:rPr>
        <w:t xml:space="preserve">obligación del pliego</w:t>
      </w:r>
      <w:r>
        <w:rPr>
          <w:rFonts w:ascii="Calibri" w:cs="Calibri" w:eastAsia="Calibri" w:hAnsi="Calibri"/>
          <w:sz w:val="21"/>
          <w:szCs w:val="21"/>
        </w:rPr>
        <w:t xml:space="preserve">, y no en facultad, establecer el trámite de prueba: «el poder adjudicador debe exigir que el licitador aporte, ya en su oferta, la prueba de la equivalencia» (STJUE de 12 de julio de 2018, asunto C-14/17, </w:t>
      </w:r>
      <w:r>
        <w:rPr>
          <w:rFonts w:ascii="Calibri" w:cs="Calibri" w:eastAsia="Calibri" w:hAnsi="Calibri"/>
          <w:i/>
          <w:iCs/>
          <w:sz w:val="21"/>
          <w:szCs w:val="21"/>
        </w:rPr>
        <w:t xml:space="preserve">VAR Srl y ATM c. Iveco Orecchia</w:t>
      </w:r>
      <w:r>
        <w:rPr>
          <w:rFonts w:ascii="Calibri" w:cs="Calibri" w:eastAsia="Calibri" w:hAnsi="Calibri"/>
          <w:sz w:val="21"/>
          <w:szCs w:val="21"/>
        </w:rPr>
        <w:t xml:space="preserve">, fallo). </w:t>
      </w:r>
      <w:r>
        <w:rPr>
          <w:rFonts w:ascii="Calibri" w:cs="Calibri" w:eastAsia="Calibri" w:hAnsi="Calibri"/>
          <w:b/>
          <w:bCs/>
          <w:sz w:val="21"/>
          <w:szCs w:val="21"/>
        </w:rPr>
        <w:t xml:space="preserve">Precisión obligada sobre esta última cita:</w:t>
      </w:r>
      <w:r>
        <w:rPr>
          <w:rFonts w:ascii="Calibri" w:cs="Calibri" w:eastAsia="Calibri" w:hAnsi="Calibri"/>
          <w:sz w:val="21"/>
          <w:szCs w:val="21"/>
        </w:rPr>
        <w:t xml:space="preserve"> la sentencia interpreta el artículo 34, apartado 8, de la Directiva 2004/17/CE —sectores del agua, la energía, los transportes y los servicios postales, hoy derogada— y aquí se traslada por analogía para fundar el trámite del artículo 126.6 LCSP. Conviene escribirlo, porque es la primera objeción que formulará el letrado del licitador.</w:t>
      </w:r>
    </w:p>
    <w:p>
      <w:pPr>
        <w:spacing w:after="140" w:line="276"/>
      </w:pPr>
      <w:r>
        <w:rPr>
          <w:rFonts w:ascii="Calibri" w:cs="Calibri" w:eastAsia="Calibri" w:hAnsi="Calibri"/>
          <w:sz w:val="21"/>
          <w:szCs w:val="21"/>
        </w:rPr>
        <w:t xml:space="preserve">El riesgo que esta cláusula cubre va en las dos direcciones. Un pliego es atacable por restrictivo, pero también por dejar la equivalencia indefinida: sin parámetros, cualquier rechazo de un equivalente es arbitrario, y el órgano queda con la libertad de decisión ilimitada que el artículo 145.5.b) LCSP prohíbe.</w:t>
      </w:r>
    </w:p>
    <w:p>
      <w:pPr>
        <w:spacing w:after="140" w:line="276"/>
      </w:pPr>
      <w:r>
        <w:rPr>
          <w:rFonts w:ascii="Calibri" w:cs="Calibri" w:eastAsia="Calibri" w:hAnsi="Calibri"/>
          <w:b/>
          <w:bCs/>
          <w:sz w:val="21"/>
          <w:szCs w:val="21"/>
        </w:rPr>
        <w:t xml:space="preserve">Sobre la procedencia de la definición del apartado 3 y sobre lo que no debe afirmarse.</w:t>
      </w:r>
      <w:r>
        <w:rPr>
          <w:rFonts w:ascii="Calibri" w:cs="Calibri" w:eastAsia="Calibri" w:hAnsi="Calibri"/>
          <w:sz w:val="21"/>
          <w:szCs w:val="21"/>
        </w:rPr>
        <w:t xml:space="preserve"> La estructura de tres condiciones acumulativas procede del pliego de prescripciones técnicas del Sistema Dinámico de Adquisición 25/2022 de la Comunidad de Madrid, aplicado y no impugnado, y aparece reproducida en la </w:t>
      </w:r>
      <w:r>
        <w:rPr>
          <w:rFonts w:ascii="Calibri" w:cs="Calibri" w:eastAsia="Calibri" w:hAnsi="Calibri"/>
          <w:b/>
          <w:bCs/>
          <w:sz w:val="21"/>
          <w:szCs w:val="21"/>
        </w:rPr>
        <w:t xml:space="preserve">Resolución 535/2025, de 18 de diciembre de 2025, del Tribunal Administrativo de Contratación Pública de la Comunidad de Madrid (recurso 526/2025)</w:t>
      </w:r>
      <w:r>
        <w:rPr>
          <w:rFonts w:ascii="Calibri" w:cs="Calibri" w:eastAsia="Calibri" w:hAnsi="Calibri"/>
          <w:sz w:val="21"/>
          <w:szCs w:val="21"/>
        </w:rPr>
        <w:t xml:space="preserve"> — </w:t>
      </w:r>
      <w:hyperlink w:history="1" r:id="rIdio8_dthzd70oobkkchabh">
        <w:r>
          <w:rPr>
            <w:rFonts w:ascii="Calibri" w:cs="Calibri" w:eastAsia="Calibri" w:hAnsi="Calibri"/>
            <w:color w:val="2F5496"/>
            <w:sz w:val="21"/>
            <w:szCs w:val="21"/>
            <w:u w:val="single"/>
          </w:rPr>
          <w:t xml:space="preserve">PDF</w:t>
        </w:r>
      </w:hyperlink>
      <w:r>
        <w:rPr>
          <w:rFonts w:ascii="Calibri" w:cs="Calibri" w:eastAsia="Calibri" w:hAnsi="Calibri"/>
          <w:sz w:val="21"/>
          <w:szCs w:val="21"/>
        </w:rPr>
        <w:t xml:space="preserve">. Esa resolución es </w:t>
      </w:r>
      <w:r>
        <w:rPr>
          <w:rFonts w:ascii="Calibri" w:cs="Calibri" w:eastAsia="Calibri" w:hAnsi="Calibri"/>
          <w:b/>
          <w:bCs/>
          <w:sz w:val="21"/>
          <w:szCs w:val="21"/>
        </w:rPr>
        <w:t xml:space="preserve">desestimatoria</w:t>
      </w:r>
      <w:r>
        <w:rPr>
          <w:rFonts w:ascii="Calibri" w:cs="Calibri" w:eastAsia="Calibri" w:hAnsi="Calibri"/>
          <w:sz w:val="21"/>
          <w:szCs w:val="21"/>
        </w:rPr>
        <w:t xml:space="preserve"> y no contiene pronunciamiento alguno que declare conforme a Derecho la definición: resuelve por discrecionalidad técnica. </w:t>
      </w:r>
      <w:r>
        <w:rPr>
          <w:rFonts w:ascii="Calibri" w:cs="Calibri" w:eastAsia="Calibri" w:hAnsi="Calibri"/>
          <w:b/>
          <w:bCs/>
          <w:sz w:val="21"/>
          <w:szCs w:val="21"/>
        </w:rPr>
        <w:t xml:space="preserve">No debe escribirse, ni en el pliego ni en la memoria, que la definición esté convalidada o avalada por el Tribunal.</w:t>
      </w:r>
      <w:r>
        <w:rPr>
          <w:rFonts w:ascii="Calibri" w:cs="Calibri" w:eastAsia="Calibri" w:hAnsi="Calibri"/>
          <w:sz w:val="21"/>
          <w:szCs w:val="21"/>
        </w:rPr>
        <w:t xml:space="preserve"> Lo que la resolución sí resuelve, y sirve, es que la carga de probar la equivalencia recae sobre el licitador: «deberá ser el licitador quien demuestre que su producto o servicio es equivalente al solicitado». Es doctrina general trasladable por analogía, no doctrina sobre este clausulado, del que no existe ninguna.</w:t>
      </w:r>
    </w:p>
    <w:p>
      <w:pPr>
        <w:spacing w:after="140" w:line="276"/>
      </w:pPr>
      <w:r>
        <w:rPr>
          <w:rFonts w:ascii="Calibri" w:cs="Calibri" w:eastAsia="Calibri" w:hAnsi="Calibri"/>
          <w:b/>
          <w:bCs/>
          <w:sz w:val="21"/>
          <w:szCs w:val="21"/>
        </w:rPr>
        <w:t xml:space="preserve">Advertencia sobre la tercera condición, y por qué aquí está redactada de otro modo.</w:t>
      </w:r>
      <w:r>
        <w:rPr>
          <w:rFonts w:ascii="Calibri" w:cs="Calibri" w:eastAsia="Calibri" w:hAnsi="Calibri"/>
          <w:sz w:val="21"/>
          <w:szCs w:val="21"/>
        </w:rPr>
        <w:t xml:space="preserve"> En su formulación de origen, la tercera condición exige que la solución equivalente no suponga «ningún sobrecoste ni sobreesfuerzo con respecto al producto solicitado». Nació en un contrato de </w:t>
      </w:r>
      <w:r>
        <w:rPr>
          <w:rFonts w:ascii="Calibri" w:cs="Calibri" w:eastAsia="Calibri" w:hAnsi="Calibri"/>
          <w:b/>
          <w:bCs/>
          <w:sz w:val="21"/>
          <w:szCs w:val="21"/>
        </w:rPr>
        <w:t xml:space="preserve">continuidad de un sistema ya implantado</w:t>
      </w:r>
      <w:r>
        <w:rPr>
          <w:rFonts w:ascii="Calibri" w:cs="Calibri" w:eastAsia="Calibri" w:hAnsi="Calibri"/>
          <w:sz w:val="21"/>
          <w:szCs w:val="21"/>
        </w:rPr>
        <w:t xml:space="preserve">, y en ese contexto es razonable. Trasplantada sin más a una licitación abierta produce el efecto contrario al buscado: toda alternativa al producto de referencia implica algún esfuerzo de migración, de modo que la condición garantiza que gane el producto de referencia. Por eso el apartado 3.c) se redacta aquí midiendo el sobrecoste </w:t>
      </w:r>
      <w:r>
        <w:rPr>
          <w:rFonts w:ascii="Calibri" w:cs="Calibri" w:eastAsia="Calibri" w:hAnsi="Calibri"/>
          <w:b/>
          <w:bCs/>
          <w:sz w:val="21"/>
          <w:szCs w:val="21"/>
        </w:rPr>
        <w:t xml:space="preserve">respecto de lo que el propio pliego prevé y presupuesta</w:t>
      </w:r>
      <w:r>
        <w:rPr>
          <w:rFonts w:ascii="Calibri" w:cs="Calibri" w:eastAsia="Calibri" w:hAnsi="Calibri"/>
          <w:sz w:val="21"/>
          <w:szCs w:val="21"/>
        </w:rPr>
        <w:t xml:space="preserve">, y excluyendo expresamente del cómputo los trabajos que corresponden al adjudicatario. La versión de origen sólo puede utilizarse cuando el objeto sea la continuidad o ampliación de un sistema ya implantado y la memoria del expediente lo justifique; en ese caso, sustitúyase la letra c) por: «</w:t>
      </w:r>
      <w:r>
        <w:rPr>
          <w:rFonts w:ascii="Calibri" w:cs="Calibri" w:eastAsia="Calibri" w:hAnsi="Calibri"/>
          <w:i/>
          <w:iCs/>
          <w:sz w:val="21"/>
          <w:szCs w:val="21"/>
        </w:rPr>
        <w:t xml:space="preserve">la instalación, configuración y puesta en marcha de la solución ofertada no suponen sobrecoste ni sobreesfuerzo respecto de las de la solución citada</w:t>
      </w:r>
      <w:r>
        <w:rPr>
          <w:rFonts w:ascii="Calibri" w:cs="Calibri" w:eastAsia="Calibri" w:hAnsi="Calibri"/>
          <w:sz w:val="21"/>
          <w:szCs w:val="21"/>
        </w:rPr>
        <w:t xml:space="preserve">», y hágase constar en la memoria la razón de la continuidad.</w:t>
      </w:r>
    </w:p>
    <w:p>
      <w:pPr>
        <w:pStyle w:val="Heading3"/>
        <w:keepNext/>
        <w:spacing w:after="140" w:before="320"/>
      </w:pPr>
      <w:r>
        <w:rPr>
          <w:rFonts w:ascii="Georgia" w:cs="Georgia" w:eastAsia="Georgia" w:hAnsi="Georgia"/>
          <w:b/>
          <w:bCs/>
          <w:color w:val="2F5496"/>
          <w:sz w:val="22"/>
          <w:szCs w:val="22"/>
        </w:rPr>
        <w:t xml:space="preserve">4. Cómo se acredita</w:t>
      </w:r>
    </w:p>
    <w:p>
      <w:pPr>
        <w:spacing w:after="140" w:line="276"/>
      </w:pPr>
      <w:r>
        <w:rPr>
          <w:rFonts w:ascii="Calibri" w:cs="Calibri" w:eastAsia="Calibri" w:hAnsi="Calibri"/>
          <w:sz w:val="21"/>
          <w:szCs w:val="21"/>
        </w:rPr>
        <w:t xml:space="preserve">En el momento de la oferta, y sólo por el licitador que oferte un equivalente: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Medio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Contenido mínimo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técnico del fabricante o del propio licitador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Correspondencia función a función con las exigidas en la prescripción, firmada por técnico competente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Certificado de organismo de evaluación de la conformidad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Cuando exista norma o esquema aplicable; se admiten los de cualquier Estado miembro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Documentación técnica de interfaces y de formatos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Especificación publicada, versión y modelo de datos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Informes de ensayo o resultados de pruebas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Cuando la equivalencia se refiera a rendimiento medible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Otros medios adecuados (art. 128.2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cuando el licitador acredite que no tiene acceso a los anteriores por causa no imputable a él</w:t>
            </w:r>
          </w:p>
        </w:tc>
      </w:tr>
    </w:tbl>
    <w:p>
      <w:pPr>
        <w:spacing w:after="200"/>
      </w:pPr>
    </w:p>
    <w:p>
      <w:pPr>
        <w:spacing w:after="140" w:line="276"/>
      </w:pPr>
      <w:r>
        <w:rPr>
          <w:rFonts w:ascii="Calibri" w:cs="Calibri" w:eastAsia="Calibri" w:hAnsi="Calibri"/>
          <w:sz w:val="21"/>
          <w:szCs w:val="21"/>
        </w:rPr>
        <w:t xml:space="preserve">La declaración responsable no acredita equivalencia. Lo que la acredita es el documento técnico.</w:t>
      </w:r>
    </w:p>
    <w:p>
      <w:pPr>
        <w:pStyle w:val="Heading3"/>
        <w:keepNext/>
        <w:spacing w:after="140" w:before="320"/>
      </w:pPr>
      <w:r>
        <w:rPr>
          <w:rFonts w:ascii="Georgia" w:cs="Georgia" w:eastAsia="Georgia" w:hAnsi="Georgia"/>
          <w:b/>
          <w:bCs/>
          <w:color w:val="2F5496"/>
          <w:sz w:val="22"/>
          <w:szCs w:val="22"/>
        </w:rPr>
        <w:t xml:space="preserve">5. Cómo se verifica</w:t>
      </w:r>
    </w:p>
    <w:p>
      <w:pPr>
        <w:spacing w:after="140" w:line="276"/>
      </w:pPr>
      <w:r>
        <w:rPr>
          <w:rFonts w:ascii="Calibri" w:cs="Calibri" w:eastAsia="Calibri" w:hAnsi="Calibri"/>
          <w:b/>
          <w:bCs/>
          <w:sz w:val="21"/>
          <w:szCs w:val="21"/>
        </w:rPr>
        <w:t xml:space="preserve">Quién:</w:t>
      </w:r>
      <w:r>
        <w:rPr>
          <w:rFonts w:ascii="Calibri" w:cs="Calibri" w:eastAsia="Calibri" w:hAnsi="Calibri"/>
          <w:sz w:val="21"/>
          <w:szCs w:val="21"/>
        </w:rPr>
        <w:t xml:space="preserve"> el servicio técnico municipal proponente del PPT, en informe técnico dirigido a la mesa de contratación.</w:t>
      </w:r>
    </w:p>
    <w:p>
      <w:pPr>
        <w:spacing w:after="140" w:line="276"/>
      </w:pPr>
      <w:r>
        <w:rPr>
          <w:rFonts w:ascii="Calibri" w:cs="Calibri" w:eastAsia="Calibri" w:hAnsi="Calibri"/>
          <w:b/>
          <w:bCs/>
          <w:sz w:val="21"/>
          <w:szCs w:val="21"/>
        </w:rPr>
        <w:t xml:space="preserve">Cuándo:</w:t>
      </w:r>
      <w:r>
        <w:rPr>
          <w:rFonts w:ascii="Calibri" w:cs="Calibri" w:eastAsia="Calibri" w:hAnsi="Calibri"/>
          <w:sz w:val="21"/>
          <w:szCs w:val="21"/>
        </w:rPr>
        <w:t xml:space="preserve"> en el trámite de calificación de la documentación técnica, antes de la valoración.</w:t>
      </w:r>
    </w:p>
    <w:p>
      <w:pPr>
        <w:spacing w:after="140" w:line="276"/>
      </w:pPr>
      <w:r>
        <w:rPr>
          <w:rFonts w:ascii="Calibri" w:cs="Calibri" w:eastAsia="Calibri" w:hAnsi="Calibri"/>
          <w:b/>
          <w:bCs/>
          <w:sz w:val="21"/>
          <w:szCs w:val="21"/>
        </w:rPr>
        <w:t xml:space="preserve">Con qué documento:</w:t>
      </w:r>
      <w:r>
        <w:rPr>
          <w:rFonts w:ascii="Calibri" w:cs="Calibri" w:eastAsia="Calibri" w:hAnsi="Calibri"/>
          <w:sz w:val="21"/>
          <w:szCs w:val="21"/>
        </w:rPr>
        <w:t xml:space="preserve"> informe técnico de apreciación de la equivalencia, que se incorpora al expediente y se notifica motivadamente al licitador si es de rechazo.</w:t>
      </w:r>
    </w:p>
    <w:p>
      <w:pPr>
        <w:spacing w:after="140" w:line="276"/>
      </w:pPr>
      <w:r>
        <w:rPr>
          <w:rFonts w:ascii="Calibri" w:cs="Calibri" w:eastAsia="Calibri" w:hAnsi="Calibri"/>
          <w:b/>
          <w:bCs/>
          <w:sz w:val="21"/>
          <w:szCs w:val="21"/>
        </w:rPr>
        <w:t xml:space="preserve">Carga estimada al año</w:t>
      </w:r>
      <w:r>
        <w:rPr>
          <w:rFonts w:ascii="Calibri" w:cs="Calibri" w:eastAsia="Calibri" w:hAnsi="Calibri"/>
          <w:sz w:val="21"/>
          <w:szCs w:val="21"/>
        </w:rPr>
        <w:t xml:space="preserve"> </w:t>
      </w:r>
      <w:r>
        <w:rPr>
          <w:rFonts w:ascii="Calibri" w:cs="Calibri" w:eastAsia="Calibri" w:hAnsi="Calibri"/>
          <w:i/>
          <w:iCs/>
          <w:sz w:val="21"/>
          <w:szCs w:val="21"/>
        </w:rPr>
        <w:t xml:space="preserve">(estimación orientativa, a ajustar por el servicio municipal)</w:t>
      </w:r>
      <w:r>
        <w:rPr>
          <w:rFonts w:ascii="Calibri" w:cs="Calibri" w:eastAsia="Calibri" w:hAnsi="Calibri"/>
          <w:sz w:val="21"/>
          <w:szCs w:val="21"/>
        </w:rPr>
        <w:t xml:space="preserve">: no genera carga en ejecución. En licitación, entre 1 y 3 horas por oferta que invoque equivalencia. En un servicio con [X; se recomienda 6] licitaciones tecnológicas al año y una media de una oferta con equivalente por licitación, entre </w:t>
      </w:r>
      <w:r>
        <w:rPr>
          <w:rFonts w:ascii="Calibri" w:cs="Calibri" w:eastAsia="Calibri" w:hAnsi="Calibri"/>
          <w:b/>
          <w:bCs/>
          <w:sz w:val="21"/>
          <w:szCs w:val="21"/>
        </w:rPr>
        <w:t xml:space="preserve">6 y 18 horas al año</w:t>
      </w:r>
      <w:r>
        <w:rPr>
          <w:rFonts w:ascii="Calibri" w:cs="Calibri" w:eastAsia="Calibri" w:hAnsi="Calibri"/>
          <w:sz w:val="21"/>
          <w:szCs w:val="21"/>
        </w:rPr>
        <w:t xml:space="preserve">.</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spacing w:after="140" w:line="276"/>
      </w:pPr>
      <w:r>
        <w:rPr>
          <w:rFonts w:ascii="Calibri" w:cs="Calibri" w:eastAsia="Calibri" w:hAnsi="Calibri"/>
          <w:sz w:val="21"/>
          <w:szCs w:val="21"/>
        </w:rPr>
        <w:t xml:space="preserve">No procede: DT-0·v3 no impone obligaciones al contratista, sino que regula cómo se leen las demás prescripciones y cómo se prueba y se rechaza una alternativa. </w:t>
      </w:r>
      <w:r>
        <w:rPr>
          <w:rFonts w:ascii="Calibri" w:cs="Calibri" w:eastAsia="Calibri" w:hAnsi="Calibri"/>
          <w:b/>
          <w:bCs/>
          <w:sz w:val="21"/>
          <w:szCs w:val="21"/>
        </w:rPr>
        <w:t xml:space="preserve">Obligación esencial: NO PROCEDE.</w:t>
      </w:r>
    </w:p>
    <w:p>
      <w:pPr>
        <w:spacing w:after="140" w:line="276"/>
      </w:pPr>
      <w:r>
        <w:rPr>
          <w:rFonts w:ascii="Calibri" w:cs="Calibri" w:eastAsia="Calibri" w:hAnsi="Calibri"/>
          <w:sz w:val="21"/>
          <w:szCs w:val="21"/>
        </w:rPr>
        <w:t xml:space="preserve">La consecuencia de no aportar la prueba del apartado 4 es la que resulta del régimen general: la oferta se valora conforme a la prescripción del pliego, y la solución alternativa no acreditada no se tiene por equivalente. Esa consecuencia debe estar escrita en el PCAP, no aquí.</w:t>
      </w: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b/>
          <w:bCs/>
          <w:sz w:val="21"/>
          <w:szCs w:val="21"/>
        </w:rPr>
        <w:t xml:space="preserve">Nunca se marca NO APLICA cuando el PPT cite un estándar, red, protocolo, producto o metodología.</w:t>
      </w:r>
      <w:r>
        <w:rPr>
          <w:rFonts w:ascii="Calibri" w:cs="Calibri" w:eastAsia="Calibri" w:hAnsi="Calibri"/>
          <w:sz w:val="21"/>
          <w:szCs w:val="21"/>
        </w:rPr>
        <w:t xml:space="preserve"> Es la única cláusula de esta Parte que no admite exclusión si concurre su presupuesto.</w:t>
      </w:r>
    </w:p>
    <w:p>
      <w:pPr>
        <w:pStyle w:val="ListParagraph"/>
        <w:numPr>
          <w:ilvl w:val="0"/>
          <w:numId w:val="1"/>
        </w:numPr>
        <w:spacing w:after="70" w:line="268"/>
      </w:pPr>
      <w:r>
        <w:rPr>
          <w:rFonts w:ascii="Calibri" w:cs="Calibri" w:eastAsia="Calibri" w:hAnsi="Calibri"/>
          <w:sz w:val="21"/>
          <w:szCs w:val="21"/>
        </w:rPr>
        <w:t xml:space="preserve">Puede omitirse en un PPT que no contenga ninguna cita de ese tipo —lo que es poco frecuente en contratos tecnológicos y conviene comprobar antes de omitirla.</w:t>
      </w:r>
    </w:p>
    <w:p>
      <w:pPr>
        <w:pStyle w:val="ListParagraph"/>
        <w:numPr>
          <w:ilvl w:val="0"/>
          <w:numId w:val="1"/>
        </w:numPr>
        <w:spacing w:after="70" w:line="268"/>
      </w:pPr>
      <w:r>
        <w:rPr>
          <w:rFonts w:ascii="Calibri" w:cs="Calibri" w:eastAsia="Calibri" w:hAnsi="Calibri"/>
          <w:sz w:val="21"/>
          <w:szCs w:val="21"/>
        </w:rPr>
        <w:t xml:space="preserve">El apartado 7 (excepción de los servicios comunes) se omite cuando el contrato no exija integración con ninguna plataforma común de utilización obligatoria.</w:t>
      </w:r>
    </w:p>
    <w:p>
      <w:pPr>
        <w:pStyle w:val="ListParagraph"/>
        <w:numPr>
          <w:ilvl w:val="0"/>
          <w:numId w:val="1"/>
        </w:numPr>
        <w:spacing w:after="70" w:line="268"/>
      </w:pPr>
      <w:r>
        <w:rPr>
          <w:rFonts w:ascii="Calibri" w:cs="Calibri" w:eastAsia="Calibri" w:hAnsi="Calibri"/>
          <w:sz w:val="21"/>
          <w:szCs w:val="21"/>
        </w:rPr>
        <w:t xml:space="preserve">Contratos menores: no hay pliego y la cláusula no se incorpora, pero </w:t>
      </w:r>
      <w:r>
        <w:rPr>
          <w:rFonts w:ascii="Calibri" w:cs="Calibri" w:eastAsia="Calibri" w:hAnsi="Calibri"/>
          <w:b/>
          <w:bCs/>
          <w:sz w:val="21"/>
          <w:szCs w:val="21"/>
        </w:rPr>
        <w:t xml:space="preserve">sí cabe en el encargo o en la aceptación de oferta la mención «o equivalente» y el trámite de prueba</w:t>
      </w:r>
      <w:r>
        <w:rPr>
          <w:rFonts w:ascii="Calibri" w:cs="Calibri" w:eastAsia="Calibri" w:hAnsi="Calibri"/>
          <w:sz w:val="21"/>
          <w:szCs w:val="21"/>
        </w:rPr>
        <w:t xml:space="preserve">, si el encargo cita un producto, protocolo o norma. Es la letra e) de la lista cerrada de la Parte V, §7.1, que es la fuente única para este supuesto.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II.2 · DT-1·v3 — Incorporación de IA, IA generativa y agentes de IA</w:t>
      </w:r>
    </w:p>
    <w:p>
      <w:pPr>
        <w:spacing w:after="140" w:line="276"/>
      </w:pPr>
      <w:r>
        <w:rPr>
          <w:rFonts w:ascii="Calibri" w:cs="Calibri" w:eastAsia="Calibri" w:hAnsi="Calibri"/>
          <w:i/>
          <w:iCs/>
          <w:sz w:val="21"/>
          <w:szCs w:val="21"/>
        </w:rPr>
        <w:t xml:space="preserve">(Reescrita. Se suprime la facultad abierta de requerir lo «necesario o conveniente». Se incorpora el reparto de papeles entre proveedor y responsable del despliegue, y el bloque de decisiones automatizadas, hoy ausente y primero que busca un secretario.)</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DT-1. Sistemas de inteligencia artificial: clasificación, obligaciones y reparto de papeles.</w:t>
            </w:r>
          </w:p>
          <w:p>
            <w:pPr>
              <w:spacing w:after="100" w:line="264"/>
            </w:pPr>
            <w:r>
              <w:rPr>
                <w:rFonts w:ascii="Georgia" w:cs="Georgia" w:eastAsia="Georgia" w:hAnsi="Georgia"/>
                <w:b/>
                <w:bCs/>
                <w:sz w:val="20"/>
                <w:szCs w:val="20"/>
              </w:rPr>
              <w:t xml:space="preserve">1. Ámbito.</w:t>
            </w:r>
            <w:r>
              <w:rPr>
                <w:rFonts w:ascii="Georgia" w:cs="Georgia" w:eastAsia="Georgia" w:hAnsi="Georgia"/>
                <w:sz w:val="20"/>
                <w:szCs w:val="20"/>
              </w:rPr>
              <w:t xml:space="preserve"> Esta cláusula se aplica a los sistemas de inteligencia artificial que el adjudicatario emplee o entregue en ejecución del contrato, y a las funcionalidades de la solución basadas en tales sistemas. Las referencias al Reglamento (UE) 2024/1689 se entienden hechas </w:t>
            </w:r>
            <w:r>
              <w:rPr>
                <w:rFonts w:ascii="Georgia" w:cs="Georgia" w:eastAsia="Georgia" w:hAnsi="Georgia"/>
                <w:b/>
                <w:bCs/>
                <w:sz w:val="20"/>
                <w:szCs w:val="20"/>
              </w:rPr>
              <w:t xml:space="preserve">en su redacción vigente</w:t>
            </w:r>
            <w:r>
              <w:rPr>
                <w:rFonts w:ascii="Georgia" w:cs="Georgia" w:eastAsia="Georgia" w:hAnsi="Georgia"/>
                <w:sz w:val="20"/>
                <w:szCs w:val="20"/>
              </w:rPr>
              <w:t xml:space="preserve">. El calendario de exigibilidad de cada obligación consta en el Anexo de Vigencia Normativa de este pliego, que distingue entre obligación legal ya exigible en la fecha de la licitación y exigencia contractual anticipada por el Ayuntamiento.</w:t>
            </w:r>
          </w:p>
          <w:p>
            <w:pPr>
              <w:spacing w:after="100" w:line="264"/>
            </w:pPr>
            <w:r>
              <w:rPr>
                <w:rFonts w:ascii="Georgia" w:cs="Georgia" w:eastAsia="Georgia" w:hAnsi="Georgia"/>
                <w:b/>
                <w:bCs/>
                <w:sz w:val="20"/>
                <w:szCs w:val="20"/>
              </w:rPr>
              <w:t xml:space="preserve">2. Inventario y clasificación.</w:t>
            </w:r>
            <w:r>
              <w:rPr>
                <w:rFonts w:ascii="Georgia" w:cs="Georgia" w:eastAsia="Georgia" w:hAnsi="Georgia"/>
                <w:sz w:val="20"/>
                <w:szCs w:val="20"/>
              </w:rPr>
              <w:t xml:space="preserve"> El licitador relacionará en su oferta los sistemas de inteligencia artificial que intervendrán en la prestación, indicando para cada uno su finalidad, su proveedor, si actúa como proveedor o como distribuidor de dicho sistema, y su clasificación conforme al Reglamento (UE) 2024/1689. El adjudicatario mantendrá esa relación actualizada durante toda la vigencia del contrato y de sus prórrogas, y comunicará al responsable del contrato, con una antelación mínima de [X; se recomienda 30] días naturales, cualquier cambio que pueda alterar la clasificación de riesgo de un sistema.</w:t>
            </w:r>
          </w:p>
          <w:p>
            <w:pPr>
              <w:spacing w:after="100" w:line="264"/>
            </w:pPr>
            <w:r>
              <w:rPr>
                <w:rFonts w:ascii="Georgia" w:cs="Georgia" w:eastAsia="Georgia" w:hAnsi="Georgia"/>
                <w:b/>
                <w:bCs/>
                <w:sz w:val="20"/>
                <w:szCs w:val="20"/>
              </w:rPr>
              <w:t xml:space="preserve">3. Prácticas prohibidas.</w:t>
            </w:r>
            <w:r>
              <w:rPr>
                <w:rFonts w:ascii="Georgia" w:cs="Georgia" w:eastAsia="Georgia" w:hAnsi="Georgia"/>
                <w:sz w:val="20"/>
                <w:szCs w:val="20"/>
              </w:rPr>
              <w:t xml:space="preserve"> Queda prohibido el empleo, en la ejecución del contrato, de sistemas o usos de inteligencia artificial incursos en las prácticas prohibidas del Reglamento (UE) 2024/1689 en su redacción vigente. Esta obligación es exigible desde la formalización del contrato.</w:t>
            </w:r>
          </w:p>
          <w:p>
            <w:pPr>
              <w:spacing w:after="100" w:line="264"/>
            </w:pPr>
            <w:r>
              <w:rPr>
                <w:rFonts w:ascii="Georgia" w:cs="Georgia" w:eastAsia="Georgia" w:hAnsi="Georgia"/>
                <w:b/>
                <w:bCs/>
                <w:sz w:val="20"/>
                <w:szCs w:val="20"/>
              </w:rPr>
              <w:t xml:space="preserve">4. Transparencia.</w:t>
            </w:r>
            <w:r>
              <w:rPr>
                <w:rFonts w:ascii="Georgia" w:cs="Georgia" w:eastAsia="Georgia" w:hAnsi="Georgia"/>
                <w:sz w:val="20"/>
                <w:szCs w:val="20"/>
              </w:rPr>
              <w:t xml:space="preserve"> Cuando la solución interactúe con personas físicas o genere contenido sintético de audio, imagen, vídeo o texto, el adjudicatario garantizará el cumplimiento de las obligaciones de transparencia y de marcado de contenido que resulten exigibles conforme al Reglamento (UE) 2024/1689 en su redacción vigente y al Anexo de Vigencia Normativa de este pliego.</w:t>
            </w:r>
          </w:p>
          <w:p>
            <w:pPr>
              <w:spacing w:after="100" w:line="264"/>
            </w:pPr>
            <w:r>
              <w:rPr>
                <w:rFonts w:ascii="Georgia" w:cs="Georgia" w:eastAsia="Georgia" w:hAnsi="Georgia"/>
                <w:b/>
                <w:bCs/>
                <w:sz w:val="20"/>
                <w:szCs w:val="20"/>
              </w:rPr>
              <w:t xml:space="preserve">5. Alto riesgo.</w:t>
            </w:r>
            <w:r>
              <w:rPr>
                <w:rFonts w:ascii="Georgia" w:cs="Georgia" w:eastAsia="Georgia" w:hAnsi="Georgia"/>
                <w:sz w:val="20"/>
                <w:szCs w:val="20"/>
              </w:rPr>
              <w:t xml:space="preserve"> Cuando un sistema tenga la consideración de alto riesgo, el adjudicatario garantizará, en su condición de proveedor o respecto del proveedor del que sea distribuidor, el cumplimiento de las obligaciones que le correspondan conforme al Reglamento (UE) 2024/1689 en su redacción vigente y en los plazos del Anexo de Vigencia Normativa: sistema de gestión de riesgos, gobernanza y calidad de los datos, documentación técnica y registros, transparencia e información a las personas usuarias, supervisión humana, y niveles adecuados de exactitud, solidez y ciberseguridad.</w:t>
            </w:r>
          </w:p>
          <w:p>
            <w:pPr>
              <w:spacing w:after="100" w:line="264"/>
            </w:pPr>
            <w:r>
              <w:rPr>
                <w:rFonts w:ascii="Georgia" w:cs="Georgia" w:eastAsia="Georgia" w:hAnsi="Georgia"/>
                <w:b/>
                <w:bCs/>
                <w:sz w:val="20"/>
                <w:szCs w:val="20"/>
              </w:rPr>
              <w:t xml:space="preserve">6. Reparto de papeles.</w:t>
            </w:r>
            <w:r>
              <w:rPr>
                <w:rFonts w:ascii="Georgia" w:cs="Georgia" w:eastAsia="Georgia" w:hAnsi="Georgia"/>
                <w:sz w:val="20"/>
                <w:szCs w:val="20"/>
              </w:rPr>
              <w:t xml:space="preserve"> El Ayuntamiento actúa como </w:t>
            </w:r>
            <w:r>
              <w:rPr>
                <w:rFonts w:ascii="Georgia" w:cs="Georgia" w:eastAsia="Georgia" w:hAnsi="Georgia"/>
                <w:b/>
                <w:bCs/>
                <w:sz w:val="20"/>
                <w:szCs w:val="20"/>
              </w:rPr>
              <w:t xml:space="preserve">responsable del despliegue</w:t>
            </w:r>
            <w:r>
              <w:rPr>
                <w:rFonts w:ascii="Georgia" w:cs="Georgia" w:eastAsia="Georgia" w:hAnsi="Georgia"/>
                <w:sz w:val="20"/>
                <w:szCs w:val="20"/>
              </w:rPr>
              <w:t xml:space="preserve">. Le corresponden de forma indelegable las obligaciones que el Reglamento (UE) 2024/1689 atribuye a esa condición, y en particular el uso conforme a las instrucciones, la encomienda de la supervisión humana a personas con la competencia, la formación y la autoridad necesarias, la pertinencia de los datos de entrada, la vigilancia del funcionamiento y la suspensión del uso ante riesgo, la conservación de los archivos de registro, la obligación de registro que corresponde a las autoridades públicas y, cuando proceda, la evaluación de impacto en los derechos fundamentales. </w:t>
            </w:r>
            <w:r>
              <w:rPr>
                <w:rFonts w:ascii="Georgia" w:cs="Georgia" w:eastAsia="Georgia" w:hAnsi="Georgia"/>
                <w:b/>
                <w:bCs/>
                <w:sz w:val="20"/>
                <w:szCs w:val="20"/>
              </w:rPr>
              <w:t xml:space="preserve">El adjudicatario no asume estas obligaciones.</w:t>
            </w:r>
            <w:r>
              <w:rPr>
                <w:rFonts w:ascii="Georgia" w:cs="Georgia" w:eastAsia="Georgia" w:hAnsi="Georgia"/>
                <w:sz w:val="20"/>
                <w:szCs w:val="20"/>
              </w:rPr>
              <w:t xml:space="preserve"> El adjudicatario se obliga a </w:t>
            </w:r>
            <w:r>
              <w:rPr>
                <w:rFonts w:ascii="Georgia" w:cs="Georgia" w:eastAsia="Georgia" w:hAnsi="Georgia"/>
                <w:b/>
                <w:bCs/>
                <w:sz w:val="20"/>
                <w:szCs w:val="20"/>
              </w:rPr>
              <w:t xml:space="preserve">aportar los medios</w:t>
            </w:r>
            <w:r>
              <w:rPr>
                <w:rFonts w:ascii="Georgia" w:cs="Georgia" w:eastAsia="Georgia" w:hAnsi="Georgia"/>
                <w:sz w:val="20"/>
                <w:szCs w:val="20"/>
              </w:rPr>
              <w:t xml:space="preserve"> sin los cuales el Ayuntamiento no puede cumplirlas, y en particular:</w:t>
            </w:r>
          </w:p>
          <w:p>
            <w:pPr>
              <w:spacing w:after="100" w:line="264"/>
            </w:pPr>
            <w:r>
              <w:rPr>
                <w:rFonts w:ascii="Georgia" w:cs="Georgia" w:eastAsia="Georgia" w:hAnsi="Georgia"/>
                <w:sz w:val="20"/>
                <w:szCs w:val="20"/>
              </w:rPr>
              <w:t xml:space="preserve">a) Las instrucciones de uso del sistema, en castellano, con el contenido exigido por el Reglamento.</w:t>
            </w:r>
          </w:p>
          <w:p>
            <w:pPr>
              <w:spacing w:after="100" w:line="264"/>
            </w:pPr>
            <w:r>
              <w:rPr>
                <w:rFonts w:ascii="Georgia" w:cs="Georgia" w:eastAsia="Georgia" w:hAnsi="Georgia"/>
                <w:sz w:val="20"/>
                <w:szCs w:val="20"/>
              </w:rPr>
              <w:t xml:space="preserve">b) La información técnica precisa para que el Ayuntamiento realice la evaluación de impacto en los derechos fundamentales y la evaluación de impacto relativa a la protección de datos, admitiéndose referencias cruzadas entre ambas.</w:t>
            </w:r>
          </w:p>
          <w:p>
            <w:pPr>
              <w:spacing w:after="100" w:line="264"/>
            </w:pPr>
            <w:r>
              <w:rPr>
                <w:rFonts w:ascii="Georgia" w:cs="Georgia" w:eastAsia="Georgia" w:hAnsi="Georgia"/>
                <w:sz w:val="20"/>
                <w:szCs w:val="20"/>
              </w:rPr>
              <w:t xml:space="preserve">c) Archivos de registro exportables en formato abierto y documentado, conservados y entregables por un plazo no inferior a [X; se recomienda 12, con un mínimo de 6] meses.</w:t>
            </w:r>
          </w:p>
          <w:p>
            <w:pPr>
              <w:spacing w:after="100" w:line="264"/>
            </w:pPr>
            <w:r>
              <w:rPr>
                <w:rFonts w:ascii="Georgia" w:cs="Georgia" w:eastAsia="Georgia" w:hAnsi="Georgia"/>
                <w:sz w:val="20"/>
                <w:szCs w:val="20"/>
              </w:rPr>
              <w:t xml:space="preserve">d) Un mecanismo de suspensión de la operación de los sistemas de inteligencia artificial en los términos de la cláusula DT-7, apartado 3, letra f).</w:t>
            </w:r>
          </w:p>
          <w:p>
            <w:pPr>
              <w:spacing w:after="100" w:line="264"/>
            </w:pPr>
            <w:r>
              <w:rPr>
                <w:rFonts w:ascii="Georgia" w:cs="Georgia" w:eastAsia="Georgia" w:hAnsi="Georgia"/>
                <w:sz w:val="20"/>
                <w:szCs w:val="20"/>
              </w:rPr>
              <w:t xml:space="preserve">e) Un punto de contacto único, con identificación nominal y canal de comunicación, para incidentes graves, con un plazo máximo de respuesta de [X; se recomienda 24] horas hábiles.</w:t>
            </w:r>
          </w:p>
          <w:p>
            <w:pPr>
              <w:spacing w:after="100" w:line="264"/>
            </w:pPr>
            <w:r>
              <w:rPr>
                <w:rFonts w:ascii="Georgia" w:cs="Georgia" w:eastAsia="Georgia" w:hAnsi="Georgia"/>
                <w:sz w:val="20"/>
                <w:szCs w:val="20"/>
              </w:rPr>
              <w:t xml:space="preserve">f) La formación necesaria para que el personal municipal designado pueda ejercer de forma efectiva la supervisión humana.</w:t>
            </w:r>
          </w:p>
          <w:p>
            <w:pPr>
              <w:spacing w:after="100" w:line="264"/>
            </w:pPr>
            <w:r>
              <w:rPr>
                <w:rFonts w:ascii="Georgia" w:cs="Georgia" w:eastAsia="Georgia" w:hAnsi="Georgia"/>
                <w:b/>
                <w:bCs/>
                <w:sz w:val="20"/>
                <w:szCs w:val="20"/>
              </w:rPr>
              <w:t xml:space="preserve">7. Decisiones automatizadas.</w:t>
            </w:r>
            <w:r>
              <w:rPr>
                <w:rFonts w:ascii="Georgia" w:cs="Georgia" w:eastAsia="Georgia" w:hAnsi="Georgia"/>
                <w:sz w:val="20"/>
                <w:szCs w:val="20"/>
              </w:rPr>
              <w:t xml:space="preserve"> La solución no adoptará decisiones basadas únicamente en el tratamiento automatizado que produzcan efectos jurídicos sobre las personas o las afecten significativamente de modo similar, en el sentido del artículo 22 del Reglamento (UE) 2016/679, salvo que concurra alguna de las habilitaciones de dicho precepto y, cuando se trate de actuación administrativa automatizada, se haya aprobado previamente conforme al artículo 41 de la Ley 40/2015, de 1 de octubre. En tal caso, el adjudicatario facilitará cuanto sea necesario para que el Ayuntamiento pueda determinar y publicar los órganos competentes para la definición de especificaciones, programación, mantenimiento, supervisión, control de calidad y, en su caso, auditoría del sistema de información y de su código fuente, así como el órgano responsable a efectos de impugnación. A tal fin garantizará al Ayuntamiento y a los auditores que éste designe, sujetos a idéntico deber de confidencialidad, el acceso a la lógica, la parametrización, las reglas de decisión y el código fuente </w:t>
            </w:r>
            <w:r>
              <w:rPr>
                <w:rFonts w:ascii="Georgia" w:cs="Georgia" w:eastAsia="Georgia" w:hAnsi="Georgia"/>
                <w:b/>
                <w:bCs/>
                <w:sz w:val="20"/>
                <w:szCs w:val="20"/>
              </w:rPr>
              <w:t xml:space="preserve">de los componentes desarrollados específicamente para el Ayuntamiento</w:t>
            </w:r>
            <w:r>
              <w:rPr>
                <w:rFonts w:ascii="Georgia" w:cs="Georgia" w:eastAsia="Georgia" w:hAnsi="Georgia"/>
                <w:sz w:val="20"/>
                <w:szCs w:val="20"/>
              </w:rPr>
              <w:t xml:space="preserve">, con la exclusiva finalidad de auditoría y sin facultad alguna de explotación. En todo caso se garantizará el derecho a obtener intervención humana, a expresar el punto de vista y a impugnar la decisión.</w:t>
            </w:r>
          </w:p>
          <w:p>
            <w:pPr>
              <w:spacing w:after="100" w:line="264"/>
            </w:pPr>
            <w:r>
              <w:rPr>
                <w:rFonts w:ascii="Georgia" w:cs="Georgia" w:eastAsia="Georgia" w:hAnsi="Georgia"/>
                <w:b/>
                <w:bCs/>
                <w:sz w:val="20"/>
                <w:szCs w:val="20"/>
              </w:rPr>
              <w:t xml:space="preserve">8. Agentes: límites y reversibilidad.</w:t>
            </w:r>
            <w:r>
              <w:rPr>
                <w:rFonts w:ascii="Georgia" w:cs="Georgia" w:eastAsia="Georgia" w:hAnsi="Georgia"/>
                <w:sz w:val="20"/>
                <w:szCs w:val="20"/>
              </w:rPr>
              <w:t xml:space="preserve"> Cuando se empleen agentes de inteligencia artificial, su actuación estará sujeta a límites configurables por el Ayuntamiento, con trazabilidad completa de consultas, propuestas y acciones, registro de auditoría, mecanismos de intervención y suspensión humana y capacidad de revertir las actuaciones ejecutadas o, cuando la reversión automática no sea técnicamente posible, procedimiento documentado de reversión con indicación del tiempo estimado y del responsable de ejecutarlo.</w:t>
            </w:r>
          </w:p>
          <w:p>
            <w:pPr>
              <w:spacing w:after="100" w:line="264"/>
            </w:pPr>
            <w:r>
              <w:rPr>
                <w:rFonts w:ascii="Georgia" w:cs="Georgia" w:eastAsia="Georgia" w:hAnsi="Georgia"/>
                <w:b/>
                <w:bCs/>
                <w:sz w:val="20"/>
                <w:szCs w:val="20"/>
              </w:rPr>
              <w:t xml:space="preserve">9. Aceptación previa.</w:t>
            </w:r>
            <w:r>
              <w:rPr>
                <w:rFonts w:ascii="Georgia" w:cs="Georgia" w:eastAsia="Georgia" w:hAnsi="Georgia"/>
                <w:sz w:val="20"/>
                <w:szCs w:val="20"/>
              </w:rPr>
              <w:t xml:space="preserve"> Antes de su puesta en producción, toda funcionalidad basada en inteligencia artificial deberá ser aceptada expresamente por el Ayuntamiento, previas las pruebas técnicas, funcionales, de seguridad y de integración que se estimen necesarias, documentadas en acta. La aceptación no exime de responsabilidad por defectos, errores, sesgos, vulnerabilidades, incumplimientos normativos, uso inadecuado de datos o degradación posterior del servicio.</w:t>
            </w:r>
          </w:p>
          <w:p>
            <w:pPr>
              <w:spacing w:after="100" w:line="264"/>
            </w:pPr>
            <w:r>
              <w:rPr>
                <w:rFonts w:ascii="Georgia" w:cs="Georgia" w:eastAsia="Georgia" w:hAnsi="Georgia"/>
                <w:b/>
                <w:bCs/>
                <w:sz w:val="20"/>
                <w:szCs w:val="20"/>
              </w:rPr>
              <w:t xml:space="preserve">10. Alfabetización.</w:t>
            </w:r>
            <w:r>
              <w:rPr>
                <w:rFonts w:ascii="Georgia" w:cs="Georgia" w:eastAsia="Georgia" w:hAnsi="Georgia"/>
                <w:sz w:val="20"/>
                <w:szCs w:val="20"/>
              </w:rPr>
              <w:t xml:space="preserve"> El adjudicatario adoptará medidas para promover la alfabetización en materia de inteligencia artificial del personal que, por su cuenta, se encargue del funcionamiento y la utilización de los sistemas objeto del contrato. Esta obligación no exige garantizar un nivel específico de alfabetización de ninguna persona en particular.</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PPT, apartado de requisitos funcionales y tecnológicos de la solución. El apartado 2 (inventario y clasificación) genera además una obligación de contenido de la oferta, por lo que debe reflejarse en el PCAP, en el índice del sobre técnico.</w:t>
      </w:r>
    </w:p>
    <w:p>
      <w:pPr>
        <w:spacing w:after="140" w:line="276"/>
      </w:pPr>
      <w:r>
        <w:rPr>
          <w:rFonts w:ascii="Calibri" w:cs="Calibri" w:eastAsia="Calibri" w:hAnsi="Calibri"/>
          <w:sz w:val="21"/>
          <w:szCs w:val="21"/>
        </w:rPr>
        <w:t xml:space="preserve">El apartado 7, en la parte que se refiere a la aprobación de la actuación administrativa automatizada, no crea la actuación: presupone que el Ayuntamiento la apruebe por el cauce del artículo 41 de la Ley 40/2015. Si no hay actuación automatizada aprobada ni prevista, el apartado se conserva sólo en su primer inciso (la prohibición) y se suprime el resto.</w:t>
      </w:r>
    </w:p>
    <w:p>
      <w:pPr>
        <w:spacing w:after="140" w:line="276"/>
      </w:pPr>
      <w:r>
        <w:rPr>
          <w:rFonts w:ascii="Calibri" w:cs="Calibri" w:eastAsia="Calibri" w:hAnsi="Calibri"/>
          <w:b/>
          <w:bCs/>
          <w:sz w:val="21"/>
          <w:szCs w:val="21"/>
        </w:rPr>
        <w:t xml:space="preserve">El Anexo de Vigencia Normativa de este pliego, que los apartados 1, 4 y 5 invocan, hay que fabricarlo.</w:t>
      </w:r>
      <w:r>
        <w:rPr>
          <w:rFonts w:ascii="Calibri" w:cs="Calibri" w:eastAsia="Calibri" w:hAnsi="Calibri"/>
          <w:sz w:val="21"/>
          <w:szCs w:val="21"/>
        </w:rPr>
        <w:t xml:space="preserve"> No es un anexo del catálogo: es un anexo </w:t>
      </w:r>
      <w:r>
        <w:rPr>
          <w:rFonts w:ascii="Calibri" w:cs="Calibri" w:eastAsia="Calibri" w:hAnsi="Calibri"/>
          <w:b/>
          <w:bCs/>
          <w:sz w:val="21"/>
          <w:szCs w:val="21"/>
        </w:rPr>
        <w:t xml:space="preserve">del PPT</w:t>
      </w:r>
      <w:r>
        <w:rPr>
          <w:rFonts w:ascii="Calibri" w:cs="Calibri" w:eastAsia="Calibri" w:hAnsi="Calibri"/>
          <w:sz w:val="21"/>
          <w:szCs w:val="21"/>
        </w:rPr>
        <w:t xml:space="preserve">, y se compone transcribiendo el extracto del </w:t>
      </w:r>
      <w:r>
        <w:rPr>
          <w:rFonts w:ascii="Calibri" w:cs="Calibri" w:eastAsia="Calibri" w:hAnsi="Calibri"/>
          <w:b/>
          <w:bCs/>
          <w:sz w:val="21"/>
          <w:szCs w:val="21"/>
        </w:rPr>
        <w:t xml:space="preserve">Anexo XIX</w:t>
      </w:r>
      <w:r>
        <w:rPr>
          <w:rFonts w:ascii="Calibri" w:cs="Calibri" w:eastAsia="Calibri" w:hAnsi="Calibri"/>
          <w:sz w:val="21"/>
          <w:szCs w:val="21"/>
        </w:rPr>
        <w:t xml:space="preserve"> de este catálogo que afecte a las cláusulas incorporadas, con su fecha de corte y con sus dos columnas —obligación legal ya exigible / exigencia contractual anticipada por el Ayuntamiento—. Si ese anexo no se transcribe, los tres apartados que remiten a él quedan sin contenido y la cláusula pasa a exigir un calendario que el pliego no dice.</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sz w:val="21"/>
          <w:szCs w:val="21"/>
        </w:rPr>
        <w:t xml:space="preserve">Tres necesidades distintas, y conviene no mezclarlas:</w:t>
      </w:r>
    </w:p>
    <w:p>
      <w:pPr>
        <w:pStyle w:val="ListParagraph"/>
        <w:numPr>
          <w:ilvl w:val="0"/>
          <w:numId w:val="1"/>
        </w:numPr>
        <w:spacing w:after="70" w:line="268"/>
      </w:pPr>
      <w:r>
        <w:rPr>
          <w:rFonts w:ascii="Calibri" w:cs="Calibri" w:eastAsia="Calibri" w:hAnsi="Calibri"/>
          <w:b/>
          <w:bCs/>
          <w:sz w:val="21"/>
          <w:szCs w:val="21"/>
        </w:rPr>
        <w:t xml:space="preserve">Necesidad normativa del Ayuntamiento.</w:t>
      </w:r>
      <w:r>
        <w:rPr>
          <w:rFonts w:ascii="Calibri" w:cs="Calibri" w:eastAsia="Calibri" w:hAnsi="Calibri"/>
          <w:sz w:val="21"/>
          <w:szCs w:val="21"/>
        </w:rPr>
        <w:t xml:space="preserve"> El Reglamento (UE) 2024/1689, en su redacción vigente, impone al Ayuntamiento obligaciones propias como responsable del despliegue —alfabetización, supervisión humana por personas con competencia, formación y </w:t>
      </w:r>
      <w:r>
        <w:rPr>
          <w:rFonts w:ascii="Calibri" w:cs="Calibri" w:eastAsia="Calibri" w:hAnsi="Calibri"/>
          <w:b/>
          <w:bCs/>
          <w:sz w:val="21"/>
          <w:szCs w:val="21"/>
        </w:rPr>
        <w:t xml:space="preserve">autoridad</w:t>
      </w:r>
      <w:r>
        <w:rPr>
          <w:rFonts w:ascii="Calibri" w:cs="Calibri" w:eastAsia="Calibri" w:hAnsi="Calibri"/>
          <w:sz w:val="21"/>
          <w:szCs w:val="21"/>
        </w:rPr>
        <w:t xml:space="preserve">, conservación de registros, registro y, cuando proceda, evaluación de impacto en derechos fundamentales— que son </w:t>
      </w:r>
      <w:r>
        <w:rPr>
          <w:rFonts w:ascii="Calibri" w:cs="Calibri" w:eastAsia="Calibri" w:hAnsi="Calibri"/>
          <w:b/>
          <w:bCs/>
          <w:sz w:val="21"/>
          <w:szCs w:val="21"/>
        </w:rPr>
        <w:t xml:space="preserve">materialmente incumplibles sin documentación e información del proveedor</w:t>
      </w:r>
      <w:r>
        <w:rPr>
          <w:rFonts w:ascii="Calibri" w:cs="Calibri" w:eastAsia="Calibri" w:hAnsi="Calibri"/>
          <w:sz w:val="21"/>
          <w:szCs w:val="21"/>
        </w:rPr>
        <w:t xml:space="preserve">. La cláusula no exige capacidades nuevas al Ayuntamiento: exige que el contratista se las entregue.</w:t>
      </w:r>
    </w:p>
    <w:p>
      <w:pPr>
        <w:pStyle w:val="ListParagraph"/>
        <w:numPr>
          <w:ilvl w:val="0"/>
          <w:numId w:val="1"/>
        </w:numPr>
        <w:spacing w:after="70" w:line="268"/>
      </w:pPr>
      <w:r>
        <w:rPr>
          <w:rFonts w:ascii="Calibri" w:cs="Calibri" w:eastAsia="Calibri" w:hAnsi="Calibri"/>
          <w:b/>
          <w:bCs/>
          <w:sz w:val="21"/>
          <w:szCs w:val="21"/>
        </w:rPr>
        <w:t xml:space="preserve">Necesidad normativa nacional, ya plenamente vigente.</w:t>
      </w:r>
      <w:r>
        <w:rPr>
          <w:rFonts w:ascii="Calibri" w:cs="Calibri" w:eastAsia="Calibri" w:hAnsi="Calibri"/>
          <w:sz w:val="21"/>
          <w:szCs w:val="21"/>
        </w:rPr>
        <w:t xml:space="preserve"> El artículo 22 del Reglamento (UE) 2016/679 y el artículo 41 de la Ley 40/2015 rigen desde hace años y no dependen de ningún calendario europeo. El artículo 41.2 obliga a establecer previamente los órganos competentes para especificaciones, programación, mantenimiento, supervisión, control de calidad y «en su caso, auditoría del sistema de información y de su código fuente», y a indicar el órgano responsable a efectos de impugnación. Es la cobertura legal directa del acceso al código para auditoría del apartado 7, y la respuesta a la objeción de que «no se puede pedir el código fuente»: no se pide para explotarlo, se pide para poder auditarlo, que es lo que la ley manda, y sólo respecto de los componentes hechos para el Ayuntamiento.</w:t>
      </w:r>
    </w:p>
    <w:p>
      <w:pPr>
        <w:pStyle w:val="ListParagraph"/>
        <w:numPr>
          <w:ilvl w:val="0"/>
          <w:numId w:val="1"/>
        </w:numPr>
        <w:spacing w:after="70" w:line="268"/>
      </w:pPr>
      <w:r>
        <w:rPr>
          <w:rFonts w:ascii="Calibri" w:cs="Calibri" w:eastAsia="Calibri" w:hAnsi="Calibri"/>
          <w:b/>
          <w:bCs/>
          <w:sz w:val="21"/>
          <w:szCs w:val="21"/>
        </w:rPr>
        <w:t xml:space="preserve">Necesidad de reparto de responsabilidad.</w:t>
      </w:r>
      <w:r>
        <w:rPr>
          <w:rFonts w:ascii="Calibri" w:cs="Calibri" w:eastAsia="Calibri" w:hAnsi="Calibri"/>
          <w:sz w:val="21"/>
          <w:szCs w:val="21"/>
        </w:rPr>
        <w:t xml:space="preserve"> El Proyecto de Ley Orgánica para el buen uso y la gobernanza de la inteligencia artificial (Congreso de los Diputados, expediente 121/000096, BOCG Serie A núm. 97-1, de 12 de junio de 2026) tipifica en su artículo 21.2 como infracciones graves </w:t>
      </w:r>
      <w:r>
        <w:rPr>
          <w:rFonts w:ascii="Calibri" w:cs="Calibri" w:eastAsia="Calibri" w:hAnsi="Calibri"/>
          <w:b/>
          <w:bCs/>
          <w:sz w:val="21"/>
          <w:szCs w:val="21"/>
        </w:rPr>
        <w:t xml:space="preserve">de los responsables del despliegue</w:t>
      </w:r>
      <w:r>
        <w:rPr>
          <w:rFonts w:ascii="Calibri" w:cs="Calibri" w:eastAsia="Calibri" w:hAnsi="Calibri"/>
          <w:sz w:val="21"/>
          <w:szCs w:val="21"/>
        </w:rPr>
        <w:t xml:space="preserve"> los incumplimientos de varios apartados del artículo 26 del Reglamento de IA. </w:t>
      </w:r>
      <w:r>
        <w:rPr>
          <w:rFonts w:ascii="Calibri" w:cs="Calibri" w:eastAsia="Calibri" w:hAnsi="Calibri"/>
          <w:b/>
          <w:bCs/>
          <w:sz w:val="21"/>
          <w:szCs w:val="21"/>
        </w:rPr>
        <w:t xml:space="preserve">Es un proyecto en tramitación parlamentaria: carece de valor normativo mientras no se apruebe y publique, y no puede citarse en un pliego como norma aplicable.</w:t>
      </w:r>
      <w:r>
        <w:rPr>
          <w:rFonts w:ascii="Calibri" w:cs="Calibri" w:eastAsia="Calibri" w:hAnsi="Calibri"/>
          <w:sz w:val="21"/>
          <w:szCs w:val="21"/>
        </w:rPr>
        <w:t xml:space="preserve"> Se recoge aquí como dato del debate legislativo en curso, no como fundamento de la cláusula: el reparto de papeles del apartado 6 se sostiene por sí solo en el Reglamento (UE) 2024/1689 en su redacción vigente. Lo que el dato añade es la dirección del riesgo sancionador previsible: apunta al Ayuntamiento como responsable del despliegue, no al proveedor. Trasladar al contratista obligaciones que son indelegables no protege al Ayuntamiento: le hace creer que está cubierto.</w:t>
      </w:r>
    </w:p>
    <w:p>
      <w:pPr>
        <w:spacing w:after="140" w:line="276"/>
      </w:pPr>
      <w:r>
        <w:rPr>
          <w:rFonts w:ascii="Calibri" w:cs="Calibri" w:eastAsia="Calibri" w:hAnsi="Calibri"/>
          <w:b/>
          <w:bCs/>
          <w:sz w:val="21"/>
          <w:szCs w:val="21"/>
        </w:rPr>
        <w:t xml:space="preserve">Advertencia de calendario, vinculante.</w:t>
      </w:r>
      <w:r>
        <w:rPr>
          <w:rFonts w:ascii="Calibri" w:cs="Calibri" w:eastAsia="Calibri" w:hAnsi="Calibri"/>
          <w:sz w:val="21"/>
          <w:szCs w:val="21"/>
        </w:rPr>
        <w:t xml:space="preserve"> El </w:t>
      </w:r>
      <w:r>
        <w:rPr>
          <w:rFonts w:ascii="Calibri" w:cs="Calibri" w:eastAsia="Calibri" w:hAnsi="Calibri"/>
          <w:b/>
          <w:bCs/>
          <w:sz w:val="21"/>
          <w:szCs w:val="21"/>
        </w:rPr>
        <w:t xml:space="preserve">Reglamento (UE) 2026/1744 del Parlamento Europeo y del Consejo, de 8 de julio de 2026</w:t>
      </w:r>
      <w:r>
        <w:rPr>
          <w:rFonts w:ascii="Calibri" w:cs="Calibri" w:eastAsia="Calibri" w:hAnsi="Calibri"/>
          <w:sz w:val="21"/>
          <w:szCs w:val="21"/>
        </w:rPr>
        <w:t xml:space="preserve"> (Ómnibus digital sobre IA; DOUE de 24 de julio de 2026, referencia BOE DOUE-L-2026-81147; en vigor desde el 27 de julio de 2026) modificó el calendario del Reglamento (UE) 2024/1689: el capítulo III, secciones 1, 2 y 3, se aplica desde el </w:t>
      </w:r>
      <w:r>
        <w:rPr>
          <w:rFonts w:ascii="Calibri" w:cs="Calibri" w:eastAsia="Calibri" w:hAnsi="Calibri"/>
          <w:b/>
          <w:bCs/>
          <w:sz w:val="21"/>
          <w:szCs w:val="21"/>
        </w:rPr>
        <w:t xml:space="preserve">2 de diciembre de 2027</w:t>
      </w:r>
      <w:r>
        <w:rPr>
          <w:rFonts w:ascii="Calibri" w:cs="Calibri" w:eastAsia="Calibri" w:hAnsi="Calibri"/>
          <w:sz w:val="21"/>
          <w:szCs w:val="21"/>
        </w:rPr>
        <w:t xml:space="preserve"> para los sistemas de alto riesgo del artículo 6.2 y del anexo III, y desde el </w:t>
      </w:r>
      <w:r>
        <w:rPr>
          <w:rFonts w:ascii="Calibri" w:cs="Calibri" w:eastAsia="Calibri" w:hAnsi="Calibri"/>
          <w:b/>
          <w:bCs/>
          <w:sz w:val="21"/>
          <w:szCs w:val="21"/>
        </w:rPr>
        <w:t xml:space="preserve">2 de agosto de 2028</w:t>
      </w:r>
      <w:r>
        <w:rPr>
          <w:rFonts w:ascii="Calibri" w:cs="Calibri" w:eastAsia="Calibri" w:hAnsi="Calibri"/>
          <w:sz w:val="21"/>
          <w:szCs w:val="21"/>
        </w:rPr>
        <w:t xml:space="preserve"> para los del artículo 6.1 y del anexo I. Los artículos 26 y 27 están en la sección 3. Además, el nuevo artículo 111.2 concede a proveedores y responsables del despliegue de sistemas de alto riesgo </w:t>
      </w:r>
      <w:r>
        <w:rPr>
          <w:rFonts w:ascii="Calibri" w:cs="Calibri" w:eastAsia="Calibri" w:hAnsi="Calibri"/>
          <w:b/>
          <w:bCs/>
          <w:sz w:val="21"/>
          <w:szCs w:val="21"/>
        </w:rPr>
        <w:t xml:space="preserve">destinados a ser utilizados por autoridades públicas</w:t>
      </w:r>
      <w:r>
        <w:rPr>
          <w:rFonts w:ascii="Calibri" w:cs="Calibri" w:eastAsia="Calibri" w:hAnsi="Calibri"/>
          <w:sz w:val="21"/>
          <w:szCs w:val="21"/>
        </w:rPr>
        <w:t xml:space="preserve"> hasta el </w:t>
      </w:r>
      <w:r>
        <w:rPr>
          <w:rFonts w:ascii="Calibri" w:cs="Calibri" w:eastAsia="Calibri" w:hAnsi="Calibri"/>
          <w:b/>
          <w:bCs/>
          <w:sz w:val="21"/>
          <w:szCs w:val="21"/>
        </w:rPr>
        <w:t xml:space="preserve">2 de agosto de 2030</w:t>
      </w:r>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Consecuencia práctica para el redactor: </w:t>
      </w:r>
      <w:r>
        <w:rPr>
          <w:rFonts w:ascii="Calibri" w:cs="Calibri" w:eastAsia="Calibri" w:hAnsi="Calibri"/>
          <w:b/>
          <w:bCs/>
          <w:sz w:val="21"/>
          <w:szCs w:val="21"/>
        </w:rPr>
        <w:t xml:space="preserve">no escriba en el PPT que estas obligaciones son legalmente exigibles hoy.</w:t>
      </w:r>
      <w:r>
        <w:rPr>
          <w:rFonts w:ascii="Calibri" w:cs="Calibri" w:eastAsia="Calibri" w:hAnsi="Calibri"/>
          <w:sz w:val="21"/>
          <w:szCs w:val="21"/>
        </w:rPr>
        <w:t xml:space="preserve"> Lo que sí puede hacer, y esta cláusula hace, es exigirlas contractualmente antes de esa fecha, diciéndolo. Ésa es la función del Anexo de Vigencia Normativa y de sus dos columnas: obligación legal ya exigible / exigencia contractual anticipada. Un pliego publicado que cita mal el calendario europeo pierde credibilidad ante un interventor en una línea, y da al licitador un motivo cómodo de proporcionalidad: se le imponen como obligación legal vigente costes que la norma aún no exige.</w:t>
      </w:r>
    </w:p>
    <w:p>
      <w:pPr>
        <w:pStyle w:val="Heading3"/>
        <w:keepNext/>
        <w:spacing w:after="140" w:before="320"/>
      </w:pPr>
      <w:r>
        <w:rPr>
          <w:rFonts w:ascii="Georgia" w:cs="Georgia" w:eastAsia="Georgia" w:hAnsi="Georgia"/>
          <w:b/>
          <w:bCs/>
          <w:color w:val="2F5496"/>
          <w:sz w:val="22"/>
          <w:szCs w:val="22"/>
        </w:rPr>
        <w:t xml:space="preserve">4. Cómo se acredita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Obligación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Medio de acreditación tasado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Inventario y clasificación (ap. 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Relación firmada en la oferta, con ficha por sistema; actualización comunicada por escrito al responsable del contrato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Prácticas prohibidas (ap. 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Declaración responsable del licitador, más comprobación en la aceptación del ap. 9</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Transparencia y marcado (ap. 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Documentación técnica del sistema y prueba de marcado sobre el entorno de pruebas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Alto riesgo (ap. 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Documentación técnica del proveedor; declaración UE de conformidad y marcado cuando resulten exigibles conforme al Anexo de Vigencia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Medios del ap. 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Entrega documental verificable: instrucciones de uso, ficha técnica para la evaluación de impacto, exportación real de registros, prueba del mecanismo de suspensión, designación nominal del punto de contacto, plan y registro de formación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Decisiones automatizadas (ap. 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Documento de descripción de la lógica y de las reglas de decisión; acta de acceso para auditoría cuando se practique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Agentes (ap. 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Prueba sobre el entorno de pruebas de la configuración de límites y de la reversión, documentada en acta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Aceptación previa (ap. 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aceptación firmada por el responsable del contrato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Alfabetización (ap. 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Plan formativo y registro de asistencia</w:t>
            </w:r>
          </w:p>
        </w:tc>
      </w:tr>
    </w:tbl>
    <w:p>
      <w:pPr>
        <w:spacing w:after="200"/>
      </w:pPr>
    </w:p>
    <w:p>
      <w:pPr>
        <w:pStyle w:val="Heading3"/>
        <w:keepNext/>
        <w:spacing w:after="140" w:before="320"/>
      </w:pPr>
      <w:r>
        <w:rPr>
          <w:rFonts w:ascii="Georgia" w:cs="Georgia" w:eastAsia="Georgia" w:hAnsi="Georgia"/>
          <w:b/>
          <w:bCs/>
          <w:color w:val="2F5496"/>
          <w:sz w:val="22"/>
          <w:szCs w:val="22"/>
        </w:rPr>
        <w:t xml:space="preserve">5. Cómo se verifica</w:t>
      </w:r>
    </w:p>
    <w:p>
      <w:pPr>
        <w:spacing w:after="140" w:line="276"/>
      </w:pPr>
      <w:r>
        <w:rPr>
          <w:rFonts w:ascii="Calibri" w:cs="Calibri" w:eastAsia="Calibri" w:hAnsi="Calibri"/>
          <w:b/>
          <w:bCs/>
          <w:sz w:val="21"/>
          <w:szCs w:val="21"/>
        </w:rPr>
        <w:t xml:space="preserve">Quién:</w:t>
      </w:r>
      <w:r>
        <w:rPr>
          <w:rFonts w:ascii="Calibri" w:cs="Calibri" w:eastAsia="Calibri" w:hAnsi="Calibri"/>
          <w:sz w:val="21"/>
          <w:szCs w:val="21"/>
        </w:rPr>
        <w:t xml:space="preserve"> el responsable del contrato (art. 62 LCSP), asistido por el servicio municipal de informática y, cuando haya tratamiento de datos personales, por el delegado de protección de datos.</w:t>
      </w:r>
    </w:p>
    <w:p>
      <w:pPr>
        <w:spacing w:after="140" w:line="276"/>
      </w:pPr>
      <w:r>
        <w:rPr>
          <w:rFonts w:ascii="Calibri" w:cs="Calibri" w:eastAsia="Calibri" w:hAnsi="Calibri"/>
          <w:b/>
          <w:bCs/>
          <w:sz w:val="21"/>
          <w:szCs w:val="21"/>
        </w:rPr>
        <w:t xml:space="preserve">Cuándo:</w:t>
      </w:r>
      <w:r>
        <w:rPr>
          <w:rFonts w:ascii="Calibri" w:cs="Calibri" w:eastAsia="Calibri" w:hAnsi="Calibri"/>
          <w:sz w:val="21"/>
          <w:szCs w:val="21"/>
        </w:rPr>
        <w:t xml:space="preserve"> en la aceptación previa de cada funcionalidad (ap. 9); en la revisión anual de la Comisión de Seguimiento (ADM-4·v3); y cada vez que se comunique un cambio de clasificación de riesgo.</w:t>
      </w:r>
    </w:p>
    <w:p>
      <w:pPr>
        <w:spacing w:after="140" w:line="276"/>
      </w:pPr>
      <w:r>
        <w:rPr>
          <w:rFonts w:ascii="Calibri" w:cs="Calibri" w:eastAsia="Calibri" w:hAnsi="Calibri"/>
          <w:b/>
          <w:bCs/>
          <w:sz w:val="21"/>
          <w:szCs w:val="21"/>
        </w:rPr>
        <w:t xml:space="preserve">Con qué documento:</w:t>
      </w:r>
      <w:r>
        <w:rPr>
          <w:rFonts w:ascii="Calibri" w:cs="Calibri" w:eastAsia="Calibri" w:hAnsi="Calibri"/>
          <w:sz w:val="21"/>
          <w:szCs w:val="21"/>
        </w:rPr>
        <w:t xml:space="preserve"> acta de aceptación por funcionalidad; punto del orden del día y acuerdo en el acta anual de la Comisión.</w:t>
      </w:r>
    </w:p>
    <w:p>
      <w:pPr>
        <w:spacing w:after="140" w:line="276"/>
      </w:pPr>
      <w:r>
        <w:rPr>
          <w:rFonts w:ascii="Calibri" w:cs="Calibri" w:eastAsia="Calibri" w:hAnsi="Calibri"/>
          <w:b/>
          <w:bCs/>
          <w:sz w:val="21"/>
          <w:szCs w:val="21"/>
        </w:rPr>
        <w:t xml:space="preserve">Carga estimada al año</w:t>
      </w:r>
      <w:r>
        <w:rPr>
          <w:rFonts w:ascii="Calibri" w:cs="Calibri" w:eastAsia="Calibri" w:hAnsi="Calibri"/>
          <w:sz w:val="21"/>
          <w:szCs w:val="21"/>
        </w:rPr>
        <w:t xml:space="preserve"> </w:t>
      </w:r>
      <w:r>
        <w:rPr>
          <w:rFonts w:ascii="Calibri" w:cs="Calibri" w:eastAsia="Calibri" w:hAnsi="Calibri"/>
          <w:i/>
          <w:iCs/>
          <w:sz w:val="21"/>
          <w:szCs w:val="21"/>
        </w:rPr>
        <w:t xml:space="preserve">(estimación orientativa)</w:t>
      </w:r>
      <w:r>
        <w:rPr>
          <w:rFonts w:ascii="Calibri" w:cs="Calibri" w:eastAsia="Calibri" w:hAnsi="Calibri"/>
          <w:sz w:val="21"/>
          <w:szCs w:val="21"/>
        </w:rPr>
        <w:t xml:space="preserve">: 4 a 8 horas por funcionalidad aceptada; 4 horas de revisión anual del inventario. En un contrato con 3 funcionalidades de IA al año, entre </w:t>
      </w:r>
      <w:r>
        <w:rPr>
          <w:rFonts w:ascii="Calibri" w:cs="Calibri" w:eastAsia="Calibri" w:hAnsi="Calibri"/>
          <w:b/>
          <w:bCs/>
          <w:sz w:val="21"/>
          <w:szCs w:val="21"/>
        </w:rPr>
        <w:t xml:space="preserve">16 y 28 horas al año</w:t>
      </w:r>
      <w:r>
        <w:rPr>
          <w:rFonts w:ascii="Calibri" w:cs="Calibri" w:eastAsia="Calibri" w:hAnsi="Calibri"/>
          <w:sz w:val="21"/>
          <w:szCs w:val="21"/>
        </w:rPr>
        <w:t xml:space="preserve">.</w:t>
      </w:r>
    </w:p>
    <w:p>
      <w:pPr>
        <w:pBdr>
          <w:left w:val="single" w:color="BFBFBF" w:sz="12" w:space="8"/>
        </w:pBdr>
        <w:spacing w:after="140" w:line="264"/>
        <w:ind w:left="400"/>
      </w:pPr>
      <w:r>
        <w:rPr>
          <w:rFonts w:ascii="Georgia" w:cs="Georgia" w:eastAsia="Georgia" w:hAnsi="Georgia"/>
          <w:b/>
          <w:bCs/>
          <w:i/>
          <w:iCs/>
          <w:color w:val="595959"/>
          <w:sz w:val="20"/>
          <w:szCs w:val="20"/>
        </w:rPr>
        <w:t xml:space="preserve">Regla de verificabilidad.</w:t>
      </w:r>
      <w:r>
        <w:rPr>
          <w:rFonts w:ascii="Georgia" w:cs="Georgia" w:eastAsia="Georgia" w:hAnsi="Georgia"/>
          <w:i/>
          <w:iCs/>
          <w:color w:val="595959"/>
          <w:sz w:val="20"/>
          <w:szCs w:val="20"/>
        </w:rPr>
        <w:t xml:space="preserve"> Rige aquí, como en toda cláusula del catálogo, la regla de la Parte I, §7.9, cuantificada en ADM-4·v3, epígrafe 5: sin actor municipal designado y sin periodicidad consignada, la cláusula no se incorpora.</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spacing w:after="140" w:line="276"/>
      </w:pPr>
      <w:r>
        <w:rPr>
          <w:rFonts w:ascii="Calibri" w:cs="Calibri" w:eastAsia="Calibri" w:hAnsi="Calibri"/>
          <w:b/>
          <w:bCs/>
          <w:sz w:val="21"/>
          <w:szCs w:val="21"/>
        </w:rPr>
        <w:t xml:space="preserve">Obligación esencial: NO</w:t>
      </w:r>
      <w:r>
        <w:rPr>
          <w:rFonts w:ascii="Calibri" w:cs="Calibri" w:eastAsia="Calibri" w:hAnsi="Calibri"/>
          <w:sz w:val="21"/>
          <w:szCs w:val="21"/>
        </w:rPr>
        <w:t xml:space="preserve">, con una excepción ajena a esta cláusula: cuando la ejecución implique cesión de datos por el Ayuntamiento al contratista, la condición especial de protección de datos es esencial </w:t>
      </w:r>
      <w:r>
        <w:rPr>
          <w:rFonts w:ascii="Calibri" w:cs="Calibri" w:eastAsia="Calibri" w:hAnsi="Calibri"/>
          <w:b/>
          <w:bCs/>
          <w:sz w:val="21"/>
          <w:szCs w:val="21"/>
        </w:rPr>
        <w:t xml:space="preserve">por imperativo legal</w:t>
      </w:r>
      <w:r>
        <w:rPr>
          <w:rFonts w:ascii="Calibri" w:cs="Calibri" w:eastAsia="Calibri" w:hAnsi="Calibri"/>
          <w:sz w:val="21"/>
          <w:szCs w:val="21"/>
        </w:rPr>
        <w:t xml:space="preserve"> (art. 202.1, párrafo tercero, LCSP) y figura como tal en ADM-6·v3, bloque A. Ese bloque sólo existe si concurre su presupuesto.</w:t>
      </w:r>
    </w:p>
    <w:p>
      <w:pPr>
        <w:spacing w:after="140" w:line="276"/>
      </w:pPr>
      <w:r>
        <w:rPr>
          <w:rFonts w:ascii="Calibri" w:cs="Calibri" w:eastAsia="Calibri" w:hAnsi="Calibri"/>
          <w:sz w:val="21"/>
          <w:szCs w:val="21"/>
        </w:rPr>
        <w:t xml:space="preserve">Penalidades, conforme al cuadro de ADM-5·v3 y dentro de los límites del artículo 192.1 LCSP (cada penalidad no superior al 10 % del precio del contrato, IVA excluido, ni el total superior al 50 %).</w:t>
      </w:r>
    </w:p>
    <w:p>
      <w:pPr>
        <w:spacing w:after="140" w:line="276"/>
      </w:pPr>
      <w:r>
        <w:rPr>
          <w:rFonts w:ascii="Calibri" w:cs="Calibri" w:eastAsia="Calibri" w:hAnsi="Calibri"/>
          <w:i/>
          <w:iCs/>
          <w:sz w:val="21"/>
          <w:szCs w:val="21"/>
        </w:rPr>
        <w:t xml:space="preserve">Tipificaciones que deben incorporarse, con su código, a la lista cerrada del apartado 3 de ADM-5·v3. El PPT no impone penalidades por sí mismo: un hecho de esta tabla que no figure allí no genera penalidad exigible.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Tipificación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Hecho verificable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Leve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Retraso no superior a [X; se recomienda 15] días en la actualización del inventario del ap. 2 o en la entrega de la documentación del ap. 6.a) y 6.b)</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Falta de comunicación de un cambio de clasificación de riesgo; ausencia del punto de contacto del ap. 6.e); incumplimiento del plazo de respuesta ante incidente grave; puesta en producción de una funcionalidad de IA sin la aceptación del ap. 9</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Muy 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Empleo de una práctica prohibida; adopción de decisiones automatizadas con efecto jurídico sin la habilitación del ap. 7; negativa a entregar los registros del ap. 6.c) o a facilitar el acceso para auditoría del ap. 7</w:t>
            </w:r>
          </w:p>
        </w:tc>
      </w:tr>
    </w:tbl>
    <w:p>
      <w:pPr>
        <w:spacing w:after="200"/>
      </w:pP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sz w:val="21"/>
          <w:szCs w:val="21"/>
        </w:rPr>
        <w:t xml:space="preserve">Contratos en los que la solución </w:t>
      </w:r>
      <w:r>
        <w:rPr>
          <w:rFonts w:ascii="Calibri" w:cs="Calibri" w:eastAsia="Calibri" w:hAnsi="Calibri"/>
          <w:b/>
          <w:bCs/>
          <w:sz w:val="21"/>
          <w:szCs w:val="21"/>
        </w:rPr>
        <w:t xml:space="preserve">no incorpora ni va a incorporar</w:t>
      </w:r>
      <w:r>
        <w:rPr>
          <w:rFonts w:ascii="Calibri" w:cs="Calibri" w:eastAsia="Calibri" w:hAnsi="Calibri"/>
          <w:sz w:val="21"/>
          <w:szCs w:val="21"/>
        </w:rPr>
        <w:t xml:space="preserve"> sistemas de inteligencia artificial. Marcar NO APLICA y no reproducir la cláusula «por si acaso»: una obligación sin objeto es indeterminación.</w:t>
      </w:r>
    </w:p>
    <w:p>
      <w:pPr>
        <w:pStyle w:val="ListParagraph"/>
        <w:numPr>
          <w:ilvl w:val="0"/>
          <w:numId w:val="1"/>
        </w:numPr>
        <w:spacing w:after="70" w:line="268"/>
      </w:pPr>
      <w:r>
        <w:rPr>
          <w:rFonts w:ascii="Calibri" w:cs="Calibri" w:eastAsia="Calibri" w:hAnsi="Calibri"/>
          <w:sz w:val="21"/>
          <w:szCs w:val="21"/>
        </w:rPr>
        <w:t xml:space="preserve">El apartado 5 se suprime cuando ningún sistema de la solución sea de alto riesgo, haciéndolo constar así en la ficha.</w:t>
      </w:r>
    </w:p>
    <w:p>
      <w:pPr>
        <w:pStyle w:val="ListParagraph"/>
        <w:numPr>
          <w:ilvl w:val="0"/>
          <w:numId w:val="1"/>
        </w:numPr>
        <w:spacing w:after="70" w:line="268"/>
      </w:pPr>
      <w:r>
        <w:rPr>
          <w:rFonts w:ascii="Calibri" w:cs="Calibri" w:eastAsia="Calibri" w:hAnsi="Calibri"/>
          <w:sz w:val="21"/>
          <w:szCs w:val="21"/>
        </w:rPr>
        <w:t xml:space="preserve">El apartado 7, segundo inciso en adelante, se suprime cuando no exista ni se prevea actuación administrativa automatizada.</w:t>
      </w:r>
    </w:p>
    <w:p>
      <w:pPr>
        <w:pStyle w:val="ListParagraph"/>
        <w:numPr>
          <w:ilvl w:val="0"/>
          <w:numId w:val="1"/>
        </w:numPr>
        <w:spacing w:after="70" w:line="268"/>
      </w:pPr>
      <w:r>
        <w:rPr>
          <w:rFonts w:ascii="Calibri" w:cs="Calibri" w:eastAsia="Calibri" w:hAnsi="Calibri"/>
          <w:sz w:val="21"/>
          <w:szCs w:val="21"/>
        </w:rPr>
        <w:t xml:space="preserve">Contratos menores: </w:t>
      </w:r>
      <w:r>
        <w:rPr>
          <w:rFonts w:ascii="Calibri" w:cs="Calibri" w:eastAsia="Calibri" w:hAnsi="Calibri"/>
          <w:b/>
          <w:bCs/>
          <w:sz w:val="21"/>
          <w:szCs w:val="21"/>
        </w:rPr>
        <w:t xml:space="preserve">no hay pliego, y esta cláusula no se incorpora.</w:t>
      </w:r>
      <w:r>
        <w:rPr>
          <w:rFonts w:ascii="Calibri" w:cs="Calibri" w:eastAsia="Calibri" w:hAnsi="Calibri"/>
          <w:sz w:val="21"/>
          <w:szCs w:val="21"/>
        </w:rPr>
        <w:t xml:space="preserve"> Lo único que cabe en el encargo o en la aceptación de oferta es la lista cerrada de la Parte V, §7.1, que es la fuente única para este supuesto.</w:t>
      </w:r>
    </w:p>
    <w:p>
      <w:pPr>
        <w:pStyle w:val="ListParagraph"/>
        <w:numPr>
          <w:ilvl w:val="0"/>
          <w:numId w:val="1"/>
        </w:numPr>
        <w:spacing w:after="70" w:line="268"/>
      </w:pPr>
      <w:r>
        <w:rPr>
          <w:rFonts w:ascii="Calibri" w:cs="Calibri" w:eastAsia="Calibri" w:hAnsi="Calibri"/>
          <w:sz w:val="21"/>
          <w:szCs w:val="21"/>
        </w:rPr>
        <w:t xml:space="preserve">Contratos basados en acuerdo marco o adhesiones a centrales de compra: sólo cabe exigir lo que el acuerdo marco o el catálogo permitan añadir. Compruébese antes de redactar; si el instrumento no lo admite, la cláusula no se incorpora y se deja constancia en la ficha.</w:t>
      </w:r>
    </w:p>
    <w:p>
      <w:pPr>
        <w:pStyle w:val="ListParagraph"/>
        <w:numPr>
          <w:ilvl w:val="0"/>
          <w:numId w:val="1"/>
        </w:numPr>
        <w:spacing w:after="70" w:line="268"/>
      </w:pPr>
      <w:r>
        <w:rPr>
          <w:rFonts w:ascii="Calibri" w:cs="Calibri" w:eastAsia="Calibri" w:hAnsi="Calibri"/>
          <w:sz w:val="21"/>
          <w:szCs w:val="21"/>
        </w:rPr>
        <w:t xml:space="preserve">Prórrogas de contratos vivos: no se introducen obligaciones nuevas. La cláusula se aplica a partir de la licitación siguiente.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II.3 · DT-2·v3 — Capa de confianza: anclaje de evidencias e identidad digital verificable</w:t>
      </w:r>
    </w:p>
    <w:p>
      <w:pPr>
        <w:spacing w:after="140" w:line="276"/>
      </w:pPr>
      <w:r>
        <w:rPr>
          <w:rFonts w:ascii="Calibri" w:cs="Calibri" w:eastAsia="Calibri" w:hAnsi="Calibri"/>
          <w:i/>
          <w:iCs/>
          <w:sz w:val="21"/>
          <w:szCs w:val="21"/>
        </w:rPr>
        <w:t xml:space="preserve">(Degradada y renombrada. </w:t>
      </w:r>
      <w:r>
        <w:rPr>
          <w:rFonts w:ascii="Calibri" w:cs="Calibri" w:eastAsia="Calibri" w:hAnsi="Calibri"/>
          <w:i/>
          <w:iCs/>
          <w:sz w:val="21"/>
          <w:szCs w:val="21"/>
        </w:rPr>
        <w:t xml:space="preserve">NO APLICA por defecto.</w:t>
      </w:r>
      <w:r>
        <w:rPr>
          <w:rFonts w:ascii="Calibri" w:cs="Calibri" w:eastAsia="Calibri" w:hAnsi="Calibri"/>
          <w:sz w:val="21"/>
          <w:szCs w:val="21"/>
        </w:rPr>
        <w:t xml:space="preserve">* Se elimina íntegramente la preferencia por una infraestructura nominada, su motivación territorial y el inciso «salvo justificación motivada en el expediente».)*</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DT-2. Capa de confianza: anclaje de evidencias e identidad digital verificable.</w:t>
            </w:r>
          </w:p>
          <w:p>
            <w:pPr>
              <w:spacing w:after="100" w:line="264"/>
            </w:pPr>
            <w:r>
              <w:rPr>
                <w:rFonts w:ascii="Georgia" w:cs="Georgia" w:eastAsia="Georgia" w:hAnsi="Georgia"/>
                <w:b/>
                <w:bCs/>
                <w:sz w:val="20"/>
                <w:szCs w:val="20"/>
              </w:rPr>
              <w:t xml:space="preserve">1. Presupuesto de aplicación.</w:t>
            </w:r>
            <w:r>
              <w:rPr>
                <w:rFonts w:ascii="Georgia" w:cs="Georgia" w:eastAsia="Georgia" w:hAnsi="Georgia"/>
                <w:sz w:val="20"/>
                <w:szCs w:val="20"/>
              </w:rPr>
              <w:t xml:space="preserve"> Esta cláusula sólo se incorpora cuando el objeto del contrato requiera garantías reforzadas de integridad, sellado de tiempo, no repudio o identidad digital verificable que no puedan satisfacerse con los servicios de confianza y los mecanismos de firma y sellado ya disponibles en el Ayuntamiento, y así conste motivado en la memoria del expediente con identificación del caso de uso concreto.</w:t>
            </w:r>
          </w:p>
          <w:p>
            <w:pPr>
              <w:spacing w:after="100" w:line="264"/>
            </w:pPr>
            <w:r>
              <w:rPr>
                <w:rFonts w:ascii="Georgia" w:cs="Georgia" w:eastAsia="Georgia" w:hAnsi="Georgia"/>
                <w:b/>
                <w:bCs/>
                <w:sz w:val="20"/>
                <w:szCs w:val="20"/>
              </w:rPr>
              <w:t xml:space="preserve">2. Exigencias funcionales.</w:t>
            </w:r>
            <w:r>
              <w:rPr>
                <w:rFonts w:ascii="Georgia" w:cs="Georgia" w:eastAsia="Georgia" w:hAnsi="Georgia"/>
                <w:sz w:val="20"/>
                <w:szCs w:val="20"/>
              </w:rPr>
              <w:t xml:space="preserve"> Concurriendo el presupuesto del apartado 1, la solución deberá acreditar:</w:t>
            </w:r>
          </w:p>
          <w:p>
            <w:pPr>
              <w:spacing w:after="100" w:line="264"/>
            </w:pPr>
            <w:r>
              <w:rPr>
                <w:rFonts w:ascii="Georgia" w:cs="Georgia" w:eastAsia="Georgia" w:hAnsi="Georgia"/>
                <w:sz w:val="20"/>
                <w:szCs w:val="20"/>
              </w:rPr>
              <w:t xml:space="preserve">a) Anclaje de evidencias de forma que su integridad y su fecha puedan ser verificadas por un tercero </w:t>
            </w:r>
            <w:r>
              <w:rPr>
                <w:rFonts w:ascii="Georgia" w:cs="Georgia" w:eastAsia="Georgia" w:hAnsi="Georgia"/>
                <w:b/>
                <w:bCs/>
                <w:sz w:val="20"/>
                <w:szCs w:val="20"/>
              </w:rPr>
              <w:t xml:space="preserve">sin acceso privilegiado a los sistemas del adjudicatario</w:t>
            </w:r>
            <w:r>
              <w:rPr>
                <w:rFonts w:ascii="Georgia" w:cs="Georgia" w:eastAsia="Georgia" w:hAnsi="Georgia"/>
                <w:sz w:val="20"/>
                <w:szCs w:val="20"/>
              </w:rPr>
              <w:t xml:space="preserve">, con sellado de tiempo cualificado y no repudio.</w:t>
            </w:r>
          </w:p>
          <w:p>
            <w:pPr>
              <w:spacing w:after="100" w:line="264"/>
            </w:pPr>
            <w:r>
              <w:rPr>
                <w:rFonts w:ascii="Georgia" w:cs="Georgia" w:eastAsia="Georgia" w:hAnsi="Georgia"/>
                <w:sz w:val="20"/>
                <w:szCs w:val="20"/>
              </w:rPr>
              <w:t xml:space="preserve">b) Soporte de identificadores descentralizados y de credenciales verificables conformes con el marco europeo de identidad digital, o equivalente.</w:t>
            </w:r>
          </w:p>
          <w:p>
            <w:pPr>
              <w:spacing w:after="100" w:line="264"/>
            </w:pPr>
            <w:r>
              <w:rPr>
                <w:rFonts w:ascii="Georgia" w:cs="Georgia" w:eastAsia="Georgia" w:hAnsi="Georgia"/>
                <w:sz w:val="20"/>
                <w:szCs w:val="20"/>
              </w:rPr>
              <w:t xml:space="preserve">c) Interoperabilidad acreditada, </w:t>
            </w:r>
            <w:r>
              <w:rPr>
                <w:rFonts w:ascii="Georgia" w:cs="Georgia" w:eastAsia="Georgia" w:hAnsi="Georgia"/>
                <w:b/>
                <w:bCs/>
                <w:sz w:val="20"/>
                <w:szCs w:val="20"/>
              </w:rPr>
              <w:t xml:space="preserve">sobre los casos de uso identificados en este pliego</w:t>
            </w:r>
            <w:r>
              <w:rPr>
                <w:rFonts w:ascii="Georgia" w:cs="Georgia" w:eastAsia="Georgia" w:hAnsi="Georgia"/>
                <w:sz w:val="20"/>
                <w:szCs w:val="20"/>
              </w:rPr>
              <w:t xml:space="preserve">, con infraestructuras de registro distribuido y de servicios de confianza de terceros, mediante especificación pública y documentada, verificable por un tercero sin acceso privilegiado, y acreditada conforme al régimen de la cláusula DT-0.</w:t>
            </w:r>
          </w:p>
          <w:p>
            <w:pPr>
              <w:spacing w:after="100" w:line="264"/>
            </w:pPr>
            <w:r>
              <w:rPr>
                <w:rFonts w:ascii="Georgia" w:cs="Georgia" w:eastAsia="Georgia" w:hAnsi="Georgia"/>
                <w:sz w:val="20"/>
                <w:szCs w:val="20"/>
              </w:rPr>
              <w:t xml:space="preserve">d) Cumplimiento estricto del Reglamento (UE) 2016/679: no inscripción de datos personales en el registro distribuido; uso de funciones resumen, pruebas criptográficas o almacenamiento fuera de cadena; y respeto efectivo del derecho de supresión.</w:t>
            </w:r>
          </w:p>
          <w:p>
            <w:pPr>
              <w:spacing w:after="100" w:line="264"/>
            </w:pPr>
            <w:r>
              <w:rPr>
                <w:rFonts w:ascii="Georgia" w:cs="Georgia" w:eastAsia="Georgia" w:hAnsi="Georgia"/>
                <w:sz w:val="20"/>
                <w:szCs w:val="20"/>
              </w:rPr>
              <w:t xml:space="preserve">e) Reversibilidad y portabilidad de las evidencias, en formato abierto y documentado, verificables fuera de la infraestructura utilizada.</w:t>
            </w:r>
          </w:p>
          <w:p>
            <w:pPr>
              <w:spacing w:after="100" w:line="264"/>
            </w:pPr>
            <w:r>
              <w:rPr>
                <w:rFonts w:ascii="Georgia" w:cs="Georgia" w:eastAsia="Georgia" w:hAnsi="Georgia"/>
                <w:b/>
                <w:bCs/>
                <w:sz w:val="20"/>
                <w:szCs w:val="20"/>
              </w:rPr>
              <w:t xml:space="preserve">3. Neutralidad.</w:t>
            </w:r>
            <w:r>
              <w:rPr>
                <w:rFonts w:ascii="Georgia" w:cs="Georgia" w:eastAsia="Georgia" w:hAnsi="Georgia"/>
                <w:sz w:val="20"/>
                <w:szCs w:val="20"/>
              </w:rPr>
              <w:t xml:space="preserve"> El cumplimiento de las exigencias del apartado 2 es independiente de la infraestructura, red o tecnología que el licitador emplee. </w:t>
            </w:r>
            <w:r>
              <w:rPr>
                <w:rFonts w:ascii="Georgia" w:cs="Georgia" w:eastAsia="Georgia" w:hAnsi="Georgia"/>
                <w:b/>
                <w:bCs/>
                <w:sz w:val="20"/>
                <w:szCs w:val="20"/>
              </w:rPr>
              <w:t xml:space="preserve">En ningún caso la integración con una red o infraestructura nominada podrá configurarse como requisito de admisión, criterio de solvencia, condición excluyente ni criterio de adjudicación referido a su denominación, ni podrá puntuarse la pertenencia o adhesión a una infraestructura determinada.</w:t>
            </w:r>
            <w:r>
              <w:rPr>
                <w:rFonts w:ascii="Georgia" w:cs="Georgia" w:eastAsia="Georgia" w:hAnsi="Georgia"/>
                <w:sz w:val="20"/>
                <w:szCs w:val="20"/>
              </w:rPr>
              <w:t xml:space="preserve"> Lo que se exige y, en su caso, se valora es la capacidad funcional acreditada conforme a las letras a) a e) del apartado 2, con arreglo al régimen de equivalencia de la cláusula DT-0.</w:t>
            </w:r>
          </w:p>
          <w:p>
            <w:pPr>
              <w:spacing w:after="100" w:line="264"/>
            </w:pPr>
            <w:r>
              <w:rPr>
                <w:rFonts w:ascii="Georgia" w:cs="Georgia" w:eastAsia="Georgia" w:hAnsi="Georgia"/>
                <w:b/>
                <w:bCs/>
                <w:sz w:val="20"/>
                <w:szCs w:val="20"/>
              </w:rPr>
              <w:t xml:space="preserve">4. Acreditación.</w:t>
            </w:r>
            <w:r>
              <w:rPr>
                <w:rFonts w:ascii="Georgia" w:cs="Georgia" w:eastAsia="Georgia" w:hAnsi="Georgia"/>
                <w:sz w:val="20"/>
                <w:szCs w:val="20"/>
              </w:rPr>
              <w:t xml:space="preserve"> El licitador acreditará el cumplimiento del apartado 2 mediante documentación técnica de la solución, resultados de pruebas de verificación de integridad ejecutadas por un tercero, y descripción del procedimiento de exportación y verificación de evidencias fuera de la infraestructura.</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PPT, apartado de requisitos de integridad y evidencia electrónica. </w:t>
      </w:r>
      <w:r>
        <w:rPr>
          <w:rFonts w:ascii="Calibri" w:cs="Calibri" w:eastAsia="Calibri" w:hAnsi="Calibri"/>
          <w:b/>
          <w:bCs/>
          <w:sz w:val="21"/>
          <w:szCs w:val="21"/>
        </w:rPr>
        <w:t xml:space="preserve">Sólo si la ficha del Anexo II la marca como aplicable, lo que por defecto no ocurre.</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sz w:val="21"/>
          <w:szCs w:val="21"/>
        </w:rPr>
        <w:t xml:space="preserve">No hay norma que imponga a un ayuntamiento el uso de tecnologías de registro distribuido. Ésa es exactamente la razón por la que la cláusula está en NO APLICA por defecto y su presupuesto de aplicación se redacta en el apartado 1 como una carga de motivación: quien la incorpore tiene que identificar el caso de uso y explicar por qué los mecanismos de firma, sellado y archivo electrónico ya disponibles no bastan. Si no puede explicarlo, no se incorpora.</w:t>
      </w:r>
    </w:p>
    <w:p>
      <w:pPr>
        <w:spacing w:after="140" w:line="276"/>
      </w:pPr>
      <w:r>
        <w:rPr>
          <w:rFonts w:ascii="Calibri" w:cs="Calibri" w:eastAsia="Calibri" w:hAnsi="Calibri"/>
          <w:sz w:val="21"/>
          <w:szCs w:val="21"/>
        </w:rPr>
        <w:t xml:space="preserve">Lo que sí es exigible cuando la cláusula se aplica es lo del apartado 2.d): el Reglamento (UE) 2016/679 rige íntegramente, y la inscripción de datos personales en un registro cuya inmutabilidad es su característica de diseño es incompatible con el derecho de supresión.</w:t>
      </w:r>
    </w:p>
    <w:p>
      <w:pPr>
        <w:spacing w:after="140" w:line="276"/>
      </w:pPr>
      <w:r>
        <w:rPr>
          <w:rFonts w:ascii="Calibri" w:cs="Calibri" w:eastAsia="Calibri" w:hAnsi="Calibri"/>
          <w:b/>
          <w:bCs/>
          <w:sz w:val="21"/>
          <w:szCs w:val="21"/>
        </w:rPr>
        <w:t xml:space="preserve">Por qué se ha eliminado la preferencia por una infraestructura nominada.</w:t>
      </w:r>
      <w:r>
        <w:rPr>
          <w:rFonts w:ascii="Calibri" w:cs="Calibri" w:eastAsia="Calibri" w:hAnsi="Calibri"/>
          <w:sz w:val="21"/>
          <w:szCs w:val="21"/>
        </w:rPr>
        <w:t xml:space="preserve"> La redacción anterior fundaba la preferencia en que la infraestructura constituía «la infraestructura estratégica de referencia en el ámbito territorial del Ayuntamiento» y en la «estrategia regional». Ésa es una motivación </w:t>
      </w:r>
      <w:r>
        <w:rPr>
          <w:rFonts w:ascii="Calibri" w:cs="Calibri" w:eastAsia="Calibri" w:hAnsi="Calibri"/>
          <w:b/>
          <w:bCs/>
          <w:sz w:val="21"/>
          <w:szCs w:val="21"/>
        </w:rPr>
        <w:t xml:space="preserve">territorial y estratégica</w:t>
      </w:r>
      <w:r>
        <w:rPr>
          <w:rFonts w:ascii="Calibri" w:cs="Calibri" w:eastAsia="Calibri" w:hAnsi="Calibri"/>
          <w:sz w:val="21"/>
          <w:szCs w:val="21"/>
        </w:rPr>
        <w:t xml:space="preserve">, no funcional, y es el patrón que la doctrina sobre arraigo territorial rechaza. El artículo 126.6 LCSP prohíbe que las prescripciones técnicas se refieran a un origen o a una producción determinados «con la finalidad de favorecer o descartar ciertas empresas o ciertos productos», y el TJUE interpreta la excepción de manera restrictiva (C-424/23, ap. 53). A ello se añadía un inciso —«salvo justificación motivada en el expediente»— que autorizaba a convertir la preferencia en requisito excluyente: publicado el documento en abierto para su reutilización, basta que </w:t>
      </w:r>
      <w:r>
        <w:rPr>
          <w:rFonts w:ascii="Calibri" w:cs="Calibri" w:eastAsia="Calibri" w:hAnsi="Calibri"/>
          <w:b/>
          <w:bCs/>
          <w:sz w:val="21"/>
          <w:szCs w:val="21"/>
        </w:rPr>
        <w:t xml:space="preserve">una</w:t>
      </w:r>
      <w:r>
        <w:rPr>
          <w:rFonts w:ascii="Calibri" w:cs="Calibri" w:eastAsia="Calibri" w:hAnsi="Calibri"/>
          <w:sz w:val="21"/>
          <w:szCs w:val="21"/>
        </w:rPr>
        <w:t xml:space="preserve"> administración use esa puerta para marcar el modelo entero. Se suprime.</w:t>
      </w:r>
    </w:p>
    <w:p>
      <w:pPr>
        <w:spacing w:after="140" w:line="276"/>
      </w:pPr>
      <w:r>
        <w:rPr>
          <w:rFonts w:ascii="Calibri" w:cs="Calibri" w:eastAsia="Calibri" w:hAnsi="Calibri"/>
          <w:b/>
          <w:bCs/>
          <w:sz w:val="21"/>
          <w:szCs w:val="21"/>
        </w:rPr>
        <w:t xml:space="preserve">Y por eso el apartado 2.c) tampoco nombra ya ninguna infraestructura.</w:t>
      </w:r>
      <w:r>
        <w:rPr>
          <w:rFonts w:ascii="Calibri" w:cs="Calibri" w:eastAsia="Calibri" w:hAnsi="Calibri"/>
          <w:sz w:val="21"/>
          <w:szCs w:val="21"/>
        </w:rPr>
        <w:t xml:space="preserve"> La redacción anterior exigía «interoperabilidad acreditada con la Infraestructura Europea de Servicios Blockchain (EBSI) o con infraestructuras que acrediten interoperabilidad equivalente». Era la única mención nominativa operativa que quedaba </w:t>
      </w:r>
      <w:r>
        <w:rPr>
          <w:rFonts w:ascii="Calibri" w:cs="Calibri" w:eastAsia="Calibri" w:hAnsi="Calibri"/>
          <w:b/>
          <w:bCs/>
          <w:sz w:val="21"/>
          <w:szCs w:val="21"/>
        </w:rPr>
        <w:t xml:space="preserve">dentro de un bloque de pliego</w:t>
      </w:r>
      <w:r>
        <w:rPr>
          <w:rFonts w:ascii="Calibri" w:cs="Calibri" w:eastAsia="Calibri" w:hAnsi="Calibri"/>
          <w:sz w:val="21"/>
          <w:szCs w:val="21"/>
        </w:rPr>
        <w:t xml:space="preserve">, y medía la equivalencia contra una infraestructura nombrada, que es exactamente el defecto que la Parte I, §5.3, diagnostica en la definición de «solución equivalente» de la versión anterior: si la equivalencia se mide contra un producto, el producto nombrado gana siempre. La infraestructura sólo puede aparecer </w:t>
      </w:r>
      <w:r>
        <w:rPr>
          <w:rFonts w:ascii="Calibri" w:cs="Calibri" w:eastAsia="Calibri" w:hAnsi="Calibri"/>
          <w:b/>
          <w:bCs/>
          <w:sz w:val="21"/>
          <w:szCs w:val="21"/>
        </w:rPr>
        <w:t xml:space="preserve">fuera del articulado</w:t>
      </w:r>
      <w:r>
        <w:rPr>
          <w:rFonts w:ascii="Calibri" w:cs="Calibri" w:eastAsia="Calibri" w:hAnsi="Calibri"/>
          <w:sz w:val="21"/>
          <w:szCs w:val="21"/>
        </w:rPr>
        <w:t xml:space="preserve">, en el bloque de referencias técnicas no normativas de la Parte I, §4.2, como referencia ilustrativa del estado del arte.</w:t>
      </w:r>
    </w:p>
    <w:p>
      <w:pPr>
        <w:spacing w:after="140" w:line="276"/>
      </w:pPr>
      <w:r>
        <w:rPr>
          <w:rFonts w:ascii="Calibri" w:cs="Calibri" w:eastAsia="Calibri" w:hAnsi="Calibri"/>
          <w:b/>
          <w:bCs/>
          <w:sz w:val="21"/>
          <w:szCs w:val="21"/>
        </w:rPr>
        <w:t xml:space="preserve">Advertencia de expediente.</w:t>
      </w:r>
      <w:r>
        <w:rPr>
          <w:rFonts w:ascii="Calibri" w:cs="Calibri" w:eastAsia="Calibri" w:hAnsi="Calibri"/>
          <w:sz w:val="21"/>
          <w:szCs w:val="21"/>
        </w:rPr>
        <w:t xml:space="preserve"> Cuando la cláusula se incorpore, el expediente debe contener el estudio de mercado que acredite pluralidad de operadores capaces de cumplir el apartado 2 sobre el caso de uso concreto (arts. 28.1 y 116.4 LCSP), y la declaración de conflicto de interés del artículo 64 LCSP referida a quienes participaron en la preparación. El estándar de prueba de la restricción de la concurrencia recae sobre el recurrente: así lo recuerda el Tribunal Administrativo de Contratación Pública de la Comunidad de Madrid en su </w:t>
      </w:r>
      <w:r>
        <w:rPr>
          <w:rFonts w:ascii="Calibri" w:cs="Calibri" w:eastAsia="Calibri" w:hAnsi="Calibri"/>
          <w:b/>
          <w:bCs/>
          <w:sz w:val="21"/>
          <w:szCs w:val="21"/>
        </w:rPr>
        <w:t xml:space="preserve">Resolución 92/2024, de 7 de marzo de 2024, recurso 70/2024</w:t>
      </w:r>
      <w:r>
        <w:rPr>
          <w:rFonts w:ascii="Calibri" w:cs="Calibri" w:eastAsia="Calibri" w:hAnsi="Calibri"/>
          <w:sz w:val="21"/>
          <w:szCs w:val="21"/>
        </w:rPr>
        <w:t xml:space="preserve"> (PALEX MEDICAL contra los pliegos del Hospital Universitario de Fuenlabrada), </w:t>
      </w:r>
      <w:hyperlink w:history="1" r:id="rIdmbeeeppmlinhoe5zipjae">
        <w:r>
          <w:rPr>
            <w:rFonts w:ascii="Calibri" w:cs="Calibri" w:eastAsia="Calibri" w:hAnsi="Calibri"/>
            <w:color w:val="2F5496"/>
            <w:sz w:val="21"/>
            <w:szCs w:val="21"/>
            <w:u w:val="single"/>
          </w:rPr>
          <w:t xml:space="preserve">PDF</w:t>
        </w:r>
      </w:hyperlink>
      <w:r>
        <w:rPr>
          <w:rFonts w:ascii="Calibri" w:cs="Calibri" w:eastAsia="Calibri" w:hAnsi="Calibri"/>
          <w:sz w:val="21"/>
          <w:szCs w:val="21"/>
        </w:rPr>
        <w:t xml:space="preserve">. Tres cautelas sobre esta cita, y las tres son necesarias: es </w:t>
      </w:r>
      <w:r>
        <w:rPr>
          <w:rFonts w:ascii="Calibri" w:cs="Calibri" w:eastAsia="Calibri" w:hAnsi="Calibri"/>
          <w:b/>
          <w:bCs/>
          <w:sz w:val="21"/>
          <w:szCs w:val="21"/>
        </w:rPr>
        <w:t xml:space="preserve">desestimatoria</w:t>
      </w:r>
      <w:r>
        <w:rPr>
          <w:rFonts w:ascii="Calibri" w:cs="Calibri" w:eastAsia="Calibri" w:hAnsi="Calibri"/>
          <w:sz w:val="21"/>
          <w:szCs w:val="21"/>
        </w:rPr>
        <w:t xml:space="preserve">, de modo que no avala redacción alguna; el propio Tribunal atribuye el criterio a resoluciones anteriores suyas («valga por todas la 273/2017»), de modo que se cita de segunda mano; y se traslada aquí como </w:t>
      </w:r>
      <w:r>
        <w:rPr>
          <w:rFonts w:ascii="Calibri" w:cs="Calibri" w:eastAsia="Calibri" w:hAnsi="Calibri"/>
          <w:b/>
          <w:bCs/>
          <w:sz w:val="21"/>
          <w:szCs w:val="21"/>
        </w:rPr>
        <w:t xml:space="preserve">doctrina general por analogía</w:t>
      </w:r>
      <w:r>
        <w:rPr>
          <w:rFonts w:ascii="Calibri" w:cs="Calibri" w:eastAsia="Calibri" w:hAnsi="Calibri"/>
          <w:sz w:val="21"/>
          <w:szCs w:val="21"/>
        </w:rPr>
        <w:t xml:space="preserve">, porque no versa sobre infraestructuras de registro distribuido ni sobre contenido tecnológico. Nada de ello exime de motivar: exime de probar lo imposible, no de justificar lo exigido.</w:t>
      </w:r>
    </w:p>
    <w:p>
      <w:pPr>
        <w:spacing w:after="140" w:line="276"/>
      </w:pPr>
      <w:r>
        <w:rPr>
          <w:rFonts w:ascii="Calibri" w:cs="Calibri" w:eastAsia="Calibri" w:hAnsi="Calibri"/>
          <w:sz w:val="21"/>
          <w:szCs w:val="21"/>
        </w:rPr>
        <w:t xml:space="preserve">No consta, a fecha de corte de 1 de septiembre de 2026 y tras búsqueda en los repositorios del Tribunal Administrativo Central de Recursos Contractuales, del Tribunal Administrativo de Contratación Pública de la Comunidad de Madrid y del Órgano Administrativo de Recursos Contractuales del País Vasco, ninguna resolución sobre el uso de infraestructuras de registro distribuido en pliegos. No hay precedente favorable en el que ampararse ni contrario que temer.</w:t>
      </w:r>
    </w:p>
    <w:p>
      <w:pPr>
        <w:pStyle w:val="Heading3"/>
        <w:keepNext/>
        <w:spacing w:after="140" w:before="320"/>
      </w:pPr>
      <w:r>
        <w:rPr>
          <w:rFonts w:ascii="Georgia" w:cs="Georgia" w:eastAsia="Georgia" w:hAnsi="Georgia"/>
          <w:b/>
          <w:bCs/>
          <w:color w:val="2F5496"/>
          <w:sz w:val="22"/>
          <w:szCs w:val="22"/>
        </w:rPr>
        <w:t xml:space="preserve">4. Cómo se acredita</w:t>
      </w:r>
    </w:p>
    <w:p>
      <w:pPr>
        <w:pStyle w:val="ListParagraph"/>
        <w:numPr>
          <w:ilvl w:val="0"/>
          <w:numId w:val="1"/>
        </w:numPr>
        <w:spacing w:after="70" w:line="268"/>
      </w:pPr>
      <w:r>
        <w:rPr>
          <w:rFonts w:ascii="Calibri" w:cs="Calibri" w:eastAsia="Calibri" w:hAnsi="Calibri"/>
          <w:sz w:val="21"/>
          <w:szCs w:val="21"/>
        </w:rPr>
        <w:t xml:space="preserve">Documentación técnica de la solución: modelo de anclaje, algoritmo de resumen, política de sellado de tiempo y prestador cualificado empleado.</w:t>
      </w:r>
    </w:p>
    <w:p>
      <w:pPr>
        <w:pStyle w:val="ListParagraph"/>
        <w:numPr>
          <w:ilvl w:val="0"/>
          <w:numId w:val="1"/>
        </w:numPr>
        <w:spacing w:after="70" w:line="268"/>
      </w:pPr>
      <w:r>
        <w:rPr>
          <w:rFonts w:ascii="Calibri" w:cs="Calibri" w:eastAsia="Calibri" w:hAnsi="Calibri"/>
          <w:sz w:val="21"/>
          <w:szCs w:val="21"/>
        </w:rPr>
        <w:t xml:space="preserve">Informe de verificación independiente de integridad sobre una muestra de evidencias.</w:t>
      </w:r>
    </w:p>
    <w:p>
      <w:pPr>
        <w:pStyle w:val="ListParagraph"/>
        <w:numPr>
          <w:ilvl w:val="0"/>
          <w:numId w:val="1"/>
        </w:numPr>
        <w:spacing w:after="70" w:line="268"/>
      </w:pPr>
      <w:r>
        <w:rPr>
          <w:rFonts w:ascii="Calibri" w:cs="Calibri" w:eastAsia="Calibri" w:hAnsi="Calibri"/>
          <w:sz w:val="21"/>
          <w:szCs w:val="21"/>
        </w:rPr>
        <w:t xml:space="preserve">Documentación de interoperabilidad con la infraestructura de terceros de que se trate: especificación pública, versión y modelo de datos, o informe técnico de equivalencia conforme a DT-0·v3.</w:t>
      </w:r>
    </w:p>
    <w:p>
      <w:pPr>
        <w:pStyle w:val="ListParagraph"/>
        <w:numPr>
          <w:ilvl w:val="0"/>
          <w:numId w:val="1"/>
        </w:numPr>
        <w:spacing w:after="70" w:line="268"/>
      </w:pPr>
      <w:r>
        <w:rPr>
          <w:rFonts w:ascii="Calibri" w:cs="Calibri" w:eastAsia="Calibri" w:hAnsi="Calibri"/>
          <w:sz w:val="21"/>
          <w:szCs w:val="21"/>
        </w:rPr>
        <w:t xml:space="preserve">Procedimiento documentado de exportación y de verificación fuera de la infraestructura.</w:t>
      </w:r>
    </w:p>
    <w:p>
      <w:pPr>
        <w:pStyle w:val="Heading3"/>
        <w:keepNext/>
        <w:spacing w:after="140" w:before="320"/>
      </w:pPr>
      <w:r>
        <w:rPr>
          <w:rFonts w:ascii="Georgia" w:cs="Georgia" w:eastAsia="Georgia" w:hAnsi="Georgia"/>
          <w:b/>
          <w:bCs/>
          <w:color w:val="2F5496"/>
          <w:sz w:val="22"/>
          <w:szCs w:val="22"/>
        </w:rPr>
        <w:t xml:space="preserve">5. Cómo se verifica</w:t>
      </w:r>
    </w:p>
    <w:p>
      <w:pPr>
        <w:spacing w:after="140" w:line="276"/>
      </w:pPr>
      <w:r>
        <w:rPr>
          <w:rFonts w:ascii="Calibri" w:cs="Calibri" w:eastAsia="Calibri" w:hAnsi="Calibri"/>
          <w:b/>
          <w:bCs/>
          <w:sz w:val="21"/>
          <w:szCs w:val="21"/>
        </w:rPr>
        <w:t xml:space="preserve">Quién:</w:t>
      </w:r>
      <w:r>
        <w:rPr>
          <w:rFonts w:ascii="Calibri" w:cs="Calibri" w:eastAsia="Calibri" w:hAnsi="Calibri"/>
          <w:sz w:val="21"/>
          <w:szCs w:val="21"/>
        </w:rPr>
        <w:t xml:space="preserve"> servicio municipal de informática, con apoyo del delegado de protección de datos para el apartado 2.d).</w:t>
      </w:r>
    </w:p>
    <w:p>
      <w:pPr>
        <w:spacing w:after="140" w:line="276"/>
      </w:pPr>
      <w:r>
        <w:rPr>
          <w:rFonts w:ascii="Calibri" w:cs="Calibri" w:eastAsia="Calibri" w:hAnsi="Calibri"/>
          <w:b/>
          <w:bCs/>
          <w:sz w:val="21"/>
          <w:szCs w:val="21"/>
        </w:rPr>
        <w:t xml:space="preserve">Cuándo:</w:t>
      </w:r>
      <w:r>
        <w:rPr>
          <w:rFonts w:ascii="Calibri" w:cs="Calibri" w:eastAsia="Calibri" w:hAnsi="Calibri"/>
          <w:sz w:val="21"/>
          <w:szCs w:val="21"/>
        </w:rPr>
        <w:t xml:space="preserve"> en la aceptación de la funcionalidad y, después, una vez al año.</w:t>
      </w:r>
    </w:p>
    <w:p>
      <w:pPr>
        <w:spacing w:after="140" w:line="276"/>
      </w:pPr>
      <w:r>
        <w:rPr>
          <w:rFonts w:ascii="Calibri" w:cs="Calibri" w:eastAsia="Calibri" w:hAnsi="Calibri"/>
          <w:b/>
          <w:bCs/>
          <w:sz w:val="21"/>
          <w:szCs w:val="21"/>
        </w:rPr>
        <w:t xml:space="preserve">Con qué documento:</w:t>
      </w:r>
      <w:r>
        <w:rPr>
          <w:rFonts w:ascii="Calibri" w:cs="Calibri" w:eastAsia="Calibri" w:hAnsi="Calibri"/>
          <w:sz w:val="21"/>
          <w:szCs w:val="21"/>
        </w:rPr>
        <w:t xml:space="preserve"> acta de prueba de verificación de integridad y de exportación de evidencias, sobre el entorno de pruebas.</w:t>
      </w:r>
    </w:p>
    <w:p>
      <w:pPr>
        <w:spacing w:after="140" w:line="276"/>
      </w:pPr>
      <w:r>
        <w:rPr>
          <w:rFonts w:ascii="Calibri" w:cs="Calibri" w:eastAsia="Calibri" w:hAnsi="Calibri"/>
          <w:b/>
          <w:bCs/>
          <w:sz w:val="21"/>
          <w:szCs w:val="21"/>
        </w:rPr>
        <w:t xml:space="preserve">Carga estimada al año</w:t>
      </w:r>
      <w:r>
        <w:rPr>
          <w:rFonts w:ascii="Calibri" w:cs="Calibri" w:eastAsia="Calibri" w:hAnsi="Calibri"/>
          <w:sz w:val="21"/>
          <w:szCs w:val="21"/>
        </w:rPr>
        <w:t xml:space="preserve"> </w:t>
      </w:r>
      <w:r>
        <w:rPr>
          <w:rFonts w:ascii="Calibri" w:cs="Calibri" w:eastAsia="Calibri" w:hAnsi="Calibri"/>
          <w:i/>
          <w:iCs/>
          <w:sz w:val="21"/>
          <w:szCs w:val="21"/>
        </w:rPr>
        <w:t xml:space="preserve">(orientativa)</w:t>
      </w:r>
      <w:r>
        <w:rPr>
          <w:rFonts w:ascii="Calibri" w:cs="Calibri" w:eastAsia="Calibri" w:hAnsi="Calibri"/>
          <w:sz w:val="21"/>
          <w:szCs w:val="21"/>
        </w:rPr>
        <w:t xml:space="preserve">: 8 horas de aceptación inicial y 4 horas de verificación anual. Aproximadamente </w:t>
      </w:r>
      <w:r>
        <w:rPr>
          <w:rFonts w:ascii="Calibri" w:cs="Calibri" w:eastAsia="Calibri" w:hAnsi="Calibri"/>
          <w:b/>
          <w:bCs/>
          <w:sz w:val="21"/>
          <w:szCs w:val="21"/>
        </w:rPr>
        <w:t xml:space="preserve">12 horas el primer año y 4 en los siguientes</w:t>
      </w:r>
      <w:r>
        <w:rPr>
          <w:rFonts w:ascii="Calibri" w:cs="Calibri" w:eastAsia="Calibri" w:hAnsi="Calibri"/>
          <w:sz w:val="21"/>
          <w:szCs w:val="21"/>
        </w:rPr>
        <w:t xml:space="preserve">.</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spacing w:after="140" w:line="276"/>
      </w:pPr>
      <w:r>
        <w:rPr>
          <w:rFonts w:ascii="Calibri" w:cs="Calibri" w:eastAsia="Calibri" w:hAnsi="Calibri"/>
          <w:b/>
          <w:bCs/>
          <w:sz w:val="21"/>
          <w:szCs w:val="21"/>
        </w:rPr>
        <w:t xml:space="preserve">Obligación esencial: NO.</w:t>
      </w:r>
    </w:p>
    <w:p>
      <w:pPr>
        <w:spacing w:after="140" w:line="276"/>
      </w:pPr>
      <w:r>
        <w:rPr>
          <w:rFonts w:ascii="Calibri" w:cs="Calibri" w:eastAsia="Calibri" w:hAnsi="Calibri"/>
          <w:i/>
          <w:iCs/>
          <w:sz w:val="21"/>
          <w:szCs w:val="21"/>
        </w:rPr>
        <w:t xml:space="preserve">Tipificaciones que deben incorporarse, con su código, a la lista cerrada del apartado 3 de ADM-5·v3. El PPT no impone penalidades por sí mismo: un hecho de esta tabla que no figure allí no genera penalidad exigible.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Tipificación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Hecho verificable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Leve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Falta de actualización de la documentación técnica del anclaje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Imposibilidad de verificar la integridad de las evidencias por un tercero sin acceso privilegiado; falta de entrega del procedimiento de exportación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Muy 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Inscripción de datos personales en el registro distribuido contra lo previsto en el apartado 2.d)</w:t>
            </w:r>
          </w:p>
        </w:tc>
      </w:tr>
    </w:tbl>
    <w:p>
      <w:pPr>
        <w:spacing w:after="200"/>
      </w:pP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b/>
          <w:bCs/>
          <w:sz w:val="21"/>
          <w:szCs w:val="21"/>
        </w:rPr>
        <w:t xml:space="preserve">Por defecto, no se aplica.</w:t>
      </w:r>
      <w:r>
        <w:rPr>
          <w:rFonts w:ascii="Calibri" w:cs="Calibri" w:eastAsia="Calibri" w:hAnsi="Calibri"/>
          <w:sz w:val="21"/>
          <w:szCs w:val="21"/>
        </w:rPr>
        <w:t xml:space="preserve"> Se marca NO APLICA salvo que la ficha del Anexo II identifique el caso de uso y la memoria lo motive.</w:t>
      </w:r>
    </w:p>
    <w:p>
      <w:pPr>
        <w:pStyle w:val="ListParagraph"/>
        <w:numPr>
          <w:ilvl w:val="0"/>
          <w:numId w:val="1"/>
        </w:numPr>
        <w:spacing w:after="70" w:line="268"/>
      </w:pPr>
      <w:r>
        <w:rPr>
          <w:rFonts w:ascii="Calibri" w:cs="Calibri" w:eastAsia="Calibri" w:hAnsi="Calibri"/>
          <w:sz w:val="21"/>
          <w:szCs w:val="21"/>
        </w:rPr>
        <w:t xml:space="preserve">No se aplica cuando la necesidad de integridad y fecha cierta se satisfaga con firma electrónica, sello de órgano, sellado de tiempo cualificado o archivo electrónico ya disponibles, que es el caso más frecuente.</w:t>
      </w:r>
    </w:p>
    <w:p>
      <w:pPr>
        <w:pStyle w:val="ListParagraph"/>
        <w:numPr>
          <w:ilvl w:val="0"/>
          <w:numId w:val="1"/>
        </w:numPr>
        <w:spacing w:after="70" w:line="268"/>
      </w:pPr>
      <w:r>
        <w:rPr>
          <w:rFonts w:ascii="Calibri" w:cs="Calibri" w:eastAsia="Calibri" w:hAnsi="Calibri"/>
          <w:sz w:val="21"/>
          <w:szCs w:val="21"/>
        </w:rPr>
        <w:t xml:space="preserve">No se aplica en contratos menores, ni en basados en acuerdo marco cuyo catálogo no la contemple, ni en prórrogas.</w:t>
      </w:r>
    </w:p>
    <w:p>
      <w:pPr>
        <w:pStyle w:val="ListParagraph"/>
        <w:numPr>
          <w:ilvl w:val="0"/>
          <w:numId w:val="1"/>
        </w:numPr>
        <w:spacing w:after="70" w:line="268"/>
      </w:pPr>
      <w:r>
        <w:rPr>
          <w:rFonts w:ascii="Calibri" w:cs="Calibri" w:eastAsia="Calibri" w:hAnsi="Calibri"/>
          <w:b/>
          <w:bCs/>
          <w:sz w:val="21"/>
          <w:szCs w:val="21"/>
        </w:rPr>
        <w:t xml:space="preserve">Dependencia:</w:t>
      </w:r>
      <w:r>
        <w:rPr>
          <w:rFonts w:ascii="Calibri" w:cs="Calibri" w:eastAsia="Calibri" w:hAnsi="Calibri"/>
          <w:sz w:val="21"/>
          <w:szCs w:val="21"/>
        </w:rPr>
        <w:t xml:space="preserve"> si esta cláusula se marca NO APLICA, debe suprimirse también el criterio de adjudicación que, en su caso, hubiera valorado esa capacidad —el baremo de ADM-7·v3 no contiene ninguno por defecto— y la mención correspondiente del Anexo VII (declaración responsable). Puntuar una capacidad cuya cláusula técnica el propio pliego ha declarado innecesaria es un defecto que no se motiva. La lista completa de menciones que arrastra está en el </w:t>
      </w:r>
      <w:r>
        <w:rPr>
          <w:rFonts w:ascii="Calibri" w:cs="Calibri" w:eastAsia="Calibri" w:hAnsi="Calibri"/>
          <w:b/>
          <w:bCs/>
          <w:sz w:val="21"/>
          <w:szCs w:val="21"/>
        </w:rPr>
        <w:t xml:space="preserve">Anexo VI</w:t>
      </w:r>
      <w:r>
        <w:rPr>
          <w:rFonts w:ascii="Calibri" w:cs="Calibri" w:eastAsia="Calibri" w:hAnsi="Calibri"/>
          <w:sz w:val="21"/>
          <w:szCs w:val="21"/>
        </w:rPr>
        <w:t xml:space="preserv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II.4 · DT-3·v3 — Criptoagilidad y preparación para la criptografía post-cuántica</w:t>
      </w:r>
    </w:p>
    <w:p>
      <w:pPr>
        <w:spacing w:after="140" w:line="276"/>
      </w:pPr>
      <w:r>
        <w:rPr>
          <w:rFonts w:ascii="Calibri" w:cs="Calibri" w:eastAsia="Calibri" w:hAnsi="Calibri"/>
          <w:i/>
          <w:iCs/>
          <w:sz w:val="21"/>
          <w:szCs w:val="21"/>
        </w:rPr>
        <w:t xml:space="preserve">(Degradada. </w:t>
      </w:r>
      <w:r>
        <w:rPr>
          <w:rFonts w:ascii="Calibri" w:cs="Calibri" w:eastAsia="Calibri" w:hAnsi="Calibri"/>
          <w:i/>
          <w:iCs/>
          <w:sz w:val="21"/>
          <w:szCs w:val="21"/>
        </w:rPr>
        <w:t xml:space="preserve">NO APLICA por defecto.</w:t>
      </w:r>
      <w:r>
        <w:rPr>
          <w:rFonts w:ascii="Calibri" w:cs="Calibri" w:eastAsia="Calibri" w:hAnsi="Calibri"/>
          <w:sz w:val="21"/>
          <w:szCs w:val="21"/>
        </w:rPr>
        <w:t xml:space="preserve">* Sale del baremo. Queda como requisito funcional activable en sistemas con datos de conservación prolongada o especialmente protegidos.)*</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DT-3. Criptoagilidad y preparación para la criptografía post-cuántica.</w:t>
            </w:r>
          </w:p>
          <w:p>
            <w:pPr>
              <w:spacing w:after="100" w:line="264"/>
            </w:pPr>
            <w:r>
              <w:rPr>
                <w:rFonts w:ascii="Georgia" w:cs="Georgia" w:eastAsia="Georgia" w:hAnsi="Georgia"/>
                <w:b/>
                <w:bCs/>
                <w:sz w:val="20"/>
                <w:szCs w:val="20"/>
              </w:rPr>
              <w:t xml:space="preserve">1. Presupuesto de aplicación.</w:t>
            </w:r>
            <w:r>
              <w:rPr>
                <w:rFonts w:ascii="Georgia" w:cs="Georgia" w:eastAsia="Georgia" w:hAnsi="Georgia"/>
                <w:sz w:val="20"/>
                <w:szCs w:val="20"/>
              </w:rPr>
              <w:t xml:space="preserve"> Esta cláusula se incorpora cuando la solución trate datos de las categorías especiales del artículo 9 del Reglamento (UE) 2016/679, o información cuyo período de conservación exigible sea igual o superior a [X; se recomienda 5] años, y así conste en la memoria del expediente.</w:t>
            </w:r>
          </w:p>
          <w:p>
            <w:pPr>
              <w:spacing w:after="100" w:line="264"/>
            </w:pPr>
            <w:r>
              <w:rPr>
                <w:rFonts w:ascii="Georgia" w:cs="Georgia" w:eastAsia="Georgia" w:hAnsi="Georgia"/>
                <w:b/>
                <w:bCs/>
                <w:sz w:val="20"/>
                <w:szCs w:val="20"/>
              </w:rPr>
              <w:t xml:space="preserve">2. Criptoagilidad.</w:t>
            </w:r>
            <w:r>
              <w:rPr>
                <w:rFonts w:ascii="Georgia" w:cs="Georgia" w:eastAsia="Georgia" w:hAnsi="Georgia"/>
                <w:sz w:val="20"/>
                <w:szCs w:val="20"/>
              </w:rPr>
              <w:t xml:space="preserve"> La solución permitirá sustituir los algoritmos, longitudes de clave y protocolos criptográficos que emplea sin rediseñar el sistema ni interrumpir el servicio más allá de las ventanas de mantenimiento pactadas. El adjudicatario documentará el procedimiento de sustitución y el tiempo estimado de ejecución.</w:t>
            </w:r>
          </w:p>
          <w:p>
            <w:pPr>
              <w:spacing w:after="100" w:line="264"/>
            </w:pPr>
            <w:r>
              <w:rPr>
                <w:rFonts w:ascii="Georgia" w:cs="Georgia" w:eastAsia="Georgia" w:hAnsi="Georgia"/>
                <w:b/>
                <w:bCs/>
                <w:sz w:val="20"/>
                <w:szCs w:val="20"/>
              </w:rPr>
              <w:t xml:space="preserve">3. Inventario criptográfico.</w:t>
            </w:r>
            <w:r>
              <w:rPr>
                <w:rFonts w:ascii="Georgia" w:cs="Georgia" w:eastAsia="Georgia" w:hAnsi="Georgia"/>
                <w:sz w:val="20"/>
                <w:szCs w:val="20"/>
              </w:rPr>
              <w:t xml:space="preserve"> El adjudicatario elaborará y mantendrá actualizado, con periodicidad [X; se recomienda anual], un inventario de los algoritmos, protocolos, longitudes de clave, certificados y componentes criptográficos empleados por la solución, con identificación de los datos que protege cada uno y de su fecha prevista de retirada.</w:t>
            </w:r>
          </w:p>
          <w:p>
            <w:pPr>
              <w:spacing w:after="100" w:line="264"/>
            </w:pPr>
            <w:r>
              <w:rPr>
                <w:rFonts w:ascii="Georgia" w:cs="Georgia" w:eastAsia="Georgia" w:hAnsi="Georgia"/>
                <w:b/>
                <w:bCs/>
                <w:sz w:val="20"/>
                <w:szCs w:val="20"/>
              </w:rPr>
              <w:t xml:space="preserve">4. Plan de transición.</w:t>
            </w:r>
            <w:r>
              <w:rPr>
                <w:rFonts w:ascii="Georgia" w:cs="Georgia" w:eastAsia="Georgia" w:hAnsi="Georgia"/>
                <w:sz w:val="20"/>
                <w:szCs w:val="20"/>
              </w:rPr>
              <w:t xml:space="preserve"> El adjudicatario presentará, en el plazo de [X; se recomienda 6] meses desde la formalización, y actualizará anualmente, un plan de transición a algoritmos resistentes a la computación cuántica, con hitos y fechas, referido a los sistemas y datos del inventario del apartado 3.</w:t>
            </w:r>
          </w:p>
          <w:p>
            <w:pPr>
              <w:spacing w:after="100" w:line="264"/>
            </w:pPr>
            <w:r>
              <w:rPr>
                <w:rFonts w:ascii="Georgia" w:cs="Georgia" w:eastAsia="Georgia" w:hAnsi="Georgia"/>
                <w:b/>
                <w:bCs/>
                <w:sz w:val="20"/>
                <w:szCs w:val="20"/>
              </w:rPr>
              <w:t xml:space="preserve">5. Algoritmos exigibles.</w:t>
            </w:r>
            <w:r>
              <w:rPr>
                <w:rFonts w:ascii="Georgia" w:cs="Georgia" w:eastAsia="Georgia" w:hAnsi="Georgia"/>
                <w:sz w:val="20"/>
                <w:szCs w:val="20"/>
              </w:rPr>
              <w:t xml:space="preserve"> Los algoritmos criptográficos empleados se ajustarán a las normas europeas o internacionales aplicables y a las guías CCN-STIC del Centro Criptológico Nacional vigentes en cada momento en el ámbito del Esquema Nacional de Seguridad, o a especificaciones equivalentes acreditadas conforme a la cláusula DT-0. No se impone algoritmo, familia ni especificación nominados.</w:t>
            </w:r>
          </w:p>
          <w:p>
            <w:pPr>
              <w:spacing w:after="100" w:line="264"/>
            </w:pPr>
            <w:r>
              <w:rPr>
                <w:rFonts w:ascii="Georgia" w:cs="Georgia" w:eastAsia="Georgia" w:hAnsi="Georgia"/>
                <w:b/>
                <w:bCs/>
                <w:sz w:val="20"/>
                <w:szCs w:val="20"/>
              </w:rPr>
              <w:t xml:space="preserve">6. Datos de conservación prolongada.</w:t>
            </w:r>
            <w:r>
              <w:rPr>
                <w:rFonts w:ascii="Georgia" w:cs="Georgia" w:eastAsia="Georgia" w:hAnsi="Georgia"/>
                <w:sz w:val="20"/>
                <w:szCs w:val="20"/>
              </w:rPr>
              <w:t xml:space="preserve"> El plan del apartado 4 identificará expresamente los conjuntos de datos expuestos a la amenaza de captura anticipada y descifrado posterior, y priorizará su protección.</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PPT, apartado de seguridad, a continuación de DT-6·v3. </w:t>
      </w:r>
      <w:r>
        <w:rPr>
          <w:rFonts w:ascii="Calibri" w:cs="Calibri" w:eastAsia="Calibri" w:hAnsi="Calibri"/>
          <w:b/>
          <w:bCs/>
          <w:sz w:val="21"/>
          <w:szCs w:val="21"/>
        </w:rPr>
        <w:t xml:space="preserve">Sólo si la ficha la marca como aplicable, lo que por defecto no ocurre.</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sz w:val="21"/>
          <w:szCs w:val="21"/>
        </w:rPr>
        <w:t xml:space="preserve">La criptografía de la solución no es materia libre: es una medida del Esquema Nacional de Seguridad, y el artículo 2.3 del Real Decreto 311/2022 obliga a que los pliegos contemplen «todos aquellos requisitos necesarios para asegurar la conformidad con el ENS de los sistemas de información en los que se sustenten los servicios prestados por los contratistas». La necesidad concreta que esta cláusula añade sobre DT-6·v3 es la de </w:t>
      </w:r>
      <w:r>
        <w:rPr>
          <w:rFonts w:ascii="Calibri" w:cs="Calibri" w:eastAsia="Calibri" w:hAnsi="Calibri"/>
          <w:b/>
          <w:bCs/>
          <w:sz w:val="21"/>
          <w:szCs w:val="21"/>
        </w:rPr>
        <w:t xml:space="preserve">conservación prolongada</w:t>
      </w:r>
      <w:r>
        <w:rPr>
          <w:rFonts w:ascii="Calibri" w:cs="Calibri" w:eastAsia="Calibri" w:hAnsi="Calibri"/>
          <w:sz w:val="21"/>
          <w:szCs w:val="21"/>
        </w:rPr>
        <w:t xml:space="preserve">: la información que hay que custodiar durante décadas se cifra hoy con algoritmos cuya vigencia futura no está garantizada. Fuera de ese supuesto, DT-3·v3 es una exigencia sin necesidad identificada y no debe incorporarse.</w:t>
      </w:r>
    </w:p>
    <w:p>
      <w:pPr>
        <w:spacing w:after="140" w:line="276"/>
      </w:pPr>
      <w:r>
        <w:rPr>
          <w:rFonts w:ascii="Calibri" w:cs="Calibri" w:eastAsia="Calibri" w:hAnsi="Calibri"/>
          <w:b/>
          <w:bCs/>
          <w:sz w:val="21"/>
          <w:szCs w:val="21"/>
        </w:rPr>
        <w:t xml:space="preserve">Por qué no se nombra ninguna familia de algoritmos en el pliego.</w:t>
      </w:r>
      <w:r>
        <w:rPr>
          <w:rFonts w:ascii="Calibri" w:cs="Calibri" w:eastAsia="Calibri" w:hAnsi="Calibri"/>
          <w:sz w:val="21"/>
          <w:szCs w:val="21"/>
        </w:rPr>
        <w:t xml:space="preserve"> El artículo 126.5.b) LCSP fija un orden de prelación que antepone las normas nacionales que incorporen normas europeas, las evaluaciones técnicas europeas, las especificaciones técnicas comunes y las normas internacionales a las normas nacionales de terceros países. Las especificaciones del NIST estadounidense —FIPS 203, 204 y 205— son norma federal de un tercer Estado: </w:t>
      </w:r>
      <w:r>
        <w:rPr>
          <w:rFonts w:ascii="Calibri" w:cs="Calibri" w:eastAsia="Calibri" w:hAnsi="Calibri"/>
          <w:b/>
          <w:bCs/>
          <w:sz w:val="21"/>
          <w:szCs w:val="21"/>
        </w:rPr>
        <w:t xml:space="preserve">son referencia útil del estado del arte, y como tal figuran en el bloque de referencias técnicas no normativas de la Parte I, §4.2, pero no se citan en el articulado</w:t>
      </w:r>
      <w:r>
        <w:rPr>
          <w:rFonts w:ascii="Calibri" w:cs="Calibri" w:eastAsia="Calibri" w:hAnsi="Calibri"/>
          <w:sz w:val="21"/>
          <w:szCs w:val="21"/>
        </w:rPr>
        <w:t xml:space="preserve">. Un recurso bien construido no ganaría por esto solo; lo usaría como acumulación de indicios. Lo que el pliego exige es el resultado: algoritmos conformes a las normas aplicables y a las guías CCN-STIC, que sí son de referencia obligada en el ámbito del ENS.</w:t>
      </w:r>
    </w:p>
    <w:p>
      <w:pPr>
        <w:pStyle w:val="Heading3"/>
        <w:keepNext/>
        <w:spacing w:after="140" w:before="320"/>
      </w:pPr>
      <w:r>
        <w:rPr>
          <w:rFonts w:ascii="Georgia" w:cs="Georgia" w:eastAsia="Georgia" w:hAnsi="Georgia"/>
          <w:b/>
          <w:bCs/>
          <w:color w:val="2F5496"/>
          <w:sz w:val="22"/>
          <w:szCs w:val="22"/>
        </w:rPr>
        <w:t xml:space="preserve">4. Cómo se acredita</w:t>
      </w:r>
    </w:p>
    <w:p>
      <w:pPr>
        <w:pStyle w:val="ListParagraph"/>
        <w:numPr>
          <w:ilvl w:val="0"/>
          <w:numId w:val="1"/>
        </w:numPr>
        <w:spacing w:after="70" w:line="268"/>
      </w:pPr>
      <w:r>
        <w:rPr>
          <w:rFonts w:ascii="Calibri" w:cs="Calibri" w:eastAsia="Calibri" w:hAnsi="Calibri"/>
          <w:sz w:val="21"/>
          <w:szCs w:val="21"/>
        </w:rPr>
        <w:t xml:space="preserve">Inventario criptográfico firmado, en formato reutilizable, con la estructura que el pliego fije.</w:t>
      </w:r>
    </w:p>
    <w:p>
      <w:pPr>
        <w:pStyle w:val="ListParagraph"/>
        <w:numPr>
          <w:ilvl w:val="0"/>
          <w:numId w:val="1"/>
        </w:numPr>
        <w:spacing w:after="70" w:line="268"/>
      </w:pPr>
      <w:r>
        <w:rPr>
          <w:rFonts w:ascii="Calibri" w:cs="Calibri" w:eastAsia="Calibri" w:hAnsi="Calibri"/>
          <w:sz w:val="21"/>
          <w:szCs w:val="21"/>
        </w:rPr>
        <w:t xml:space="preserve">Plan de transición con hitos, fechas y responsables.</w:t>
      </w:r>
    </w:p>
    <w:p>
      <w:pPr>
        <w:pStyle w:val="ListParagraph"/>
        <w:numPr>
          <w:ilvl w:val="0"/>
          <w:numId w:val="1"/>
        </w:numPr>
        <w:spacing w:after="70" w:line="268"/>
      </w:pPr>
      <w:r>
        <w:rPr>
          <w:rFonts w:ascii="Calibri" w:cs="Calibri" w:eastAsia="Calibri" w:hAnsi="Calibri"/>
          <w:sz w:val="21"/>
          <w:szCs w:val="21"/>
        </w:rPr>
        <w:t xml:space="preserve">Documentación técnica del procedimiento de sustitución de algoritmos y, cuando se haya ejecutado, acta de la sustitución realizada.</w:t>
      </w:r>
    </w:p>
    <w:p>
      <w:pPr>
        <w:pStyle w:val="ListParagraph"/>
        <w:numPr>
          <w:ilvl w:val="0"/>
          <w:numId w:val="1"/>
        </w:numPr>
        <w:spacing w:after="70" w:line="268"/>
      </w:pPr>
      <w:r>
        <w:rPr>
          <w:rFonts w:ascii="Calibri" w:cs="Calibri" w:eastAsia="Calibri" w:hAnsi="Calibri"/>
          <w:sz w:val="21"/>
          <w:szCs w:val="21"/>
        </w:rPr>
        <w:t xml:space="preserve">Informe del fabricante o del organismo de evaluación cuando se invoque equivalencia conforme a DT-0·v3.</w:t>
      </w:r>
    </w:p>
    <w:p>
      <w:pPr>
        <w:pStyle w:val="Heading3"/>
        <w:keepNext/>
        <w:spacing w:after="140" w:before="320"/>
      </w:pPr>
      <w:r>
        <w:rPr>
          <w:rFonts w:ascii="Georgia" w:cs="Georgia" w:eastAsia="Georgia" w:hAnsi="Georgia"/>
          <w:b/>
          <w:bCs/>
          <w:color w:val="2F5496"/>
          <w:sz w:val="22"/>
          <w:szCs w:val="22"/>
        </w:rPr>
        <w:t xml:space="preserve">5. Cómo se verifica</w:t>
      </w:r>
    </w:p>
    <w:p>
      <w:pPr>
        <w:spacing w:after="140" w:line="276"/>
      </w:pPr>
      <w:r>
        <w:rPr>
          <w:rFonts w:ascii="Calibri" w:cs="Calibri" w:eastAsia="Calibri" w:hAnsi="Calibri"/>
          <w:b/>
          <w:bCs/>
          <w:sz w:val="21"/>
          <w:szCs w:val="21"/>
        </w:rPr>
        <w:t xml:space="preserve">Quién:</w:t>
      </w:r>
      <w:r>
        <w:rPr>
          <w:rFonts w:ascii="Calibri" w:cs="Calibri" w:eastAsia="Calibri" w:hAnsi="Calibri"/>
          <w:sz w:val="21"/>
          <w:szCs w:val="21"/>
        </w:rPr>
        <w:t xml:space="preserve"> responsable de seguridad de la información del Ayuntamiento o, en su defecto, el servicio de informática.</w:t>
      </w:r>
    </w:p>
    <w:p>
      <w:pPr>
        <w:spacing w:after="140" w:line="276"/>
      </w:pPr>
      <w:r>
        <w:rPr>
          <w:rFonts w:ascii="Calibri" w:cs="Calibri" w:eastAsia="Calibri" w:hAnsi="Calibri"/>
          <w:b/>
          <w:bCs/>
          <w:sz w:val="21"/>
          <w:szCs w:val="21"/>
        </w:rPr>
        <w:t xml:space="preserve">Cuándo:</w:t>
      </w:r>
      <w:r>
        <w:rPr>
          <w:rFonts w:ascii="Calibri" w:cs="Calibri" w:eastAsia="Calibri" w:hAnsi="Calibri"/>
          <w:sz w:val="21"/>
          <w:szCs w:val="21"/>
        </w:rPr>
        <w:t xml:space="preserve"> entrega inicial del plan a los [6; se recomienda 6] meses; revisión anual coincidiendo con la del ENS.</w:t>
      </w:r>
    </w:p>
    <w:p>
      <w:pPr>
        <w:spacing w:after="140" w:line="276"/>
      </w:pPr>
      <w:r>
        <w:rPr>
          <w:rFonts w:ascii="Calibri" w:cs="Calibri" w:eastAsia="Calibri" w:hAnsi="Calibri"/>
          <w:b/>
          <w:bCs/>
          <w:sz w:val="21"/>
          <w:szCs w:val="21"/>
        </w:rPr>
        <w:t xml:space="preserve">Con qué documento:</w:t>
      </w:r>
      <w:r>
        <w:rPr>
          <w:rFonts w:ascii="Calibri" w:cs="Calibri" w:eastAsia="Calibri" w:hAnsi="Calibri"/>
          <w:sz w:val="21"/>
          <w:szCs w:val="21"/>
        </w:rPr>
        <w:t xml:space="preserve"> informe anual de revisión del inventario y del plan, incorporado al expediente de seguimiento.</w:t>
      </w:r>
    </w:p>
    <w:p>
      <w:pPr>
        <w:spacing w:after="140" w:line="276"/>
      </w:pPr>
      <w:r>
        <w:rPr>
          <w:rFonts w:ascii="Calibri" w:cs="Calibri" w:eastAsia="Calibri" w:hAnsi="Calibri"/>
          <w:b/>
          <w:bCs/>
          <w:sz w:val="21"/>
          <w:szCs w:val="21"/>
        </w:rPr>
        <w:t xml:space="preserve">Carga estimada al año</w:t>
      </w:r>
      <w:r>
        <w:rPr>
          <w:rFonts w:ascii="Calibri" w:cs="Calibri" w:eastAsia="Calibri" w:hAnsi="Calibri"/>
          <w:sz w:val="21"/>
          <w:szCs w:val="21"/>
        </w:rPr>
        <w:t xml:space="preserve"> </w:t>
      </w:r>
      <w:r>
        <w:rPr>
          <w:rFonts w:ascii="Calibri" w:cs="Calibri" w:eastAsia="Calibri" w:hAnsi="Calibri"/>
          <w:i/>
          <w:iCs/>
          <w:sz w:val="21"/>
          <w:szCs w:val="21"/>
        </w:rPr>
        <w:t xml:space="preserve">(orientativa)</w:t>
      </w:r>
      <w:r>
        <w:rPr>
          <w:rFonts w:ascii="Calibri" w:cs="Calibri" w:eastAsia="Calibri" w:hAnsi="Calibri"/>
          <w:sz w:val="21"/>
          <w:szCs w:val="21"/>
        </w:rPr>
        <w:t xml:space="preserve">: 4 horas de revisión anual, aprovechando la revisión de seguridad ya prevista en DT-6·v3. </w:t>
      </w:r>
      <w:r>
        <w:rPr>
          <w:rFonts w:ascii="Calibri" w:cs="Calibri" w:eastAsia="Calibri" w:hAnsi="Calibri"/>
          <w:b/>
          <w:bCs/>
          <w:sz w:val="21"/>
          <w:szCs w:val="21"/>
        </w:rPr>
        <w:t xml:space="preserve">4 horas al año.</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spacing w:after="140" w:line="276"/>
      </w:pPr>
      <w:r>
        <w:rPr>
          <w:rFonts w:ascii="Calibri" w:cs="Calibri" w:eastAsia="Calibri" w:hAnsi="Calibri"/>
          <w:b/>
          <w:bCs/>
          <w:sz w:val="21"/>
          <w:szCs w:val="21"/>
        </w:rPr>
        <w:t xml:space="preserve">Obligación esencial: NO.</w:t>
      </w:r>
    </w:p>
    <w:p>
      <w:pPr>
        <w:spacing w:after="140" w:line="276"/>
      </w:pPr>
      <w:r>
        <w:rPr>
          <w:rFonts w:ascii="Calibri" w:cs="Calibri" w:eastAsia="Calibri" w:hAnsi="Calibri"/>
          <w:i/>
          <w:iCs/>
          <w:sz w:val="21"/>
          <w:szCs w:val="21"/>
        </w:rPr>
        <w:t xml:space="preserve">Tipificaciones que deben incorporarse, con su código, a la lista cerrada del apartado 3 de ADM-5·v3. El PPT no impone penalidades por sí mismo: un hecho de esta tabla que no figure allí no genera penalidad exigible.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Tipificación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Hecho verificable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Leve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Retraso no superior a [X; se recomienda 30] días en la entrega o actualización del inventario o del plan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Falta de entrega del plan de transición transcurrido el plazo más [30; se recomienda 30] días desde requerimiento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Muy 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Empleo de algoritmos expresamente desaconsejados por las guías CCN-STIC aplicables, no subsanado tras requerimiento</w:t>
            </w:r>
          </w:p>
        </w:tc>
      </w:tr>
    </w:tbl>
    <w:p>
      <w:pPr>
        <w:spacing w:after="200"/>
      </w:pP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b/>
          <w:bCs/>
          <w:sz w:val="21"/>
          <w:szCs w:val="21"/>
        </w:rPr>
        <w:t xml:space="preserve">Por defecto, no se aplica.</w:t>
      </w:r>
    </w:p>
    <w:p>
      <w:pPr>
        <w:pStyle w:val="ListParagraph"/>
        <w:numPr>
          <w:ilvl w:val="0"/>
          <w:numId w:val="1"/>
        </w:numPr>
        <w:spacing w:after="70" w:line="268"/>
      </w:pPr>
      <w:r>
        <w:rPr>
          <w:rFonts w:ascii="Calibri" w:cs="Calibri" w:eastAsia="Calibri" w:hAnsi="Calibri"/>
          <w:sz w:val="21"/>
          <w:szCs w:val="21"/>
        </w:rPr>
        <w:t xml:space="preserve">No se aplica cuando la solución no trate categorías especiales de datos ni información de conservación prolongada.</w:t>
      </w:r>
    </w:p>
    <w:p>
      <w:pPr>
        <w:pStyle w:val="ListParagraph"/>
        <w:numPr>
          <w:ilvl w:val="0"/>
          <w:numId w:val="1"/>
        </w:numPr>
        <w:spacing w:after="70" w:line="268"/>
      </w:pPr>
      <w:r>
        <w:rPr>
          <w:rFonts w:ascii="Calibri" w:cs="Calibri" w:eastAsia="Calibri" w:hAnsi="Calibri"/>
          <w:sz w:val="21"/>
          <w:szCs w:val="21"/>
        </w:rPr>
        <w:t xml:space="preserve">No se aplica cuando la solución no gestione material criptográfico propio (por ejemplo, cuando la firma y el cifrado los preste íntegramente una plataforma común del Ayuntamiento).</w:t>
      </w:r>
    </w:p>
    <w:p>
      <w:pPr>
        <w:pStyle w:val="ListParagraph"/>
        <w:numPr>
          <w:ilvl w:val="0"/>
          <w:numId w:val="1"/>
        </w:numPr>
        <w:spacing w:after="70" w:line="268"/>
      </w:pPr>
      <w:r>
        <w:rPr>
          <w:rFonts w:ascii="Calibri" w:cs="Calibri" w:eastAsia="Calibri" w:hAnsi="Calibri"/>
          <w:sz w:val="21"/>
          <w:szCs w:val="21"/>
        </w:rPr>
        <w:t xml:space="preserve">No se aplica en contratos menores, en basados en acuerdo marco que no lo contemplen, ni en prórrogas.</w:t>
      </w:r>
    </w:p>
    <w:p>
      <w:pPr>
        <w:pStyle w:val="ListParagraph"/>
        <w:numPr>
          <w:ilvl w:val="0"/>
          <w:numId w:val="1"/>
        </w:numPr>
        <w:spacing w:after="70" w:line="268"/>
      </w:pPr>
      <w:r>
        <w:rPr>
          <w:rFonts w:ascii="Calibri" w:cs="Calibri" w:eastAsia="Calibri" w:hAnsi="Calibri"/>
          <w:b/>
          <w:bCs/>
          <w:sz w:val="21"/>
          <w:szCs w:val="21"/>
        </w:rPr>
        <w:t xml:space="preserve">Dependencia:</w:t>
      </w:r>
      <w:r>
        <w:rPr>
          <w:rFonts w:ascii="Calibri" w:cs="Calibri" w:eastAsia="Calibri" w:hAnsi="Calibri"/>
          <w:sz w:val="21"/>
          <w:szCs w:val="21"/>
        </w:rPr>
        <w:t xml:space="preserve"> marcada NO APLICA, debe suprimirse la mención correlativa del Anexo VII (declaración responsable). DT-3·v3 no tiene criterio de adjudicación asociado en v3: salió del baremo. La lista completa está en el </w:t>
      </w:r>
      <w:r>
        <w:rPr>
          <w:rFonts w:ascii="Calibri" w:cs="Calibri" w:eastAsia="Calibri" w:hAnsi="Calibri"/>
          <w:b/>
          <w:bCs/>
          <w:sz w:val="21"/>
          <w:szCs w:val="21"/>
        </w:rPr>
        <w:t xml:space="preserve">Anexo VI</w:t>
      </w:r>
      <w:r>
        <w:rPr>
          <w:rFonts w:ascii="Calibri" w:cs="Calibri" w:eastAsia="Calibri" w:hAnsi="Calibri"/>
          <w:sz w:val="21"/>
          <w:szCs w:val="21"/>
        </w:rPr>
        <w:t xml:space="preserv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II.5 · DT-4·v3 — Automatización de procesos municipales identificados</w:t>
      </w:r>
    </w:p>
    <w:p>
      <w:pPr>
        <w:spacing w:after="140" w:line="276"/>
      </w:pPr>
      <w:r>
        <w:rPr>
          <w:rFonts w:ascii="Calibri" w:cs="Calibri" w:eastAsia="Calibri" w:hAnsi="Calibri"/>
          <w:i/>
          <w:iCs/>
          <w:sz w:val="21"/>
          <w:szCs w:val="21"/>
        </w:rPr>
        <w:t xml:space="preserve">(Reescrita. Desaparecen del articulado «Loop Engineering», «skills», «harness», «loops» e «hiperautomatización»: carecen de definición normalizada y no son verificables en un procedimiento contradictorio. Se sustituyen por una lista cerrada y numerada de procesos.)</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DT-4. Automatización de procesos municipales identificados.</w:t>
            </w:r>
          </w:p>
          <w:p>
            <w:pPr>
              <w:spacing w:after="100" w:line="264"/>
            </w:pPr>
            <w:r>
              <w:rPr>
                <w:rFonts w:ascii="Georgia" w:cs="Georgia" w:eastAsia="Georgia" w:hAnsi="Georgia"/>
                <w:b/>
                <w:bCs/>
                <w:sz w:val="20"/>
                <w:szCs w:val="20"/>
              </w:rPr>
              <w:t xml:space="preserve">1. Objeto y lista cerrada.</w:t>
            </w:r>
            <w:r>
              <w:rPr>
                <w:rFonts w:ascii="Georgia" w:cs="Georgia" w:eastAsia="Georgia" w:hAnsi="Georgia"/>
                <w:sz w:val="20"/>
                <w:szCs w:val="20"/>
              </w:rPr>
              <w:t xml:space="preserve"> La solución permitirá automatizar, total o parcialmente, los procesos administrativos que se relacionan de forma cerrada y numerada en el </w:t>
            </w:r>
            <w:r>
              <w:rPr>
                <w:rFonts w:ascii="Georgia" w:cs="Georgia" w:eastAsia="Georgia" w:hAnsi="Georgia"/>
                <w:b/>
                <w:bCs/>
                <w:sz w:val="20"/>
                <w:szCs w:val="20"/>
              </w:rPr>
              <w:t xml:space="preserve">Apéndice [núm.] de este pliego</w:t>
            </w:r>
            <w:r>
              <w:rPr>
                <w:rFonts w:ascii="Georgia" w:cs="Georgia" w:eastAsia="Georgia" w:hAnsi="Georgia"/>
                <w:sz w:val="20"/>
                <w:szCs w:val="20"/>
              </w:rPr>
              <w:t xml:space="preserve">. El licitador indicará en su oferta, sobre esa relación y proceso por proceso, cuáles se compromete a automatizar, con qué alcance y en qué plazo. No se admitirán propuestas de automatización referidas a procesos ajenos a dicha relación.</w:t>
            </w:r>
          </w:p>
          <w:p>
            <w:pPr>
              <w:spacing w:after="100" w:line="264"/>
            </w:pPr>
            <w:r>
              <w:rPr>
                <w:rFonts w:ascii="Georgia" w:cs="Georgia" w:eastAsia="Georgia" w:hAnsi="Georgia"/>
                <w:b/>
                <w:bCs/>
                <w:sz w:val="20"/>
                <w:szCs w:val="20"/>
              </w:rPr>
              <w:t xml:space="preserve">2. Número mínimo.</w:t>
            </w:r>
            <w:r>
              <w:rPr>
                <w:rFonts w:ascii="Georgia" w:cs="Georgia" w:eastAsia="Georgia" w:hAnsi="Georgia"/>
                <w:sz w:val="20"/>
                <w:szCs w:val="20"/>
              </w:rPr>
              <w:t xml:space="preserve"> El adjudicatario automatizará, como mínimo, [X; se recomienda 3] de los procesos relacionados en el Apéndice [núm.], en el plazo máximo de [X; se recomienda 6] meses desde la formalización del contrato o, si fuera posterior, desde la puesta en producción del módulo correspondiente.</w:t>
            </w:r>
          </w:p>
          <w:p>
            <w:pPr>
              <w:spacing w:after="100" w:line="264"/>
            </w:pPr>
            <w:r>
              <w:rPr>
                <w:rFonts w:ascii="Georgia" w:cs="Georgia" w:eastAsia="Georgia" w:hAnsi="Georgia"/>
                <w:b/>
                <w:bCs/>
                <w:sz w:val="20"/>
                <w:szCs w:val="20"/>
              </w:rPr>
              <w:t xml:space="preserve">3. Requisitos de toda automatización.</w:t>
            </w:r>
            <w:r>
              <w:rPr>
                <w:rFonts w:ascii="Georgia" w:cs="Georgia" w:eastAsia="Georgia" w:hAnsi="Georgia"/>
                <w:sz w:val="20"/>
                <w:szCs w:val="20"/>
              </w:rPr>
              <w:t xml:space="preserve"> Cada automatización deberá cumplir:</w:t>
            </w:r>
          </w:p>
          <w:p>
            <w:pPr>
              <w:spacing w:after="100" w:line="264"/>
            </w:pPr>
            <w:r>
              <w:rPr>
                <w:rFonts w:ascii="Georgia" w:cs="Georgia" w:eastAsia="Georgia" w:hAnsi="Georgia"/>
                <w:sz w:val="20"/>
                <w:szCs w:val="20"/>
              </w:rPr>
              <w:t xml:space="preserve">a) </w:t>
            </w:r>
            <w:r>
              <w:rPr>
                <w:rFonts w:ascii="Georgia" w:cs="Georgia" w:eastAsia="Georgia" w:hAnsi="Georgia"/>
                <w:b/>
                <w:bCs/>
                <w:sz w:val="20"/>
                <w:szCs w:val="20"/>
              </w:rPr>
              <w:t xml:space="preserve">Supervisión humana.</w:t>
            </w:r>
            <w:r>
              <w:rPr>
                <w:rFonts w:ascii="Georgia" w:cs="Georgia" w:eastAsia="Georgia" w:hAnsi="Georgia"/>
                <w:sz w:val="20"/>
                <w:szCs w:val="20"/>
              </w:rPr>
              <w:t xml:space="preserve"> Identificación del puesto responsable de supervisar la ejecución, con capacidad efectiva de intervenir, detener y corregir.</w:t>
            </w:r>
          </w:p>
          <w:p>
            <w:pPr>
              <w:spacing w:after="100" w:line="264"/>
            </w:pPr>
            <w:r>
              <w:rPr>
                <w:rFonts w:ascii="Georgia" w:cs="Georgia" w:eastAsia="Georgia" w:hAnsi="Georgia"/>
                <w:sz w:val="20"/>
                <w:szCs w:val="20"/>
              </w:rPr>
              <w:t xml:space="preserve">b) </w:t>
            </w:r>
            <w:r>
              <w:rPr>
                <w:rFonts w:ascii="Georgia" w:cs="Georgia" w:eastAsia="Georgia" w:hAnsi="Georgia"/>
                <w:b/>
                <w:bCs/>
                <w:sz w:val="20"/>
                <w:szCs w:val="20"/>
              </w:rPr>
              <w:t xml:space="preserve">Trazabilidad.</w:t>
            </w:r>
            <w:r>
              <w:rPr>
                <w:rFonts w:ascii="Georgia" w:cs="Georgia" w:eastAsia="Georgia" w:hAnsi="Georgia"/>
                <w:sz w:val="20"/>
                <w:szCs w:val="20"/>
              </w:rPr>
              <w:t xml:space="preserve"> Registro de cada ejecución, con marca temporal, datos de entrada y de salida, resultado e incidencias, exportable en formato abierto y documentado.</w:t>
            </w:r>
          </w:p>
          <w:p>
            <w:pPr>
              <w:spacing w:after="100" w:line="264"/>
            </w:pPr>
            <w:r>
              <w:rPr>
                <w:rFonts w:ascii="Georgia" w:cs="Georgia" w:eastAsia="Georgia" w:hAnsi="Georgia"/>
                <w:sz w:val="20"/>
                <w:szCs w:val="20"/>
              </w:rPr>
              <w:t xml:space="preserve">c) </w:t>
            </w:r>
            <w:r>
              <w:rPr>
                <w:rFonts w:ascii="Georgia" w:cs="Georgia" w:eastAsia="Georgia" w:hAnsi="Georgia"/>
                <w:b/>
                <w:bCs/>
                <w:sz w:val="20"/>
                <w:szCs w:val="20"/>
              </w:rPr>
              <w:t xml:space="preserve">Reversibilidad.</w:t>
            </w:r>
            <w:r>
              <w:rPr>
                <w:rFonts w:ascii="Georgia" w:cs="Georgia" w:eastAsia="Georgia" w:hAnsi="Georgia"/>
                <w:sz w:val="20"/>
                <w:szCs w:val="20"/>
              </w:rPr>
              <w:t xml:space="preserve"> Posibilidad de revertir los efectos de una ejecución errónea o, cuando la reversión automática no sea técnicamente posible, procedimiento documentado de reversión con indicación del tiempo estimado y del puesto responsable de ejecutarlo.</w:t>
            </w:r>
          </w:p>
          <w:p>
            <w:pPr>
              <w:spacing w:after="100" w:line="264"/>
            </w:pPr>
            <w:r>
              <w:rPr>
                <w:rFonts w:ascii="Georgia" w:cs="Georgia" w:eastAsia="Georgia" w:hAnsi="Georgia"/>
                <w:sz w:val="20"/>
                <w:szCs w:val="20"/>
              </w:rPr>
              <w:t xml:space="preserve">d) </w:t>
            </w:r>
            <w:r>
              <w:rPr>
                <w:rFonts w:ascii="Georgia" w:cs="Georgia" w:eastAsia="Georgia" w:hAnsi="Georgia"/>
                <w:b/>
                <w:bCs/>
                <w:sz w:val="20"/>
                <w:szCs w:val="20"/>
              </w:rPr>
              <w:t xml:space="preserve">Puntos de parada y tratamiento de errores.</w:t>
            </w:r>
            <w:r>
              <w:rPr>
                <w:rFonts w:ascii="Georgia" w:cs="Georgia" w:eastAsia="Georgia" w:hAnsi="Georgia"/>
                <w:sz w:val="20"/>
                <w:szCs w:val="20"/>
              </w:rPr>
              <w:t xml:space="preserve"> Condiciones de terminación definidas, límites de reintentos, y comportamiento explícito ante error, sin que la automatización pueda quedar en ejecución indefinida.</w:t>
            </w:r>
          </w:p>
          <w:p>
            <w:pPr>
              <w:spacing w:after="100" w:line="264"/>
            </w:pPr>
            <w:r>
              <w:rPr>
                <w:rFonts w:ascii="Georgia" w:cs="Georgia" w:eastAsia="Georgia" w:hAnsi="Georgia"/>
                <w:sz w:val="20"/>
                <w:szCs w:val="20"/>
              </w:rPr>
              <w:t xml:space="preserve">e) </w:t>
            </w:r>
            <w:r>
              <w:rPr>
                <w:rFonts w:ascii="Georgia" w:cs="Georgia" w:eastAsia="Georgia" w:hAnsi="Georgia"/>
                <w:b/>
                <w:bCs/>
                <w:sz w:val="20"/>
                <w:szCs w:val="20"/>
              </w:rPr>
              <w:t xml:space="preserve">Respeto del procedimiento administrativo.</w:t>
            </w:r>
            <w:r>
              <w:rPr>
                <w:rFonts w:ascii="Georgia" w:cs="Georgia" w:eastAsia="Georgia" w:hAnsi="Georgia"/>
                <w:sz w:val="20"/>
                <w:szCs w:val="20"/>
              </w:rPr>
              <w:t xml:space="preserve"> Cuando la automatización afecte a un procedimiento administrativo, se ajustará a lo dispuesto en las Leyes 39/2015 y 40/2015; si constituye actuación administrativa automatizada, se estará a lo previsto en la cláusula DT-1, apartado 7.</w:t>
            </w:r>
          </w:p>
          <w:p>
            <w:pPr>
              <w:spacing w:after="100" w:line="264"/>
            </w:pPr>
            <w:r>
              <w:rPr>
                <w:rFonts w:ascii="Georgia" w:cs="Georgia" w:eastAsia="Georgia" w:hAnsi="Georgia"/>
                <w:b/>
                <w:bCs/>
                <w:sz w:val="20"/>
                <w:szCs w:val="20"/>
              </w:rPr>
              <w:t xml:space="preserve">4. Medición.</w:t>
            </w:r>
            <w:r>
              <w:rPr>
                <w:rFonts w:ascii="Georgia" w:cs="Georgia" w:eastAsia="Georgia" w:hAnsi="Georgia"/>
                <w:sz w:val="20"/>
                <w:szCs w:val="20"/>
              </w:rPr>
              <w:t xml:space="preserve"> Para cada proceso automatizado se medirán, con periodicidad [X; se recomienda trimestral], al menos los siguientes indicadores, cuyo valor de partida se fijará antes de la automatización: número de ejecuciones, tasa de ejecuciones que requieren intervención humana, tiempo medio de tramitación antes y después, y tasa de error. El adjudicatario entregará los indicadores en formato reutilizable.</w:t>
            </w:r>
          </w:p>
          <w:p>
            <w:pPr>
              <w:spacing w:after="100" w:line="264"/>
            </w:pPr>
            <w:r>
              <w:rPr>
                <w:rFonts w:ascii="Georgia" w:cs="Georgia" w:eastAsia="Georgia" w:hAnsi="Georgia"/>
                <w:b/>
                <w:bCs/>
                <w:sz w:val="20"/>
                <w:szCs w:val="20"/>
              </w:rPr>
              <w:t xml:space="preserve">5. Aceptación.</w:t>
            </w:r>
            <w:r>
              <w:rPr>
                <w:rFonts w:ascii="Georgia" w:cs="Georgia" w:eastAsia="Georgia" w:hAnsi="Georgia"/>
                <w:sz w:val="20"/>
                <w:szCs w:val="20"/>
              </w:rPr>
              <w:t xml:space="preserve"> Cada automatización se aceptará expresamente previa prueba sobre el entorno de pruebas, documentada en acta, en la que se verificarán las letras a) a e) del apartado 3. La aceptación no exime de responsabilidad por degradación posterior.</w:t>
            </w:r>
          </w:p>
        </w:tc>
      </w:tr>
    </w:tbl>
    <w:p>
      <w:pPr>
        <w:spacing w:after="220"/>
      </w:pPr>
    </w:p>
    <w:p>
      <w:pPr>
        <w:spacing w:after="140" w:line="276"/>
      </w:pPr>
      <w:r>
        <w:rPr>
          <w:rFonts w:ascii="Calibri" w:cs="Calibri" w:eastAsia="Calibri" w:hAnsi="Calibri"/>
          <w:sz w:val="21"/>
          <w:szCs w:val="21"/>
        </w:rPr>
        <w:t xml:space="preserve">Además, el PPT debe incorporar el Apéndice al que remite el apartado 1. Modelo mínimo de cada fila: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Nº</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Proceso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Unidad responsable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Volumen anual actual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Tiempo medio actual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Alcance de la automatización pretendida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20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PPT, apartado de funcionalidades de la solución. El Apéndice con la lista cerrada es parte del PPT, no un documento anexo suelto: se transcribe físicamente dentro del pliego.</w:t>
      </w:r>
    </w:p>
    <w:p>
      <w:pPr>
        <w:spacing w:after="140" w:line="276"/>
      </w:pPr>
      <w:r>
        <w:rPr>
          <w:rFonts w:ascii="Calibri" w:cs="Calibri" w:eastAsia="Calibri" w:hAnsi="Calibri"/>
          <w:sz w:val="21"/>
          <w:szCs w:val="21"/>
        </w:rPr>
        <w:t xml:space="preserve">El compromiso del licitador sobre la lista (apartado 1) es contenido de la oferta técnica: debe estar reflejado en el índice del sobre correspondiente del PCAP.</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sz w:val="21"/>
          <w:szCs w:val="21"/>
        </w:rPr>
        <w:t xml:space="preserve">La necesidad es funcional y la firma el gestor: son sus procesos, su volumen y sus tiempos. Por eso el Apéndice no lo puede rellenar contratación: </w:t>
      </w:r>
      <w:r>
        <w:rPr>
          <w:rFonts w:ascii="Calibri" w:cs="Calibri" w:eastAsia="Calibri" w:hAnsi="Calibri"/>
          <w:b/>
          <w:bCs/>
          <w:sz w:val="21"/>
          <w:szCs w:val="21"/>
        </w:rPr>
        <w:t xml:space="preserve">si el área gestora no puede enumerar tres procesos con su volumen y su tiempo medio actual, la cláusula no tiene necesidad detrás y no se incorpora.</w:t>
      </w:r>
      <w:r>
        <w:rPr>
          <w:rFonts w:ascii="Calibri" w:cs="Calibri" w:eastAsia="Calibri" w:hAnsi="Calibri"/>
          <w:sz w:val="21"/>
          <w:szCs w:val="21"/>
        </w:rPr>
        <w:t xml:space="preserve"> Ésa es la traducción operativa de la regla «primero la necesidad, después la cláusula».</w:t>
      </w:r>
    </w:p>
    <w:p>
      <w:pPr>
        <w:spacing w:after="140" w:line="276"/>
      </w:pPr>
      <w:r>
        <w:rPr>
          <w:rFonts w:ascii="Calibri" w:cs="Calibri" w:eastAsia="Calibri" w:hAnsi="Calibri"/>
          <w:sz w:val="21"/>
          <w:szCs w:val="21"/>
        </w:rPr>
        <w:t xml:space="preserve">El anclaje legal de la formulación es el artículo 99.1 LCSP, que permite definir el objeto «en atención a las necesidades o funcionalidades concretas que se pretenden satisfacer, sin cerrar el objeto del contrato a una solución única» y señala como caso preferente aquel en que «pueden incorporarse innovaciones tecnológicas». Lo que la ley quiere indeterminado es la </w:t>
      </w:r>
      <w:r>
        <w:rPr>
          <w:rFonts w:ascii="Calibri" w:cs="Calibri" w:eastAsia="Calibri" w:hAnsi="Calibri"/>
          <w:b/>
          <w:bCs/>
          <w:sz w:val="21"/>
          <w:szCs w:val="21"/>
        </w:rPr>
        <w:t xml:space="preserve">solución</w:t>
      </w:r>
      <w:r>
        <w:rPr>
          <w:rFonts w:ascii="Calibri" w:cs="Calibri" w:eastAsia="Calibri" w:hAnsi="Calibri"/>
          <w:sz w:val="21"/>
          <w:szCs w:val="21"/>
        </w:rPr>
        <w:t xml:space="preserve">; lo que no tolera es la indeterminación del </w:t>
      </w:r>
      <w:r>
        <w:rPr>
          <w:rFonts w:ascii="Calibri" w:cs="Calibri" w:eastAsia="Calibri" w:hAnsi="Calibri"/>
          <w:b/>
          <w:bCs/>
          <w:sz w:val="21"/>
          <w:szCs w:val="21"/>
        </w:rPr>
        <w:t xml:space="preserve">alcance de la obligación</w:t>
      </w:r>
      <w:r>
        <w:rPr>
          <w:rFonts w:ascii="Calibri" w:cs="Calibri" w:eastAsia="Calibri" w:hAnsi="Calibri"/>
          <w:sz w:val="21"/>
          <w:szCs w:val="21"/>
        </w:rPr>
        <w:t xml:space="preserve">. De ahí la lista cerrada.</w:t>
      </w:r>
    </w:p>
    <w:p>
      <w:pPr>
        <w:spacing w:after="140" w:line="276"/>
      </w:pPr>
      <w:r>
        <w:rPr>
          <w:rFonts w:ascii="Calibri" w:cs="Calibri" w:eastAsia="Calibri" w:hAnsi="Calibri"/>
          <w:b/>
          <w:bCs/>
          <w:sz w:val="21"/>
          <w:szCs w:val="21"/>
        </w:rPr>
        <w:t xml:space="preserve">Por qué desaparece el vocabulario anterior.</w:t>
      </w:r>
      <w:r>
        <w:rPr>
          <w:rFonts w:ascii="Calibri" w:cs="Calibri" w:eastAsia="Calibri" w:hAnsi="Calibri"/>
          <w:sz w:val="21"/>
          <w:szCs w:val="21"/>
        </w:rPr>
        <w:t xml:space="preserve"> «Loop Engineering», «skills», «harness», «loops» e «hiperautomatización» no tienen definición normalizada. Una obligación redactada con esos términos no se puede verificar en un procedimiento contradictorio y, por tanto, no sostiene ni el criterio, ni la penalidad, ni la resolución. Pueden figurar en el glosario descriptivo del Anexo XIII, </w:t>
      </w:r>
      <w:r>
        <w:rPr>
          <w:rFonts w:ascii="Calibri" w:cs="Calibri" w:eastAsia="Calibri" w:hAnsi="Calibri"/>
          <w:b/>
          <w:bCs/>
          <w:sz w:val="21"/>
          <w:szCs w:val="21"/>
        </w:rPr>
        <w:t xml:space="preserve">sin efectos jurídicos</w:t>
      </w:r>
      <w:r>
        <w:rPr>
          <w:rFonts w:ascii="Calibri" w:cs="Calibri" w:eastAsia="Calibri" w:hAnsi="Calibri"/>
          <w:sz w:val="21"/>
          <w:szCs w:val="21"/>
        </w:rPr>
        <w:t xml:space="preserve">, y no en el articulado. La misma conclusión estaba ya en la propuesta de modificaciones de agosto de 2026, que suprimió la enumeración de denominaciones comerciales «por carecer de definición normalizada y poder quedar desfasada».</w:t>
      </w:r>
    </w:p>
    <w:p>
      <w:pPr>
        <w:pStyle w:val="Heading3"/>
        <w:keepNext/>
        <w:spacing w:after="140" w:before="320"/>
      </w:pPr>
      <w:r>
        <w:rPr>
          <w:rFonts w:ascii="Georgia" w:cs="Georgia" w:eastAsia="Georgia" w:hAnsi="Georgia"/>
          <w:b/>
          <w:bCs/>
          <w:color w:val="2F5496"/>
          <w:sz w:val="22"/>
          <w:szCs w:val="22"/>
        </w:rPr>
        <w:t xml:space="preserve">4. Cómo se acredita</w:t>
      </w:r>
    </w:p>
    <w:p>
      <w:pPr>
        <w:pStyle w:val="ListParagraph"/>
        <w:numPr>
          <w:ilvl w:val="0"/>
          <w:numId w:val="1"/>
        </w:numPr>
        <w:spacing w:after="70" w:line="268"/>
      </w:pPr>
      <w:r>
        <w:rPr>
          <w:rFonts w:ascii="Calibri" w:cs="Calibri" w:eastAsia="Calibri" w:hAnsi="Calibri"/>
          <w:sz w:val="21"/>
          <w:szCs w:val="21"/>
        </w:rPr>
        <w:t xml:space="preserve">Compromiso del licitador sobre el Apéndice, cumplimentado proceso por proceso, en la oferta.</w:t>
      </w:r>
    </w:p>
    <w:p>
      <w:pPr>
        <w:pStyle w:val="ListParagraph"/>
        <w:numPr>
          <w:ilvl w:val="0"/>
          <w:numId w:val="1"/>
        </w:numPr>
        <w:spacing w:after="70" w:line="268"/>
      </w:pPr>
      <w:r>
        <w:rPr>
          <w:rFonts w:ascii="Calibri" w:cs="Calibri" w:eastAsia="Calibri" w:hAnsi="Calibri"/>
          <w:sz w:val="21"/>
          <w:szCs w:val="21"/>
        </w:rPr>
        <w:t xml:space="preserve">Acta de aceptación por automatización, con verificación de las letras a) a e) del apartado 3.</w:t>
      </w:r>
    </w:p>
    <w:p>
      <w:pPr>
        <w:pStyle w:val="ListParagraph"/>
        <w:numPr>
          <w:ilvl w:val="0"/>
          <w:numId w:val="1"/>
        </w:numPr>
        <w:spacing w:after="70" w:line="268"/>
      </w:pPr>
      <w:r>
        <w:rPr>
          <w:rFonts w:ascii="Calibri" w:cs="Calibri" w:eastAsia="Calibri" w:hAnsi="Calibri"/>
          <w:sz w:val="21"/>
          <w:szCs w:val="21"/>
        </w:rPr>
        <w:t xml:space="preserve">Documento de diseño de cada automatización: puesto supervisor, condiciones de terminación, tratamiento de errores y procedimiento de reversión.</w:t>
      </w:r>
    </w:p>
    <w:p>
      <w:pPr>
        <w:pStyle w:val="ListParagraph"/>
        <w:numPr>
          <w:ilvl w:val="0"/>
          <w:numId w:val="1"/>
        </w:numPr>
        <w:spacing w:after="70" w:line="268"/>
      </w:pPr>
      <w:r>
        <w:rPr>
          <w:rFonts w:ascii="Calibri" w:cs="Calibri" w:eastAsia="Calibri" w:hAnsi="Calibri"/>
          <w:sz w:val="21"/>
          <w:szCs w:val="21"/>
        </w:rPr>
        <w:t xml:space="preserve">Fichero de indicadores en formato reutilizable, con la periodicidad del apartado 4.</w:t>
      </w:r>
    </w:p>
    <w:p>
      <w:pPr>
        <w:pStyle w:val="Heading3"/>
        <w:keepNext/>
        <w:spacing w:after="140" w:before="320"/>
      </w:pPr>
      <w:r>
        <w:rPr>
          <w:rFonts w:ascii="Georgia" w:cs="Georgia" w:eastAsia="Georgia" w:hAnsi="Georgia"/>
          <w:b/>
          <w:bCs/>
          <w:color w:val="2F5496"/>
          <w:sz w:val="22"/>
          <w:szCs w:val="22"/>
        </w:rPr>
        <w:t xml:space="preserve">5. Cómo se verifica</w:t>
      </w:r>
    </w:p>
    <w:p>
      <w:pPr>
        <w:spacing w:after="140" w:line="276"/>
      </w:pPr>
      <w:r>
        <w:rPr>
          <w:rFonts w:ascii="Calibri" w:cs="Calibri" w:eastAsia="Calibri" w:hAnsi="Calibri"/>
          <w:b/>
          <w:bCs/>
          <w:sz w:val="21"/>
          <w:szCs w:val="21"/>
        </w:rPr>
        <w:t xml:space="preserve">Quién:</w:t>
      </w:r>
      <w:r>
        <w:rPr>
          <w:rFonts w:ascii="Calibri" w:cs="Calibri" w:eastAsia="Calibri" w:hAnsi="Calibri"/>
          <w:sz w:val="21"/>
          <w:szCs w:val="21"/>
        </w:rPr>
        <w:t xml:space="preserve"> el gestor del proceso automatizado, con el responsable del contrato.</w:t>
      </w:r>
    </w:p>
    <w:p>
      <w:pPr>
        <w:spacing w:after="140" w:line="276"/>
      </w:pPr>
      <w:r>
        <w:rPr>
          <w:rFonts w:ascii="Calibri" w:cs="Calibri" w:eastAsia="Calibri" w:hAnsi="Calibri"/>
          <w:b/>
          <w:bCs/>
          <w:sz w:val="21"/>
          <w:szCs w:val="21"/>
        </w:rPr>
        <w:t xml:space="preserve">Cuándo:</w:t>
      </w:r>
      <w:r>
        <w:rPr>
          <w:rFonts w:ascii="Calibri" w:cs="Calibri" w:eastAsia="Calibri" w:hAnsi="Calibri"/>
          <w:sz w:val="21"/>
          <w:szCs w:val="21"/>
        </w:rPr>
        <w:t xml:space="preserve"> en la aceptación de cada automatización, y trimestralmente sobre los indicadores.</w:t>
      </w:r>
    </w:p>
    <w:p>
      <w:pPr>
        <w:spacing w:after="140" w:line="276"/>
      </w:pPr>
      <w:r>
        <w:rPr>
          <w:rFonts w:ascii="Calibri" w:cs="Calibri" w:eastAsia="Calibri" w:hAnsi="Calibri"/>
          <w:b/>
          <w:bCs/>
          <w:sz w:val="21"/>
          <w:szCs w:val="21"/>
        </w:rPr>
        <w:t xml:space="preserve">Con qué documento:</w:t>
      </w:r>
      <w:r>
        <w:rPr>
          <w:rFonts w:ascii="Calibri" w:cs="Calibri" w:eastAsia="Calibri" w:hAnsi="Calibri"/>
          <w:sz w:val="21"/>
          <w:szCs w:val="21"/>
        </w:rPr>
        <w:t xml:space="preserve"> acta de aceptación; informe trimestral de indicadores, que se acumula al informe anual de la Comisión de Seguimiento.</w:t>
      </w:r>
    </w:p>
    <w:p>
      <w:pPr>
        <w:spacing w:after="140" w:line="276"/>
      </w:pPr>
      <w:r>
        <w:rPr>
          <w:rFonts w:ascii="Calibri" w:cs="Calibri" w:eastAsia="Calibri" w:hAnsi="Calibri"/>
          <w:b/>
          <w:bCs/>
          <w:sz w:val="21"/>
          <w:szCs w:val="21"/>
        </w:rPr>
        <w:t xml:space="preserve">Carga estimada al año</w:t>
      </w:r>
      <w:r>
        <w:rPr>
          <w:rFonts w:ascii="Calibri" w:cs="Calibri" w:eastAsia="Calibri" w:hAnsi="Calibri"/>
          <w:sz w:val="21"/>
          <w:szCs w:val="21"/>
        </w:rPr>
        <w:t xml:space="preserve"> </w:t>
      </w:r>
      <w:r>
        <w:rPr>
          <w:rFonts w:ascii="Calibri" w:cs="Calibri" w:eastAsia="Calibri" w:hAnsi="Calibri"/>
          <w:i/>
          <w:iCs/>
          <w:sz w:val="21"/>
          <w:szCs w:val="21"/>
        </w:rPr>
        <w:t xml:space="preserve">(orientativa)</w:t>
      </w:r>
      <w:r>
        <w:rPr>
          <w:rFonts w:ascii="Calibri" w:cs="Calibri" w:eastAsia="Calibri" w:hAnsi="Calibri"/>
          <w:sz w:val="21"/>
          <w:szCs w:val="21"/>
        </w:rPr>
        <w:t xml:space="preserve">: 6 horas por automatización aceptada, más 2 horas por trimestre de revisión de indicadores. Con 3 automatizaciones al año: </w:t>
      </w:r>
      <w:r>
        <w:rPr>
          <w:rFonts w:ascii="Calibri" w:cs="Calibri" w:eastAsia="Calibri" w:hAnsi="Calibri"/>
          <w:b/>
          <w:bCs/>
          <w:sz w:val="21"/>
          <w:szCs w:val="21"/>
        </w:rPr>
        <w:t xml:space="preserve">26 horas al año</w:t>
      </w:r>
      <w:r>
        <w:rPr>
          <w:rFonts w:ascii="Calibri" w:cs="Calibri" w:eastAsia="Calibri" w:hAnsi="Calibri"/>
          <w:sz w:val="21"/>
          <w:szCs w:val="21"/>
        </w:rPr>
        <w:t xml:space="preserve">.</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spacing w:after="140" w:line="276"/>
      </w:pPr>
      <w:r>
        <w:rPr>
          <w:rFonts w:ascii="Calibri" w:cs="Calibri" w:eastAsia="Calibri" w:hAnsi="Calibri"/>
          <w:b/>
          <w:bCs/>
          <w:sz w:val="21"/>
          <w:szCs w:val="21"/>
        </w:rPr>
        <w:t xml:space="preserve">Obligación esencial: NO.</w:t>
      </w:r>
    </w:p>
    <w:p>
      <w:pPr>
        <w:spacing w:after="140" w:line="276"/>
      </w:pPr>
      <w:r>
        <w:rPr>
          <w:rFonts w:ascii="Calibri" w:cs="Calibri" w:eastAsia="Calibri" w:hAnsi="Calibri"/>
          <w:i/>
          <w:iCs/>
          <w:sz w:val="21"/>
          <w:szCs w:val="21"/>
        </w:rPr>
        <w:t xml:space="preserve">Tipificaciones que deben incorporarse, con su código, a la lista cerrada del apartado 3 de ADM-5·v3. El PPT no impone penalidades por sí mismo: un hecho de esta tabla que no figure allí no genera penalidad exigible.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Tipificación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Hecho verificable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Leve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Retraso no superior a [X; se recomienda 30] días en la entrega de los indicadores del apartado 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Incumplimiento del plazo del apartado 2 sin causa justificada; puesta en producción de una automatización sin el acta del apartado 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Muy 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Automatización que afecte a un procedimiento administrativo sin la habilitación exigida por la cláusula DT-1, apartado 7; ausencia de procedimiento de reversión en una automatización con efectos sobre terceros</w:t>
            </w:r>
          </w:p>
        </w:tc>
      </w:tr>
    </w:tbl>
    <w:p>
      <w:pPr>
        <w:spacing w:after="200"/>
      </w:pP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b/>
          <w:bCs/>
          <w:sz w:val="21"/>
          <w:szCs w:val="21"/>
        </w:rPr>
        <w:t xml:space="preserve">Siempre que el Apéndice de procesos no pueda cumplimentarse con datos reales.</w:t>
      </w:r>
      <w:r>
        <w:rPr>
          <w:rFonts w:ascii="Calibri" w:cs="Calibri" w:eastAsia="Calibri" w:hAnsi="Calibri"/>
          <w:sz w:val="21"/>
          <w:szCs w:val="21"/>
        </w:rPr>
        <w:t xml:space="preserve"> Sin lista cerrada, la cláusula no se incorpora.</w:t>
      </w:r>
    </w:p>
    <w:p>
      <w:pPr>
        <w:pStyle w:val="ListParagraph"/>
        <w:numPr>
          <w:ilvl w:val="0"/>
          <w:numId w:val="1"/>
        </w:numPr>
        <w:spacing w:after="70" w:line="268"/>
      </w:pPr>
      <w:r>
        <w:rPr>
          <w:rFonts w:ascii="Calibri" w:cs="Calibri" w:eastAsia="Calibri" w:hAnsi="Calibri"/>
          <w:sz w:val="21"/>
          <w:szCs w:val="21"/>
        </w:rPr>
        <w:t xml:space="preserve">Contratos de suministro de software estándar sin servicios asociados de implantación: no hay quien automatice.</w:t>
      </w:r>
    </w:p>
    <w:p>
      <w:pPr>
        <w:pStyle w:val="ListParagraph"/>
        <w:numPr>
          <w:ilvl w:val="0"/>
          <w:numId w:val="1"/>
        </w:numPr>
        <w:spacing w:after="70" w:line="268"/>
      </w:pPr>
      <w:r>
        <w:rPr>
          <w:rFonts w:ascii="Calibri" w:cs="Calibri" w:eastAsia="Calibri" w:hAnsi="Calibri"/>
          <w:sz w:val="21"/>
          <w:szCs w:val="21"/>
        </w:rPr>
        <w:t xml:space="preserve">Contratos menores y prórrogas.</w:t>
      </w:r>
    </w:p>
    <w:p>
      <w:pPr>
        <w:pStyle w:val="ListParagraph"/>
        <w:numPr>
          <w:ilvl w:val="0"/>
          <w:numId w:val="1"/>
        </w:numPr>
        <w:spacing w:after="70" w:line="268"/>
      </w:pPr>
      <w:r>
        <w:rPr>
          <w:rFonts w:ascii="Calibri" w:cs="Calibri" w:eastAsia="Calibri" w:hAnsi="Calibri"/>
          <w:sz w:val="21"/>
          <w:szCs w:val="21"/>
        </w:rPr>
        <w:t xml:space="preserve">Contratos basados en acuerdo marco cuyo catálogo no incluya servicios de automatización.</w:t>
      </w:r>
    </w:p>
    <w:p>
      <w:pPr>
        <w:pStyle w:val="ListParagraph"/>
        <w:numPr>
          <w:ilvl w:val="0"/>
          <w:numId w:val="1"/>
        </w:numPr>
        <w:spacing w:after="70" w:line="268"/>
      </w:pPr>
      <w:r>
        <w:rPr>
          <w:rFonts w:ascii="Calibri" w:cs="Calibri" w:eastAsia="Calibri" w:hAnsi="Calibri"/>
          <w:b/>
          <w:bCs/>
          <w:sz w:val="21"/>
          <w:szCs w:val="21"/>
        </w:rPr>
        <w:t xml:space="preserve">Dependencia:</w:t>
      </w:r>
      <w:r>
        <w:rPr>
          <w:rFonts w:ascii="Calibri" w:cs="Calibri" w:eastAsia="Calibri" w:hAnsi="Calibri"/>
          <w:sz w:val="21"/>
          <w:szCs w:val="21"/>
        </w:rPr>
        <w:t xml:space="preserve"> si se marca NO APLICA, debe suprimirse el criterio de adjudicación correlativo de ADM-7·v3 (procesos automatizados adicionales sobre la lista cerrada) y la mención del Anexo VII (declaración responsable). La lista completa está en el </w:t>
      </w:r>
      <w:r>
        <w:rPr>
          <w:rFonts w:ascii="Calibri" w:cs="Calibri" w:eastAsia="Calibri" w:hAnsi="Calibri"/>
          <w:b/>
          <w:bCs/>
          <w:sz w:val="21"/>
          <w:szCs w:val="21"/>
        </w:rPr>
        <w:t xml:space="preserve">Anexo VI</w:t>
      </w:r>
      <w:r>
        <w:rPr>
          <w:rFonts w:ascii="Calibri" w:cs="Calibri" w:eastAsia="Calibri" w:hAnsi="Calibri"/>
          <w:sz w:val="21"/>
          <w:szCs w:val="21"/>
        </w:rPr>
        <w:t xml:space="preserv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II.6 · DT-5·v3 — Interoperabilidad, servicios comunes y soberanía del dato</w:t>
      </w:r>
    </w:p>
    <w:p>
      <w:pPr>
        <w:spacing w:after="140" w:line="276"/>
      </w:pPr>
      <w:r>
        <w:rPr>
          <w:rFonts w:ascii="Calibri" w:cs="Calibri" w:eastAsia="Calibri" w:hAnsi="Calibri"/>
          <w:i/>
          <w:iCs/>
          <w:sz w:val="21"/>
          <w:szCs w:val="21"/>
        </w:rPr>
        <w:t xml:space="preserve">(Reescrita. Se corrige un error de sentido inverso del texto anterior: la mención «o servicios equivalentes» </w:t>
      </w:r>
      <w:r>
        <w:rPr>
          <w:rFonts w:ascii="Calibri" w:cs="Calibri" w:eastAsia="Calibri" w:hAnsi="Calibri"/>
          <w:i/>
          <w:iCs/>
          <w:sz w:val="21"/>
          <w:szCs w:val="21"/>
        </w:rPr>
        <w:t xml:space="preserve">no</w:t>
      </w:r>
      <w:r>
        <w:rPr>
          <w:rFonts w:ascii="Calibri" w:cs="Calibri" w:eastAsia="Calibri" w:hAnsi="Calibri"/>
          <w:sz w:val="21"/>
          <w:szCs w:val="21"/>
        </w:rPr>
        <w:t xml:space="preserve">* puede aplicarse a los servicios comunes de utilización obligatoria. El guion de reversibilidad se extrae íntegramente a DT-8·v3.)*</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DT-5. Interoperabilidad, servicios comunes y soberanía del dato.</w:t>
            </w:r>
          </w:p>
          <w:p>
            <w:pPr>
              <w:spacing w:after="100" w:line="264"/>
            </w:pPr>
            <w:r>
              <w:rPr>
                <w:rFonts w:ascii="Georgia" w:cs="Georgia" w:eastAsia="Georgia" w:hAnsi="Georgia"/>
                <w:b/>
                <w:bCs/>
                <w:sz w:val="20"/>
                <w:szCs w:val="20"/>
              </w:rPr>
              <w:t xml:space="preserve">1. Interoperabilidad.</w:t>
            </w:r>
            <w:r>
              <w:rPr>
                <w:rFonts w:ascii="Georgia" w:cs="Georgia" w:eastAsia="Georgia" w:hAnsi="Georgia"/>
                <w:sz w:val="20"/>
                <w:szCs w:val="20"/>
              </w:rPr>
              <w:t xml:space="preserve"> La solución cumplirá el Esquema Nacional de Interoperabilidad (Real Decreto 4/2010, de 8 de enero) y las Normas Técnicas de Interoperabilidad que le resulten aplicables, y empleará formatos estándar y abiertos para el intercambio y la conservación de la información.</w:t>
            </w:r>
          </w:p>
          <w:p>
            <w:pPr>
              <w:spacing w:after="100" w:line="264"/>
            </w:pPr>
            <w:r>
              <w:rPr>
                <w:rFonts w:ascii="Georgia" w:cs="Georgia" w:eastAsia="Georgia" w:hAnsi="Georgia"/>
                <w:b/>
                <w:bCs/>
                <w:sz w:val="20"/>
                <w:szCs w:val="20"/>
              </w:rPr>
              <w:t xml:space="preserve">2. Servicios comunes de utilización obligatoria.</w:t>
            </w:r>
            <w:r>
              <w:rPr>
                <w:rFonts w:ascii="Georgia" w:cs="Georgia" w:eastAsia="Georgia" w:hAnsi="Georgia"/>
                <w:sz w:val="20"/>
                <w:szCs w:val="20"/>
              </w:rPr>
              <w:t xml:space="preserve"> La solución se integrará con las plataformas y servicios comunes de administración electrónica que se relacionan a continuación, cuya utilización viene impuesta al Ayuntamiento por la norma que en cada caso se indica: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Nº</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Plataforma o servicio común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Norma que impone su utilización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Alcance de la integración exigida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cumplimentar por el 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[precepto concreto]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[consulta / envío / ambos]</w:t>
                  </w:r>
                </w:p>
              </w:tc>
            </w:tr>
          </w:tbl>
          <w:p>
            <w:pPr>
              <w:spacing w:after="80"/>
            </w:pPr>
          </w:p>
          <w:p>
            <w:pPr>
              <w:spacing w:after="100" w:line="264"/>
            </w:pPr>
            <w:r>
              <w:rPr>
                <w:rFonts w:ascii="Georgia" w:cs="Georgia" w:eastAsia="Georgia" w:hAnsi="Georgia"/>
                <w:sz w:val="20"/>
                <w:szCs w:val="20"/>
              </w:rPr>
              <w:t xml:space="preserve">Respecto de estos servicios </w:t>
            </w:r>
            <w:r>
              <w:rPr>
                <w:rFonts w:ascii="Georgia" w:cs="Georgia" w:eastAsia="Georgia" w:hAnsi="Georgia"/>
                <w:b/>
                <w:bCs/>
                <w:sz w:val="20"/>
                <w:szCs w:val="20"/>
              </w:rPr>
              <w:t xml:space="preserve">no será de aplicación el régimen de equivalencia de la cláusula DT-0</w:t>
            </w:r>
            <w:r>
              <w:rPr>
                <w:rFonts w:ascii="Georgia" w:cs="Georgia" w:eastAsia="Georgia" w:hAnsi="Georgia"/>
                <w:sz w:val="20"/>
                <w:szCs w:val="20"/>
              </w:rPr>
              <w:t xml:space="preserve">: la integración es obligatoria y no admite sustitución por servicio propio del adjudicatario o de tercero. El adjudicatario acreditará cada integración mediante prueba ejecutada sobre el entorno de pruebas y documentada en acta.</w:t>
            </w:r>
          </w:p>
          <w:p>
            <w:pPr>
              <w:spacing w:after="100" w:line="264"/>
            </w:pPr>
            <w:r>
              <w:rPr>
                <w:rFonts w:ascii="Georgia" w:cs="Georgia" w:eastAsia="Georgia" w:hAnsi="Georgia"/>
                <w:b/>
                <w:bCs/>
                <w:sz w:val="20"/>
                <w:szCs w:val="20"/>
              </w:rPr>
              <w:t xml:space="preserve">3. Interfaces de programación.</w:t>
            </w:r>
            <w:r>
              <w:rPr>
                <w:rFonts w:ascii="Georgia" w:cs="Georgia" w:eastAsia="Georgia" w:hAnsi="Georgia"/>
                <w:sz w:val="20"/>
                <w:szCs w:val="20"/>
              </w:rPr>
              <w:t xml:space="preserve"> El adjudicatario proveerá interfaces de programación documentadas, versionadas y autenticadas que permitan a los sistemas autorizados del Ayuntamiento consultar y extraer los datos de la solución y ejecutar las funciones que el pliego identifique, sin desarrollos a medida y sin coste por consulta. La documentación se entregará en el plazo de [X; se recomienda 30] días naturales desde la formalización o, si fuera posterior, desde la puesta en producción del módulo, y se mantendrá actualizada con cada versión.</w:t>
            </w:r>
          </w:p>
          <w:p>
            <w:pPr>
              <w:spacing w:after="100" w:line="264"/>
            </w:pPr>
            <w:r>
              <w:rPr>
                <w:rFonts w:ascii="Georgia" w:cs="Georgia" w:eastAsia="Georgia" w:hAnsi="Georgia"/>
                <w:b/>
                <w:bCs/>
                <w:sz w:val="20"/>
                <w:szCs w:val="20"/>
              </w:rPr>
              <w:t xml:space="preserve">4. Exportación de datos.</w:t>
            </w:r>
            <w:r>
              <w:rPr>
                <w:rFonts w:ascii="Georgia" w:cs="Georgia" w:eastAsia="Georgia" w:hAnsi="Georgia"/>
                <w:sz w:val="20"/>
                <w:szCs w:val="20"/>
              </w:rPr>
              <w:t xml:space="preserve"> El Ayuntamiento podrá extraer la totalidad de los datos de la solución, y sus metadatos, en formatos abiertos, documentados y reutilizables, mediante procedimiento autónomo que no requiera intervención del personal del adjudicatario, con la periodicidad que determine y, en todo caso, bajo demanda. El adjudicatario entregará y mantendrá actualizado un </w:t>
            </w:r>
            <w:r>
              <w:rPr>
                <w:rFonts w:ascii="Georgia" w:cs="Georgia" w:eastAsia="Georgia" w:hAnsi="Georgia"/>
                <w:b/>
                <w:bCs/>
                <w:sz w:val="20"/>
                <w:szCs w:val="20"/>
              </w:rPr>
              <w:t xml:space="preserve">diccionario de datos</w:t>
            </w:r>
            <w:r>
              <w:rPr>
                <w:rFonts w:ascii="Georgia" w:cs="Georgia" w:eastAsia="Georgia" w:hAnsi="Georgia"/>
                <w:sz w:val="20"/>
                <w:szCs w:val="20"/>
              </w:rPr>
              <w:t xml:space="preserve"> suficiente para interpretar la información exportada sin su asistencia.</w:t>
            </w:r>
          </w:p>
          <w:p>
            <w:pPr>
              <w:spacing w:after="100" w:line="264"/>
            </w:pPr>
            <w:r>
              <w:rPr>
                <w:rFonts w:ascii="Georgia" w:cs="Georgia" w:eastAsia="Georgia" w:hAnsi="Georgia"/>
                <w:b/>
                <w:bCs/>
                <w:sz w:val="20"/>
                <w:szCs w:val="20"/>
              </w:rPr>
              <w:t xml:space="preserve">5. Soberanía del dato y ubicación.</w:t>
            </w:r>
            <w:r>
              <w:rPr>
                <w:rFonts w:ascii="Georgia" w:cs="Georgia" w:eastAsia="Georgia" w:hAnsi="Georgia"/>
                <w:sz w:val="20"/>
                <w:szCs w:val="20"/>
              </w:rPr>
              <w:t xml:space="preserve"> Los datos son de titularidad municipal, cualquiera que sea el soporte y el lugar en que se alojen. Cuando la ejecución del contrato requiera el tratamiento por el contratista de datos personales por cuenta del Ayuntamiento, el licitador indicará en su oferta el país o países en que se ubicarán los servidores mediante los que se prestarán los servicios asociados al contrato y el lugar desde el que se prestarán dichos servicios, y se obligará a comunicar cualquier cambio que se produzca a lo largo de la ejecución, conforme al artículo 122.2 LCSP.</w:t>
            </w:r>
          </w:p>
          <w:p>
            <w:pPr>
              <w:spacing w:after="100" w:line="264"/>
            </w:pPr>
            <w:r>
              <w:rPr>
                <w:rFonts w:ascii="Georgia" w:cs="Georgia" w:eastAsia="Georgia" w:hAnsi="Georgia"/>
                <w:b/>
                <w:bCs/>
                <w:sz w:val="20"/>
                <w:szCs w:val="20"/>
              </w:rPr>
              <w:t xml:space="preserve">6. Entorno de pruebas.</w:t>
            </w:r>
            <w:r>
              <w:rPr>
                <w:rFonts w:ascii="Georgia" w:cs="Georgia" w:eastAsia="Georgia" w:hAnsi="Georgia"/>
                <w:sz w:val="20"/>
                <w:szCs w:val="20"/>
              </w:rPr>
              <w:t xml:space="preserve"> El adjudicatario mantendrá a disposición del Ayuntamiento, durante toda la vigencia del contrato y de sus prórrogas, un entorno de pruebas equivalente en funcionalidad al de producción, con datos ficticios o anonimizados, en el que puedan verificarse las integraciones, las exportaciones y las funcionalidades exigidas por este pliego.</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PPT, apartado de integración e interoperabilidad. El apartado 5, en su segundo inciso, genera además obligaciones de contenido de la oferta y de esencialidad que deben reflejarse en el PCAP: la obligación de indicar la ubicación de los servidores y de comunicar sus cambios, y la relativa a la subcontratación de esos servidores, </w:t>
      </w:r>
      <w:r>
        <w:rPr>
          <w:rFonts w:ascii="Calibri" w:cs="Calibri" w:eastAsia="Calibri" w:hAnsi="Calibri"/>
          <w:b/>
          <w:bCs/>
          <w:sz w:val="21"/>
          <w:szCs w:val="21"/>
        </w:rPr>
        <w:t xml:space="preserve">debe calificarse como esencial en el PCAP</w:t>
      </w:r>
      <w:r>
        <w:rPr>
          <w:rFonts w:ascii="Calibri" w:cs="Calibri" w:eastAsia="Calibri" w:hAnsi="Calibri"/>
          <w:sz w:val="21"/>
          <w:szCs w:val="21"/>
        </w:rPr>
        <w:t xml:space="preserve"> cuando concurra su presupuesto.</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pStyle w:val="ListParagraph"/>
        <w:numPr>
          <w:ilvl w:val="0"/>
          <w:numId w:val="1"/>
        </w:numPr>
        <w:spacing w:after="70" w:line="268"/>
      </w:pPr>
      <w:r>
        <w:rPr>
          <w:rFonts w:ascii="Calibri" w:cs="Calibri" w:eastAsia="Calibri" w:hAnsi="Calibri"/>
          <w:b/>
          <w:bCs/>
          <w:sz w:val="21"/>
          <w:szCs w:val="21"/>
        </w:rPr>
        <w:t xml:space="preserve">Interoperabilidad:</w:t>
      </w:r>
      <w:r>
        <w:rPr>
          <w:rFonts w:ascii="Calibri" w:cs="Calibri" w:eastAsia="Calibri" w:hAnsi="Calibri"/>
          <w:sz w:val="21"/>
          <w:szCs w:val="21"/>
        </w:rPr>
        <w:t xml:space="preserve"> Real Decreto 4/2010 (ENI) y sus Normas Técnicas. Sus artículos 16 y 17 fijan además las condiciones de licenciamiento para la cesión entre administraciones y, para lo declarado de fuentes abiertas, la garantía de conocer el código fuente; es la norma que da contenido operativo a la reversibilidad de DT-8·v3.</w:t>
      </w:r>
    </w:p>
    <w:p>
      <w:pPr>
        <w:pStyle w:val="ListParagraph"/>
        <w:numPr>
          <w:ilvl w:val="0"/>
          <w:numId w:val="1"/>
        </w:numPr>
        <w:spacing w:after="70" w:line="268"/>
      </w:pPr>
      <w:r>
        <w:rPr>
          <w:rFonts w:ascii="Calibri" w:cs="Calibri" w:eastAsia="Calibri" w:hAnsi="Calibri"/>
          <w:b/>
          <w:bCs/>
          <w:sz w:val="21"/>
          <w:szCs w:val="21"/>
        </w:rPr>
        <w:t xml:space="preserve">Reutilización:</w:t>
      </w:r>
      <w:r>
        <w:rPr>
          <w:rFonts w:ascii="Calibri" w:cs="Calibri" w:eastAsia="Calibri" w:hAnsi="Calibri"/>
          <w:sz w:val="21"/>
          <w:szCs w:val="21"/>
        </w:rPr>
        <w:t xml:space="preserve"> el artículo 157.3 de la Ley 40/2015 obliga a reutilizar soluciones disponibles salvo justificación de eficiencia, y el artículo 158 impone mantener directorios de aplicaciones. La consulta previa al directorio general de aplicaciones es un trámite del expediente, no de esta cláusula, y figura en el circuito de la Parte V.</w:t>
      </w:r>
    </w:p>
    <w:p>
      <w:pPr>
        <w:pStyle w:val="ListParagraph"/>
        <w:numPr>
          <w:ilvl w:val="0"/>
          <w:numId w:val="1"/>
        </w:numPr>
        <w:spacing w:after="70" w:line="268"/>
      </w:pPr>
      <w:r>
        <w:rPr>
          <w:rFonts w:ascii="Calibri" w:cs="Calibri" w:eastAsia="Calibri" w:hAnsi="Calibri"/>
          <w:b/>
          <w:bCs/>
          <w:sz w:val="21"/>
          <w:szCs w:val="21"/>
        </w:rPr>
        <w:t xml:space="preserve">Ubicación de servidores:</w:t>
      </w:r>
      <w:r>
        <w:rPr>
          <w:rFonts w:ascii="Calibri" w:cs="Calibri" w:eastAsia="Calibri" w:hAnsi="Calibri"/>
          <w:sz w:val="21"/>
          <w:szCs w:val="21"/>
        </w:rPr>
        <w:t xml:space="preserve"> artículo 122.2 LCSP, que obliga a que los pliegos de los contratos cuya ejecución requiera el tratamiento por el contratista de datos personales por cuenta del responsable impongan la obligación de indicar la ubicación de los servidores y de comunicar sus cambios, y califica esas obligaciones como esenciales «en todo caso». No hay margen de apreciación: cuando concurre el presupuesto, es obligatorio.</w:t>
      </w:r>
    </w:p>
    <w:p>
      <w:pPr>
        <w:pStyle w:val="ListParagraph"/>
        <w:numPr>
          <w:ilvl w:val="0"/>
          <w:numId w:val="1"/>
        </w:numPr>
        <w:spacing w:after="70" w:line="268"/>
      </w:pPr>
      <w:r>
        <w:rPr>
          <w:rFonts w:ascii="Calibri" w:cs="Calibri" w:eastAsia="Calibri" w:hAnsi="Calibri"/>
          <w:b/>
          <w:bCs/>
          <w:sz w:val="21"/>
          <w:szCs w:val="21"/>
        </w:rPr>
        <w:t xml:space="preserve">Exportación y diccionario de datos:</w:t>
      </w:r>
      <w:r>
        <w:rPr>
          <w:rFonts w:ascii="Calibri" w:cs="Calibri" w:eastAsia="Calibri" w:hAnsi="Calibri"/>
          <w:sz w:val="21"/>
          <w:szCs w:val="21"/>
        </w:rPr>
        <w:t xml:space="preserve"> son el presupuesto material del control interno. Sin exportación autónoma y sin diccionario, el acceso de los órganos de control interno de ADM-12·v3 existe sobre el papel y no en la práctica.</w:t>
      </w:r>
    </w:p>
    <w:p>
      <w:pPr>
        <w:spacing w:after="140" w:line="276"/>
      </w:pPr>
      <w:r>
        <w:rPr>
          <w:rFonts w:ascii="Calibri" w:cs="Calibri" w:eastAsia="Calibri" w:hAnsi="Calibri"/>
          <w:b/>
          <w:bCs/>
          <w:sz w:val="21"/>
          <w:szCs w:val="21"/>
        </w:rPr>
        <w:t xml:space="preserve">Corrección de sentido, y por qué importa.</w:t>
      </w:r>
      <w:r>
        <w:rPr>
          <w:rFonts w:ascii="Calibri" w:cs="Calibri" w:eastAsia="Calibri" w:hAnsi="Calibri"/>
          <w:sz w:val="21"/>
          <w:szCs w:val="21"/>
        </w:rPr>
        <w:t xml:space="preserve"> El texto anterior enumeraba los servicios comunes y añadía «o servicios equivalentes». Es un error que delata la aplicación mecánica de la cláusula-paraguas de equivalencia a todo el documento: estos servicios </w:t>
      </w:r>
      <w:r>
        <w:rPr>
          <w:rFonts w:ascii="Calibri" w:cs="Calibri" w:eastAsia="Calibri" w:hAnsi="Calibri"/>
          <w:b/>
          <w:bCs/>
          <w:sz w:val="21"/>
          <w:szCs w:val="21"/>
        </w:rPr>
        <w:t xml:space="preserve">no admiten equivalente</w:t>
      </w:r>
      <w:r>
        <w:rPr>
          <w:rFonts w:ascii="Calibri" w:cs="Calibri" w:eastAsia="Calibri" w:hAnsi="Calibri"/>
          <w:sz w:val="21"/>
          <w:szCs w:val="21"/>
        </w:rPr>
        <w:t xml:space="preserve">, porque su utilización viene impuesta por norma. Añadirles «o equivalente» debilita la exigencia y permite al adjudicatario ofrecer un sustitutivo propio. La corrección tiene además un valor probatorio ante la Intervención: demuestra que el clausulado distingue lo obligatorio de lo ilustrativo, en lugar de aplicar la misma fórmula a todo.</w:t>
      </w:r>
    </w:p>
    <w:p>
      <w:pPr>
        <w:spacing w:after="140" w:line="276"/>
      </w:pPr>
      <w:r>
        <w:rPr>
          <w:rFonts w:ascii="Calibri" w:cs="Calibri" w:eastAsia="Calibri" w:hAnsi="Calibri"/>
          <w:b/>
          <w:bCs/>
          <w:sz w:val="21"/>
          <w:szCs w:val="21"/>
        </w:rPr>
        <w:t xml:space="preserve">Instrucción al redactor.</w:t>
      </w:r>
      <w:r>
        <w:rPr>
          <w:rFonts w:ascii="Calibri" w:cs="Calibri" w:eastAsia="Calibri" w:hAnsi="Calibri"/>
          <w:sz w:val="21"/>
          <w:szCs w:val="21"/>
        </w:rPr>
        <w:t xml:space="preserve"> La tabla del apartado 2 se cumplimenta </w:t>
      </w:r>
      <w:r>
        <w:rPr>
          <w:rFonts w:ascii="Calibri" w:cs="Calibri" w:eastAsia="Calibri" w:hAnsi="Calibri"/>
          <w:b/>
          <w:bCs/>
          <w:sz w:val="21"/>
          <w:szCs w:val="21"/>
        </w:rPr>
        <w:t xml:space="preserve">caso por caso, citando el precepto que impone cada servicio</w:t>
      </w:r>
      <w:r>
        <w:rPr>
          <w:rFonts w:ascii="Calibri" w:cs="Calibri" w:eastAsia="Calibri" w:hAnsi="Calibri"/>
          <w:sz w:val="21"/>
          <w:szCs w:val="21"/>
        </w:rPr>
        <w:t xml:space="preserve">. No se copie una lista genérica: una relación cerrada sin norma al lado es una afirmación no verificable, y es el primer sitio donde un licitador comprobará si el pliego sabe lo que dice.</w:t>
      </w:r>
    </w:p>
    <w:p>
      <w:pPr>
        <w:spacing w:after="140" w:line="276"/>
      </w:pPr>
      <w:r>
        <w:rPr>
          <w:rFonts w:ascii="Calibri" w:cs="Calibri" w:eastAsia="Calibri" w:hAnsi="Calibri"/>
          <w:b/>
          <w:bCs/>
          <w:sz w:val="21"/>
          <w:szCs w:val="21"/>
        </w:rPr>
        <w:t xml:space="preserve">Tabla de arranque para cumplimentar el apartado 2.</w:t>
      </w:r>
      <w:r>
        <w:rPr>
          <w:rFonts w:ascii="Calibri" w:cs="Calibri" w:eastAsia="Calibri" w:hAnsi="Calibri"/>
          <w:sz w:val="21"/>
          <w:szCs w:val="21"/>
        </w:rPr>
        <w:t xml:space="preserve"> Es una guía de trabajo y queda fuera del recuadro: </w:t>
      </w:r>
      <w:r>
        <w:rPr>
          <w:rFonts w:ascii="Calibri" w:cs="Calibri" w:eastAsia="Calibri" w:hAnsi="Calibri"/>
          <w:b/>
          <w:bCs/>
          <w:sz w:val="21"/>
          <w:szCs w:val="21"/>
        </w:rPr>
        <w:t xml:space="preserve">no se copia automáticamente al pliego</w:t>
      </w:r>
      <w:r>
        <w:rPr>
          <w:rFonts w:ascii="Calibri" w:cs="Calibri" w:eastAsia="Calibri" w:hAnsi="Calibri"/>
          <w:sz w:val="21"/>
          <w:szCs w:val="21"/>
        </w:rPr>
        <w:t xml:space="preserve">. Antes de usar una fila se comprueba la vigencia del precepto en la fuente oficial, se identifica el servicio que utiliza efectivamente el Ayuntamiento y se recorta la relación a las integraciones que el objeto del contrato exige.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Servicio de arranque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Norma de partida verificada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Cautela de uso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Punto general de entrada de facturas electrónicas que corresponda</w:t>
            </w:r>
          </w:p>
        </w:tc>
        <w:tc>
          <w:tcPr>
            <w:tcMar>
              <w:top w:type="dxa" w:w="60"/>
              <w:left w:type="dxa" w:w="100"/>
              <w:bottom w:type="dxa" w:w="60"/>
              <w:right w:type="dxa" w:w="100"/>
            </w:tcMar>
          </w:tcPr>
          <w:p>
            <w:pPr>
              <w:spacing w:after="0" w:line="240"/>
            </w:pPr>
            <w:hyperlink w:history="1" r:id="rIdazhwmjgyyudtunm4jm0lp">
              <w:r>
                <w:rPr>
                  <w:rFonts w:ascii="Calibri" w:cs="Calibri" w:eastAsia="Calibri" w:hAnsi="Calibri"/>
                  <w:b w:val="false"/>
                  <w:bCs w:val="false"/>
                  <w:color w:val="2F5496"/>
                  <w:sz w:val="18"/>
                  <w:szCs w:val="18"/>
                  <w:u w:val="single"/>
                </w:rPr>
                <w:t xml:space="preserve">Ley 25/2013, art. 6</w:t>
              </w:r>
            </w:hyperlink>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Identificar el punto propio o aquel al que esté adherida la entidad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Intercambio registral interoperable</w:t>
            </w:r>
          </w:p>
        </w:tc>
        <w:tc>
          <w:tcPr>
            <w:tcMar>
              <w:top w:type="dxa" w:w="60"/>
              <w:left w:type="dxa" w:w="100"/>
              <w:bottom w:type="dxa" w:w="60"/>
              <w:right w:type="dxa" w:w="100"/>
            </w:tcMar>
          </w:tcPr>
          <w:p>
            <w:pPr>
              <w:spacing w:after="0" w:line="240"/>
            </w:pPr>
            <w:hyperlink w:history="1" r:id="rIdg9pxgzmagigitpq3pvdbe">
              <w:r>
                <w:rPr>
                  <w:rFonts w:ascii="Calibri" w:cs="Calibri" w:eastAsia="Calibri" w:hAnsi="Calibri"/>
                  <w:b w:val="false"/>
                  <w:bCs w:val="false"/>
                  <w:color w:val="2F5496"/>
                  <w:sz w:val="18"/>
                  <w:szCs w:val="18"/>
                  <w:u w:val="single"/>
                </w:rPr>
                <w:t xml:space="preserve">Ley 39/2015, art. 16.4</w:t>
              </w:r>
            </w:hyperlink>
            <w:r>
              <w:rPr>
                <w:rFonts w:ascii="Calibri" w:cs="Calibri" w:eastAsia="Calibri" w:hAnsi="Calibri"/>
                <w:b w:val="false"/>
                <w:bCs w:val="false"/>
                <w:sz w:val="18"/>
                <w:szCs w:val="18"/>
              </w:rPr>
              <w:t xml:space="preserve">; </w:t>
            </w:r>
            <w:hyperlink w:history="1" r:id="rIdltcp8sjnjlzteqxwey3oq">
              <w:r>
                <w:rPr>
                  <w:rFonts w:ascii="Calibri" w:cs="Calibri" w:eastAsia="Calibri" w:hAnsi="Calibri"/>
                  <w:b w:val="false"/>
                  <w:bCs w:val="false"/>
                  <w:color w:val="2F5496"/>
                  <w:sz w:val="18"/>
                  <w:szCs w:val="18"/>
                  <w:u w:val="single"/>
                </w:rPr>
                <w:t xml:space="preserve">RD 4/2010, disposición adicional primera</w:t>
              </w:r>
            </w:hyperlink>
            <w:r>
              <w:rPr>
                <w:rFonts w:ascii="Calibri" w:cs="Calibri" w:eastAsia="Calibri" w:hAnsi="Calibri"/>
                <w:b w:val="false"/>
                <w:bCs w:val="false"/>
                <w:sz w:val="18"/>
                <w:szCs w:val="18"/>
              </w:rPr>
              <w:t xml:space="preserve">; </w:t>
            </w:r>
            <w:hyperlink w:history="1" r:id="rIde1nscew5ql8ljfgpinppf">
              <w:r>
                <w:rPr>
                  <w:rFonts w:ascii="Calibri" w:cs="Calibri" w:eastAsia="Calibri" w:hAnsi="Calibri"/>
                  <w:b w:val="false"/>
                  <w:bCs w:val="false"/>
                  <w:color w:val="2F5496"/>
                  <w:sz w:val="18"/>
                  <w:szCs w:val="18"/>
                  <w:u w:val="single"/>
                </w:rPr>
                <w:t xml:space="preserve">NTI SICRES4, Resolución de 22 de julio de 2021</w:t>
              </w:r>
            </w:hyperlink>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Indicar SIR, ORVE u otra aplicación conectada sólo si es la solución realmente utilizada por el Ayuntamiento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Sistemas admitidos de identificación y firma</w:t>
            </w:r>
          </w:p>
        </w:tc>
        <w:tc>
          <w:tcPr>
            <w:tcMar>
              <w:top w:type="dxa" w:w="60"/>
              <w:left w:type="dxa" w:w="100"/>
              <w:bottom w:type="dxa" w:w="60"/>
              <w:right w:type="dxa" w:w="100"/>
            </w:tcMar>
          </w:tcPr>
          <w:p>
            <w:pPr>
              <w:spacing w:after="0" w:line="240"/>
            </w:pPr>
            <w:hyperlink w:history="1" r:id="rIduvbbpf3e4qdpxcooipue5">
              <w:r>
                <w:rPr>
                  <w:rFonts w:ascii="Calibri" w:cs="Calibri" w:eastAsia="Calibri" w:hAnsi="Calibri"/>
                  <w:b w:val="false"/>
                  <w:bCs w:val="false"/>
                  <w:color w:val="2F5496"/>
                  <w:sz w:val="18"/>
                  <w:szCs w:val="18"/>
                  <w:u w:val="single"/>
                </w:rPr>
                <w:t xml:space="preserve">Ley 39/2015, arts. 9 y 10</w:t>
              </w:r>
            </w:hyperlink>
            <w:r>
              <w:rPr>
                <w:rFonts w:ascii="Calibri" w:cs="Calibri" w:eastAsia="Calibri" w:hAnsi="Calibri"/>
                <w:b w:val="false"/>
                <w:bCs w:val="false"/>
                <w:sz w:val="18"/>
                <w:szCs w:val="18"/>
              </w:rPr>
              <w:t xml:space="preserve">; </w:t>
            </w:r>
            <w:hyperlink w:history="1" r:id="rIdgqpwz-xawtvjjb7ahogmf">
              <w:r>
                <w:rPr>
                  <w:rFonts w:ascii="Calibri" w:cs="Calibri" w:eastAsia="Calibri" w:hAnsi="Calibri"/>
                  <w:b w:val="false"/>
                  <w:bCs w:val="false"/>
                  <w:color w:val="2F5496"/>
                  <w:sz w:val="18"/>
                  <w:szCs w:val="18"/>
                  <w:u w:val="single"/>
                </w:rPr>
                <w:t xml:space="preserve">RD 203/2021, arts. 15 y 26 a 29</w:t>
              </w:r>
            </w:hyperlink>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Identificar los sistemas efectivamente admitidos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Notificación electrónica</w:t>
            </w:r>
          </w:p>
        </w:tc>
        <w:tc>
          <w:tcPr>
            <w:tcMar>
              <w:top w:type="dxa" w:w="60"/>
              <w:left w:type="dxa" w:w="100"/>
              <w:bottom w:type="dxa" w:w="60"/>
              <w:right w:type="dxa" w:w="100"/>
            </w:tcMar>
          </w:tcPr>
          <w:p>
            <w:pPr>
              <w:spacing w:after="0" w:line="240"/>
            </w:pPr>
            <w:hyperlink w:history="1" r:id="rIdfv9jezqa85scpp6bw6ybr">
              <w:r>
                <w:rPr>
                  <w:rFonts w:ascii="Calibri" w:cs="Calibri" w:eastAsia="Calibri" w:hAnsi="Calibri"/>
                  <w:b w:val="false"/>
                  <w:bCs w:val="false"/>
                  <w:color w:val="2F5496"/>
                  <w:sz w:val="18"/>
                  <w:szCs w:val="18"/>
                  <w:u w:val="single"/>
                </w:rPr>
                <w:t xml:space="preserve">Ley 39/2015, art. 43</w:t>
              </w:r>
            </w:hyperlink>
            <w:r>
              <w:rPr>
                <w:rFonts w:ascii="Calibri" w:cs="Calibri" w:eastAsia="Calibri" w:hAnsi="Calibri"/>
                <w:b w:val="false"/>
                <w:bCs w:val="false"/>
                <w:sz w:val="18"/>
                <w:szCs w:val="18"/>
              </w:rPr>
              <w:t xml:space="preserve">; </w:t>
            </w:r>
            <w:hyperlink w:history="1" r:id="rIdjdhckrvvahmqpxglr5pmj">
              <w:r>
                <w:rPr>
                  <w:rFonts w:ascii="Calibri" w:cs="Calibri" w:eastAsia="Calibri" w:hAnsi="Calibri"/>
                  <w:b w:val="false"/>
                  <w:bCs w:val="false"/>
                  <w:color w:val="2F5496"/>
                  <w:sz w:val="18"/>
                  <w:szCs w:val="18"/>
                  <w:u w:val="single"/>
                </w:rPr>
                <w:t xml:space="preserve">RD 203/2021, arts. 42, 44 y 45</w:t>
              </w:r>
            </w:hyperlink>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Precisar sede electrónica, Dirección Electrónica Habilitada única o ambas, según el sistema del Ayuntamiento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Archivo electrónico único</w:t>
            </w:r>
          </w:p>
        </w:tc>
        <w:tc>
          <w:tcPr>
            <w:tcMar>
              <w:top w:type="dxa" w:w="60"/>
              <w:left w:type="dxa" w:w="100"/>
              <w:bottom w:type="dxa" w:w="60"/>
              <w:right w:type="dxa" w:w="100"/>
            </w:tcMar>
          </w:tcPr>
          <w:p>
            <w:pPr>
              <w:spacing w:after="0" w:line="240"/>
            </w:pPr>
            <w:hyperlink w:history="1" r:id="rId3km0wd439wcpa4r_gaukz">
              <w:r>
                <w:rPr>
                  <w:rFonts w:ascii="Calibri" w:cs="Calibri" w:eastAsia="Calibri" w:hAnsi="Calibri"/>
                  <w:b w:val="false"/>
                  <w:bCs w:val="false"/>
                  <w:color w:val="2F5496"/>
                  <w:sz w:val="18"/>
                  <w:szCs w:val="18"/>
                  <w:u w:val="single"/>
                </w:rPr>
                <w:t xml:space="preserve">Ley 39/2015, art. 17</w:t>
              </w:r>
            </w:hyperlink>
            <w:r>
              <w:rPr>
                <w:rFonts w:ascii="Calibri" w:cs="Calibri" w:eastAsia="Calibri" w:hAnsi="Calibri"/>
                <w:b w:val="false"/>
                <w:bCs w:val="false"/>
                <w:sz w:val="18"/>
                <w:szCs w:val="18"/>
              </w:rPr>
              <w:t xml:space="preserve">; </w:t>
            </w:r>
            <w:hyperlink w:history="1" r:id="rId6gdrlmz-65zqyjlszkm4l">
              <w:r>
                <w:rPr>
                  <w:rFonts w:ascii="Calibri" w:cs="Calibri" w:eastAsia="Calibri" w:hAnsi="Calibri"/>
                  <w:b w:val="false"/>
                  <w:bCs w:val="false"/>
                  <w:color w:val="2F5496"/>
                  <w:sz w:val="18"/>
                  <w:szCs w:val="18"/>
                  <w:u w:val="single"/>
                </w:rPr>
                <w:t xml:space="preserve">RD 203/2021, art. 55</w:t>
              </w:r>
            </w:hyperlink>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Incorporarlo sólo si el objeto exige esa integración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Directorio Común de Unidades Orgánicas y Oficinas (DIR3)</w:t>
            </w:r>
          </w:p>
        </w:tc>
        <w:tc>
          <w:tcPr>
            <w:tcMar>
              <w:top w:type="dxa" w:w="60"/>
              <w:left w:type="dxa" w:w="100"/>
              <w:bottom w:type="dxa" w:w="60"/>
              <w:right w:type="dxa" w:w="100"/>
            </w:tcMar>
          </w:tcPr>
          <w:p>
            <w:pPr>
              <w:spacing w:after="0" w:line="240"/>
            </w:pPr>
            <w:hyperlink w:history="1" r:id="rIddsrs2lzg57nbdsujgf06i">
              <w:r>
                <w:rPr>
                  <w:rFonts w:ascii="Calibri" w:cs="Calibri" w:eastAsia="Calibri" w:hAnsi="Calibri"/>
                  <w:b w:val="false"/>
                  <w:bCs w:val="false"/>
                  <w:color w:val="2F5496"/>
                  <w:sz w:val="18"/>
                  <w:szCs w:val="18"/>
                  <w:u w:val="single"/>
                </w:rPr>
                <w:t xml:space="preserve">RD 4/2010, art. 9.1.b)</w:t>
              </w:r>
            </w:hyperlink>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Identificar el alcance real de consulta o actualización</w:t>
            </w:r>
          </w:p>
        </w:tc>
      </w:tr>
    </w:tbl>
    <w:p>
      <w:pPr>
        <w:spacing w:after="200"/>
      </w:pPr>
    </w:p>
    <w:p>
      <w:pPr>
        <w:spacing w:after="140" w:line="276"/>
      </w:pPr>
      <w:r>
        <w:rPr>
          <w:rFonts w:ascii="Calibri" w:cs="Calibri" w:eastAsia="Calibri" w:hAnsi="Calibri"/>
          <w:b/>
          <w:bCs/>
          <w:sz w:val="21"/>
          <w:szCs w:val="21"/>
        </w:rPr>
        <w:t xml:space="preserve">Regla de cierre.</w:t>
      </w:r>
      <w:r>
        <w:rPr>
          <w:rFonts w:ascii="Calibri" w:cs="Calibri" w:eastAsia="Calibri" w:hAnsi="Calibri"/>
          <w:sz w:val="21"/>
          <w:szCs w:val="21"/>
        </w:rPr>
        <w:t xml:space="preserve"> Si, tras esa comprobación, la tabla del apartado 2 queda vacía, se suprime íntegramente dicho apartado y, con él, el apartado 7 de DT-0·v3 y las dos menciones de la Parte I, §7.10, en los bloques de transcripción obligatoria al PCAP y al PPT.</w:t>
      </w:r>
    </w:p>
    <w:p>
      <w:pPr>
        <w:pStyle w:val="Heading3"/>
        <w:keepNext/>
        <w:spacing w:after="140" w:before="320"/>
      </w:pPr>
      <w:r>
        <w:rPr>
          <w:rFonts w:ascii="Georgia" w:cs="Georgia" w:eastAsia="Georgia" w:hAnsi="Georgia"/>
          <w:b/>
          <w:bCs/>
          <w:color w:val="2F5496"/>
          <w:sz w:val="22"/>
          <w:szCs w:val="22"/>
        </w:rPr>
        <w:t xml:space="preserve">4. Cómo se acredita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Obligación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Medio de acreditación tasado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Interoperabilidad (ap. 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Declaración de conformidad con el ENI o informe técnico de correspondencia con las NTI aplicables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Servicios comunes (ap. 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prueba de integración sobre el entorno de pruebas, servicio por servicio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Interfaces (ap. 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Especificación publicada y versionada, y prueba de invocación autenticada documentada en acta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Exportación y diccionario (ap. 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Exportación real ejecutada por personal municipal sin asistencia del adjudicatario, con acta y con el fichero resultante; diccionario de datos entregado en formato reutilizable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Ubicación (ap. 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Declaración en la oferta y comunicaciones escritas de cambio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Entorno de pruebas (ap. 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Credenciales entregadas y acta de disponibilidad</w:t>
            </w:r>
          </w:p>
        </w:tc>
      </w:tr>
    </w:tbl>
    <w:p>
      <w:pPr>
        <w:spacing w:after="200"/>
      </w:pPr>
    </w:p>
    <w:p>
      <w:pPr>
        <w:pStyle w:val="Heading3"/>
        <w:keepNext/>
        <w:spacing w:after="140" w:before="320"/>
      </w:pPr>
      <w:r>
        <w:rPr>
          <w:rFonts w:ascii="Georgia" w:cs="Georgia" w:eastAsia="Georgia" w:hAnsi="Georgia"/>
          <w:b/>
          <w:bCs/>
          <w:color w:val="2F5496"/>
          <w:sz w:val="22"/>
          <w:szCs w:val="22"/>
        </w:rPr>
        <w:t xml:space="preserve">5. Cómo se verifica</w:t>
      </w:r>
    </w:p>
    <w:p>
      <w:pPr>
        <w:spacing w:after="140" w:line="276"/>
      </w:pPr>
      <w:r>
        <w:rPr>
          <w:rFonts w:ascii="Calibri" w:cs="Calibri" w:eastAsia="Calibri" w:hAnsi="Calibri"/>
          <w:b/>
          <w:bCs/>
          <w:sz w:val="21"/>
          <w:szCs w:val="21"/>
        </w:rPr>
        <w:t xml:space="preserve">Quién:</w:t>
      </w:r>
      <w:r>
        <w:rPr>
          <w:rFonts w:ascii="Calibri" w:cs="Calibri" w:eastAsia="Calibri" w:hAnsi="Calibri"/>
          <w:sz w:val="21"/>
          <w:szCs w:val="21"/>
        </w:rPr>
        <w:t xml:space="preserve"> servicio municipal de informática; para el apartado 4, con presencia del órgano interventor cuando se trate de los datos a los que se refiere ADM-12·v3.</w:t>
      </w:r>
    </w:p>
    <w:p>
      <w:pPr>
        <w:spacing w:after="140" w:line="276"/>
      </w:pPr>
      <w:r>
        <w:rPr>
          <w:rFonts w:ascii="Calibri" w:cs="Calibri" w:eastAsia="Calibri" w:hAnsi="Calibri"/>
          <w:b/>
          <w:bCs/>
          <w:sz w:val="21"/>
          <w:szCs w:val="21"/>
        </w:rPr>
        <w:t xml:space="preserve">Cuándo:</w:t>
      </w:r>
      <w:r>
        <w:rPr>
          <w:rFonts w:ascii="Calibri" w:cs="Calibri" w:eastAsia="Calibri" w:hAnsi="Calibri"/>
          <w:sz w:val="21"/>
          <w:szCs w:val="21"/>
        </w:rPr>
        <w:t xml:space="preserve"> integraciones y exportación, en la recepción de cada módulo; prueba de exportación autónoma, al menos una vez al año.</w:t>
      </w:r>
    </w:p>
    <w:p>
      <w:pPr>
        <w:spacing w:after="140" w:line="276"/>
      </w:pPr>
      <w:r>
        <w:rPr>
          <w:rFonts w:ascii="Calibri" w:cs="Calibri" w:eastAsia="Calibri" w:hAnsi="Calibri"/>
          <w:b/>
          <w:bCs/>
          <w:sz w:val="21"/>
          <w:szCs w:val="21"/>
        </w:rPr>
        <w:t xml:space="preserve">Con qué documento:</w:t>
      </w:r>
      <w:r>
        <w:rPr>
          <w:rFonts w:ascii="Calibri" w:cs="Calibri" w:eastAsia="Calibri" w:hAnsi="Calibri"/>
          <w:sz w:val="21"/>
          <w:szCs w:val="21"/>
        </w:rPr>
        <w:t xml:space="preserve"> acta de prueba de integración y acta de exportación autónoma.</w:t>
      </w:r>
    </w:p>
    <w:p>
      <w:pPr>
        <w:spacing w:after="140" w:line="276"/>
      </w:pPr>
      <w:r>
        <w:rPr>
          <w:rFonts w:ascii="Calibri" w:cs="Calibri" w:eastAsia="Calibri" w:hAnsi="Calibri"/>
          <w:b/>
          <w:bCs/>
          <w:sz w:val="21"/>
          <w:szCs w:val="21"/>
        </w:rPr>
        <w:t xml:space="preserve">Carga estimada al año</w:t>
      </w:r>
      <w:r>
        <w:rPr>
          <w:rFonts w:ascii="Calibri" w:cs="Calibri" w:eastAsia="Calibri" w:hAnsi="Calibri"/>
          <w:sz w:val="21"/>
          <w:szCs w:val="21"/>
        </w:rPr>
        <w:t xml:space="preserve"> </w:t>
      </w:r>
      <w:r>
        <w:rPr>
          <w:rFonts w:ascii="Calibri" w:cs="Calibri" w:eastAsia="Calibri" w:hAnsi="Calibri"/>
          <w:i/>
          <w:iCs/>
          <w:sz w:val="21"/>
          <w:szCs w:val="21"/>
        </w:rPr>
        <w:t xml:space="preserve">(orientativa)</w:t>
      </w:r>
      <w:r>
        <w:rPr>
          <w:rFonts w:ascii="Calibri" w:cs="Calibri" w:eastAsia="Calibri" w:hAnsi="Calibri"/>
          <w:sz w:val="21"/>
          <w:szCs w:val="21"/>
        </w:rPr>
        <w:t xml:space="preserve">: 2 horas por integración verificada; 4 horas de prueba anual de exportación. En un contrato con 4 integraciones: </w:t>
      </w:r>
      <w:r>
        <w:rPr>
          <w:rFonts w:ascii="Calibri" w:cs="Calibri" w:eastAsia="Calibri" w:hAnsi="Calibri"/>
          <w:b/>
          <w:bCs/>
          <w:sz w:val="21"/>
          <w:szCs w:val="21"/>
        </w:rPr>
        <w:t xml:space="preserve">12 horas el primer año y 4 en los siguientes</w:t>
      </w:r>
      <w:r>
        <w:rPr>
          <w:rFonts w:ascii="Calibri" w:cs="Calibri" w:eastAsia="Calibri" w:hAnsi="Calibri"/>
          <w:sz w:val="21"/>
          <w:szCs w:val="21"/>
        </w:rPr>
        <w:t xml:space="preserve">.</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spacing w:after="140" w:line="276"/>
      </w:pPr>
      <w:r>
        <w:rPr>
          <w:rFonts w:ascii="Calibri" w:cs="Calibri" w:eastAsia="Calibri" w:hAnsi="Calibri"/>
          <w:b/>
          <w:bCs/>
          <w:sz w:val="21"/>
          <w:szCs w:val="21"/>
        </w:rPr>
        <w:t xml:space="preserve">Obligación esencial: NO</w:t>
      </w:r>
      <w:r>
        <w:rPr>
          <w:rFonts w:ascii="Calibri" w:cs="Calibri" w:eastAsia="Calibri" w:hAnsi="Calibri"/>
          <w:sz w:val="21"/>
          <w:szCs w:val="21"/>
        </w:rPr>
        <w:t xml:space="preserve">, salvo el apartado 5, segundo inciso, cuando concurra su presupuesto: la obligación de indicar la ubicación de los servidores y de comunicar sus cambios, y la relativa a su subcontratación, </w:t>
      </w:r>
      <w:r>
        <w:rPr>
          <w:rFonts w:ascii="Calibri" w:cs="Calibri" w:eastAsia="Calibri" w:hAnsi="Calibri"/>
          <w:b/>
          <w:bCs/>
          <w:sz w:val="21"/>
          <w:szCs w:val="21"/>
        </w:rPr>
        <w:t xml:space="preserve">son esenciales por imperativo del artículo 122.2 LCSP</w:t>
      </w:r>
      <w:r>
        <w:rPr>
          <w:rFonts w:ascii="Calibri" w:cs="Calibri" w:eastAsia="Calibri" w:hAnsi="Calibri"/>
          <w:sz w:val="21"/>
          <w:szCs w:val="21"/>
        </w:rPr>
        <w:t xml:space="preserve"> y figuran como tales en ADM-6·v3, bloque A.</w:t>
      </w:r>
    </w:p>
    <w:p>
      <w:pPr>
        <w:spacing w:after="140" w:line="276"/>
      </w:pPr>
      <w:r>
        <w:rPr>
          <w:rFonts w:ascii="Calibri" w:cs="Calibri" w:eastAsia="Calibri" w:hAnsi="Calibri"/>
          <w:i/>
          <w:iCs/>
          <w:sz w:val="21"/>
          <w:szCs w:val="21"/>
        </w:rPr>
        <w:t xml:space="preserve">Tipificaciones que deben incorporarse, con su código, a la lista cerrada del apartado 3 de ADM-5·v3. El PPT no impone penalidades por sí mismo: un hecho de esta tabla que no figure allí no genera penalidad exigible.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Tipificación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Hecho verificable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Leve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Retraso no superior a [X; se recomienda 15] días en la entrega o actualización de la documentación de interfaces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Exportación que requiera intervención del personal del adjudicatario; falta de entrega o desactualización del diccionario de datos; indisponibilidad del entorno de pruebas superior a [X; se recomienda 10] días hábiles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Muy 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Falta de integración con un servicio común de los relacionados en el apartado 2 en el plazo del pliego; facturación de las consultas o de la exportación previstas en los apartados 3 y 4</w:t>
            </w:r>
          </w:p>
        </w:tc>
      </w:tr>
    </w:tbl>
    <w:p>
      <w:pPr>
        <w:spacing w:after="200"/>
      </w:pP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sz w:val="21"/>
          <w:szCs w:val="21"/>
        </w:rPr>
        <w:t xml:space="preserve">Contratos sin sistema de información asociado.</w:t>
      </w:r>
    </w:p>
    <w:p>
      <w:pPr>
        <w:pStyle w:val="ListParagraph"/>
        <w:numPr>
          <w:ilvl w:val="0"/>
          <w:numId w:val="1"/>
        </w:numPr>
        <w:spacing w:after="70" w:line="268"/>
      </w:pPr>
      <w:r>
        <w:rPr>
          <w:rFonts w:ascii="Calibri" w:cs="Calibri" w:eastAsia="Calibri" w:hAnsi="Calibri"/>
          <w:sz w:val="21"/>
          <w:szCs w:val="21"/>
        </w:rPr>
        <w:t xml:space="preserve">Contratos de suministro de bienes que no traten información municipal.</w:t>
      </w:r>
    </w:p>
    <w:p>
      <w:pPr>
        <w:pStyle w:val="ListParagraph"/>
        <w:numPr>
          <w:ilvl w:val="0"/>
          <w:numId w:val="1"/>
        </w:numPr>
        <w:spacing w:after="70" w:line="268"/>
      </w:pPr>
      <w:r>
        <w:rPr>
          <w:rFonts w:ascii="Calibri" w:cs="Calibri" w:eastAsia="Calibri" w:hAnsi="Calibri"/>
          <w:sz w:val="21"/>
          <w:szCs w:val="21"/>
        </w:rPr>
        <w:t xml:space="preserve">El apartado 2 se suprime cuando el objeto no exija integración con ninguna plataforma común obligatoria; no se deja la tabla vacía en el pliego.</w:t>
      </w:r>
    </w:p>
    <w:p>
      <w:pPr>
        <w:pStyle w:val="ListParagraph"/>
        <w:numPr>
          <w:ilvl w:val="0"/>
          <w:numId w:val="1"/>
        </w:numPr>
        <w:spacing w:after="70" w:line="268"/>
      </w:pPr>
      <w:r>
        <w:rPr>
          <w:rFonts w:ascii="Calibri" w:cs="Calibri" w:eastAsia="Calibri" w:hAnsi="Calibri"/>
          <w:sz w:val="21"/>
          <w:szCs w:val="21"/>
        </w:rPr>
        <w:t xml:space="preserve">El apartado 5, segundo inciso, se suprime cuando la ejecución </w:t>
      </w:r>
      <w:r>
        <w:rPr>
          <w:rFonts w:ascii="Calibri" w:cs="Calibri" w:eastAsia="Calibri" w:hAnsi="Calibri"/>
          <w:b/>
          <w:bCs/>
          <w:sz w:val="21"/>
          <w:szCs w:val="21"/>
        </w:rPr>
        <w:t xml:space="preserve">no</w:t>
      </w:r>
      <w:r>
        <w:rPr>
          <w:rFonts w:ascii="Calibri" w:cs="Calibri" w:eastAsia="Calibri" w:hAnsi="Calibri"/>
          <w:sz w:val="21"/>
          <w:szCs w:val="21"/>
        </w:rPr>
        <w:t xml:space="preserve"> requiera tratamiento de datos personales por cuenta del Ayuntamiento. Escribir un bloque de esencialidad </w:t>
      </w:r>
      <w:r>
        <w:rPr>
          <w:rFonts w:ascii="Calibri" w:cs="Calibri" w:eastAsia="Calibri" w:hAnsi="Calibri"/>
          <w:i/>
          <w:iCs/>
          <w:sz w:val="21"/>
          <w:szCs w:val="21"/>
        </w:rPr>
        <w:t xml:space="preserve">ex lege</w:t>
      </w:r>
      <w:r>
        <w:rPr>
          <w:rFonts w:ascii="Calibri" w:cs="Calibri" w:eastAsia="Calibri" w:hAnsi="Calibri"/>
          <w:sz w:val="21"/>
          <w:szCs w:val="21"/>
        </w:rPr>
        <w:t xml:space="preserve"> cuando su presupuesto no concurre es declarar esencial una obligación improcedente, que es justamente lo que el artículo 211.1.f).2.º castiga.</w:t>
      </w:r>
    </w:p>
    <w:p>
      <w:pPr>
        <w:pStyle w:val="ListParagraph"/>
        <w:numPr>
          <w:ilvl w:val="0"/>
          <w:numId w:val="1"/>
        </w:numPr>
        <w:spacing w:after="70" w:line="268"/>
      </w:pPr>
      <w:r>
        <w:rPr>
          <w:rFonts w:ascii="Calibri" w:cs="Calibri" w:eastAsia="Calibri" w:hAnsi="Calibri"/>
          <w:sz w:val="21"/>
          <w:szCs w:val="21"/>
        </w:rPr>
        <w:t xml:space="preserve">Contratos menores: </w:t>
      </w:r>
      <w:r>
        <w:rPr>
          <w:rFonts w:ascii="Calibri" w:cs="Calibri" w:eastAsia="Calibri" w:hAnsi="Calibri"/>
          <w:b/>
          <w:bCs/>
          <w:sz w:val="21"/>
          <w:szCs w:val="21"/>
        </w:rPr>
        <w:t xml:space="preserve">no hay pliego, y esta cláusula no se incorpora.</w:t>
      </w:r>
      <w:r>
        <w:rPr>
          <w:rFonts w:ascii="Calibri" w:cs="Calibri" w:eastAsia="Calibri" w:hAnsi="Calibri"/>
          <w:sz w:val="21"/>
          <w:szCs w:val="21"/>
        </w:rPr>
        <w:t xml:space="preserve"> Lo único que cabe en el encargo o en la aceptación de oferta es la lista cerrada de la Parte V, §7.1, que es la fuente única para este supuesto y que ya recoge la entrega de los datos con su diccionario y la indicación de la ubicación de los servidores.</w:t>
      </w:r>
    </w:p>
    <w:p>
      <w:pPr>
        <w:pStyle w:val="ListParagraph"/>
        <w:numPr>
          <w:ilvl w:val="0"/>
          <w:numId w:val="1"/>
        </w:numPr>
        <w:spacing w:after="70" w:line="268"/>
      </w:pPr>
      <w:r>
        <w:rPr>
          <w:rFonts w:ascii="Calibri" w:cs="Calibri" w:eastAsia="Calibri" w:hAnsi="Calibri"/>
          <w:sz w:val="21"/>
          <w:szCs w:val="21"/>
        </w:rPr>
        <w:t xml:space="preserve">Prórrogas: no se introducen obligaciones nuevas.</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II.7 · DT-6·v3 — Seguridad conforme al ENS en la categoría que corresponda y protección de datos desde el diseño</w:t>
      </w:r>
    </w:p>
    <w:p>
      <w:pPr>
        <w:spacing w:after="140" w:line="276"/>
      </w:pPr>
      <w:r>
        <w:rPr>
          <w:rFonts w:ascii="Calibri" w:cs="Calibri" w:eastAsia="Calibri" w:hAnsi="Calibri"/>
          <w:i/>
          <w:iCs/>
          <w:sz w:val="21"/>
          <w:szCs w:val="21"/>
        </w:rPr>
        <w:t xml:space="preserve">(Reescrita, y con la rúbrica cambiada. La rúbrica anterior —«Seguridad (ENS Nivel Alto)»— es el punto de esta Parte con precedente anulatorio directo del tribunal que resolvería un recurso contra el Ayuntamiento.)</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DT-6. Seguridad conforme al Esquema Nacional de Seguridad en la categoría que corresponda y protección de datos desde el diseño.</w:t>
            </w:r>
          </w:p>
          <w:p>
            <w:pPr>
              <w:spacing w:after="100" w:line="264"/>
            </w:pPr>
            <w:r>
              <w:rPr>
                <w:rFonts w:ascii="Georgia" w:cs="Georgia" w:eastAsia="Georgia" w:hAnsi="Georgia"/>
                <w:b/>
                <w:bCs/>
                <w:sz w:val="20"/>
                <w:szCs w:val="20"/>
              </w:rPr>
              <w:t xml:space="preserve">1. Requisitos de conformidad.</w:t>
            </w:r>
            <w:r>
              <w:rPr>
                <w:rFonts w:ascii="Georgia" w:cs="Georgia" w:eastAsia="Georgia" w:hAnsi="Georgia"/>
                <w:sz w:val="20"/>
                <w:szCs w:val="20"/>
              </w:rPr>
              <w:t xml:space="preserve"> En cumplimiento del artículo 2.3 del Real Decreto 311/2022, de 3 de mayo, este pliego contempla los requisitos necesarios para asegurar la conformidad con el Esquema Nacional de Seguridad de los sistemas de información en los que se sustenten los servicios prestados por el contratista. Esta cautela se extiende a la cadena de suministro del contratista en la medida en que resulte necesario y de acuerdo con los resultados del análisis de riesgos incorporado al expediente.</w:t>
            </w:r>
          </w:p>
          <w:p>
            <w:pPr>
              <w:spacing w:after="100" w:line="264"/>
            </w:pPr>
            <w:r>
              <w:rPr>
                <w:rFonts w:ascii="Georgia" w:cs="Georgia" w:eastAsia="Georgia" w:hAnsi="Georgia"/>
                <w:b/>
                <w:bCs/>
                <w:sz w:val="20"/>
                <w:szCs w:val="20"/>
              </w:rPr>
              <w:t xml:space="preserve">2. Categoría de seguridad.</w:t>
            </w:r>
            <w:r>
              <w:rPr>
                <w:rFonts w:ascii="Georgia" w:cs="Georgia" w:eastAsia="Georgia" w:hAnsi="Georgia"/>
                <w:sz w:val="20"/>
                <w:szCs w:val="20"/>
              </w:rPr>
              <w:t xml:space="preserve"> La categoría de seguridad exigible es la que resulta de la aplicación del anexo I del Real Decreto 311/2022 al sistema objeto de este contrato y consta determinada y motivada en la memoria justificativa del expediente: </w:t>
            </w:r>
            <w:r>
              <w:rPr>
                <w:rFonts w:ascii="Georgia" w:cs="Georgia" w:eastAsia="Georgia" w:hAnsi="Georgia"/>
                <w:b/>
                <w:bCs/>
                <w:sz w:val="20"/>
                <w:szCs w:val="20"/>
              </w:rPr>
              <w:t xml:space="preserve">[BÁSICA / MEDIA / ALTA]</w:t>
            </w:r>
            <w:r>
              <w:rPr>
                <w:rFonts w:ascii="Georgia" w:cs="Georgia" w:eastAsia="Georgia" w:hAnsi="Georgia"/>
                <w:sz w:val="20"/>
                <w:szCs w:val="20"/>
              </w:rPr>
              <w:t xml:space="preserve">.</w:t>
            </w:r>
          </w:p>
          <w:p>
            <w:pPr>
              <w:spacing w:after="100" w:line="264"/>
            </w:pPr>
            <w:r>
              <w:rPr>
                <w:rFonts w:ascii="Georgia" w:cs="Georgia" w:eastAsia="Georgia" w:hAnsi="Georgia"/>
                <w:b/>
                <w:bCs/>
                <w:sz w:val="20"/>
                <w:szCs w:val="20"/>
              </w:rPr>
              <w:t xml:space="preserve">3. Acreditación de la conformidad.</w:t>
            </w:r>
            <w:r>
              <w:rPr>
                <w:rFonts w:ascii="Georgia" w:cs="Georgia" w:eastAsia="Georgia" w:hAnsi="Georgia"/>
                <w:sz w:val="20"/>
                <w:szCs w:val="20"/>
              </w:rPr>
              <w:t xml:space="preserve"> El adjudicatario acreditará la conformidad con el Esquema Nacional de Seguridad mediante:</w:t>
            </w:r>
          </w:p>
          <w:p>
            <w:pPr>
              <w:spacing w:after="100" w:line="264"/>
            </w:pPr>
            <w:r>
              <w:rPr>
                <w:rFonts w:ascii="Georgia" w:cs="Georgia" w:eastAsia="Georgia" w:hAnsi="Georgia"/>
                <w:sz w:val="20"/>
                <w:szCs w:val="20"/>
              </w:rPr>
              <w:t xml:space="preserve">a) </w:t>
            </w:r>
            <w:r>
              <w:rPr>
                <w:rFonts w:ascii="Georgia" w:cs="Georgia" w:eastAsia="Georgia" w:hAnsi="Georgia"/>
                <w:b/>
                <w:bCs/>
                <w:sz w:val="20"/>
                <w:szCs w:val="20"/>
              </w:rPr>
              <w:t xml:space="preserve">Certificación de conformidad</w:t>
            </w:r>
            <w:r>
              <w:rPr>
                <w:rFonts w:ascii="Georgia" w:cs="Georgia" w:eastAsia="Georgia" w:hAnsi="Georgia"/>
                <w:sz w:val="20"/>
                <w:szCs w:val="20"/>
              </w:rPr>
              <w:t xml:space="preserve">, cuando la categoría determinada en el apartado 2 sea MEDIA o ALTA.</w:t>
            </w:r>
          </w:p>
          <w:p>
            <w:pPr>
              <w:spacing w:after="100" w:line="264"/>
            </w:pPr>
            <w:r>
              <w:rPr>
                <w:rFonts w:ascii="Georgia" w:cs="Georgia" w:eastAsia="Georgia" w:hAnsi="Georgia"/>
                <w:sz w:val="20"/>
                <w:szCs w:val="20"/>
              </w:rPr>
              <w:t xml:space="preserve">b) </w:t>
            </w:r>
            <w:r>
              <w:rPr>
                <w:rFonts w:ascii="Georgia" w:cs="Georgia" w:eastAsia="Georgia" w:hAnsi="Georgia"/>
                <w:b/>
                <w:bCs/>
                <w:sz w:val="20"/>
                <w:szCs w:val="20"/>
              </w:rPr>
              <w:t xml:space="preserve">Declaración de conformidad basada en autoevaluación</w:t>
            </w:r>
            <w:r>
              <w:rPr>
                <w:rFonts w:ascii="Georgia" w:cs="Georgia" w:eastAsia="Georgia" w:hAnsi="Georgia"/>
                <w:sz w:val="20"/>
                <w:szCs w:val="20"/>
              </w:rPr>
              <w:t xml:space="preserve">, cuando la categoría determinada en el apartado 2 sea BÁSICA.</w:t>
            </w:r>
          </w:p>
          <w:p>
            <w:pPr>
              <w:spacing w:after="100" w:line="264"/>
            </w:pPr>
            <w:r>
              <w:rPr>
                <w:rFonts w:ascii="Georgia" w:cs="Georgia" w:eastAsia="Georgia" w:hAnsi="Georgia"/>
                <w:sz w:val="20"/>
                <w:szCs w:val="20"/>
              </w:rPr>
              <w:t xml:space="preserve">Todo ello conforme al artículo 38.1 del Real Decreto 311/2022. Si el licitador no dispusiera de la acreditación exigible en el momento de la formalización, dispondrá de un plazo de [X; se recomienda 6] meses para obtenerla, aplicando entretanto las medidas de seguridad correspondientes a la categoría, documentadas y verificables.</w:t>
            </w:r>
          </w:p>
          <w:p>
            <w:pPr>
              <w:spacing w:after="100" w:line="264"/>
            </w:pPr>
            <w:r>
              <w:rPr>
                <w:rFonts w:ascii="Georgia" w:cs="Georgia" w:eastAsia="Georgia" w:hAnsi="Georgia"/>
                <w:b/>
                <w:bCs/>
                <w:sz w:val="20"/>
                <w:szCs w:val="20"/>
              </w:rPr>
              <w:t xml:space="preserve">4. Política de seguridad.</w:t>
            </w:r>
            <w:r>
              <w:rPr>
                <w:rFonts w:ascii="Georgia" w:cs="Georgia" w:eastAsia="Georgia" w:hAnsi="Georgia"/>
                <w:sz w:val="20"/>
                <w:szCs w:val="20"/>
              </w:rPr>
              <w:t xml:space="preserve"> El adjudicatario dispondrá de una política de seguridad de la información aprobada por el órgano que ostente sus máximas competencias ejecutivas, en los términos del artículo 12 del Real Decreto 311/2022, y la pondrá a disposición del Ayuntamiento.</w:t>
            </w:r>
          </w:p>
          <w:p>
            <w:pPr>
              <w:spacing w:after="100" w:line="264"/>
            </w:pPr>
            <w:r>
              <w:rPr>
                <w:rFonts w:ascii="Georgia" w:cs="Georgia" w:eastAsia="Georgia" w:hAnsi="Georgia"/>
                <w:b/>
                <w:bCs/>
                <w:sz w:val="20"/>
                <w:szCs w:val="20"/>
              </w:rPr>
              <w:t xml:space="preserve">5. Protección de datos desde el diseño.</w:t>
            </w:r>
            <w:r>
              <w:rPr>
                <w:rFonts w:ascii="Georgia" w:cs="Georgia" w:eastAsia="Georgia" w:hAnsi="Georgia"/>
                <w:sz w:val="20"/>
                <w:szCs w:val="20"/>
              </w:rPr>
              <w:t xml:space="preserve"> La solución cumplirá el Reglamento (UE) 2016/679 y la Ley Orgánica 3/2018, con protección de datos desde el diseño y por defecto, minimización, y realización de la evaluación de impacto relativa a la protección de datos cuando proceda, para la que el adjudicatario aportará la información técnica necesaria.</w:t>
            </w:r>
          </w:p>
          <w:p>
            <w:pPr>
              <w:spacing w:after="100" w:line="264"/>
            </w:pPr>
            <w:r>
              <w:rPr>
                <w:rFonts w:ascii="Georgia" w:cs="Georgia" w:eastAsia="Georgia" w:hAnsi="Georgia"/>
                <w:b/>
                <w:bCs/>
                <w:sz w:val="20"/>
                <w:szCs w:val="20"/>
              </w:rPr>
              <w:t xml:space="preserve">6. Gestión de vulnerabilidades.</w:t>
            </w:r>
            <w:r>
              <w:rPr>
                <w:rFonts w:ascii="Georgia" w:cs="Georgia" w:eastAsia="Georgia" w:hAnsi="Georgia"/>
                <w:sz w:val="20"/>
                <w:szCs w:val="20"/>
              </w:rPr>
              <w:t xml:space="preserve"> El adjudicatario mantendrá un proceso continuo de gestión de vulnerabilidades y las subsanará, desde su identificación o comunicación, en los plazos máximos siguientes: severidad crítica, [X; se recomienda 15] días naturales; severidad alta, [X; se recomienda 30] días naturales; severidad media, [X; se recomienda 90] días naturales. Comunicará al Ayuntamiento toda vulnerabilidad de severidad crítica o alta que afecte a la solución en el plazo de [X; se recomienda 48] horas desde su conocimiento.</w:t>
            </w:r>
          </w:p>
          <w:p>
            <w:pPr>
              <w:spacing w:after="100" w:line="264"/>
            </w:pPr>
            <w:r>
              <w:rPr>
                <w:rFonts w:ascii="Georgia" w:cs="Georgia" w:eastAsia="Georgia" w:hAnsi="Georgia"/>
                <w:b/>
                <w:bCs/>
                <w:sz w:val="20"/>
                <w:szCs w:val="20"/>
              </w:rPr>
              <w:t xml:space="preserve">7. Continuidad.</w:t>
            </w:r>
            <w:r>
              <w:rPr>
                <w:rFonts w:ascii="Georgia" w:cs="Georgia" w:eastAsia="Georgia" w:hAnsi="Georgia"/>
                <w:sz w:val="20"/>
                <w:szCs w:val="20"/>
              </w:rPr>
              <w:t xml:space="preserve"> El adjudicatario dispondrá de plan de continuidad y de recuperación de la solución, con objetivos de tiempo y de punto de recuperación acordes con la categoría del apartado 2, y lo probará con periodicidad [X; se recomienda anual], entregando al Ayuntamiento el informe de la prueba.</w:t>
            </w:r>
          </w:p>
          <w:p>
            <w:pPr>
              <w:spacing w:after="100" w:line="264"/>
            </w:pPr>
            <w:r>
              <w:rPr>
                <w:rFonts w:ascii="Georgia" w:cs="Georgia" w:eastAsia="Georgia" w:hAnsi="Georgia"/>
                <w:b/>
                <w:bCs/>
                <w:sz w:val="20"/>
                <w:szCs w:val="20"/>
              </w:rPr>
              <w:t xml:space="preserve">8. Auditorías.</w:t>
            </w:r>
            <w:r>
              <w:rPr>
                <w:rFonts w:ascii="Georgia" w:cs="Georgia" w:eastAsia="Georgia" w:hAnsi="Georgia"/>
                <w:sz w:val="20"/>
                <w:szCs w:val="20"/>
              </w:rPr>
              <w:t xml:space="preserve"> El Ayuntamiento podrá auditar, por sí o por tercero designado sujeto a idéntico deber de confidencialidad, el cumplimiento de esta cláusula, con preaviso de [X; se recomienda 15] días hábiles, salvo incidente de seguridad en curso, en cuyo caso el preaviso no será exigible. Cuando el adjudicatario trate datos personales por cuenta del Ayuntamiento, esta previsión se entiende sin perjuicio y en refuerzo de las obligaciones del encargado del tratamiento conforme al Reglamento (UE) 2016/679.</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PPT, apartado de seguridad. La condición especial de ejecución de protección de datos, cuando el contrato implique cesión de datos, va al </w:t>
      </w:r>
      <w:r>
        <w:rPr>
          <w:rFonts w:ascii="Calibri" w:cs="Calibri" w:eastAsia="Calibri" w:hAnsi="Calibri"/>
          <w:b/>
          <w:bCs/>
          <w:sz w:val="21"/>
          <w:szCs w:val="21"/>
        </w:rPr>
        <w:t xml:space="preserve">PCAP</w:t>
      </w:r>
      <w:r>
        <w:rPr>
          <w:rFonts w:ascii="Calibri" w:cs="Calibri" w:eastAsia="Calibri" w:hAnsi="Calibri"/>
          <w:sz w:val="21"/>
          <w:szCs w:val="21"/>
        </w:rPr>
        <w:t xml:space="preserve"> (ADM-6·v3, bloque A): su reproducción en el PPT carece de efectos.</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sz w:val="21"/>
          <w:szCs w:val="21"/>
        </w:rPr>
        <w:t xml:space="preserve">El artículo 2.3 del Real Decreto 311/2022 no faculta: </w:t>
      </w:r>
      <w:r>
        <w:rPr>
          <w:rFonts w:ascii="Calibri" w:cs="Calibri" w:eastAsia="Calibri" w:hAnsi="Calibri"/>
          <w:b/>
          <w:bCs/>
          <w:sz w:val="21"/>
          <w:szCs w:val="21"/>
        </w:rPr>
        <w:t xml:space="preserve">obliga</w:t>
      </w:r>
      <w:r>
        <w:rPr>
          <w:rFonts w:ascii="Calibri" w:cs="Calibri" w:eastAsia="Calibri" w:hAnsi="Calibri"/>
          <w:sz w:val="21"/>
          <w:szCs w:val="21"/>
        </w:rPr>
        <w:t xml:space="preserve">. Los pliegos «contemplarán todos aquellos requisitos necesarios para asegurar la conformidad con el ENS de los sistemas de información en los que se sustenten los servicios prestados por los contratistas, tales como la presentación de las correspondientes Declaraciones o Certificaciones de Conformidad con el ENS», y «esta cautela se extenderá también a la cadena de suministro de dichos contratistas, en la medida que sea necesario y de acuerdo con los resultados del correspondiente análisis de riesgos».</w:t>
      </w:r>
    </w:p>
    <w:p>
      <w:pPr>
        <w:spacing w:after="140" w:line="276"/>
      </w:pPr>
      <w:r>
        <w:rPr>
          <w:rFonts w:ascii="Calibri" w:cs="Calibri" w:eastAsia="Calibri" w:hAnsi="Calibri"/>
          <w:sz w:val="21"/>
          <w:szCs w:val="21"/>
        </w:rPr>
        <w:t xml:space="preserve">Es además la respuesta más limpia a la objeción de que estas cláusulas nacen de necesidades que ningún gestor demanda: aquí no las demanda ningún gestor y se ponen igual, porque las manda un reglamento. La premisa «si no lo pide un gestor, es artificioso» no describe el ordenamiento vigente.</w:t>
      </w:r>
    </w:p>
    <w:p>
      <w:pPr>
        <w:spacing w:after="140" w:line="276"/>
      </w:pPr>
      <w:r>
        <w:rPr>
          <w:rFonts w:ascii="Calibri" w:cs="Calibri" w:eastAsia="Calibri" w:hAnsi="Calibri"/>
          <w:sz w:val="21"/>
          <w:szCs w:val="21"/>
        </w:rPr>
        <w:t xml:space="preserve">La categoría no se elige por ambición: resulta del anexo I del Real Decreto 311/2022, y de ella depende el tipo de acreditación exigible conforme al artículo 38.1 —certificación en MEDIA y ALTA, autoevaluación en BÁSICA—.</w:t>
      </w:r>
    </w:p>
    <w:p>
      <w:pPr>
        <w:pBdr>
          <w:left w:val="single" w:color="BFBFBF" w:sz="12" w:space="8"/>
        </w:pBdr>
        <w:spacing w:after="140" w:line="264"/>
        <w:ind w:left="400"/>
      </w:pPr>
      <w:r>
        <w:rPr>
          <w:rFonts w:ascii="Georgia" w:cs="Georgia" w:eastAsia="Georgia" w:hAnsi="Georgia"/>
          <w:b/>
          <w:bCs/>
          <w:i/>
          <w:iCs/>
          <w:color w:val="595959"/>
          <w:sz w:val="20"/>
          <w:szCs w:val="20"/>
        </w:rPr>
        <w:t xml:space="preserve">ADVERTENCIA DE APLICACIÓN. Ésta es la cláusula con precedente anulatorio directo del tribunal competente, y el defecto no está en el texto: está en el expediente.</w:t>
      </w:r>
    </w:p>
    <w:p>
      <w:pPr>
        <w:pBdr>
          <w:left w:val="single" w:color="BFBFBF" w:sz="12" w:space="8"/>
        </w:pBdr>
        <w:spacing w:after="140" w:line="264"/>
        <w:ind w:left="400"/>
      </w:pPr>
      <w:r>
        <w:rPr>
          <w:rFonts w:ascii="Georgia" w:cs="Georgia" w:eastAsia="Georgia" w:hAnsi="Georgia"/>
          <w:i/>
          <w:iCs/>
          <w:color w:val="595959"/>
          <w:sz w:val="20"/>
          <w:szCs w:val="20"/>
        </w:rPr>
        <w:t xml:space="preserve">El </w:t>
      </w:r>
      <w:r>
        <w:rPr>
          <w:rFonts w:ascii="Georgia" w:cs="Georgia" w:eastAsia="Georgia" w:hAnsi="Georgia"/>
          <w:b/>
          <w:bCs/>
          <w:i/>
          <w:iCs/>
          <w:color w:val="595959"/>
          <w:sz w:val="20"/>
          <w:szCs w:val="20"/>
        </w:rPr>
        <w:t xml:space="preserve">Tribunal Administrativo de Contratación Pública de la Comunidad de Madrid</w:t>
      </w:r>
      <w:r>
        <w:rPr>
          <w:rFonts w:ascii="Georgia" w:cs="Georgia" w:eastAsia="Georgia" w:hAnsi="Georgia"/>
          <w:i/>
          <w:iCs/>
          <w:color w:val="595959"/>
          <w:sz w:val="20"/>
          <w:szCs w:val="20"/>
        </w:rPr>
        <w:t xml:space="preserve">, en su </w:t>
      </w:r>
      <w:r>
        <w:rPr>
          <w:rFonts w:ascii="Georgia" w:cs="Georgia" w:eastAsia="Georgia" w:hAnsi="Georgia"/>
          <w:b/>
          <w:bCs/>
          <w:i/>
          <w:iCs/>
          <w:color w:val="595959"/>
          <w:sz w:val="20"/>
          <w:szCs w:val="20"/>
        </w:rPr>
        <w:t xml:space="preserve">Resolución 383/2024, de 3 de octubre de 2024</w:t>
      </w:r>
      <w:r>
        <w:rPr>
          <w:rFonts w:ascii="Georgia" w:cs="Georgia" w:eastAsia="Georgia" w:hAnsi="Georgia"/>
          <w:i/>
          <w:iCs/>
          <w:color w:val="595959"/>
          <w:sz w:val="20"/>
          <w:szCs w:val="20"/>
        </w:rPr>
        <w:t xml:space="preserve"> (expediente 383/2024, recurso de TECNOLOGÍAS VIALES APLICADAS TEVA, S.L. contra los pliegos del </w:t>
      </w:r>
      <w:r>
        <w:rPr>
          <w:rFonts w:ascii="Georgia" w:cs="Georgia" w:eastAsia="Georgia" w:hAnsi="Georgia"/>
          <w:b/>
          <w:bCs/>
          <w:i/>
          <w:iCs/>
          <w:color w:val="595959"/>
          <w:sz w:val="20"/>
          <w:szCs w:val="20"/>
        </w:rPr>
        <w:t xml:space="preserve">Ayuntamiento de Parla</w:t>
      </w:r>
      <w:r>
        <w:rPr>
          <w:rFonts w:ascii="Georgia" w:cs="Georgia" w:eastAsia="Georgia" w:hAnsi="Georgia"/>
          <w:i/>
          <w:iCs/>
          <w:color w:val="595959"/>
          <w:sz w:val="20"/>
          <w:szCs w:val="20"/>
        </w:rPr>
        <w:t xml:space="preserve">), </w:t>
      </w:r>
      <w:r>
        <w:rPr>
          <w:rFonts w:ascii="Georgia" w:cs="Georgia" w:eastAsia="Georgia" w:hAnsi="Georgia"/>
          <w:b/>
          <w:bCs/>
          <w:i/>
          <w:iCs/>
          <w:color w:val="595959"/>
          <w:sz w:val="20"/>
          <w:szCs w:val="20"/>
        </w:rPr>
        <w:t xml:space="preserve">estimó el recurso</w:t>
      </w:r>
      <w:r>
        <w:rPr>
          <w:rFonts w:ascii="Georgia" w:cs="Georgia" w:eastAsia="Georgia" w:hAnsi="Georgia"/>
          <w:i/>
          <w:iCs/>
          <w:color w:val="595959"/>
          <w:sz w:val="20"/>
          <w:szCs w:val="20"/>
        </w:rPr>
        <w:t xml:space="preserve"> por exigir certificaciones de conformidad con el Esquema Nacional de Seguridad de Nivel ALTO sin justificación. Precisión de lectura, porque quien coteje el fallo la va a buscar: la parte dispositiva se limita a estimar el recurso; </w:t>
      </w:r>
      <w:r>
        <w:rPr>
          <w:rFonts w:ascii="Georgia" w:cs="Georgia" w:eastAsia="Georgia" w:hAnsi="Georgia"/>
          <w:b/>
          <w:bCs/>
          <w:i/>
          <w:iCs/>
          <w:color w:val="595959"/>
          <w:sz w:val="20"/>
          <w:szCs w:val="20"/>
        </w:rPr>
        <w:t xml:space="preserve">la anulación de los pliegos se declara en el fundamento de derecho quinto</w:t>
      </w:r>
      <w:r>
        <w:rPr>
          <w:rFonts w:ascii="Georgia" w:cs="Georgia" w:eastAsia="Georgia" w:hAnsi="Georgia"/>
          <w:i/>
          <w:iCs/>
          <w:color w:val="595959"/>
          <w:sz w:val="20"/>
          <w:szCs w:val="20"/>
        </w:rPr>
        <w:t xml:space="preserve">. Literalmente: «</w:t>
      </w:r>
      <w:r>
        <w:rPr>
          <w:rFonts w:ascii="Georgia" w:cs="Georgia" w:eastAsia="Georgia" w:hAnsi="Georgia"/>
          <w:i/>
          <w:iCs/>
          <w:color w:val="595959"/>
          <w:sz w:val="20"/>
          <w:szCs w:val="20"/>
        </w:rPr>
        <w:t xml:space="preserve">analizada la memoria justificativa publicada en la plataforma, en su apartado 13, consta exclusivamente la exigencia de la habilitación empresarial sin que aparezca la más mínima justificación de tal exigencia, como establece el artículo 116.2 de la LCSP. Esta justificación debe realizarse en la memoria justificativa de la contratación, sin que sea admisible la justificación realizada en sede de recurso</w:t>
      </w:r>
      <w:r>
        <w:rPr>
          <w:rFonts w:ascii="Georgia" w:cs="Georgia" w:eastAsia="Georgia" w:hAnsi="Georgia"/>
          <w:i/>
          <w:iCs/>
          <w:color w:val="595959"/>
          <w:sz w:val="20"/>
          <w:szCs w:val="20"/>
        </w:rPr>
        <w:t xml:space="preserve">». </w:t>
      </w:r>
      <w:hyperlink w:history="1" r:id="rId_szoi87uipmkqytflfn5q">
        <w:r>
          <w:rPr>
            <w:rFonts w:ascii="Georgia" w:cs="Georgia" w:eastAsia="Georgia" w:hAnsi="Georgia"/>
            <w:i/>
            <w:iCs/>
            <w:color w:val="2F5496"/>
            <w:sz w:val="20"/>
            <w:szCs w:val="20"/>
            <w:u w:val="single"/>
          </w:rPr>
          <w:t xml:space="preserve">PDF</w:t>
        </w:r>
      </w:hyperlink>
      <w:r>
        <w:rPr>
          <w:rFonts w:ascii="Georgia" w:cs="Georgia" w:eastAsia="Georgia" w:hAnsi="Georgia"/>
          <w:i/>
          <w:iCs/>
          <w:color w:val="595959"/>
          <w:sz w:val="20"/>
          <w:szCs w:val="20"/>
        </w:rPr>
        <w:t xml:space="preserve">. Se cita como doctrina general trasladable por analogía; es el mismo tribunal que resolvería un recurso contra los pliegos de un ayuntamiento de la Comunidad de Madrid, y el supuesto es idéntico al de esta cláusula.</w:t>
      </w:r>
    </w:p>
    <w:p>
      <w:pPr>
        <w:pBdr>
          <w:left w:val="single" w:color="BFBFBF" w:sz="12" w:space="8"/>
        </w:pBdr>
        <w:spacing w:after="140" w:line="264"/>
        <w:ind w:left="400"/>
      </w:pPr>
      <w:r>
        <w:rPr>
          <w:rFonts w:ascii="Georgia" w:cs="Georgia" w:eastAsia="Georgia" w:hAnsi="Georgia"/>
          <w:i/>
          <w:iCs/>
          <w:color w:val="595959"/>
          <w:sz w:val="20"/>
          <w:szCs w:val="20"/>
        </w:rPr>
        <w:t xml:space="preserve">Tres consecuencias, y las tres son obligatorias:</w:t>
      </w:r>
    </w:p>
    <w:p>
      <w:pPr>
        <w:pBdr>
          <w:left w:val="single" w:color="BFBFBF" w:sz="12" w:space="8"/>
        </w:pBdr>
        <w:spacing w:after="140" w:line="264"/>
        <w:ind w:left="400"/>
      </w:pPr>
      <w:r>
        <w:rPr>
          <w:rFonts w:ascii="Georgia" w:cs="Georgia" w:eastAsia="Georgia" w:hAnsi="Georgia"/>
          <w:i/>
          <w:iCs/>
          <w:color w:val="595959"/>
          <w:sz w:val="20"/>
          <w:szCs w:val="20"/>
        </w:rPr>
        <w:t xml:space="preserve">1. </w:t>
      </w:r>
      <w:r>
        <w:rPr>
          <w:rFonts w:ascii="Georgia" w:cs="Georgia" w:eastAsia="Georgia" w:hAnsi="Georgia"/>
          <w:b/>
          <w:bCs/>
          <w:i/>
          <w:iCs/>
          <w:color w:val="595959"/>
          <w:sz w:val="20"/>
          <w:szCs w:val="20"/>
        </w:rPr>
        <w:t xml:space="preserve">La categoría del apartado 2 se determina y se motiva en la memoria justificativa del expediente, ANTES de aprobar el pliego.</w:t>
      </w:r>
      <w:r>
        <w:rPr>
          <w:rFonts w:ascii="Georgia" w:cs="Georgia" w:eastAsia="Georgia" w:hAnsi="Georgia"/>
          <w:i/>
          <w:iCs/>
          <w:color w:val="595959"/>
          <w:sz w:val="20"/>
          <w:szCs w:val="20"/>
        </w:rPr>
        <w:t xml:space="preserve"> No en el catálogo, no en este documento, no en un informe posterior.</w:t>
      </w:r>
    </w:p>
    <w:p>
      <w:pPr>
        <w:pBdr>
          <w:left w:val="single" w:color="BFBFBF" w:sz="12" w:space="8"/>
        </w:pBdr>
        <w:spacing w:after="140" w:line="264"/>
        <w:ind w:left="400"/>
      </w:pPr>
      <w:r>
        <w:rPr>
          <w:rFonts w:ascii="Georgia" w:cs="Georgia" w:eastAsia="Georgia" w:hAnsi="Georgia"/>
          <w:i/>
          <w:iCs/>
          <w:color w:val="595959"/>
          <w:sz w:val="20"/>
          <w:szCs w:val="20"/>
        </w:rPr>
        <w:t xml:space="preserve">2. </w:t>
      </w:r>
      <w:r>
        <w:rPr>
          <w:rFonts w:ascii="Georgia" w:cs="Georgia" w:eastAsia="Georgia" w:hAnsi="Georgia"/>
          <w:b/>
          <w:bCs/>
          <w:i/>
          <w:iCs/>
          <w:color w:val="595959"/>
          <w:sz w:val="20"/>
          <w:szCs w:val="20"/>
        </w:rPr>
        <w:t xml:space="preserve">La motivación no se puede completar después.</w:t>
      </w:r>
      <w:r>
        <w:rPr>
          <w:rFonts w:ascii="Georgia" w:cs="Georgia" w:eastAsia="Georgia" w:hAnsi="Georgia"/>
          <w:i/>
          <w:iCs/>
          <w:color w:val="595959"/>
          <w:sz w:val="20"/>
          <w:szCs w:val="20"/>
        </w:rPr>
        <w:t xml:space="preserve"> Si el pliego se recurre, la justificación que no esté en la memoria no sirve, aunque sea correcta.</w:t>
      </w:r>
    </w:p>
    <w:p>
      <w:pPr>
        <w:pBdr>
          <w:left w:val="single" w:color="BFBFBF" w:sz="12" w:space="8"/>
        </w:pBdr>
        <w:spacing w:after="140" w:line="264"/>
        <w:ind w:left="400"/>
      </w:pPr>
      <w:r>
        <w:rPr>
          <w:rFonts w:ascii="Georgia" w:cs="Georgia" w:eastAsia="Georgia" w:hAnsi="Georgia"/>
          <w:i/>
          <w:iCs/>
          <w:color w:val="595959"/>
          <w:sz w:val="20"/>
          <w:szCs w:val="20"/>
        </w:rPr>
        <w:t xml:space="preserve">3. </w:t>
      </w:r>
      <w:r>
        <w:rPr>
          <w:rFonts w:ascii="Georgia" w:cs="Georgia" w:eastAsia="Georgia" w:hAnsi="Georgia"/>
          <w:b/>
          <w:bCs/>
          <w:i/>
          <w:iCs/>
          <w:color w:val="595959"/>
          <w:sz w:val="20"/>
          <w:szCs w:val="20"/>
        </w:rPr>
        <w:t xml:space="preserve">No escriba «Nivel Alto» en la rúbrica ni en el cuerpo si el sistema no lo es.</w:t>
      </w:r>
      <w:r>
        <w:rPr>
          <w:rFonts w:ascii="Georgia" w:cs="Georgia" w:eastAsia="Georgia" w:hAnsi="Georgia"/>
          <w:i/>
          <w:iCs/>
          <w:color w:val="595959"/>
          <w:sz w:val="20"/>
          <w:szCs w:val="20"/>
        </w:rPr>
        <w:t xml:space="preserve"> Exigir categoría ALTA a un sistema de categoría BÁSICA o MEDIA es, a juicio de los autores de este catálogo, una restricción desproporcionada, y además un sobrecoste inútil: MEDIA y ALTA arrastran auditoría de certificación y BÁSICA no. </w:t>
      </w:r>
      <w:r>
        <w:rPr>
          <w:rFonts w:ascii="Georgia" w:cs="Georgia" w:eastAsia="Georgia" w:hAnsi="Georgia"/>
          <w:i/>
          <w:iCs/>
          <w:color w:val="595959"/>
          <w:sz w:val="20"/>
          <w:szCs w:val="20"/>
        </w:rPr>
        <w:t xml:space="preserve">Esa valoración es propia y no debe atribuirse al Tribunal: la Resolución 383/2024 no calificó la exigencia de desproporcionada, sino que anuló por falta de justificación en la memoria (art. 116.2 LCSP), tratando la certificación como habilitación empresarial del artículo 65.2 LCSP.</w:t>
      </w:r>
    </w:p>
    <w:p>
      <w:pPr>
        <w:pBdr>
          <w:left w:val="single" w:color="BFBFBF" w:sz="12" w:space="8"/>
        </w:pBdr>
        <w:spacing w:after="140" w:line="264"/>
        <w:ind w:left="400"/>
      </w:pPr>
      <w:r>
        <w:rPr>
          <w:rFonts w:ascii="Georgia" w:cs="Georgia" w:eastAsia="Georgia" w:hAnsi="Georgia"/>
          <w:i/>
          <w:iCs/>
          <w:color w:val="595959"/>
          <w:sz w:val="20"/>
          <w:szCs w:val="20"/>
        </w:rPr>
        <w:t xml:space="preserve">La rúbrica anterior de esta cláusula decía «Seguridad (ENS Nivel Alto)». Si ese título quedó en el PPT de algún expediente ya redactado, ése es el primer sitio que hay que corregir antes de licitar.</w:t>
      </w:r>
    </w:p>
    <w:p>
      <w:pPr>
        <w:pStyle w:val="Heading3"/>
        <w:keepNext/>
        <w:spacing w:after="140" w:before="320"/>
      </w:pPr>
      <w:r>
        <w:rPr>
          <w:rFonts w:ascii="Georgia" w:cs="Georgia" w:eastAsia="Georgia" w:hAnsi="Georgia"/>
          <w:b/>
          <w:bCs/>
          <w:color w:val="2F5496"/>
          <w:sz w:val="22"/>
          <w:szCs w:val="22"/>
        </w:rPr>
        <w:t xml:space="preserve">4. Cómo se acredita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Obligación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Medio de acreditación tasado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Conformidad ENS (ap. 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Certificado de conformidad expedido por entidad de certificación (MEDIA/ALTA) o declaración de conformidad basada en autoevaluación (BÁSICA), en vigor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Cadena de suministro (ap. 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Relación de subcontratistas y proveedores relevantes con su situación de conformidad, coherente con el análisis de riesgos del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Política de seguridad (ap. 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Documento aprobado, con órgano y fecha de aprobación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Protección de datos (ap. 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Documentación técnica para la evaluación de impacto; registro de actividades de tratamiento en lo que afecte al contrato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Vulnerabilidades (ap. 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periódico de gestión de vulnerabilidades, con fechas de identificación y de subsanación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Continuidad (ap. 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Plan de continuidad e informe de la prueba anual</w:t>
            </w:r>
          </w:p>
        </w:tc>
      </w:tr>
    </w:tbl>
    <w:p>
      <w:pPr>
        <w:spacing w:after="200"/>
      </w:pPr>
    </w:p>
    <w:p>
      <w:pPr>
        <w:pStyle w:val="Heading3"/>
        <w:keepNext/>
        <w:spacing w:after="140" w:before="320"/>
      </w:pPr>
      <w:r>
        <w:rPr>
          <w:rFonts w:ascii="Georgia" w:cs="Georgia" w:eastAsia="Georgia" w:hAnsi="Georgia"/>
          <w:b/>
          <w:bCs/>
          <w:color w:val="2F5496"/>
          <w:sz w:val="22"/>
          <w:szCs w:val="22"/>
        </w:rPr>
        <w:t xml:space="preserve">5. Cómo se verifica</w:t>
      </w:r>
    </w:p>
    <w:p>
      <w:pPr>
        <w:spacing w:after="140" w:line="276"/>
      </w:pPr>
      <w:r>
        <w:rPr>
          <w:rFonts w:ascii="Calibri" w:cs="Calibri" w:eastAsia="Calibri" w:hAnsi="Calibri"/>
          <w:b/>
          <w:bCs/>
          <w:sz w:val="21"/>
          <w:szCs w:val="21"/>
        </w:rPr>
        <w:t xml:space="preserve">Quién:</w:t>
      </w:r>
      <w:r>
        <w:rPr>
          <w:rFonts w:ascii="Calibri" w:cs="Calibri" w:eastAsia="Calibri" w:hAnsi="Calibri"/>
          <w:sz w:val="21"/>
          <w:szCs w:val="21"/>
        </w:rPr>
        <w:t xml:space="preserve"> responsable de seguridad de la información del Ayuntamiento; en su defecto, el servicio de informática, con el delegado de protección de datos para el apartado 5.</w:t>
      </w:r>
    </w:p>
    <w:p>
      <w:pPr>
        <w:spacing w:after="140" w:line="276"/>
      </w:pPr>
      <w:r>
        <w:rPr>
          <w:rFonts w:ascii="Calibri" w:cs="Calibri" w:eastAsia="Calibri" w:hAnsi="Calibri"/>
          <w:b/>
          <w:bCs/>
          <w:sz w:val="21"/>
          <w:szCs w:val="21"/>
        </w:rPr>
        <w:t xml:space="preserve">Cuándo:</w:t>
      </w:r>
      <w:r>
        <w:rPr>
          <w:rFonts w:ascii="Calibri" w:cs="Calibri" w:eastAsia="Calibri" w:hAnsi="Calibri"/>
          <w:sz w:val="21"/>
          <w:szCs w:val="21"/>
        </w:rPr>
        <w:t xml:space="preserve"> vigencia de la acreditación, en la formalización y anualmente; vulnerabilidades, en cada comunicación y en la revisión anual; continuidad, tras la prueba anual.</w:t>
      </w:r>
    </w:p>
    <w:p>
      <w:pPr>
        <w:spacing w:after="140" w:line="276"/>
      </w:pPr>
      <w:r>
        <w:rPr>
          <w:rFonts w:ascii="Calibri" w:cs="Calibri" w:eastAsia="Calibri" w:hAnsi="Calibri"/>
          <w:b/>
          <w:bCs/>
          <w:sz w:val="21"/>
          <w:szCs w:val="21"/>
        </w:rPr>
        <w:t xml:space="preserve">Con qué documento:</w:t>
      </w:r>
      <w:r>
        <w:rPr>
          <w:rFonts w:ascii="Calibri" w:cs="Calibri" w:eastAsia="Calibri" w:hAnsi="Calibri"/>
          <w:sz w:val="21"/>
          <w:szCs w:val="21"/>
        </w:rPr>
        <w:t xml:space="preserve"> informe anual de seguimiento de seguridad, incorporado al expediente y al acta de la Comisión de Seguimiento.</w:t>
      </w:r>
    </w:p>
    <w:p>
      <w:pPr>
        <w:spacing w:after="140" w:line="276"/>
      </w:pPr>
      <w:r>
        <w:rPr>
          <w:rFonts w:ascii="Calibri" w:cs="Calibri" w:eastAsia="Calibri" w:hAnsi="Calibri"/>
          <w:b/>
          <w:bCs/>
          <w:sz w:val="21"/>
          <w:szCs w:val="21"/>
        </w:rPr>
        <w:t xml:space="preserve">Carga estimada al año</w:t>
      </w:r>
      <w:r>
        <w:rPr>
          <w:rFonts w:ascii="Calibri" w:cs="Calibri" w:eastAsia="Calibri" w:hAnsi="Calibri"/>
          <w:sz w:val="21"/>
          <w:szCs w:val="21"/>
        </w:rPr>
        <w:t xml:space="preserve"> </w:t>
      </w:r>
      <w:r>
        <w:rPr>
          <w:rFonts w:ascii="Calibri" w:cs="Calibri" w:eastAsia="Calibri" w:hAnsi="Calibri"/>
          <w:i/>
          <w:iCs/>
          <w:sz w:val="21"/>
          <w:szCs w:val="21"/>
        </w:rPr>
        <w:t xml:space="preserve">(orientativa)</w:t>
      </w:r>
      <w:r>
        <w:rPr>
          <w:rFonts w:ascii="Calibri" w:cs="Calibri" w:eastAsia="Calibri" w:hAnsi="Calibri"/>
          <w:sz w:val="21"/>
          <w:szCs w:val="21"/>
        </w:rPr>
        <w:t xml:space="preserve">: 6 horas de revisión anual documental; 4 horas de revisión del informe de la prueba de continuidad; tiempo variable ante incidentes. </w:t>
      </w:r>
      <w:r>
        <w:rPr>
          <w:rFonts w:ascii="Calibri" w:cs="Calibri" w:eastAsia="Calibri" w:hAnsi="Calibri"/>
          <w:b/>
          <w:bCs/>
          <w:sz w:val="21"/>
          <w:szCs w:val="21"/>
        </w:rPr>
        <w:t xml:space="preserve">10 a 14 horas al año</w:t>
      </w:r>
      <w:r>
        <w:rPr>
          <w:rFonts w:ascii="Calibri" w:cs="Calibri" w:eastAsia="Calibri" w:hAnsi="Calibri"/>
          <w:sz w:val="21"/>
          <w:szCs w:val="21"/>
        </w:rPr>
        <w:t xml:space="preserve">, sin contar auditoría propia.</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spacing w:after="140" w:line="276"/>
      </w:pPr>
      <w:r>
        <w:rPr>
          <w:rFonts w:ascii="Calibri" w:cs="Calibri" w:eastAsia="Calibri" w:hAnsi="Calibri"/>
          <w:b/>
          <w:bCs/>
          <w:sz w:val="21"/>
          <w:szCs w:val="21"/>
        </w:rPr>
        <w:t xml:space="preserve">Obligación esencial: NO</w:t>
      </w:r>
      <w:r>
        <w:rPr>
          <w:rFonts w:ascii="Calibri" w:cs="Calibri" w:eastAsia="Calibri" w:hAnsi="Calibri"/>
          <w:sz w:val="21"/>
          <w:szCs w:val="21"/>
        </w:rPr>
        <w:t xml:space="preserve"> por sí misma. La condición especial de protección de datos es esencial </w:t>
      </w:r>
      <w:r>
        <w:rPr>
          <w:rFonts w:ascii="Calibri" w:cs="Calibri" w:eastAsia="Calibri" w:hAnsi="Calibri"/>
          <w:i/>
          <w:iCs/>
          <w:sz w:val="21"/>
          <w:szCs w:val="21"/>
        </w:rPr>
        <w:t xml:space="preserve">ex lege</w:t>
      </w:r>
      <w:r>
        <w:rPr>
          <w:rFonts w:ascii="Calibri" w:cs="Calibri" w:eastAsia="Calibri" w:hAnsi="Calibri"/>
          <w:sz w:val="21"/>
          <w:szCs w:val="21"/>
        </w:rPr>
        <w:t xml:space="preserve"> (art. 202.1, párrafo tercero, LCSP) </w:t>
      </w:r>
      <w:r>
        <w:rPr>
          <w:rFonts w:ascii="Calibri" w:cs="Calibri" w:eastAsia="Calibri" w:hAnsi="Calibri"/>
          <w:b/>
          <w:bCs/>
          <w:sz w:val="21"/>
          <w:szCs w:val="21"/>
        </w:rPr>
        <w:t xml:space="preserve">sólo</w:t>
      </w:r>
      <w:r>
        <w:rPr>
          <w:rFonts w:ascii="Calibri" w:cs="Calibri" w:eastAsia="Calibri" w:hAnsi="Calibri"/>
          <w:sz w:val="21"/>
          <w:szCs w:val="21"/>
        </w:rPr>
        <w:t xml:space="preserve"> en los contratos cuya ejecución implique cesión de datos por el Ayuntamiento al contratista, y así figura en ADM-6·v3, bloque A.</w:t>
      </w:r>
    </w:p>
    <w:p>
      <w:pPr>
        <w:spacing w:after="140" w:line="276"/>
      </w:pPr>
      <w:r>
        <w:rPr>
          <w:rFonts w:ascii="Calibri" w:cs="Calibri" w:eastAsia="Calibri" w:hAnsi="Calibri"/>
          <w:i/>
          <w:iCs/>
          <w:sz w:val="21"/>
          <w:szCs w:val="21"/>
        </w:rPr>
        <w:t xml:space="preserve">Tipificaciones que deben incorporarse, con su código, a la lista cerrada del apartado 3 de ADM-5·v3. El PPT no impone penalidades por sí mismo: un hecho de esta tabla que no figure allí no genera penalidad exigible.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Tipificación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Hecho verificable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Leve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Retraso no superior a [X; se recomienda 15] días en la entrega del informe de vulnerabilidades o del informe de la prueba de continuidad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Pérdida temporal de la acreditación de conformidad exigida; incumplimiento de los plazos de subsanación del apartado 6 para severidad alta; falta de comunicación de vulnerabilidad crítica en el plazo del apartado 6</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Muy 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Pérdida no subsanada de la acreditación exigida transcurrido el plazo de [X; se recomienda 3] meses desde requerimiento; incumplimiento de los plazos de subsanación para severidad crítica; negativa a la auditoría del apartado 8</w:t>
            </w:r>
          </w:p>
        </w:tc>
      </w:tr>
    </w:tbl>
    <w:p>
      <w:pPr>
        <w:spacing w:after="200"/>
      </w:pP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sz w:val="21"/>
          <w:szCs w:val="21"/>
        </w:rPr>
        <w:t xml:space="preserve">Contratos que no se sustenten en sistemas de información y no traten información municipal.</w:t>
      </w:r>
    </w:p>
    <w:p>
      <w:pPr>
        <w:pStyle w:val="ListParagraph"/>
        <w:numPr>
          <w:ilvl w:val="0"/>
          <w:numId w:val="1"/>
        </w:numPr>
        <w:spacing w:after="70" w:line="268"/>
      </w:pPr>
      <w:r>
        <w:rPr>
          <w:rFonts w:ascii="Calibri" w:cs="Calibri" w:eastAsia="Calibri" w:hAnsi="Calibri"/>
          <w:sz w:val="21"/>
          <w:szCs w:val="21"/>
        </w:rPr>
        <w:t xml:space="preserve">El apartado 3.a) se sustituye por el 3.b) cuando la categoría determinada sea BÁSICA. </w:t>
      </w:r>
      <w:r>
        <w:rPr>
          <w:rFonts w:ascii="Calibri" w:cs="Calibri" w:eastAsia="Calibri" w:hAnsi="Calibri"/>
          <w:b/>
          <w:bCs/>
          <w:sz w:val="21"/>
          <w:szCs w:val="21"/>
        </w:rPr>
        <w:t xml:space="preserve">Nunca se exigen las dos.</w:t>
      </w:r>
    </w:p>
    <w:p>
      <w:pPr>
        <w:pStyle w:val="ListParagraph"/>
        <w:numPr>
          <w:ilvl w:val="0"/>
          <w:numId w:val="1"/>
        </w:numPr>
        <w:spacing w:after="70" w:line="268"/>
      </w:pPr>
      <w:r>
        <w:rPr>
          <w:rFonts w:ascii="Calibri" w:cs="Calibri" w:eastAsia="Calibri" w:hAnsi="Calibri"/>
          <w:sz w:val="21"/>
          <w:szCs w:val="21"/>
        </w:rPr>
        <w:t xml:space="preserve">El apartado 5 se suprime cuando no haya tratamiento de datos personales.</w:t>
      </w:r>
    </w:p>
    <w:p>
      <w:pPr>
        <w:pStyle w:val="ListParagraph"/>
        <w:numPr>
          <w:ilvl w:val="0"/>
          <w:numId w:val="1"/>
        </w:numPr>
        <w:spacing w:after="70" w:line="268"/>
      </w:pPr>
      <w:r>
        <w:rPr>
          <w:rFonts w:ascii="Calibri" w:cs="Calibri" w:eastAsia="Calibri" w:hAnsi="Calibri"/>
          <w:sz w:val="21"/>
          <w:szCs w:val="21"/>
        </w:rPr>
        <w:t xml:space="preserve">Contratos menores: </w:t>
      </w:r>
      <w:r>
        <w:rPr>
          <w:rFonts w:ascii="Calibri" w:cs="Calibri" w:eastAsia="Calibri" w:hAnsi="Calibri"/>
          <w:b/>
          <w:bCs/>
          <w:sz w:val="21"/>
          <w:szCs w:val="21"/>
        </w:rPr>
        <w:t xml:space="preserve">no hay pliego, y esta cláusula no se incorpora.</w:t>
      </w:r>
      <w:r>
        <w:rPr>
          <w:rFonts w:ascii="Calibri" w:cs="Calibri" w:eastAsia="Calibri" w:hAnsi="Calibri"/>
          <w:sz w:val="21"/>
          <w:szCs w:val="21"/>
        </w:rPr>
        <w:t xml:space="preserve"> Lo único que cabe en el encargo o en la aceptación de oferta es la lista cerrada de la Parte V, §7.1, cuya primera letra es precisamente la conformidad con el ENS en la categoría que corresponda (art. 2.3 del Real Decreto 311/2022).</w:t>
      </w:r>
    </w:p>
    <w:p>
      <w:pPr>
        <w:pStyle w:val="ListParagraph"/>
        <w:numPr>
          <w:ilvl w:val="0"/>
          <w:numId w:val="1"/>
        </w:numPr>
        <w:spacing w:after="70" w:line="268"/>
      </w:pPr>
      <w:r>
        <w:rPr>
          <w:rFonts w:ascii="Calibri" w:cs="Calibri" w:eastAsia="Calibri" w:hAnsi="Calibri"/>
          <w:sz w:val="21"/>
          <w:szCs w:val="21"/>
        </w:rPr>
        <w:t xml:space="preserve">Contratos basados en acuerdo marco: la conformidad ENS suele estar ya exigida en el acuerdo marco. Compruébese y no se duplique.</w:t>
      </w:r>
    </w:p>
    <w:p>
      <w:pPr>
        <w:pStyle w:val="ListParagraph"/>
        <w:numPr>
          <w:ilvl w:val="0"/>
          <w:numId w:val="1"/>
        </w:numPr>
        <w:spacing w:after="70" w:line="268"/>
      </w:pPr>
      <w:r>
        <w:rPr>
          <w:rFonts w:ascii="Calibri" w:cs="Calibri" w:eastAsia="Calibri" w:hAnsi="Calibri"/>
          <w:sz w:val="21"/>
          <w:szCs w:val="21"/>
        </w:rPr>
        <w:t xml:space="preserve">Prórrogas: se exige el mantenimiento de la acreditación ya exigida; no se eleva la categoría en la prórroga.</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II.8 · DT-7·v3 — Interfaz normalizada de acceso programático para agentes de IA</w:t>
      </w:r>
    </w:p>
    <w:p>
      <w:pPr>
        <w:spacing w:after="140" w:line="276"/>
      </w:pPr>
      <w:r>
        <w:rPr>
          <w:rFonts w:ascii="Calibri" w:cs="Calibri" w:eastAsia="Calibri" w:hAnsi="Calibri"/>
          <w:i/>
          <w:iCs/>
          <w:sz w:val="21"/>
          <w:szCs w:val="21"/>
        </w:rPr>
        <w:t xml:space="preserve">(Reescrita. Es el cambio de mayor calado técnico de esta Parte. La obligación se define por lo que la interfaz debe </w:t>
      </w:r>
      <w:r>
        <w:rPr>
          <w:rFonts w:ascii="Calibri" w:cs="Calibri" w:eastAsia="Calibri" w:hAnsi="Calibri"/>
          <w:i/>
          <w:iCs/>
          <w:sz w:val="21"/>
          <w:szCs w:val="21"/>
        </w:rPr>
        <w:t xml:space="preserve">hacer</w:t>
      </w:r>
      <w:r>
        <w:rPr>
          <w:rFonts w:ascii="Calibri" w:cs="Calibri" w:eastAsia="Calibri" w:hAnsi="Calibri"/>
          <w:i/>
          <w:iCs/>
          <w:sz w:val="21"/>
          <w:szCs w:val="21"/>
        </w:rPr>
        <w:t xml:space="preserve">; el ámbito universal se sustituye por ámbito modulado; y desaparece toda ventaja por disponer previamente de la tecnología.)</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DT-7. Interfaz normalizada de acceso programático para agentes de inteligencia artificial.</w:t>
            </w:r>
          </w:p>
          <w:p>
            <w:pPr>
              <w:spacing w:after="100" w:line="264"/>
            </w:pPr>
            <w:r>
              <w:rPr>
                <w:rFonts w:ascii="Georgia" w:cs="Georgia" w:eastAsia="Georgia" w:hAnsi="Georgia"/>
                <w:b/>
                <w:bCs/>
                <w:sz w:val="20"/>
                <w:szCs w:val="20"/>
              </w:rPr>
              <w:t xml:space="preserve">1. Objeto.</w:t>
            </w:r>
            <w:r>
              <w:rPr>
                <w:rFonts w:ascii="Georgia" w:cs="Georgia" w:eastAsia="Georgia" w:hAnsi="Georgia"/>
                <w:sz w:val="20"/>
                <w:szCs w:val="20"/>
              </w:rPr>
              <w:t xml:space="preserve"> El adjudicatario entregará una interfaz normalizada de acceso programático que exponga, de forma segura, controlada y trazable, los datos y las funciones de los módulos objeto de este contrato, de modo que puedan ser consultados y operados por sistemas y agentes de inteligencia artificial autorizados por el Ayuntamiento, bajo supervisión humana.</w:t>
            </w:r>
          </w:p>
          <w:p>
            <w:pPr>
              <w:spacing w:after="100" w:line="264"/>
            </w:pPr>
            <w:r>
              <w:rPr>
                <w:rFonts w:ascii="Georgia" w:cs="Georgia" w:eastAsia="Georgia" w:hAnsi="Georgia"/>
                <w:b/>
                <w:bCs/>
                <w:sz w:val="20"/>
                <w:szCs w:val="20"/>
              </w:rPr>
              <w:t xml:space="preserve">2. Ámbito.</w:t>
            </w:r>
            <w:r>
              <w:rPr>
                <w:rFonts w:ascii="Georgia" w:cs="Georgia" w:eastAsia="Georgia" w:hAnsi="Georgia"/>
                <w:sz w:val="20"/>
                <w:szCs w:val="20"/>
              </w:rPr>
              <w:t xml:space="preserve"> La exigencia se aplica exclusivamente a los módulos y funcionalidades relacionados en el </w:t>
            </w:r>
            <w:r>
              <w:rPr>
                <w:rFonts w:ascii="Georgia" w:cs="Georgia" w:eastAsia="Georgia" w:hAnsi="Georgia"/>
                <w:b/>
                <w:bCs/>
                <w:sz w:val="20"/>
                <w:szCs w:val="20"/>
              </w:rPr>
              <w:t xml:space="preserve">Apéndice técnico 2 · Exigencias tecnológicas determinadas</w:t>
            </w:r>
            <w:r>
              <w:rPr>
                <w:rFonts w:ascii="Georgia" w:cs="Georgia" w:eastAsia="Georgia" w:hAnsi="Georgia"/>
                <w:sz w:val="20"/>
                <w:szCs w:val="20"/>
              </w:rPr>
              <w:t xml:space="preserve"> de este pliego, apartado de módulos y funciones de la interfaz normalizada, atendiendo a la relación directa, clara y proporcional con el objeto del contrato exigida por el artículo 116.4.e) LCSP. No se extiende a otras aplicaciones municipales, ni a prestaciones ajenas al objeto de este contrato. </w:t>
            </w:r>
            <w:r>
              <w:rPr>
                <w:rFonts w:ascii="Georgia" w:cs="Georgia" w:eastAsia="Georgia" w:hAnsi="Georgia"/>
                <w:b/>
                <w:bCs/>
                <w:sz w:val="20"/>
                <w:szCs w:val="20"/>
              </w:rPr>
              <w:t xml:space="preserve">Ese apartado del Apéndice técnico 2 es la única relación de este pliego sobre los módulos y las funciones de la interfaz</w:t>
            </w:r>
            <w:r>
              <w:rPr>
                <w:rFonts w:ascii="Georgia" w:cs="Georgia" w:eastAsia="Georgia" w:hAnsi="Georgia"/>
                <w:sz w:val="20"/>
                <w:szCs w:val="20"/>
              </w:rPr>
              <w:t xml:space="preserve">; ningún otro documento del pliego contiene una relación distinta sobre la misma interfaz.</w:t>
            </w:r>
          </w:p>
          <w:p>
            <w:pPr>
              <w:spacing w:after="100" w:line="264"/>
            </w:pPr>
            <w:r>
              <w:rPr>
                <w:rFonts w:ascii="Georgia" w:cs="Georgia" w:eastAsia="Georgia" w:hAnsi="Georgia"/>
                <w:b/>
                <w:bCs/>
                <w:sz w:val="20"/>
                <w:szCs w:val="20"/>
              </w:rPr>
              <w:t xml:space="preserve">3. Exigencias funcionales.</w:t>
            </w:r>
            <w:r>
              <w:rPr>
                <w:rFonts w:ascii="Georgia" w:cs="Georgia" w:eastAsia="Georgia" w:hAnsi="Georgia"/>
                <w:sz w:val="20"/>
                <w:szCs w:val="20"/>
              </w:rPr>
              <w:t xml:space="preserve"> La interfaz cumplirá, como mínimo:</w:t>
            </w:r>
          </w:p>
          <w:p>
            <w:pPr>
              <w:spacing w:after="100" w:line="264"/>
            </w:pPr>
            <w:r>
              <w:rPr>
                <w:rFonts w:ascii="Georgia" w:cs="Georgia" w:eastAsia="Georgia" w:hAnsi="Georgia"/>
                <w:sz w:val="20"/>
                <w:szCs w:val="20"/>
              </w:rPr>
              <w:t xml:space="preserve">a) </w:t>
            </w:r>
            <w:r>
              <w:rPr>
                <w:rFonts w:ascii="Georgia" w:cs="Georgia" w:eastAsia="Georgia" w:hAnsi="Georgia"/>
                <w:b/>
                <w:bCs/>
                <w:sz w:val="20"/>
                <w:szCs w:val="20"/>
              </w:rPr>
              <w:t xml:space="preserve">Inventario de funciones.</w:t>
            </w:r>
            <w:r>
              <w:rPr>
                <w:rFonts w:ascii="Georgia" w:cs="Georgia" w:eastAsia="Georgia" w:hAnsi="Georgia"/>
                <w:sz w:val="20"/>
                <w:szCs w:val="20"/>
              </w:rPr>
              <w:t xml:space="preserve"> Expone, como mínimo, las </w:t>
            </w:r>
            <w:r>
              <w:rPr>
                <w:rFonts w:ascii="Georgia" w:cs="Georgia" w:eastAsia="Georgia" w:hAnsi="Georgia"/>
                <w:b/>
                <w:bCs/>
                <w:sz w:val="20"/>
                <w:szCs w:val="20"/>
              </w:rPr>
              <w:t xml:space="preserve">funciones mínimas</w:t>
            </w:r>
            <w:r>
              <w:rPr>
                <w:rFonts w:ascii="Georgia" w:cs="Georgia" w:eastAsia="Georgia" w:hAnsi="Georgia"/>
                <w:sz w:val="20"/>
                <w:szCs w:val="20"/>
              </w:rPr>
              <w:t xml:space="preserve"> relacionadas en el apartado de módulos y funciones del Apéndice técnico 2 sobre los módulos allí identificados y, cuando ese apartado lo indique, las funciones de escritura que en él se relacionen; además, las </w:t>
            </w:r>
            <w:r>
              <w:rPr>
                <w:rFonts w:ascii="Georgia" w:cs="Georgia" w:eastAsia="Georgia" w:hAnsi="Georgia"/>
                <w:b/>
                <w:bCs/>
                <w:sz w:val="20"/>
                <w:szCs w:val="20"/>
              </w:rPr>
              <w:t xml:space="preserve">funciones adicionales</w:t>
            </w:r>
            <w:r>
              <w:rPr>
                <w:rFonts w:ascii="Georgia" w:cs="Georgia" w:eastAsia="Georgia" w:hAnsi="Georgia"/>
                <w:sz w:val="20"/>
                <w:szCs w:val="20"/>
              </w:rPr>
              <w:t xml:space="preserve"> de ese mismo apartado que el adjudicatario haya comprometido en su oferta. El adjudicatario entregará el inventario de funciones expuestas, con su descripción y sus parámetros.</w:t>
            </w:r>
          </w:p>
          <w:p>
            <w:pPr>
              <w:spacing w:after="100" w:line="264"/>
            </w:pPr>
            <w:r>
              <w:rPr>
                <w:rFonts w:ascii="Georgia" w:cs="Georgia" w:eastAsia="Georgia" w:hAnsi="Georgia"/>
                <w:sz w:val="20"/>
                <w:szCs w:val="20"/>
              </w:rPr>
              <w:t xml:space="preserve">b) </w:t>
            </w:r>
            <w:r>
              <w:rPr>
                <w:rFonts w:ascii="Georgia" w:cs="Georgia" w:eastAsia="Georgia" w:hAnsi="Georgia"/>
                <w:b/>
                <w:bCs/>
                <w:sz w:val="20"/>
                <w:szCs w:val="20"/>
              </w:rPr>
              <w:t xml:space="preserve">Autenticación y autorización.</w:t>
            </w:r>
            <w:r>
              <w:rPr>
                <w:rFonts w:ascii="Georgia" w:cs="Georgia" w:eastAsia="Georgia" w:hAnsi="Georgia"/>
                <w:sz w:val="20"/>
                <w:szCs w:val="20"/>
              </w:rPr>
              <w:t xml:space="preserve"> Integradas con el directorio corporativo del Ayuntamiento, con control de acceso diferenciado por módulo, por operación y por ámbito de datos, y con distinción efectiva entre operaciones de consulta y de escritura.</w:t>
            </w:r>
          </w:p>
          <w:p>
            <w:pPr>
              <w:spacing w:after="100" w:line="264"/>
            </w:pPr>
            <w:r>
              <w:rPr>
                <w:rFonts w:ascii="Georgia" w:cs="Georgia" w:eastAsia="Georgia" w:hAnsi="Georgia"/>
                <w:sz w:val="20"/>
                <w:szCs w:val="20"/>
              </w:rPr>
              <w:t xml:space="preserve">c) </w:t>
            </w:r>
            <w:r>
              <w:rPr>
                <w:rFonts w:ascii="Georgia" w:cs="Georgia" w:eastAsia="Georgia" w:hAnsi="Georgia"/>
                <w:b/>
                <w:bCs/>
                <w:sz w:val="20"/>
                <w:szCs w:val="20"/>
              </w:rPr>
              <w:t xml:space="preserve">Registro de auditoría.</w:t>
            </w:r>
            <w:r>
              <w:rPr>
                <w:rFonts w:ascii="Georgia" w:cs="Georgia" w:eastAsia="Georgia" w:hAnsi="Georgia"/>
                <w:sz w:val="20"/>
                <w:szCs w:val="20"/>
              </w:rPr>
              <w:t xml:space="preserve"> De todas las consultas y acciones realizadas a través de la interfaz, con identificación del sistema o agente actuante, de la persona usuaria responsable, marca temporal y datos afectados; exportable en formato abierto y documentado, y conservado durante [X; se recomienda 24] meses.</w:t>
            </w:r>
          </w:p>
          <w:p>
            <w:pPr>
              <w:spacing w:after="100" w:line="264"/>
            </w:pPr>
            <w:r>
              <w:rPr>
                <w:rFonts w:ascii="Georgia" w:cs="Georgia" w:eastAsia="Georgia" w:hAnsi="Georgia"/>
                <w:sz w:val="20"/>
                <w:szCs w:val="20"/>
              </w:rPr>
              <w:t xml:space="preserve">d) </w:t>
            </w:r>
            <w:r>
              <w:rPr>
                <w:rFonts w:ascii="Georgia" w:cs="Georgia" w:eastAsia="Georgia" w:hAnsi="Georgia"/>
                <w:b/>
                <w:bCs/>
                <w:sz w:val="20"/>
                <w:szCs w:val="20"/>
              </w:rPr>
              <w:t xml:space="preserve">Documentación.</w:t>
            </w:r>
            <w:r>
              <w:rPr>
                <w:rFonts w:ascii="Georgia" w:cs="Georgia" w:eastAsia="Georgia" w:hAnsi="Georgia"/>
                <w:sz w:val="20"/>
                <w:szCs w:val="20"/>
              </w:rPr>
              <w:t xml:space="preserve"> Especificación técnica de la interfaz, modelo de permisos e instrucciones de despliegue, publicadas y versionadas, actualizadas con cada versión.</w:t>
            </w:r>
          </w:p>
          <w:p>
            <w:pPr>
              <w:spacing w:after="100" w:line="264"/>
            </w:pPr>
            <w:r>
              <w:rPr>
                <w:rFonts w:ascii="Georgia" w:cs="Georgia" w:eastAsia="Georgia" w:hAnsi="Georgia"/>
                <w:sz w:val="20"/>
                <w:szCs w:val="20"/>
              </w:rPr>
              <w:t xml:space="preserve">e) </w:t>
            </w:r>
            <w:r>
              <w:rPr>
                <w:rFonts w:ascii="Georgia" w:cs="Georgia" w:eastAsia="Georgia" w:hAnsi="Georgia"/>
                <w:b/>
                <w:bCs/>
                <w:sz w:val="20"/>
                <w:szCs w:val="20"/>
              </w:rPr>
              <w:t xml:space="preserve">Entorno de pruebas.</w:t>
            </w:r>
            <w:r>
              <w:rPr>
                <w:rFonts w:ascii="Georgia" w:cs="Georgia" w:eastAsia="Georgia" w:hAnsi="Georgia"/>
                <w:sz w:val="20"/>
                <w:szCs w:val="20"/>
              </w:rPr>
              <w:t xml:space="preserve"> El previsto en la cláusula DT-5, apartado 6, que permitirá verificar las letras a) a h) de este apartado y estará operativo, respecto de la interfaz, como mínimo [X; se recomienda 60] días naturales antes de la fecha comprometida de puesta en producción.</w:t>
            </w:r>
          </w:p>
          <w:p>
            <w:pPr>
              <w:spacing w:after="100" w:line="264"/>
            </w:pPr>
            <w:r>
              <w:rPr>
                <w:rFonts w:ascii="Georgia" w:cs="Georgia" w:eastAsia="Georgia" w:hAnsi="Georgia"/>
                <w:sz w:val="20"/>
                <w:szCs w:val="20"/>
              </w:rPr>
              <w:t xml:space="preserve">f) </w:t>
            </w:r>
            <w:r>
              <w:rPr>
                <w:rFonts w:ascii="Georgia" w:cs="Georgia" w:eastAsia="Georgia" w:hAnsi="Georgia"/>
                <w:b/>
                <w:bCs/>
                <w:sz w:val="20"/>
                <w:szCs w:val="20"/>
              </w:rPr>
              <w:t xml:space="preserve">Límites y suspensión.</w:t>
            </w:r>
            <w:r>
              <w:rPr>
                <w:rFonts w:ascii="Georgia" w:cs="Georgia" w:eastAsia="Georgia" w:hAnsi="Georgia"/>
                <w:sz w:val="20"/>
                <w:szCs w:val="20"/>
              </w:rPr>
              <w:t xml:space="preserve"> Los límites de actuación son configurables por el Ayuntamiento y permiten habilitar y deshabilitar de forma independiente cada operación. El Ayuntamiento dispondrá de un control propio, accionable con credenciales municipales desde la interfaz de administración de la solución, que suspenda la ejecución de operaciones a través de la interfaz, de forma total o por operación, </w:t>
            </w:r>
            <w:r>
              <w:rPr>
                <w:rFonts w:ascii="Georgia" w:cs="Georgia" w:eastAsia="Georgia" w:hAnsi="Georgia"/>
                <w:b/>
                <w:bCs/>
                <w:sz w:val="20"/>
                <w:szCs w:val="20"/>
              </w:rPr>
              <w:t xml:space="preserve">sin que sea necesaria solicitud, autorización, ticket ni actuación alguna del personal del adjudicatario</w:t>
            </w:r>
            <w:r>
              <w:rPr>
                <w:rFonts w:ascii="Georgia" w:cs="Georgia" w:eastAsia="Georgia" w:hAnsi="Georgia"/>
                <w:sz w:val="20"/>
                <w:szCs w:val="20"/>
              </w:rPr>
              <w:t xml:space="preserve">, y cuyo efecto se producirá en un plazo máximo de [X; se recomienda 5] minutos. Toda activación de ese control quedará registrada conforme a la letra c).</w:t>
            </w:r>
          </w:p>
          <w:p>
            <w:pPr>
              <w:spacing w:after="100" w:line="264"/>
            </w:pPr>
            <w:r>
              <w:rPr>
                <w:rFonts w:ascii="Georgia" w:cs="Georgia" w:eastAsia="Georgia" w:hAnsi="Georgia"/>
                <w:sz w:val="20"/>
                <w:szCs w:val="20"/>
              </w:rPr>
              <w:t xml:space="preserve">g) </w:t>
            </w:r>
            <w:r>
              <w:rPr>
                <w:rFonts w:ascii="Georgia" w:cs="Georgia" w:eastAsia="Georgia" w:hAnsi="Georgia"/>
                <w:b/>
                <w:bCs/>
                <w:sz w:val="20"/>
                <w:szCs w:val="20"/>
              </w:rPr>
              <w:t xml:space="preserve">Seguridad y protección de datos.</w:t>
            </w:r>
            <w:r>
              <w:rPr>
                <w:rFonts w:ascii="Georgia" w:cs="Georgia" w:eastAsia="Georgia" w:hAnsi="Georgia"/>
                <w:sz w:val="20"/>
                <w:szCs w:val="20"/>
              </w:rPr>
              <w:t xml:space="preserve"> Conformidad con el Esquema Nacional de Seguridad en la categoría determinada conforme a la cláusula DT-6, y con el Reglamento (UE) 2016/679.</w:t>
            </w:r>
          </w:p>
          <w:p>
            <w:pPr>
              <w:spacing w:after="100" w:line="264"/>
            </w:pPr>
            <w:r>
              <w:rPr>
                <w:rFonts w:ascii="Georgia" w:cs="Georgia" w:eastAsia="Georgia" w:hAnsi="Georgia"/>
                <w:sz w:val="20"/>
                <w:szCs w:val="20"/>
              </w:rPr>
              <w:t xml:space="preserve">h) </w:t>
            </w:r>
            <w:r>
              <w:rPr>
                <w:rFonts w:ascii="Georgia" w:cs="Georgia" w:eastAsia="Georgia" w:hAnsi="Georgia"/>
                <w:b/>
                <w:bCs/>
                <w:sz w:val="20"/>
                <w:szCs w:val="20"/>
              </w:rPr>
              <w:t xml:space="preserve">Titularidad y portabilidad.</w:t>
            </w:r>
            <w:r>
              <w:rPr>
                <w:rFonts w:ascii="Georgia" w:cs="Georgia" w:eastAsia="Georgia" w:hAnsi="Georgia"/>
                <w:sz w:val="20"/>
                <w:szCs w:val="20"/>
              </w:rPr>
              <w:t xml:space="preserve"> La interfaz entregada, su documentación y su configuración son de titularidad municipal en los términos del pliego de cláusulas administrativas particulares, y quedan sujetas al régimen de reversibilidad de la cláusula DT-8.</w:t>
            </w:r>
          </w:p>
          <w:p>
            <w:pPr>
              <w:spacing w:after="100" w:line="264"/>
            </w:pPr>
            <w:r>
              <w:rPr>
                <w:rFonts w:ascii="Georgia" w:cs="Georgia" w:eastAsia="Georgia" w:hAnsi="Georgia"/>
                <w:b/>
                <w:bCs/>
                <w:sz w:val="20"/>
                <w:szCs w:val="20"/>
              </w:rPr>
              <w:t xml:space="preserve">4. Neutralidad tecnológica.</w:t>
            </w:r>
            <w:r>
              <w:rPr>
                <w:rFonts w:ascii="Georgia" w:cs="Georgia" w:eastAsia="Georgia" w:hAnsi="Georgia"/>
                <w:sz w:val="20"/>
                <w:szCs w:val="20"/>
              </w:rPr>
              <w:t xml:space="preserve"> Este pliego </w:t>
            </w:r>
            <w:r>
              <w:rPr>
                <w:rFonts w:ascii="Georgia" w:cs="Georgia" w:eastAsia="Georgia" w:hAnsi="Georgia"/>
                <w:b/>
                <w:bCs/>
                <w:sz w:val="20"/>
                <w:szCs w:val="20"/>
              </w:rPr>
              <w:t xml:space="preserve">no impone protocolo, especificación ni producto alguno</w:t>
            </w:r>
            <w:r>
              <w:rPr>
                <w:rFonts w:ascii="Georgia" w:cs="Georgia" w:eastAsia="Georgia" w:hAnsi="Georgia"/>
                <w:sz w:val="20"/>
                <w:szCs w:val="20"/>
              </w:rPr>
              <w:t xml:space="preserve">. El licitador describirá en su oferta el protocolo o mecanismo técnico mediante el cual satisface las letras a) a h) del apartado 3, y acreditará ese cumplimiento por los medios previstos en el apartado 6. La valoración y la aceptación se refieren exclusivamente al cumplimiento de dichas letras.</w:t>
            </w:r>
          </w:p>
          <w:p>
            <w:pPr>
              <w:spacing w:after="100" w:line="264"/>
            </w:pPr>
            <w:r>
              <w:rPr>
                <w:rFonts w:ascii="Georgia" w:cs="Georgia" w:eastAsia="Georgia" w:hAnsi="Georgia"/>
                <w:b/>
                <w:bCs/>
                <w:sz w:val="20"/>
                <w:szCs w:val="20"/>
              </w:rPr>
              <w:t xml:space="preserve">5. Plazo.</w:t>
            </w:r>
            <w:r>
              <w:rPr>
                <w:rFonts w:ascii="Georgia" w:cs="Georgia" w:eastAsia="Georgia" w:hAnsi="Georgia"/>
                <w:sz w:val="20"/>
                <w:szCs w:val="20"/>
              </w:rPr>
              <w:t xml:space="preserve"> La interfaz se entregará en el plazo máximo de [X; se recomienda 12] meses desde la formalización del contrato o, si fuera posterior, desde la puesta en producción del módulo correspondiente. El plazo que el licitador oferte por debajo de ese máximo se incorpora al contrato como obligación.</w:t>
            </w:r>
          </w:p>
          <w:p>
            <w:pPr>
              <w:spacing w:after="100" w:line="264"/>
            </w:pPr>
            <w:r>
              <w:rPr>
                <w:rFonts w:ascii="Georgia" w:cs="Georgia" w:eastAsia="Georgia" w:hAnsi="Georgia"/>
                <w:b/>
                <w:bCs/>
                <w:sz w:val="20"/>
                <w:szCs w:val="20"/>
              </w:rPr>
              <w:t xml:space="preserve">6. Comprobación.</w:t>
            </w:r>
            <w:r>
              <w:rPr>
                <w:rFonts w:ascii="Georgia" w:cs="Georgia" w:eastAsia="Georgia" w:hAnsi="Georgia"/>
                <w:sz w:val="20"/>
                <w:szCs w:val="20"/>
              </w:rPr>
              <w:t xml:space="preserve"> El cumplimiento de las letras a) a h) del apartado 3 se comprobará mediante prueba de aceptación ejecutada por los servicios municipales sobre el entorno de pruebas, documentada en acta, en la que se verificará expresamente cada letra. La prueba de la letra f) incluirá la activación del control de suspensión por personal municipal y la medición del tiempo transcurrido hasta que la siguiente invocación es rechazada.</w:t>
            </w:r>
          </w:p>
          <w:p>
            <w:pPr>
              <w:spacing w:after="100" w:line="264"/>
            </w:pPr>
            <w:r>
              <w:rPr>
                <w:rFonts w:ascii="Georgia" w:cs="Georgia" w:eastAsia="Georgia" w:hAnsi="Georgia"/>
                <w:b/>
                <w:bCs/>
                <w:sz w:val="20"/>
                <w:szCs w:val="20"/>
              </w:rPr>
              <w:t xml:space="preserve">7. Disponibilidad previa.</w:t>
            </w:r>
            <w:r>
              <w:rPr>
                <w:rFonts w:ascii="Georgia" w:cs="Georgia" w:eastAsia="Georgia" w:hAnsi="Georgia"/>
                <w:sz w:val="20"/>
                <w:szCs w:val="20"/>
              </w:rPr>
              <w:t xml:space="preserve"> La disponibilidad de una interfaz de estas características con anterioridad a la licitación </w:t>
            </w:r>
            <w:r>
              <w:rPr>
                <w:rFonts w:ascii="Georgia" w:cs="Georgia" w:eastAsia="Georgia" w:hAnsi="Georgia"/>
                <w:b/>
                <w:bCs/>
                <w:sz w:val="20"/>
                <w:szCs w:val="20"/>
              </w:rPr>
              <w:t xml:space="preserve">no será objeto de valoración</w:t>
            </w:r>
            <w:r>
              <w:rPr>
                <w:rFonts w:ascii="Georgia" w:cs="Georgia" w:eastAsia="Georgia" w:hAnsi="Georgia"/>
                <w:sz w:val="20"/>
                <w:szCs w:val="20"/>
              </w:rPr>
              <w:t xml:space="preserve">. Lo que se valora, en su caso, es el alcance funcional comprometido para este contrato y el plazo ofertado, conforme al pliego de cláusulas administrativas particulares.</w:t>
            </w:r>
          </w:p>
        </w:tc>
      </w:tr>
    </w:tbl>
    <w:p>
      <w:pPr>
        <w:spacing w:after="220"/>
      </w:pPr>
    </w:p>
    <w:p>
      <w:pPr>
        <w:spacing w:after="140" w:line="276"/>
      </w:pPr>
      <w:r>
        <w:rPr>
          <w:rFonts w:ascii="Calibri" w:cs="Calibri" w:eastAsia="Calibri" w:hAnsi="Calibri"/>
          <w:sz w:val="21"/>
          <w:szCs w:val="21"/>
        </w:rPr>
        <w:t xml:space="preserve">Además, el PPT debe incorporar, </w:t>
      </w:r>
      <w:r>
        <w:rPr>
          <w:rFonts w:ascii="Calibri" w:cs="Calibri" w:eastAsia="Calibri" w:hAnsi="Calibri"/>
          <w:b/>
          <w:bCs/>
          <w:sz w:val="21"/>
          <w:szCs w:val="21"/>
        </w:rPr>
        <w:t xml:space="preserve">al comienzo del Apéndice técnico 2 · Exigencias tecnológicas determinadas</w:t>
      </w:r>
      <w:r>
        <w:rPr>
          <w:rFonts w:ascii="Calibri" w:cs="Calibri" w:eastAsia="Calibri" w:hAnsi="Calibri"/>
          <w:sz w:val="21"/>
          <w:szCs w:val="21"/>
        </w:rPr>
        <w:t xml:space="preserve"> y antes de la transcripción del Catálogo del ejercicio, el apartado de módulos y funciones al que remite el apartado 2, con esta estructura mínima y con sus </w:t>
      </w:r>
      <w:r>
        <w:rPr>
          <w:rFonts w:ascii="Calibri" w:cs="Calibri" w:eastAsia="Calibri" w:hAnsi="Calibri"/>
          <w:b/>
          <w:bCs/>
          <w:sz w:val="21"/>
          <w:szCs w:val="21"/>
        </w:rPr>
        <w:t xml:space="preserve">dos bloques separados</w:t>
      </w:r>
      <w:r>
        <w:rPr>
          <w:rFonts w:ascii="Calibri" w:cs="Calibri" w:eastAsia="Calibri" w:hAnsi="Calibri"/>
          <w:sz w:val="21"/>
          <w:szCs w:val="21"/>
        </w:rPr>
        <w:t xml:space="preserve">, porque del segundo depende que el criterio de adjudicación A tenga término de comparación cerrado:</w:t>
      </w:r>
    </w:p>
    <w:p>
      <w:pPr>
        <w:spacing w:after="140" w:line="276"/>
      </w:pPr>
      <w:r>
        <w:rPr>
          <w:rFonts w:ascii="Calibri" w:cs="Calibri" w:eastAsia="Calibri" w:hAnsi="Calibri"/>
          <w:b/>
          <w:bCs/>
          <w:sz w:val="21"/>
          <w:szCs w:val="21"/>
        </w:rPr>
        <w:t xml:space="preserve">Bloque A · Módulos y funciones mínimas exigidas</w:t>
      </w:r>
      <w:r>
        <w:rPr>
          <w:rFonts w:ascii="Calibri" w:cs="Calibri" w:eastAsia="Calibri" w:hAnsi="Calibri"/>
          <w:sz w:val="21"/>
          <w:szCs w:val="21"/>
        </w:rPr>
        <w:t xml:space="preserve"> (prescripción técnica; no puntúan)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Nº</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Módulo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Funciones de consulta exigidas</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Funciones de escritura exigidas</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Conjuntos de datos accesibles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200"/>
      </w:pPr>
    </w:p>
    <w:p>
      <w:pPr>
        <w:spacing w:after="140" w:line="276"/>
      </w:pPr>
      <w:r>
        <w:rPr>
          <w:rFonts w:ascii="Calibri" w:cs="Calibri" w:eastAsia="Calibri" w:hAnsi="Calibri"/>
          <w:b/>
          <w:bCs/>
          <w:sz w:val="21"/>
          <w:szCs w:val="21"/>
        </w:rPr>
        <w:t xml:space="preserve">Bloque B · Funciones adicionales ofertables</w:t>
      </w:r>
      <w:r>
        <w:rPr>
          <w:rFonts w:ascii="Calibri" w:cs="Calibri" w:eastAsia="Calibri" w:hAnsi="Calibri"/>
          <w:sz w:val="21"/>
          <w:szCs w:val="21"/>
        </w:rPr>
        <w:t xml:space="preserve"> (relación cerrada y numerada; es la única base sobre la que se mide el exceso del criterio A de ADM-7·v3)</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Nº</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Módulo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Función adicional ofertable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Conjunto de datos al que da acceso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200"/>
      </w:pPr>
    </w:p>
    <w:p>
      <w:pPr>
        <w:spacing w:after="140" w:line="276"/>
      </w:pPr>
      <w:r>
        <w:rPr>
          <w:rFonts w:ascii="Calibri" w:cs="Calibri" w:eastAsia="Calibri" w:hAnsi="Calibri"/>
          <w:b/>
          <w:bCs/>
          <w:sz w:val="21"/>
          <w:szCs w:val="21"/>
        </w:rPr>
        <w:t xml:space="preserve">Una sola sede.</w:t>
      </w:r>
      <w:r>
        <w:rPr>
          <w:rFonts w:ascii="Calibri" w:cs="Calibri" w:eastAsia="Calibri" w:hAnsi="Calibri"/>
          <w:sz w:val="21"/>
          <w:szCs w:val="21"/>
        </w:rPr>
        <w:t xml:space="preserve"> Los módulos y las funciones de la interfaz se relacionan </w:t>
      </w:r>
      <w:r>
        <w:rPr>
          <w:rFonts w:ascii="Calibri" w:cs="Calibri" w:eastAsia="Calibri" w:hAnsi="Calibri"/>
          <w:b/>
          <w:bCs/>
          <w:sz w:val="21"/>
          <w:szCs w:val="21"/>
        </w:rPr>
        <w:t xml:space="preserve">exclusivamente aquí</w:t>
      </w:r>
      <w:r>
        <w:rPr>
          <w:rFonts w:ascii="Calibri" w:cs="Calibri" w:eastAsia="Calibri" w:hAnsi="Calibri"/>
          <w:sz w:val="21"/>
          <w:szCs w:val="21"/>
        </w:rPr>
        <w:t xml:space="preserve">. No se abre un apéndice propio para esta cláusula: hacerlo produciría dos listas cerradas sobre la misma interfaz y el criterio A dejaría de decir respecto de cuál se mide el exceso, que es el vicio que la regla V.A.1.7 del Anexo V declara inadmisible.</w:t>
      </w: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PPT, apartado de requisitos de integración, a continuación de DT-5·v3. El apartado de módulos y funciones al que remite el apartado 2 se transcribe físicamente dentro del PPT, dentro del </w:t>
      </w:r>
      <w:r>
        <w:rPr>
          <w:rFonts w:ascii="Calibri" w:cs="Calibri" w:eastAsia="Calibri" w:hAnsi="Calibri"/>
          <w:b/>
          <w:bCs/>
          <w:sz w:val="21"/>
          <w:szCs w:val="21"/>
        </w:rPr>
        <w:t xml:space="preserve">Apéndice técnico 2 · Exigencias tecnológicas determinadas</w:t>
      </w:r>
      <w:r>
        <w:rPr>
          <w:rFonts w:ascii="Calibri" w:cs="Calibri" w:eastAsia="Calibri" w:hAnsi="Calibri"/>
          <w:sz w:val="21"/>
          <w:szCs w:val="21"/>
        </w:rPr>
        <w:t xml:space="preserve">, que es el mismo apéndice en que se transcribe el Catálogo del ejercicio (DT-9·v3 y Anexo V). Cuando DT-9·v3 se marque NO APLICA y esta cláusula sí se incorpore, el Apéndice técnico 2 conserva su rótulo y contiene únicamente el apartado de módulos y funciones. La regla de composición está en el Anexo XXV.</w:t>
      </w:r>
    </w:p>
    <w:p>
      <w:pPr>
        <w:spacing w:after="140" w:line="276"/>
      </w:pPr>
      <w:r>
        <w:rPr>
          <w:rFonts w:ascii="Calibri" w:cs="Calibri" w:eastAsia="Calibri" w:hAnsi="Calibri"/>
          <w:sz w:val="21"/>
          <w:szCs w:val="21"/>
        </w:rPr>
        <w:t xml:space="preserve">El apartado 5, en cuanto al plazo ofertado, y el apartado 7 tienen reflejo en el PCAP: el plazo ofertado es criterio de adjudicación automático en ADM-7·v3, y la exclusión de la disponibilidad previa es una regla del baremo.</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sz w:val="21"/>
          <w:szCs w:val="21"/>
        </w:rPr>
        <w:t xml:space="preserve">Ésta es la cláusula que más cuidado exige, porque </w:t>
      </w:r>
      <w:r>
        <w:rPr>
          <w:rFonts w:ascii="Calibri" w:cs="Calibri" w:eastAsia="Calibri" w:hAnsi="Calibri"/>
          <w:b/>
          <w:bCs/>
          <w:sz w:val="21"/>
          <w:szCs w:val="21"/>
        </w:rPr>
        <w:t xml:space="preserve">ninguna norma obliga a un ayuntamiento a exponer sus aplicaciones a agentes de inteligencia artificial</w:t>
      </w:r>
      <w:r>
        <w:rPr>
          <w:rFonts w:ascii="Calibri" w:cs="Calibri" w:eastAsia="Calibri" w:hAnsi="Calibri"/>
          <w:sz w:val="21"/>
          <w:szCs w:val="21"/>
        </w:rPr>
        <w:t xml:space="preserve">. Decirlo abiertamente es lo que permite construir la necesidad donde de verdad está:</w:t>
      </w:r>
    </w:p>
    <w:p>
      <w:pPr>
        <w:pStyle w:val="ListParagraph"/>
        <w:numPr>
          <w:ilvl w:val="0"/>
          <w:numId w:val="1"/>
        </w:numPr>
        <w:spacing w:after="70" w:line="268"/>
      </w:pPr>
      <w:r>
        <w:rPr>
          <w:rFonts w:ascii="Calibri" w:cs="Calibri" w:eastAsia="Calibri" w:hAnsi="Calibri"/>
          <w:b/>
          <w:bCs/>
          <w:sz w:val="21"/>
          <w:szCs w:val="21"/>
        </w:rPr>
        <w:t xml:space="preserve">Necesidad de control interno, ya normativa y presente.</w:t>
      </w:r>
      <w:r>
        <w:rPr>
          <w:rFonts w:ascii="Calibri" w:cs="Calibri" w:eastAsia="Calibri" w:hAnsi="Calibri"/>
          <w:sz w:val="21"/>
          <w:szCs w:val="21"/>
        </w:rPr>
        <w:t xml:space="preserve"> El artículo 6.7 del Real Decreto 424/2017 permite a los funcionarios actuantes en el control financiero «revisar los sistemas informáticos de gestión que sean precisos para llevar a cabo sus funciones de control», y su artículo 30.3 les da «el acceso para consultas a los sistemas y aplicaciones que contengan información económico-financiera». La interfaz de esta cláusula es el medio técnico por el que ese acceso deja de depender de la disponibilidad del personal del adjudicatario. Ése es el uso presente y verificable, no un uso futuro.</w:t>
      </w:r>
    </w:p>
    <w:p>
      <w:pPr>
        <w:pStyle w:val="ListParagraph"/>
        <w:numPr>
          <w:ilvl w:val="0"/>
          <w:numId w:val="1"/>
        </w:numPr>
        <w:spacing w:after="70" w:line="268"/>
      </w:pPr>
      <w:r>
        <w:rPr>
          <w:rFonts w:ascii="Calibri" w:cs="Calibri" w:eastAsia="Calibri" w:hAnsi="Calibri"/>
          <w:b/>
          <w:bCs/>
          <w:sz w:val="21"/>
          <w:szCs w:val="21"/>
        </w:rPr>
        <w:t xml:space="preserve">Necesidad institucional.</w:t>
      </w:r>
      <w:r>
        <w:rPr>
          <w:rFonts w:ascii="Calibri" w:cs="Calibri" w:eastAsia="Calibri" w:hAnsi="Calibri"/>
          <w:sz w:val="21"/>
          <w:szCs w:val="21"/>
        </w:rPr>
        <w:t xml:space="preserve"> Todo lo que exceda de lo anterior —la operación por agentes propiamente dicha— no tiene norma y no la va a pedir ningún gestor. Sólo puede fundarse en un </w:t>
      </w:r>
      <w:r>
        <w:rPr>
          <w:rFonts w:ascii="Calibri" w:cs="Calibri" w:eastAsia="Calibri" w:hAnsi="Calibri"/>
          <w:b/>
          <w:bCs/>
          <w:sz w:val="21"/>
          <w:szCs w:val="21"/>
        </w:rPr>
        <w:t xml:space="preserve">acuerdo del órgano de gobierno municipal</w:t>
      </w:r>
      <w:r>
        <w:rPr>
          <w:rFonts w:ascii="Calibri" w:cs="Calibri" w:eastAsia="Calibri" w:hAnsi="Calibri"/>
          <w:sz w:val="21"/>
          <w:szCs w:val="21"/>
        </w:rPr>
        <w:t xml:space="preserve"> que apruebe el plan y el catálogo anual de exigencias tecnológicas, con objetivos y calendario. Sin ese eslabón, la ficha de necesidad se rellenará con el mismo párrafo en todos los expedientes, que es justamente la justificación estereotipada que un tribunal rechaza. El modelo de acuerdo está en el Anexo VIII.</w:t>
      </w:r>
    </w:p>
    <w:p>
      <w:pPr>
        <w:pStyle w:val="ListParagraph"/>
        <w:numPr>
          <w:ilvl w:val="0"/>
          <w:numId w:val="1"/>
        </w:numPr>
        <w:spacing w:after="70" w:line="268"/>
      </w:pPr>
      <w:r>
        <w:rPr>
          <w:rFonts w:ascii="Calibri" w:cs="Calibri" w:eastAsia="Calibri" w:hAnsi="Calibri"/>
          <w:b/>
          <w:bCs/>
          <w:sz w:val="21"/>
          <w:szCs w:val="21"/>
        </w:rPr>
        <w:t xml:space="preserve">Anclaje de la formulación.</w:t>
      </w:r>
      <w:r>
        <w:rPr>
          <w:rFonts w:ascii="Calibri" w:cs="Calibri" w:eastAsia="Calibri" w:hAnsi="Calibri"/>
          <w:sz w:val="21"/>
          <w:szCs w:val="21"/>
        </w:rPr>
        <w:t xml:space="preserve"> El artículo 126.2 LCSP permite que las prescripciones técnicas se refieran a «un proceso específico de otra fase de su ciclo de vida […] incluso cuando dichos factores no formen parte de la sustancia material», siempre que estén vinculados al objeto y guarden proporción con su valor y objetivos. Es el precepto que sostiene una exigencia de interoperabilidad futura; no sostiene una exigencia universal.</w:t>
      </w:r>
    </w:p>
    <w:p>
      <w:pPr>
        <w:spacing w:after="140" w:line="276"/>
      </w:pPr>
      <w:r>
        <w:rPr>
          <w:rFonts w:ascii="Calibri" w:cs="Calibri" w:eastAsia="Calibri" w:hAnsi="Calibri"/>
          <w:b/>
          <w:bCs/>
          <w:sz w:val="21"/>
          <w:szCs w:val="21"/>
        </w:rPr>
        <w:t xml:space="preserve">Por qué el ámbito deja de ser universal.</w:t>
      </w:r>
      <w:r>
        <w:rPr>
          <w:rFonts w:ascii="Calibri" w:cs="Calibri" w:eastAsia="Calibri" w:hAnsi="Calibri"/>
          <w:sz w:val="21"/>
          <w:szCs w:val="21"/>
        </w:rPr>
        <w:t xml:space="preserve"> La redacción anterior extendía la obligación a «la totalidad de las aplicaciones municipales» y a «toda nueva plataforma, aplicación o ERP que se contrate». En un contrato con componente tecnológico accesorio, eso rompe la vinculación al objeto y es exactamente el supuesto de «artificioso al contrato». El ámbito modulado del apartado 2 lo corrige, y el Apéndice obliga a que alguien escriba los módulos concretos: si nadie puede escribirlos, la cláusula no se incorpora.</w:t>
      </w:r>
    </w:p>
    <w:p>
      <w:pPr>
        <w:spacing w:after="140" w:line="276"/>
      </w:pPr>
      <w:r>
        <w:rPr>
          <w:rFonts w:ascii="Calibri" w:cs="Calibri" w:eastAsia="Calibri" w:hAnsi="Calibri"/>
          <w:b/>
          <w:bCs/>
          <w:sz w:val="21"/>
          <w:szCs w:val="21"/>
        </w:rPr>
        <w:t xml:space="preserve">Por qué el pliego no nombra ningún protocolo, y por qué no puede hablarse de presunción de conformidad.</w:t>
      </w:r>
      <w:r>
        <w:rPr>
          <w:rFonts w:ascii="Calibri" w:cs="Calibri" w:eastAsia="Calibri" w:hAnsi="Calibri"/>
          <w:sz w:val="21"/>
          <w:szCs w:val="21"/>
        </w:rPr>
        <w:t xml:space="preserve"> El artículo 126.5.c) LCSP permite formular las prescripciones en términos funcionales «haciendo referencia, </w:t>
      </w:r>
      <w:r>
        <w:rPr>
          <w:rFonts w:ascii="Calibri" w:cs="Calibri" w:eastAsia="Calibri" w:hAnsi="Calibri"/>
          <w:b/>
          <w:bCs/>
          <w:sz w:val="21"/>
          <w:szCs w:val="21"/>
        </w:rPr>
        <w:t xml:space="preserve">como medio de presunción de conformidad</w:t>
      </w:r>
      <w:r>
        <w:rPr>
          <w:rFonts w:ascii="Calibri" w:cs="Calibri" w:eastAsia="Calibri" w:hAnsi="Calibri"/>
          <w:sz w:val="21"/>
          <w:szCs w:val="21"/>
        </w:rPr>
        <w:t xml:space="preserve"> con estos requisitos […] a las especificaciones contempladas en la letra b)». La letra b) es una lista cerrada: normas nacionales que incorporen normas europeas, evaluaciones técnicas europeas, especificaciones técnicas comunes, normas internacionales, otros sistemas de referencias técnicas elaborados por los organismos europeos de normalización, normas nacionales y documentos de idoneidad técnica nacionales. El artículo 125.2 reserva el término «norma» a lo aprobado por un organismo de normalización reconocido, y el 125.4 define «especificación técnica común» como la elaborada conforme a los artículos 13 y 14 del Reglamento (UE) n.º 1025/2012.</w:t>
      </w:r>
    </w:p>
    <w:p>
      <w:pPr>
        <w:spacing w:after="140" w:line="276"/>
      </w:pPr>
      <w:r>
        <w:rPr>
          <w:rFonts w:ascii="Calibri" w:cs="Calibri" w:eastAsia="Calibri" w:hAnsi="Calibri"/>
          <w:sz w:val="21"/>
          <w:szCs w:val="21"/>
        </w:rPr>
        <w:t xml:space="preserve">El Model Context Protocol es una especificación privada, bajo gobernanza de la Agentic AI Foundation de la Linux Foundation desde el 9 de diciembre de 2025. </w:t>
      </w:r>
      <w:r>
        <w:rPr>
          <w:rFonts w:ascii="Calibri" w:cs="Calibri" w:eastAsia="Calibri" w:hAnsi="Calibri"/>
          <w:b/>
          <w:bCs/>
          <w:sz w:val="21"/>
          <w:szCs w:val="21"/>
        </w:rPr>
        <w:t xml:space="preserve">No pertenece a ninguna de esas categorías.</w:t>
      </w:r>
      <w:r>
        <w:rPr>
          <w:rFonts w:ascii="Calibri" w:cs="Calibri" w:eastAsia="Calibri" w:hAnsi="Calibri"/>
          <w:sz w:val="21"/>
          <w:szCs w:val="21"/>
        </w:rPr>
        <w:t xml:space="preserve"> Atribuirle el efecto de presunción de conformidad del artículo 126.5.c) sería un error de construcción, no de motivación, y es exactamente el reproche que un letrado de licitador formularía en la primera alegación. Por eso:</w:t>
      </w:r>
    </w:p>
    <w:p>
      <w:pPr>
        <w:pStyle w:val="ListParagraph"/>
        <w:numPr>
          <w:ilvl w:val="0"/>
          <w:numId w:val="1"/>
        </w:numPr>
        <w:spacing w:after="70" w:line="268"/>
      </w:pPr>
      <w:r>
        <w:rPr>
          <w:rFonts w:ascii="Calibri" w:cs="Calibri" w:eastAsia="Calibri" w:hAnsi="Calibri"/>
          <w:sz w:val="21"/>
          <w:szCs w:val="21"/>
        </w:rPr>
        <w:t xml:space="preserve">La obligación se define </w:t>
      </w:r>
      <w:r>
        <w:rPr>
          <w:rFonts w:ascii="Calibri" w:cs="Calibri" w:eastAsia="Calibri" w:hAnsi="Calibri"/>
          <w:b/>
          <w:bCs/>
          <w:sz w:val="21"/>
          <w:szCs w:val="21"/>
        </w:rPr>
        <w:t xml:space="preserve">por lo que la interfaz debe hacer</w:t>
      </w:r>
      <w:r>
        <w:rPr>
          <w:rFonts w:ascii="Calibri" w:cs="Calibri" w:eastAsia="Calibri" w:hAnsi="Calibri"/>
          <w:sz w:val="21"/>
          <w:szCs w:val="21"/>
        </w:rPr>
        <w:t xml:space="preserve"> (art. 126.5.a): las letras a) a h) del apartado 3.</w:t>
      </w:r>
    </w:p>
    <w:p>
      <w:pPr>
        <w:pStyle w:val="ListParagraph"/>
        <w:numPr>
          <w:ilvl w:val="0"/>
          <w:numId w:val="1"/>
        </w:numPr>
        <w:spacing w:after="70" w:line="268"/>
      </w:pPr>
      <w:r>
        <w:rPr>
          <w:rFonts w:ascii="Calibri" w:cs="Calibri" w:eastAsia="Calibri" w:hAnsi="Calibri"/>
          <w:sz w:val="21"/>
          <w:szCs w:val="21"/>
        </w:rPr>
        <w:t xml:space="preserve">El protocolo es libre, y el pliego lo dice.</w:t>
      </w:r>
    </w:p>
    <w:p>
      <w:pPr>
        <w:pStyle w:val="ListParagraph"/>
        <w:numPr>
          <w:ilvl w:val="0"/>
          <w:numId w:val="1"/>
        </w:numPr>
        <w:spacing w:after="70" w:line="268"/>
      </w:pPr>
      <w:r>
        <w:rPr>
          <w:rFonts w:ascii="Calibri" w:cs="Calibri" w:eastAsia="Calibri" w:hAnsi="Calibri"/>
          <w:sz w:val="21"/>
          <w:szCs w:val="21"/>
        </w:rPr>
        <w:t xml:space="preserve">El Model Context Protocol se cita </w:t>
      </w:r>
      <w:r>
        <w:rPr>
          <w:rFonts w:ascii="Calibri" w:cs="Calibri" w:eastAsia="Calibri" w:hAnsi="Calibri"/>
          <w:b/>
          <w:bCs/>
          <w:sz w:val="21"/>
          <w:szCs w:val="21"/>
        </w:rPr>
        <w:t xml:space="preserve">fuera del articulado</w:t>
      </w:r>
      <w:r>
        <w:rPr>
          <w:rFonts w:ascii="Calibri" w:cs="Calibri" w:eastAsia="Calibri" w:hAnsi="Calibri"/>
          <w:sz w:val="21"/>
          <w:szCs w:val="21"/>
        </w:rPr>
        <w:t xml:space="preserve">, en el bloque de referencias técnicas no normativas de la Parte I, §4.2, como referencia ilustrativa del estado del arte. Su donación a la Linux Foundation, con gobernanza participada, es además el dato que acredita que no «caracteriza los productos de un empresario determinado» a efectos del artículo 126.6 LCSP, y conviene incorporarlo a la memoria.</w:t>
      </w:r>
    </w:p>
    <w:p>
      <w:pPr>
        <w:pStyle w:val="ListParagraph"/>
        <w:numPr>
          <w:ilvl w:val="0"/>
          <w:numId w:val="1"/>
        </w:numPr>
        <w:spacing w:after="70" w:line="268"/>
      </w:pPr>
      <w:r>
        <w:rPr>
          <w:rFonts w:ascii="Calibri" w:cs="Calibri" w:eastAsia="Calibri" w:hAnsi="Calibri"/>
          <w:b/>
          <w:bCs/>
          <w:sz w:val="21"/>
          <w:szCs w:val="21"/>
        </w:rPr>
        <w:t xml:space="preserve">Si, pese a todo, el órgano de contratación decide nombrarlo en el PPT</w:t>
      </w:r>
      <w:r>
        <w:rPr>
          <w:rFonts w:ascii="Calibri" w:cs="Calibri" w:eastAsia="Calibri" w:hAnsi="Calibri"/>
          <w:sz w:val="21"/>
          <w:szCs w:val="21"/>
        </w:rPr>
        <w:t xml:space="preserve"> por claridad para los licitadores, la única fórmula admisible es, dentro del apartado 4: «</w:t>
      </w:r>
      <w:r>
        <w:rPr>
          <w:rFonts w:ascii="Calibri" w:cs="Calibri" w:eastAsia="Calibri" w:hAnsi="Calibri"/>
          <w:i/>
          <w:iCs/>
          <w:sz w:val="21"/>
          <w:szCs w:val="21"/>
        </w:rPr>
        <w:t xml:space="preserve">A título meramente ilustrativo y no excluyente, una interfaz basada en el Model Context Protocol o en cualquier otro protocolo abierto documentado puede satisfacer las exigencias de la letra a) a h) del apartado 3; su empleo no exime de acreditar dicho cumplimiento</w:t>
      </w:r>
      <w:r>
        <w:rPr>
          <w:rFonts w:ascii="Calibri" w:cs="Calibri" w:eastAsia="Calibri" w:hAnsi="Calibri"/>
          <w:sz w:val="21"/>
          <w:szCs w:val="21"/>
        </w:rPr>
        <w:t xml:space="preserve">». Nunca como requisito, nunca como presunción de conformidad, y nunca sin la mención de no exclusión en la misma frase (STJUE C-424/23, ap. 61). La opción recomendada sigue siendo no nombrarlo.</w:t>
      </w:r>
    </w:p>
    <w:p>
      <w:pPr>
        <w:spacing w:after="140" w:line="276"/>
      </w:pPr>
      <w:r>
        <w:rPr>
          <w:rFonts w:ascii="Calibri" w:cs="Calibri" w:eastAsia="Calibri" w:hAnsi="Calibri"/>
          <w:b/>
          <w:bCs/>
          <w:sz w:val="21"/>
          <w:szCs w:val="21"/>
        </w:rPr>
        <w:t xml:space="preserve">Por qué desaparece la ventaja por disponibilidad previa (apartado 7).</w:t>
      </w:r>
      <w:r>
        <w:rPr>
          <w:rFonts w:ascii="Calibri" w:cs="Calibri" w:eastAsia="Calibri" w:hAnsi="Calibri"/>
          <w:sz w:val="21"/>
          <w:szCs w:val="21"/>
        </w:rPr>
        <w:t xml:space="preserve"> El artículo 40.b) LCSP declara anulables «todas aquellas disposiciones, resoluciones, cláusulas o actos […] que otorguen, de forma directa o indirecta, ventajas a las empresas que hayan contratado previamente con cualquier Administración». Puntuar la tenencia de una interfaz a fecha de licitación valora el estado previo del producto, no el mérito de la oferta. La vía correcta es puntuar el alcance comprometido y el plazo ofertado, exigir con la oferta la documentación técnica que lo sostenga y, cuando se incorpore ADM-9·v3, comprobarla respecto de todas las ofertas admitidas después de abrir el sobre de fórmulas y antes de clasificarlas.</w:t>
      </w:r>
    </w:p>
    <w:p>
      <w:pPr>
        <w:spacing w:after="140" w:line="276"/>
      </w:pPr>
      <w:r>
        <w:rPr>
          <w:rFonts w:ascii="Calibri" w:cs="Calibri" w:eastAsia="Calibri" w:hAnsi="Calibri"/>
          <w:b/>
          <w:bCs/>
          <w:sz w:val="21"/>
          <w:szCs w:val="21"/>
        </w:rPr>
        <w:t xml:space="preserve">Hasta dónde llega esa salvaguarda, dicho antes de que lo diga el recurso.</w:t>
      </w:r>
      <w:r>
        <w:rPr>
          <w:rFonts w:ascii="Calibri" w:cs="Calibri" w:eastAsia="Calibri" w:hAnsi="Calibri"/>
          <w:sz w:val="21"/>
          <w:szCs w:val="21"/>
        </w:rPr>
        <w:t xml:space="preserve"> El plazo ofertado sí puede reflejar indirectamente la disponibilidad previa: quien ya tiene la capacidad puede ofertar el mínimo. Por eso el criterio B del baremo tiene </w:t>
      </w:r>
      <w:r>
        <w:rPr>
          <w:rFonts w:ascii="Calibri" w:cs="Calibri" w:eastAsia="Calibri" w:hAnsi="Calibri"/>
          <w:b/>
          <w:bCs/>
          <w:sz w:val="21"/>
          <w:szCs w:val="21"/>
        </w:rPr>
        <w:t xml:space="preserve">suelo</w:t>
      </w:r>
      <w:r>
        <w:rPr>
          <w:rFonts w:ascii="Calibri" w:cs="Calibri" w:eastAsia="Calibri" w:hAnsi="Calibri"/>
          <w:sz w:val="21"/>
          <w:szCs w:val="21"/>
        </w:rPr>
        <w:t xml:space="preserve"> —no se puntúa por debajo de [X; se recomienda 6] meses, de modo que la ventaja del que ya la tiene queda acotada— y </w:t>
      </w:r>
      <w:r>
        <w:rPr>
          <w:rFonts w:ascii="Calibri" w:cs="Calibri" w:eastAsia="Calibri" w:hAnsi="Calibri"/>
          <w:b/>
          <w:bCs/>
          <w:sz w:val="21"/>
          <w:szCs w:val="21"/>
        </w:rPr>
        <w:t xml:space="preserve">peso bajo</w:t>
      </w:r>
      <w:r>
        <w:rPr>
          <w:rFonts w:ascii="Calibri" w:cs="Calibri" w:eastAsia="Calibri" w:hAnsi="Calibri"/>
          <w:sz w:val="21"/>
          <w:szCs w:val="21"/>
        </w:rPr>
        <w:t xml:space="preserve">. Lo que se valora es una cualidad de la prestación —cuándo estará disponible para el Ayuntamiento—, no una característica de la empresa. Esta motivación debe reproducirse en la ficha del criterio correspondiente del Anexo IV. Negar por escrito lo que se ve en la tabla siguiente es lo que convierte un criterio defendible en una contradicción.</w:t>
      </w:r>
    </w:p>
    <w:p>
      <w:pPr>
        <w:spacing w:after="140" w:line="276"/>
      </w:pPr>
      <w:r>
        <w:rPr>
          <w:rFonts w:ascii="Calibri" w:cs="Calibri" w:eastAsia="Calibri" w:hAnsi="Calibri"/>
          <w:b/>
          <w:bCs/>
          <w:sz w:val="21"/>
          <w:szCs w:val="21"/>
        </w:rPr>
        <w:t xml:space="preserve">Sobre la proporcionalidad de la esencialidad.</w:t>
      </w:r>
      <w:r>
        <w:rPr>
          <w:rFonts w:ascii="Calibri" w:cs="Calibri" w:eastAsia="Calibri" w:hAnsi="Calibri"/>
          <w:sz w:val="21"/>
          <w:szCs w:val="21"/>
        </w:rPr>
        <w:t xml:space="preserve"> Declarar esencial la entrega de esta interfaz en un contrato cuyo objeto principal es otro —una aplicación de gestión de subvenciones, por ejemplo— y anudarle la resolución del contrato es desproporcionado, y un tribunal lo verá. Véase el epígrafe 6.</w:t>
      </w:r>
    </w:p>
    <w:p>
      <w:pPr>
        <w:pStyle w:val="Heading3"/>
        <w:keepNext/>
        <w:spacing w:after="140" w:before="320"/>
      </w:pPr>
      <w:r>
        <w:rPr>
          <w:rFonts w:ascii="Georgia" w:cs="Georgia" w:eastAsia="Georgia" w:hAnsi="Georgia"/>
          <w:b/>
          <w:bCs/>
          <w:color w:val="2F5496"/>
          <w:sz w:val="22"/>
          <w:szCs w:val="22"/>
        </w:rPr>
        <w:t xml:space="preserve">4. Cómo se acredita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Exigencia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Medio de acreditación tasado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 3.a)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Inventario de funciones expuestas, entregado y contrastado con el Apéndice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 3.b)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Prueba de autenticación con credenciales municipales y matriz de permisos documentada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 3.c)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Exportación real del registro de auditoría, ejecutada por personal municipal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 3.d)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Especificación publicada y versionada, con historial de versiones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 3.e)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Credenciales del entorno de pruebas y acta de disponibilidad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 3.f)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Prueba de suspensión ejecutada por personal municipal, con medición del tiempo de efecto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 3.g)</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Remisión a la acreditación de DT-6·v3 y evidencia del tratamiento de datos en la interfaz</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 3.h)</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Entrega de configuración y documentación conforme a DT-8·v3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 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Descripción técnica del protocolo empleado, en la oferta</w:t>
            </w:r>
          </w:p>
        </w:tc>
      </w:tr>
    </w:tbl>
    <w:p>
      <w:pPr>
        <w:spacing w:after="200"/>
      </w:pPr>
    </w:p>
    <w:p>
      <w:pPr>
        <w:pStyle w:val="Heading3"/>
        <w:keepNext/>
        <w:spacing w:after="140" w:before="320"/>
      </w:pPr>
      <w:r>
        <w:rPr>
          <w:rFonts w:ascii="Georgia" w:cs="Georgia" w:eastAsia="Georgia" w:hAnsi="Georgia"/>
          <w:b/>
          <w:bCs/>
          <w:color w:val="2F5496"/>
          <w:sz w:val="22"/>
          <w:szCs w:val="22"/>
        </w:rPr>
        <w:t xml:space="preserve">5. Cómo se verifica</w:t>
      </w:r>
    </w:p>
    <w:p>
      <w:pPr>
        <w:spacing w:after="140" w:line="276"/>
      </w:pPr>
      <w:r>
        <w:rPr>
          <w:rFonts w:ascii="Calibri" w:cs="Calibri" w:eastAsia="Calibri" w:hAnsi="Calibri"/>
          <w:b/>
          <w:bCs/>
          <w:sz w:val="21"/>
          <w:szCs w:val="21"/>
        </w:rPr>
        <w:t xml:space="preserve">Quién:</w:t>
      </w:r>
      <w:r>
        <w:rPr>
          <w:rFonts w:ascii="Calibri" w:cs="Calibri" w:eastAsia="Calibri" w:hAnsi="Calibri"/>
          <w:sz w:val="21"/>
          <w:szCs w:val="21"/>
        </w:rPr>
        <w:t xml:space="preserve"> servicio municipal de informática, con el responsable del contrato; para la letra c), con presencia del órgano interventor cuando el módulo soporte información económico-financiera.</w:t>
      </w:r>
    </w:p>
    <w:p>
      <w:pPr>
        <w:spacing w:after="140" w:line="276"/>
      </w:pPr>
      <w:r>
        <w:rPr>
          <w:rFonts w:ascii="Calibri" w:cs="Calibri" w:eastAsia="Calibri" w:hAnsi="Calibri"/>
          <w:b/>
          <w:bCs/>
          <w:sz w:val="21"/>
          <w:szCs w:val="21"/>
        </w:rPr>
        <w:t xml:space="preserve">Cuándo:</w:t>
      </w:r>
      <w:r>
        <w:rPr>
          <w:rFonts w:ascii="Calibri" w:cs="Calibri" w:eastAsia="Calibri" w:hAnsi="Calibri"/>
          <w:sz w:val="21"/>
          <w:szCs w:val="21"/>
        </w:rPr>
        <w:t xml:space="preserve"> prueba de aceptación en la entrega; verificación de la letra f) al menos una vez al año; comprobación de la vigencia de la documentación en la revisión anual.</w:t>
      </w:r>
    </w:p>
    <w:p>
      <w:pPr>
        <w:spacing w:after="140" w:line="276"/>
      </w:pPr>
      <w:r>
        <w:rPr>
          <w:rFonts w:ascii="Calibri" w:cs="Calibri" w:eastAsia="Calibri" w:hAnsi="Calibri"/>
          <w:b/>
          <w:bCs/>
          <w:sz w:val="21"/>
          <w:szCs w:val="21"/>
        </w:rPr>
        <w:t xml:space="preserve">Con qué documento:</w:t>
      </w:r>
      <w:r>
        <w:rPr>
          <w:rFonts w:ascii="Calibri" w:cs="Calibri" w:eastAsia="Calibri" w:hAnsi="Calibri"/>
          <w:sz w:val="21"/>
          <w:szCs w:val="21"/>
        </w:rPr>
        <w:t xml:space="preserve"> </w:t>
      </w:r>
      <w:r>
        <w:rPr>
          <w:rFonts w:ascii="Calibri" w:cs="Calibri" w:eastAsia="Calibri" w:hAnsi="Calibri"/>
          <w:b/>
          <w:bCs/>
          <w:sz w:val="21"/>
          <w:szCs w:val="21"/>
        </w:rPr>
        <w:t xml:space="preserve">acta de prueba de aceptación de la interfaz</w:t>
      </w:r>
      <w:r>
        <w:rPr>
          <w:rFonts w:ascii="Calibri" w:cs="Calibri" w:eastAsia="Calibri" w:hAnsi="Calibri"/>
          <w:sz w:val="21"/>
          <w:szCs w:val="21"/>
        </w:rPr>
        <w:t xml:space="preserve">, con una fila por cada letra del apartado 3 y el resultado de cada una. Sin esa acta, la entrega no se tiene por realizada.</w:t>
      </w:r>
    </w:p>
    <w:p>
      <w:pPr>
        <w:spacing w:after="140" w:line="276"/>
      </w:pPr>
      <w:r>
        <w:rPr>
          <w:rFonts w:ascii="Calibri" w:cs="Calibri" w:eastAsia="Calibri" w:hAnsi="Calibri"/>
          <w:b/>
          <w:bCs/>
          <w:sz w:val="21"/>
          <w:szCs w:val="21"/>
        </w:rPr>
        <w:t xml:space="preserve">Carga estimada al año</w:t>
      </w:r>
      <w:r>
        <w:rPr>
          <w:rFonts w:ascii="Calibri" w:cs="Calibri" w:eastAsia="Calibri" w:hAnsi="Calibri"/>
          <w:sz w:val="21"/>
          <w:szCs w:val="21"/>
        </w:rPr>
        <w:t xml:space="preserve"> </w:t>
      </w:r>
      <w:r>
        <w:rPr>
          <w:rFonts w:ascii="Calibri" w:cs="Calibri" w:eastAsia="Calibri" w:hAnsi="Calibri"/>
          <w:i/>
          <w:iCs/>
          <w:sz w:val="21"/>
          <w:szCs w:val="21"/>
        </w:rPr>
        <w:t xml:space="preserve">(orientativa)</w:t>
      </w:r>
      <w:r>
        <w:rPr>
          <w:rFonts w:ascii="Calibri" w:cs="Calibri" w:eastAsia="Calibri" w:hAnsi="Calibri"/>
          <w:sz w:val="21"/>
          <w:szCs w:val="21"/>
        </w:rPr>
        <w:t xml:space="preserve">: 12 a 16 horas la prueba de aceptación inicial; 4 horas la verificación anual. </w:t>
      </w:r>
      <w:r>
        <w:rPr>
          <w:rFonts w:ascii="Calibri" w:cs="Calibri" w:eastAsia="Calibri" w:hAnsi="Calibri"/>
          <w:b/>
          <w:bCs/>
          <w:sz w:val="21"/>
          <w:szCs w:val="21"/>
        </w:rPr>
        <w:t xml:space="preserve">12 a 16 horas el primer año, 4 en los siguientes.</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spacing w:after="140" w:line="276"/>
      </w:pPr>
      <w:r>
        <w:rPr>
          <w:rFonts w:ascii="Calibri" w:cs="Calibri" w:eastAsia="Calibri" w:hAnsi="Calibri"/>
          <w:b/>
          <w:bCs/>
          <w:sz w:val="21"/>
          <w:szCs w:val="21"/>
        </w:rPr>
        <w:t xml:space="preserve">Obligación esencial: SÍ, condicionadamente.</w:t>
      </w:r>
      <w:r>
        <w:rPr>
          <w:rFonts w:ascii="Calibri" w:cs="Calibri" w:eastAsia="Calibri" w:hAnsi="Calibri"/>
          <w:sz w:val="21"/>
          <w:szCs w:val="21"/>
        </w:rPr>
        <w:t xml:space="preserve"> Sólo cuando concurran las dos circunstancias siguientes, que deben constar en la ficha del Anexo II y en la memoria:</w:t>
      </w:r>
    </w:p>
    <w:p>
      <w:pPr>
        <w:pStyle w:val="ListParagraph"/>
        <w:numPr>
          <w:ilvl w:val="0"/>
          <w:numId w:val="2"/>
        </w:numPr>
        <w:spacing w:after="70" w:line="268"/>
      </w:pPr>
      <w:r>
        <w:rPr>
          <w:rFonts w:ascii="Calibri" w:cs="Calibri" w:eastAsia="Calibri" w:hAnsi="Calibri"/>
          <w:sz w:val="21"/>
          <w:szCs w:val="21"/>
        </w:rPr>
        <w:t xml:space="preserve">Que los módulos del Apéndice del apartado 2 constituyan una parte nuclear del objeto del contrato, y no una prestación accesoria.</w:t>
      </w:r>
    </w:p>
    <w:p>
      <w:pPr>
        <w:pStyle w:val="ListParagraph"/>
        <w:numPr>
          <w:ilvl w:val="0"/>
          <w:numId w:val="2"/>
        </w:numPr>
        <w:spacing w:after="70" w:line="268"/>
      </w:pPr>
      <w:r>
        <w:rPr>
          <w:rFonts w:ascii="Calibri" w:cs="Calibri" w:eastAsia="Calibri" w:hAnsi="Calibri"/>
          <w:sz w:val="21"/>
          <w:szCs w:val="21"/>
        </w:rPr>
        <w:t xml:space="preserve">Que la memoria justifique expresamente la proporcionalidad de anudar la resolución del contrato a esta obligación, ponderando el perjuicio de la resolución frente al del mantenimiento del contrato.</w:t>
      </w:r>
    </w:p>
    <w:p>
      <w:pPr>
        <w:spacing w:after="140" w:line="276"/>
      </w:pPr>
      <w:r>
        <w:rPr>
          <w:rFonts w:ascii="Calibri" w:cs="Calibri" w:eastAsia="Calibri" w:hAnsi="Calibri"/>
          <w:sz w:val="21"/>
          <w:szCs w:val="21"/>
        </w:rPr>
        <w:t xml:space="preserve">En ese caso, y sólo en ese caso, el incumplimiento del apartado 5 transcurrido el plazo más un mes de subsanación figura en la lista cerrada de ADM-6·v3, bloque B. </w:t>
      </w:r>
      <w:r>
        <w:rPr>
          <w:rFonts w:ascii="Calibri" w:cs="Calibri" w:eastAsia="Calibri" w:hAnsi="Calibri"/>
          <w:b/>
          <w:bCs/>
          <w:sz w:val="21"/>
          <w:szCs w:val="21"/>
        </w:rPr>
        <w:t xml:space="preserve">En cualquier otro caso, la obligación NO es esencial</w:t>
      </w:r>
      <w:r>
        <w:rPr>
          <w:rFonts w:ascii="Calibri" w:cs="Calibri" w:eastAsia="Calibri" w:hAnsi="Calibri"/>
          <w:sz w:val="21"/>
          <w:szCs w:val="21"/>
        </w:rPr>
        <w:t xml:space="preserve"> y su incumplimiento genera únicamente penalidad. Redactar como esencial la entrega de una interfaz para agentes en un contrato cuyo objeto principal es otro, y resolver el contrato por su falta, es el tipo de desproporción que un tribunal aprecia sin necesidad de entrar en el fondo.</w:t>
      </w:r>
    </w:p>
    <w:p>
      <w:pPr>
        <w:spacing w:after="140" w:line="276"/>
      </w:pPr>
      <w:r>
        <w:rPr>
          <w:rFonts w:ascii="Calibri" w:cs="Calibri" w:eastAsia="Calibri" w:hAnsi="Calibri"/>
          <w:i/>
          <w:iCs/>
          <w:sz w:val="21"/>
          <w:szCs w:val="21"/>
        </w:rPr>
        <w:t xml:space="preserve">Tipificaciones que deben incorporarse, con su código, a la lista cerrada del apartado 3 de ADM-5·v3. El PPT no impone penalidades por sí mismo: un hecho de esta tabla que no figure allí no genera penalidad exigible.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Tipificación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Hecho verificable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Leve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Retraso no superior a [X; se recomienda 15] días en la actualización de la documentación del ap. 3.d)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Indisponibilidad del entorno de pruebas del ap. 3.e) en la fecha comprometida; falta de entrega del inventario de funciones; incumplimiento del plazo ofertado por debajo del máximo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Muy 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Incumplimiento del plazo máximo del ap. 5; imposibilidad de ejecutar la suspensión del ap. 3.f) sin intervención del adjudicatario; imposibilidad de exportar el registro del ap. 3.c)</w:t>
            </w:r>
          </w:p>
        </w:tc>
      </w:tr>
    </w:tbl>
    <w:p>
      <w:pPr>
        <w:spacing w:after="200"/>
      </w:pP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b/>
          <w:bCs/>
          <w:sz w:val="21"/>
          <w:szCs w:val="21"/>
        </w:rPr>
        <w:t xml:space="preserve">Cuando el Apéndice de módulos no pueda cumplimentarse.</w:t>
      </w:r>
      <w:r>
        <w:rPr>
          <w:rFonts w:ascii="Calibri" w:cs="Calibri" w:eastAsia="Calibri" w:hAnsi="Calibri"/>
          <w:sz w:val="21"/>
          <w:szCs w:val="21"/>
        </w:rPr>
        <w:t xml:space="preserve"> Sin módulos identificados, no hay ámbito y no hay cláusula.</w:t>
      </w:r>
    </w:p>
    <w:p>
      <w:pPr>
        <w:pStyle w:val="ListParagraph"/>
        <w:numPr>
          <w:ilvl w:val="0"/>
          <w:numId w:val="1"/>
        </w:numPr>
        <w:spacing w:after="70" w:line="268"/>
      </w:pPr>
      <w:r>
        <w:rPr>
          <w:rFonts w:ascii="Calibri" w:cs="Calibri" w:eastAsia="Calibri" w:hAnsi="Calibri"/>
          <w:sz w:val="21"/>
          <w:szCs w:val="21"/>
        </w:rPr>
        <w:t xml:space="preserve">Contratos con componente tecnológico accesorio: exigir una interfaz para agentes sobre un sistema que no es el objeto del contrato es la definición de prestación ajena al objeto.</w:t>
      </w:r>
    </w:p>
    <w:p>
      <w:pPr>
        <w:pStyle w:val="ListParagraph"/>
        <w:numPr>
          <w:ilvl w:val="0"/>
          <w:numId w:val="1"/>
        </w:numPr>
        <w:spacing w:after="70" w:line="268"/>
      </w:pPr>
      <w:r>
        <w:rPr>
          <w:rFonts w:ascii="Calibri" w:cs="Calibri" w:eastAsia="Calibri" w:hAnsi="Calibri"/>
          <w:sz w:val="21"/>
          <w:szCs w:val="21"/>
        </w:rPr>
        <w:t xml:space="preserve">Contratos de suministro de bienes y contratos de obras.</w:t>
      </w:r>
    </w:p>
    <w:p>
      <w:pPr>
        <w:pStyle w:val="ListParagraph"/>
        <w:numPr>
          <w:ilvl w:val="0"/>
          <w:numId w:val="1"/>
        </w:numPr>
        <w:spacing w:after="70" w:line="268"/>
      </w:pPr>
      <w:r>
        <w:rPr>
          <w:rFonts w:ascii="Calibri" w:cs="Calibri" w:eastAsia="Calibri" w:hAnsi="Calibri"/>
          <w:sz w:val="21"/>
          <w:szCs w:val="21"/>
        </w:rPr>
        <w:t xml:space="preserve">Contratos menores y prórrogas.</w:t>
      </w:r>
    </w:p>
    <w:p>
      <w:pPr>
        <w:pStyle w:val="ListParagraph"/>
        <w:numPr>
          <w:ilvl w:val="0"/>
          <w:numId w:val="1"/>
        </w:numPr>
        <w:spacing w:after="70" w:line="268"/>
      </w:pPr>
      <w:r>
        <w:rPr>
          <w:rFonts w:ascii="Calibri" w:cs="Calibri" w:eastAsia="Calibri" w:hAnsi="Calibri"/>
          <w:sz w:val="21"/>
          <w:szCs w:val="21"/>
        </w:rPr>
        <w:t xml:space="preserve">Contratos basados en acuerdo marco o adhesiones a centrales de compra cuyo catálogo no admita añadir esta prestación.</w:t>
      </w:r>
    </w:p>
    <w:p>
      <w:pPr>
        <w:pStyle w:val="ListParagraph"/>
        <w:numPr>
          <w:ilvl w:val="0"/>
          <w:numId w:val="1"/>
        </w:numPr>
        <w:spacing w:after="70" w:line="268"/>
      </w:pPr>
      <w:r>
        <w:rPr>
          <w:rFonts w:ascii="Calibri" w:cs="Calibri" w:eastAsia="Calibri" w:hAnsi="Calibri"/>
          <w:sz w:val="21"/>
          <w:szCs w:val="21"/>
        </w:rPr>
        <w:t xml:space="preserve">Cuando no exista acuerdo del órgano de gobierno que apruebe el plan y el catálogo anual: sin ese eslabón, la necesidad institucional no tiene rango y la ficha se rellena con un párrafo genérico.</w:t>
      </w:r>
    </w:p>
    <w:p>
      <w:pPr>
        <w:pStyle w:val="ListParagraph"/>
        <w:numPr>
          <w:ilvl w:val="0"/>
          <w:numId w:val="1"/>
        </w:numPr>
        <w:spacing w:after="70" w:line="268"/>
      </w:pPr>
      <w:r>
        <w:rPr>
          <w:rFonts w:ascii="Calibri" w:cs="Calibri" w:eastAsia="Calibri" w:hAnsi="Calibri"/>
          <w:b/>
          <w:bCs/>
          <w:sz w:val="21"/>
          <w:szCs w:val="21"/>
        </w:rPr>
        <w:t xml:space="preserve">Dependencia:</w:t>
      </w:r>
      <w:r>
        <w:rPr>
          <w:rFonts w:ascii="Calibri" w:cs="Calibri" w:eastAsia="Calibri" w:hAnsi="Calibri"/>
          <w:sz w:val="21"/>
          <w:szCs w:val="21"/>
        </w:rPr>
        <w:t xml:space="preserve"> marcada NO APLICA, deben suprimirse los criterios de adjudicación correlativos de ADM-7·v3 (alcance funcional adicional y plazo ofertado), las filas correspondientes del cuadro de penalidades de ADM-5·v3, el punto correspondiente de la lista de ADM-6·v3.B, la mención de ADM-10·v3 y la del Anexo VII (declaración responsable); y la remisión de DT-1·v3.6.d) al mecanismo de suspensión deberá redactarse de forma autónoma. La lista completa está en el </w:t>
      </w:r>
      <w:r>
        <w:rPr>
          <w:rFonts w:ascii="Calibri" w:cs="Calibri" w:eastAsia="Calibri" w:hAnsi="Calibri"/>
          <w:b/>
          <w:bCs/>
          <w:sz w:val="21"/>
          <w:szCs w:val="21"/>
        </w:rPr>
        <w:t xml:space="preserve">Anexo VI</w:t>
      </w:r>
      <w:r>
        <w:rPr>
          <w:rFonts w:ascii="Calibri" w:cs="Calibri" w:eastAsia="Calibri" w:hAnsi="Calibri"/>
          <w:sz w:val="21"/>
          <w:szCs w:val="21"/>
        </w:rPr>
        <w:t xml:space="preserv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II.9 · DT-8·v3 — Reversibilidad, Inventario de Componentes y Dossier de Reversibilidad</w:t>
      </w:r>
    </w:p>
    <w:p>
      <w:pPr>
        <w:spacing w:after="140" w:line="276"/>
      </w:pPr>
      <w:r>
        <w:rPr>
          <w:rFonts w:ascii="Calibri" w:cs="Calibri" w:eastAsia="Calibri" w:hAnsi="Calibri"/>
          <w:i/>
          <w:iCs/>
          <w:sz w:val="21"/>
          <w:szCs w:val="21"/>
        </w:rPr>
        <w:t xml:space="preserve">(NUEVA, extraída de DT-5. Convierte la reversibilidad de promesa en obligación con fecha, formato, ensayo y dinero detrás, sin hacer depender el plazo de garantía de un acto discrecional del Ayuntamiento.)</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DT-8. Reversibilidad, Inventario de Componentes y Dossier de Reversibilidad.</w:t>
            </w:r>
          </w:p>
          <w:p>
            <w:pPr>
              <w:spacing w:after="100" w:line="264"/>
            </w:pPr>
            <w:r>
              <w:rPr>
                <w:rFonts w:ascii="Georgia" w:cs="Georgia" w:eastAsia="Georgia" w:hAnsi="Georgia"/>
                <w:b/>
                <w:bCs/>
                <w:sz w:val="20"/>
                <w:szCs w:val="20"/>
              </w:rPr>
              <w:t xml:space="preserve">1. Objeto de la entrega.</w:t>
            </w:r>
            <w:r>
              <w:rPr>
                <w:rFonts w:ascii="Georgia" w:cs="Georgia" w:eastAsia="Georgia" w:hAnsi="Georgia"/>
                <w:sz w:val="20"/>
                <w:szCs w:val="20"/>
              </w:rPr>
              <w:t xml:space="preserve"> A la finalización del contrato por cualquier causa, el adjudicatario entregará de forma ordenada, sin coste adicional y en formatos abiertos, documentados y reutilizables conforme al Esquema Nacional de Interoperabilidad:</w:t>
            </w:r>
          </w:p>
          <w:p>
            <w:pPr>
              <w:spacing w:after="100" w:line="264"/>
            </w:pPr>
            <w:r>
              <w:rPr>
                <w:rFonts w:ascii="Georgia" w:cs="Georgia" w:eastAsia="Georgia" w:hAnsi="Georgia"/>
                <w:sz w:val="20"/>
                <w:szCs w:val="20"/>
              </w:rPr>
              <w:t xml:space="preserve">a) Los datos municipales y sus modelos, con el diccionario de datos previsto en la cláusula DT-5, apartado 4, actualizado a la fecha de la entrega.</w:t>
            </w:r>
          </w:p>
          <w:p>
            <w:pPr>
              <w:spacing w:after="100" w:line="264"/>
            </w:pPr>
            <w:r>
              <w:rPr>
                <w:rFonts w:ascii="Georgia" w:cs="Georgia" w:eastAsia="Georgia" w:hAnsi="Georgia"/>
                <w:sz w:val="20"/>
                <w:szCs w:val="20"/>
              </w:rPr>
              <w:t xml:space="preserve">b) El código fuente y el código objeto de los desarrollos realizados específicamente para el Ayuntamiento.</w:t>
            </w:r>
          </w:p>
          <w:p>
            <w:pPr>
              <w:spacing w:after="100" w:line="264"/>
            </w:pPr>
            <w:r>
              <w:rPr>
                <w:rFonts w:ascii="Georgia" w:cs="Georgia" w:eastAsia="Georgia" w:hAnsi="Georgia"/>
                <w:sz w:val="20"/>
                <w:szCs w:val="20"/>
              </w:rPr>
              <w:t xml:space="preserve">c) Las configuraciones, parametrizaciones, reglas de negocio, algoritmos de cálculo o de decisión diseñados específicamente para el Ayuntamiento, y su documentación técnica.</w:t>
            </w:r>
          </w:p>
          <w:p>
            <w:pPr>
              <w:spacing w:after="100" w:line="264"/>
            </w:pPr>
            <w:r>
              <w:rPr>
                <w:rFonts w:ascii="Georgia" w:cs="Georgia" w:eastAsia="Georgia" w:hAnsi="Georgia"/>
                <w:sz w:val="20"/>
                <w:szCs w:val="20"/>
              </w:rPr>
              <w:t xml:space="preserve">d) Los prompts corporativos, bases de conocimiento y modelos ajustados con datos municipales.</w:t>
            </w:r>
          </w:p>
          <w:p>
            <w:pPr>
              <w:spacing w:after="100" w:line="264"/>
            </w:pPr>
            <w:r>
              <w:rPr>
                <w:rFonts w:ascii="Georgia" w:cs="Georgia" w:eastAsia="Georgia" w:hAnsi="Georgia"/>
                <w:sz w:val="20"/>
                <w:szCs w:val="20"/>
              </w:rPr>
              <w:t xml:space="preserve">e) La documentación técnica, de construcción y de despliegue.</w:t>
            </w:r>
          </w:p>
          <w:p>
            <w:pPr>
              <w:spacing w:after="100" w:line="264"/>
            </w:pPr>
            <w:r>
              <w:rPr>
                <w:rFonts w:ascii="Georgia" w:cs="Georgia" w:eastAsia="Georgia" w:hAnsi="Georgia"/>
                <w:sz w:val="20"/>
                <w:szCs w:val="20"/>
              </w:rPr>
              <w:t xml:space="preserve">f) El Inventario de Componentes del apartado 2 y el Dossier de Reversibilidad del apartado 6.</w:t>
            </w:r>
          </w:p>
          <w:p>
            <w:pPr>
              <w:spacing w:after="100" w:line="264"/>
            </w:pPr>
            <w:r>
              <w:rPr>
                <w:rFonts w:ascii="Georgia" w:cs="Georgia" w:eastAsia="Georgia" w:hAnsi="Georgia"/>
                <w:b/>
                <w:bCs/>
                <w:sz w:val="20"/>
                <w:szCs w:val="20"/>
              </w:rPr>
              <w:t xml:space="preserve">Esta obligación no alcanza al código fuente del producto base, estándar o de mercado del adjudicatario ni al de terceros licenciantes</w:t>
            </w:r>
            <w:r>
              <w:rPr>
                <w:rFonts w:ascii="Georgia" w:cs="Georgia" w:eastAsia="Georgia" w:hAnsi="Georgia"/>
                <w:sz w:val="20"/>
                <w:szCs w:val="20"/>
              </w:rPr>
              <w:t xml:space="preserve">, en los términos y con la delimitación que establece la cláusula [ADM-8], apartado 4, del pliego de cláusulas administrativas particulares, a la que se remite íntegramente.</w:t>
            </w:r>
          </w:p>
          <w:p>
            <w:pPr>
              <w:spacing w:after="100" w:line="264"/>
            </w:pPr>
            <w:r>
              <w:rPr>
                <w:rFonts w:ascii="Georgia" w:cs="Georgia" w:eastAsia="Georgia" w:hAnsi="Georgia"/>
                <w:b/>
                <w:bCs/>
                <w:sz w:val="20"/>
                <w:szCs w:val="20"/>
              </w:rPr>
              <w:t xml:space="preserve">2. Inventario de Componentes.</w:t>
            </w:r>
            <w:r>
              <w:rPr>
                <w:rFonts w:ascii="Georgia" w:cs="Georgia" w:eastAsia="Georgia" w:hAnsi="Georgia"/>
                <w:sz w:val="20"/>
                <w:szCs w:val="20"/>
              </w:rPr>
              <w:t xml:space="preserve"> El adjudicatario mantendrá y entregará un Inventario de Componentes que identifique y separe: (a) el producto base o estándar; (b) los desarrollos realizados específicamente para el Ayuntamiento; (c) los componentes de terceros integrados, con su licencia y sus restricciones de uso; y (d) las configuraciones y parametrizaciones. Lo entregará por primera vez en el plazo de [X; se recomienda 30] días naturales desde la formalización del contrato y, a partir de entonces, actualizado </w:t>
            </w:r>
            <w:r>
              <w:rPr>
                <w:rFonts w:ascii="Georgia" w:cs="Georgia" w:eastAsia="Georgia" w:hAnsi="Georgia"/>
                <w:b/>
                <w:bCs/>
                <w:sz w:val="20"/>
                <w:szCs w:val="20"/>
              </w:rPr>
              <w:t xml:space="preserve">con cada versión puesta en producción</w:t>
            </w:r>
            <w:r>
              <w:rPr>
                <w:rFonts w:ascii="Georgia" w:cs="Georgia" w:eastAsia="Georgia" w:hAnsi="Georgia"/>
                <w:sz w:val="20"/>
                <w:szCs w:val="20"/>
              </w:rPr>
              <w:t xml:space="preserve">. </w:t>
            </w:r>
            <w:r>
              <w:rPr>
                <w:rFonts w:ascii="Georgia" w:cs="Georgia" w:eastAsia="Georgia" w:hAnsi="Georgia"/>
                <w:b/>
                <w:bCs/>
                <w:sz w:val="20"/>
                <w:szCs w:val="20"/>
              </w:rPr>
              <w:t xml:space="preserve">La falta de este inventario impide tener por cumplida la obligación de reversibilidad.</w:t>
            </w:r>
          </w:p>
          <w:p>
            <w:pPr>
              <w:spacing w:after="100" w:line="264"/>
            </w:pPr>
            <w:r>
              <w:rPr>
                <w:rFonts w:ascii="Georgia" w:cs="Georgia" w:eastAsia="Georgia" w:hAnsi="Georgia"/>
                <w:b/>
                <w:bCs/>
                <w:sz w:val="20"/>
                <w:szCs w:val="20"/>
              </w:rPr>
              <w:t xml:space="preserve">3. Plan de Reversibilidad y ensayo.</w:t>
            </w:r>
            <w:r>
              <w:rPr>
                <w:rFonts w:ascii="Georgia" w:cs="Georgia" w:eastAsia="Georgia" w:hAnsi="Georgia"/>
                <w:sz w:val="20"/>
                <w:szCs w:val="20"/>
              </w:rPr>
              <w:t xml:space="preserve"> El adjudicatario entregará un Plan de Reversibilidad en los [X; se recomienda 3] primeros meses de ejecución, lo actualizará anualmente y realizará, a su costa, al menos [X; se recomienda 1] ensayo de reversibilidad por cada [X; se recomienda 24] meses de vigencia y, en todo caso, uno durante el último año del contrato. El ensayo consistirá en la extracción y restitución efectivas de una muestra representativa de datos y configuraciones en un entorno ajeno a la infraestructura del adjudicatario, y se documentará en acta con el resultado y el tiempo empleado.</w:t>
            </w:r>
          </w:p>
          <w:p>
            <w:pPr>
              <w:spacing w:after="100" w:line="264"/>
            </w:pPr>
            <w:r>
              <w:rPr>
                <w:rFonts w:ascii="Georgia" w:cs="Georgia" w:eastAsia="Georgia" w:hAnsi="Georgia"/>
                <w:b/>
                <w:bCs/>
                <w:sz w:val="20"/>
                <w:szCs w:val="20"/>
              </w:rPr>
              <w:t xml:space="preserve">4. Calendario de la reversión.</w:t>
            </w:r>
            <w:r>
              <w:rPr>
                <w:rFonts w:ascii="Georgia" w:cs="Georgia" w:eastAsia="Georgia" w:hAnsi="Georgia"/>
                <w:sz w:val="20"/>
                <w:szCs w:val="20"/>
              </w:rPr>
              <w:t xml:space="preserve"> El período de reversión comenzará [X; se recomienda 3] meses antes de la fecha prevista de finalización del contrato o, en caso de resolución anticipada, desde la notificación del acuerdo de resolución. La entrega íntegra del apartado 1 deberá completarse dentro de ese período y, en todo caso, en el plazo máximo de [X; se recomienda 30] días naturales desde la finalización del contrato. </w:t>
            </w:r>
            <w:r>
              <w:rPr>
                <w:rFonts w:ascii="Georgia" w:cs="Georgia" w:eastAsia="Georgia" w:hAnsi="Georgia"/>
                <w:b/>
                <w:bCs/>
                <w:sz w:val="20"/>
                <w:szCs w:val="20"/>
              </w:rPr>
              <w:t xml:space="preserve">El período de reversión se computa dentro del plazo de ejecución del contrato, que este pliego fija incluyéndolo.</w:t>
            </w:r>
          </w:p>
          <w:p>
            <w:pPr>
              <w:spacing w:after="100" w:line="264"/>
            </w:pPr>
            <w:r>
              <w:rPr>
                <w:rFonts w:ascii="Georgia" w:cs="Georgia" w:eastAsia="Georgia" w:hAnsi="Georgia"/>
                <w:b/>
                <w:bCs/>
                <w:sz w:val="20"/>
                <w:szCs w:val="20"/>
              </w:rPr>
              <w:t xml:space="preserve">5. Licencia de continuidad.</w:t>
            </w:r>
            <w:r>
              <w:rPr>
                <w:rFonts w:ascii="Georgia" w:cs="Georgia" w:eastAsia="Georgia" w:hAnsi="Georgia"/>
                <w:sz w:val="20"/>
                <w:szCs w:val="20"/>
              </w:rPr>
              <w:t xml:space="preserve"> Durante el período de reversión y hasta [X; se recomienda 6] meses desde la finalización del contrato, el adjudicatario mantendrá vigente a favor del Ayuntamiento la licencia de uso del producto base estrictamente necesaria para continuar operando la solución hasta completar la migración. Esta licencia forma parte del objeto del contrato y se entiende retribuida con el precio de éste, habiéndose computado su coste en el presupuesto base de licitación conforme al artículo 100.2 LCSP.</w:t>
            </w:r>
          </w:p>
          <w:p>
            <w:pPr>
              <w:spacing w:after="100" w:line="264"/>
            </w:pPr>
            <w:r>
              <w:rPr>
                <w:rFonts w:ascii="Georgia" w:cs="Georgia" w:eastAsia="Georgia" w:hAnsi="Georgia"/>
                <w:b/>
                <w:bCs/>
                <w:sz w:val="20"/>
                <w:szCs w:val="20"/>
              </w:rPr>
              <w:t xml:space="preserve">6. Dossier de Reversibilidad.</w:t>
            </w:r>
            <w:r>
              <w:rPr>
                <w:rFonts w:ascii="Georgia" w:cs="Georgia" w:eastAsia="Georgia" w:hAnsi="Georgia"/>
                <w:sz w:val="20"/>
                <w:szCs w:val="20"/>
              </w:rPr>
              <w:t xml:space="preserve"> El adjudicatario mantendrá actualizado y entregará un Dossier de Reversibilidad que comprenda el modelo de datos, la relación de interfaces, el Inventario de Componentes, el procedimiento de migración y la estimación de esfuerzo de migración. El Ayuntamiento podrá incorporar dicho Dossier, depurado de información confidencial y de secretos técnicos o comerciales, al pliego de la licitación siguiente.</w:t>
            </w:r>
          </w:p>
          <w:p>
            <w:pPr>
              <w:spacing w:after="100" w:line="264"/>
            </w:pPr>
            <w:r>
              <w:rPr>
                <w:rFonts w:ascii="Georgia" w:cs="Georgia" w:eastAsia="Georgia" w:hAnsi="Georgia"/>
                <w:b/>
                <w:bCs/>
                <w:sz w:val="20"/>
                <w:szCs w:val="20"/>
              </w:rPr>
              <w:t xml:space="preserve">7. Datos personales.</w:t>
            </w:r>
            <w:r>
              <w:rPr>
                <w:rFonts w:ascii="Georgia" w:cs="Georgia" w:eastAsia="Georgia" w:hAnsi="Georgia"/>
                <w:sz w:val="20"/>
                <w:szCs w:val="20"/>
              </w:rPr>
              <w:t xml:space="preserve"> La devolución o supresión de los datos personales tratados por cuenta del Ayuntamiento se realizará conforme al artículo 28.3.g) del Reglamento (UE) 2016/679, con entrega de certificación de supresión de las copias existentes.</w:t>
            </w:r>
          </w:p>
          <w:p>
            <w:pPr>
              <w:spacing w:after="100" w:line="264"/>
            </w:pPr>
            <w:r>
              <w:rPr>
                <w:rFonts w:ascii="Georgia" w:cs="Georgia" w:eastAsia="Georgia" w:hAnsi="Georgia"/>
                <w:b/>
                <w:bCs/>
                <w:sz w:val="20"/>
                <w:szCs w:val="20"/>
              </w:rPr>
              <w:t xml:space="preserve">8. Acta de reversión y efectos.</w:t>
            </w:r>
            <w:r>
              <w:rPr>
                <w:rFonts w:ascii="Georgia" w:cs="Georgia" w:eastAsia="Georgia" w:hAnsi="Georgia"/>
                <w:sz w:val="20"/>
                <w:szCs w:val="20"/>
              </w:rPr>
              <w:t xml:space="preserve"> Completada la entrega, el Ayuntamiento levantará </w:t>
            </w:r>
            <w:r>
              <w:rPr>
                <w:rFonts w:ascii="Georgia" w:cs="Georgia" w:eastAsia="Georgia" w:hAnsi="Georgia"/>
                <w:b/>
                <w:bCs/>
                <w:sz w:val="20"/>
                <w:szCs w:val="20"/>
              </w:rPr>
              <w:t xml:space="preserve">acta de reversión</w:t>
            </w:r>
            <w:r>
              <w:rPr>
                <w:rFonts w:ascii="Georgia" w:cs="Georgia" w:eastAsia="Georgia" w:hAnsi="Georgia"/>
                <w:sz w:val="20"/>
                <w:szCs w:val="20"/>
              </w:rPr>
              <w:t xml:space="preserve"> en el plazo de [X; se recomienda 15] días hábiles desde que el adjudicatario comunique la entrega íntegra, haciendo constar en ella los defectos apreciados y el plazo de subsanación. Transcurrido dicho plazo sin que el Ayuntamiento levante el acta ni formule objeciones, la reversión se tendrá por conforme a todos los efectos. </w:t>
            </w:r>
            <w:r>
              <w:rPr>
                <w:rFonts w:ascii="Georgia" w:cs="Georgia" w:eastAsia="Georgia" w:hAnsi="Georgia"/>
                <w:b/>
                <w:bCs/>
                <w:sz w:val="20"/>
                <w:szCs w:val="20"/>
              </w:rPr>
              <w:t xml:space="preserve">El plazo de garantía del contrato es de [X; se recomienda 12] meses y se computa desde la fecha del acta de reversión o, en su defecto, desde el día siguiente al vencimiento del plazo previsto en este apartado para levantarla.</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PPT, apartado final, de finalización y entrega. Los apartados 4 (en cuanto al cómputo del plazo de ejecución), 5 (en cuanto al presupuesto base de licitación) y 8 (en cuanto al plazo de garantía) exigen </w:t>
      </w:r>
      <w:r>
        <w:rPr>
          <w:rFonts w:ascii="Calibri" w:cs="Calibri" w:eastAsia="Calibri" w:hAnsi="Calibri"/>
          <w:b/>
          <w:bCs/>
          <w:sz w:val="21"/>
          <w:szCs w:val="21"/>
        </w:rPr>
        <w:t xml:space="preserve">reflejo correlativo obligatorio en el PCAP</w:t>
      </w:r>
      <w:r>
        <w:rPr>
          <w:rFonts w:ascii="Calibri" w:cs="Calibri" w:eastAsia="Calibri" w:hAnsi="Calibri"/>
          <w:sz w:val="21"/>
          <w:szCs w:val="21"/>
        </w:rPr>
        <w:t xml:space="preserve">: el plazo de ejecución, el desglose del presupuesto y el plazo de garantía son cláusulas administrativas. Si el PPT dice una cosa y el PCAP otra, prevalece el PCAP y la cláusula queda sin efecto.</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pStyle w:val="ListParagraph"/>
        <w:numPr>
          <w:ilvl w:val="0"/>
          <w:numId w:val="1"/>
        </w:numPr>
        <w:spacing w:after="70" w:line="268"/>
      </w:pPr>
      <w:r>
        <w:rPr>
          <w:rFonts w:ascii="Calibri" w:cs="Calibri" w:eastAsia="Calibri" w:hAnsi="Calibri"/>
          <w:b/>
          <w:bCs/>
          <w:sz w:val="21"/>
          <w:szCs w:val="21"/>
        </w:rPr>
        <w:t xml:space="preserve">Reutilización y cesión entre administraciones.</w:t>
      </w:r>
      <w:r>
        <w:rPr>
          <w:rFonts w:ascii="Calibri" w:cs="Calibri" w:eastAsia="Calibri" w:hAnsi="Calibri"/>
          <w:sz w:val="21"/>
          <w:szCs w:val="21"/>
        </w:rPr>
        <w:t xml:space="preserve"> El artículo 157.1 de la Ley 40/2015 obliga a poner las aplicaciones a disposición de otras administraciones que las soliciten, pero </w:t>
      </w:r>
      <w:r>
        <w:rPr>
          <w:rFonts w:ascii="Calibri" w:cs="Calibri" w:eastAsia="Calibri" w:hAnsi="Calibri"/>
          <w:b/>
          <w:bCs/>
          <w:sz w:val="21"/>
          <w:szCs w:val="21"/>
        </w:rPr>
        <w:t xml:space="preserve">sólo respecto de aquellas «de cuyos derechos de propiedad intelectual sean titulares»</w:t>
      </w:r>
      <w:r>
        <w:rPr>
          <w:rFonts w:ascii="Calibri" w:cs="Calibri" w:eastAsia="Calibri" w:hAnsi="Calibri"/>
          <w:sz w:val="21"/>
          <w:szCs w:val="21"/>
        </w:rPr>
        <w:t xml:space="preserve">. Sin reversibilidad y sin titularidad delimitada, el Ayuntamiento no puede cumplir ese precepto. La necesidad la impone la ley, no un gestor.</w:t>
      </w:r>
    </w:p>
    <w:p>
      <w:pPr>
        <w:pStyle w:val="ListParagraph"/>
        <w:numPr>
          <w:ilvl w:val="0"/>
          <w:numId w:val="1"/>
        </w:numPr>
        <w:spacing w:after="70" w:line="268"/>
      </w:pPr>
      <w:r>
        <w:rPr>
          <w:rFonts w:ascii="Calibri" w:cs="Calibri" w:eastAsia="Calibri" w:hAnsi="Calibri"/>
          <w:b/>
          <w:bCs/>
          <w:sz w:val="21"/>
          <w:szCs w:val="21"/>
        </w:rPr>
        <w:t xml:space="preserve">Interoperabilidad.</w:t>
      </w:r>
      <w:r>
        <w:rPr>
          <w:rFonts w:ascii="Calibri" w:cs="Calibri" w:eastAsia="Calibri" w:hAnsi="Calibri"/>
          <w:sz w:val="21"/>
          <w:szCs w:val="21"/>
        </w:rPr>
        <w:t xml:space="preserve"> Los artículos 16 y 17 del Real Decreto 4/2010 fijan las condiciones de licenciamiento para la cesión y, para lo declarado de fuentes abiertas, la garantía de conocer el código fuente.</w:t>
      </w:r>
    </w:p>
    <w:p>
      <w:pPr>
        <w:pStyle w:val="ListParagraph"/>
        <w:numPr>
          <w:ilvl w:val="0"/>
          <w:numId w:val="1"/>
        </w:numPr>
        <w:spacing w:after="70" w:line="268"/>
      </w:pPr>
      <w:r>
        <w:rPr>
          <w:rFonts w:ascii="Calibri" w:cs="Calibri" w:eastAsia="Calibri" w:hAnsi="Calibri"/>
          <w:b/>
          <w:bCs/>
          <w:sz w:val="21"/>
          <w:szCs w:val="21"/>
        </w:rPr>
        <w:t xml:space="preserve">Protección de datos.</w:t>
      </w:r>
      <w:r>
        <w:rPr>
          <w:rFonts w:ascii="Calibri" w:cs="Calibri" w:eastAsia="Calibri" w:hAnsi="Calibri"/>
          <w:sz w:val="21"/>
          <w:szCs w:val="21"/>
        </w:rPr>
        <w:t xml:space="preserve"> Artículo 28.3.g) del Reglamento (UE) 2016/679.</w:t>
      </w:r>
    </w:p>
    <w:p>
      <w:pPr>
        <w:pStyle w:val="ListParagraph"/>
        <w:numPr>
          <w:ilvl w:val="0"/>
          <w:numId w:val="1"/>
        </w:numPr>
        <w:spacing w:after="70" w:line="268"/>
      </w:pPr>
      <w:r>
        <w:rPr>
          <w:rFonts w:ascii="Calibri" w:cs="Calibri" w:eastAsia="Calibri" w:hAnsi="Calibri"/>
          <w:b/>
          <w:bCs/>
          <w:sz w:val="21"/>
          <w:szCs w:val="21"/>
        </w:rPr>
        <w:t xml:space="preserve">Competencia.</w:t>
      </w:r>
      <w:r>
        <w:rPr>
          <w:rFonts w:ascii="Calibri" w:cs="Calibri" w:eastAsia="Calibri" w:hAnsi="Calibri"/>
          <w:sz w:val="21"/>
          <w:szCs w:val="21"/>
        </w:rPr>
        <w:t xml:space="preserve"> La Comunicación de la Comisión COM(2013) 455 final describe el fenómeno de la cautividad tecnológica en la contratación pública de TIC: «se habla de "cautividad" cuando la autoridad pública no puede cambiar fácilmente de proveedor tras expirar ese período de tiempo». La reversibilidad </w:t>
      </w:r>
      <w:r>
        <w:rPr>
          <w:rFonts w:ascii="Calibri" w:cs="Calibri" w:eastAsia="Calibri" w:hAnsi="Calibri"/>
          <w:b/>
          <w:bCs/>
          <w:sz w:val="21"/>
          <w:szCs w:val="21"/>
        </w:rPr>
        <w:t xml:space="preserve">abre</w:t>
      </w:r>
      <w:r>
        <w:rPr>
          <w:rFonts w:ascii="Calibri" w:cs="Calibri" w:eastAsia="Calibri" w:hAnsi="Calibri"/>
          <w:sz w:val="21"/>
          <w:szCs w:val="21"/>
        </w:rPr>
        <w:t xml:space="preserve"> mercado; no lo cierra. Es el argumento a incorporar a la memoria frente a una alegación de restricción de la concurrencia.</w:t>
      </w:r>
    </w:p>
    <w:p>
      <w:pPr>
        <w:spacing w:after="140" w:line="276"/>
      </w:pPr>
      <w:r>
        <w:rPr>
          <w:rFonts w:ascii="Calibri" w:cs="Calibri" w:eastAsia="Calibri" w:hAnsi="Calibri"/>
          <w:b/>
          <w:bCs/>
          <w:sz w:val="21"/>
          <w:szCs w:val="21"/>
        </w:rPr>
        <w:t xml:space="preserve">Por qué se delimita el código.</w:t>
      </w:r>
      <w:r>
        <w:rPr>
          <w:rFonts w:ascii="Calibri" w:cs="Calibri" w:eastAsia="Calibri" w:hAnsi="Calibri"/>
          <w:sz w:val="21"/>
          <w:szCs w:val="21"/>
        </w:rPr>
        <w:t xml:space="preserve"> La redacción anterior exigía la entrega de «código» sin matiz. Leída literalmente, comprende el código fuente del producto estándar del licitador, lo que ningún fabricante de software de mercado acepta: el riesgo no es sólo jurídico, es de concurrencia, porque disuade de licitar a proveedores solventes. Además, la Ley de Propiedad Intelectual ya concede al usuario legítimo la reproducción y transformación necesarias para el uso, incluida la corrección de errores (art. 100.1 del texto refundido aprobado por el Real Decreto Legislativo 1/1996), y la descompilación para lograr la interoperabilidad (art. 100.5); y el artículo 100.4 impide al autor oponerse a que el cesionario realice o autorice versiones sucesivas. No se pide el código del producto base porque no hace falta pedirlo. A mayor abundamiento: ni siquiera las autoridades europeas de vigilancia del mercado acceden al código fuente de un sistema de IA de alto riesgo salvo solicitud motivada y como último recurso (art. 74.13 del Reglamento (UE) 2024/1689).</w:t>
      </w:r>
    </w:p>
    <w:p>
      <w:pPr>
        <w:spacing w:after="140" w:line="276"/>
      </w:pPr>
      <w:r>
        <w:rPr>
          <w:rFonts w:ascii="Calibri" w:cs="Calibri" w:eastAsia="Calibri" w:hAnsi="Calibri"/>
          <w:b/>
          <w:bCs/>
          <w:sz w:val="21"/>
          <w:szCs w:val="21"/>
        </w:rPr>
        <w:t xml:space="preserve">Por qué el plazo de garantía se redacta así, y no como estaba previsto.</w:t>
      </w:r>
      <w:r>
        <w:rPr>
          <w:rFonts w:ascii="Calibri" w:cs="Calibri" w:eastAsia="Calibri" w:hAnsi="Calibri"/>
          <w:sz w:val="21"/>
          <w:szCs w:val="21"/>
        </w:rPr>
        <w:t xml:space="preserve"> La primera versión de esta cláusula vinculaba el plazo de garantía «a la certificación municipal de la reversión», con el argumento de que la garantía definitiva no se devuelve antes (art. 111.1 LCSP: «La garantía no será devuelta o cancelada hasta que se haya producido el vencimiento del plazo de garantía y cumplido satisfactoriamente el contrato»). La palanca es real, pero así redactada tiene un defecto que un letrado de licitador aprovecha de inmediato: </w:t>
      </w:r>
      <w:r>
        <w:rPr>
          <w:rFonts w:ascii="Calibri" w:cs="Calibri" w:eastAsia="Calibri" w:hAnsi="Calibri"/>
          <w:b/>
          <w:bCs/>
          <w:sz w:val="21"/>
          <w:szCs w:val="21"/>
        </w:rPr>
        <w:t xml:space="preserve">un plazo de garantía cuyo día inicial depende de un acto del Ayuntamiento que puede no producirse nunca no es un plazo.</w:t>
      </w:r>
      <w:r>
        <w:rPr>
          <w:rFonts w:ascii="Calibri" w:cs="Calibri" w:eastAsia="Calibri" w:hAnsi="Calibri"/>
          <w:sz w:val="21"/>
          <w:szCs w:val="21"/>
        </w:rPr>
        <w:t xml:space="preserve"> El artículo 111 fija plazos ciertos para el acuerdo de devolución, y prevé la devolución cuando la recepción formal no ha tenido lugar por causa no imputable al contratista.</w:t>
      </w:r>
    </w:p>
    <w:p>
      <w:pPr>
        <w:spacing w:after="140" w:line="276"/>
      </w:pPr>
      <w:r>
        <w:rPr>
          <w:rFonts w:ascii="Calibri" w:cs="Calibri" w:eastAsia="Calibri" w:hAnsi="Calibri"/>
          <w:sz w:val="21"/>
          <w:szCs w:val="21"/>
        </w:rPr>
        <w:t xml:space="preserve">La solución del apartado 8 conserva la palanca y elimina el defecto: la reversión tiene calendario cierto (apartado 4), el acta tiene plazo cierto para levantarse, y </w:t>
      </w:r>
      <w:r>
        <w:rPr>
          <w:rFonts w:ascii="Calibri" w:cs="Calibri" w:eastAsia="Calibri" w:hAnsi="Calibri"/>
          <w:b/>
          <w:bCs/>
          <w:sz w:val="21"/>
          <w:szCs w:val="21"/>
        </w:rPr>
        <w:t xml:space="preserve">el silencio del Ayuntamiento juega a favor del contratista</w:t>
      </w:r>
      <w:r>
        <w:rPr>
          <w:rFonts w:ascii="Calibri" w:cs="Calibri" w:eastAsia="Calibri" w:hAnsi="Calibri"/>
          <w:sz w:val="21"/>
          <w:szCs w:val="21"/>
        </w:rPr>
        <w:t xml:space="preserve">. El plazo de garantía tiene entonces un día inicial determinable en todo caso, y la garantía definitiva sigue sin devolverse antes de su vencimiento, ahora sin depender de una decisión discrecional.</w:t>
      </w:r>
    </w:p>
    <w:p>
      <w:pPr>
        <w:spacing w:after="140" w:line="276"/>
      </w:pPr>
      <w:r>
        <w:rPr>
          <w:rFonts w:ascii="Calibri" w:cs="Calibri" w:eastAsia="Calibri" w:hAnsi="Calibri"/>
          <w:b/>
          <w:bCs/>
          <w:sz w:val="21"/>
          <w:szCs w:val="21"/>
        </w:rPr>
        <w:t xml:space="preserve">Por qué la licencia de continuidad se redacta así.</w:t>
      </w:r>
      <w:r>
        <w:rPr>
          <w:rFonts w:ascii="Calibri" w:cs="Calibri" w:eastAsia="Calibri" w:hAnsi="Calibri"/>
          <w:sz w:val="21"/>
          <w:szCs w:val="21"/>
        </w:rPr>
        <w:t xml:space="preserve"> Una licencia gratuita de seis meses </w:t>
      </w:r>
      <w:r>
        <w:rPr>
          <w:rFonts w:ascii="Calibri" w:cs="Calibri" w:eastAsia="Calibri" w:hAnsi="Calibri"/>
          <w:b/>
          <w:bCs/>
          <w:sz w:val="21"/>
          <w:szCs w:val="21"/>
        </w:rPr>
        <w:t xml:space="preserve">posterior a la extinción del contrato</w:t>
      </w:r>
      <w:r>
        <w:rPr>
          <w:rFonts w:ascii="Calibri" w:cs="Calibri" w:eastAsia="Calibri" w:hAnsi="Calibri"/>
          <w:sz w:val="21"/>
          <w:szCs w:val="21"/>
        </w:rPr>
        <w:t xml:space="preserve"> es una prestación sin contraprestación y una prolongación material del vínculo al margen del régimen de duración. El apartado 5 lo evita con el único argumento que basta para sostenerlo: la licencia de continuidad no es una prestación gratuita posterior a la extinción, sino que </w:t>
      </w:r>
      <w:r>
        <w:rPr>
          <w:rFonts w:ascii="Calibri" w:cs="Calibri" w:eastAsia="Calibri" w:hAnsi="Calibri"/>
          <w:b/>
          <w:bCs/>
          <w:sz w:val="21"/>
          <w:szCs w:val="21"/>
        </w:rPr>
        <w:t xml:space="preserve">su coste se computa en el presupuesto base de licitación (art. 100.2 LCSP) y forma parte del objeto del contrato</w:t>
      </w:r>
      <w:r>
        <w:rPr>
          <w:rFonts w:ascii="Calibri" w:cs="Calibri" w:eastAsia="Calibri" w:hAnsi="Calibri"/>
          <w:sz w:val="21"/>
          <w:szCs w:val="21"/>
        </w:rPr>
        <w:t xml:space="preserve">, cuya ejecución comprende la fase de reversión. Es retribución, no liberalidad.</w:t>
      </w:r>
    </w:p>
    <w:p>
      <w:pPr>
        <w:spacing w:after="140" w:line="276"/>
      </w:pPr>
      <w:r>
        <w:rPr>
          <w:rFonts w:ascii="Calibri" w:cs="Calibri" w:eastAsia="Calibri" w:hAnsi="Calibri"/>
          <w:i/>
          <w:iCs/>
          <w:sz w:val="21"/>
          <w:szCs w:val="21"/>
        </w:rPr>
        <w:t xml:space="preserve">(No se invoca aquí un segundo argumento que se manejó en la redacción —que el período de reversión se computa dentro del plazo de ejecución conforme al apartado 4— porque no cubre el supuesto entero: el apartado 4 sitúa la reversión entre los tres meses anteriores y los treinta días posteriores a la finalización, y la licencia del apartado 5 se extiende hasta seis meses después. Los meses finales quedan fuera del plazo de ejecución, y sostener lo contrario es dar al letrado del licitador una contradicción gratuita.)</w:t>
      </w:r>
    </w:p>
    <w:p>
      <w:pPr>
        <w:pStyle w:val="Heading3"/>
        <w:keepNext/>
        <w:spacing w:after="140" w:before="320"/>
      </w:pPr>
      <w:r>
        <w:rPr>
          <w:rFonts w:ascii="Georgia" w:cs="Georgia" w:eastAsia="Georgia" w:hAnsi="Georgia"/>
          <w:b/>
          <w:bCs/>
          <w:color w:val="2F5496"/>
          <w:sz w:val="22"/>
          <w:szCs w:val="22"/>
        </w:rPr>
        <w:t xml:space="preserve">4. Cómo se acredita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Obligación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Medio de acreditación tasado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Inventario de Componentes (ap. 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Documento entregado, con las cuatro categorías separadas, actualizado con cada versión en producción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Plan de Reversibilidad (ap. 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Documento entregado en plazo, con actualizaciones fechadas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Ensayo (ap. 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Acta de ensayo de reversibilidad</w:t>
            </w:r>
            <w:r>
              <w:rPr>
                <w:rFonts w:ascii="Calibri" w:cs="Calibri" w:eastAsia="Calibri" w:hAnsi="Calibri"/>
                <w:b w:val="false"/>
                <w:bCs w:val="false"/>
                <w:sz w:val="18"/>
                <w:szCs w:val="18"/>
              </w:rPr>
              <w:t xml:space="preserve">, con muestra empleada, resultado y tiempo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Entrega (ap. 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Relación de entregables firmada, con soporte, formato y suma de verificación de cada uno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Licencia de continuidad (ap. 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Documento de licencia con fechas de inicio y fin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Dossier (ap. 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Documento entregado y versión depurada apta para publicar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Datos personales (ap. 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Certificación de devolución o supresión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Reversión (ap. 8)</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Acta de reversión</w:t>
            </w:r>
            <w:r>
              <w:rPr>
                <w:rFonts w:ascii="Calibri" w:cs="Calibri" w:eastAsia="Calibri" w:hAnsi="Calibri"/>
                <w:b w:val="false"/>
                <w:bCs w:val="false"/>
                <w:sz w:val="18"/>
                <w:szCs w:val="18"/>
              </w:rPr>
              <w:t xml:space="preserve"> o constancia del transcurso del plazo sin objeciones</w:t>
            </w:r>
          </w:p>
        </w:tc>
      </w:tr>
    </w:tbl>
    <w:p>
      <w:pPr>
        <w:spacing w:after="200"/>
      </w:pPr>
    </w:p>
    <w:p>
      <w:pPr>
        <w:spacing w:after="140" w:line="276"/>
      </w:pPr>
      <w:r>
        <w:rPr>
          <w:rFonts w:ascii="Calibri" w:cs="Calibri" w:eastAsia="Calibri" w:hAnsi="Calibri"/>
          <w:sz w:val="21"/>
          <w:szCs w:val="21"/>
        </w:rPr>
        <w:t xml:space="preserve">Los modelos de las dos actas —ensayo de reversibilidad y reversión— son los de los apartados B y C del </w:t>
      </w:r>
      <w:r>
        <w:rPr>
          <w:rFonts w:ascii="Calibri" w:cs="Calibri" w:eastAsia="Calibri" w:hAnsi="Calibri"/>
          <w:b/>
          <w:bCs/>
          <w:sz w:val="21"/>
          <w:szCs w:val="21"/>
        </w:rPr>
        <w:t xml:space="preserve">Anexo XVIII</w:t>
      </w:r>
      <w:r>
        <w:rPr>
          <w:rFonts w:ascii="Calibri" w:cs="Calibri" w:eastAsia="Calibri" w:hAnsi="Calibri"/>
          <w:sz w:val="21"/>
          <w:szCs w:val="21"/>
        </w:rPr>
        <w:t xml:space="preserve">. Se cumplimentan sin alterar sus columnas: son el único medio de acreditación tasado de esta cláusula.</w:t>
      </w:r>
    </w:p>
    <w:p>
      <w:pPr>
        <w:pStyle w:val="Heading3"/>
        <w:keepNext/>
        <w:spacing w:after="140" w:before="320"/>
      </w:pPr>
      <w:r>
        <w:rPr>
          <w:rFonts w:ascii="Georgia" w:cs="Georgia" w:eastAsia="Georgia" w:hAnsi="Georgia"/>
          <w:b/>
          <w:bCs/>
          <w:color w:val="2F5496"/>
          <w:sz w:val="22"/>
          <w:szCs w:val="22"/>
        </w:rPr>
        <w:t xml:space="preserve">5. Cómo se verifica</w:t>
      </w:r>
    </w:p>
    <w:p>
      <w:pPr>
        <w:spacing w:after="140" w:line="276"/>
      </w:pPr>
      <w:r>
        <w:rPr>
          <w:rFonts w:ascii="Calibri" w:cs="Calibri" w:eastAsia="Calibri" w:hAnsi="Calibri"/>
          <w:b/>
          <w:bCs/>
          <w:sz w:val="21"/>
          <w:szCs w:val="21"/>
        </w:rPr>
        <w:t xml:space="preserve">Quién:</w:t>
      </w:r>
      <w:r>
        <w:rPr>
          <w:rFonts w:ascii="Calibri" w:cs="Calibri" w:eastAsia="Calibri" w:hAnsi="Calibri"/>
          <w:sz w:val="21"/>
          <w:szCs w:val="21"/>
        </w:rPr>
        <w:t xml:space="preserve"> responsable del contrato, con el servicio de informática; el ensayo del apartado 3 lo presencia personal municipal.</w:t>
      </w:r>
    </w:p>
    <w:p>
      <w:pPr>
        <w:spacing w:after="140" w:line="276"/>
      </w:pPr>
      <w:r>
        <w:rPr>
          <w:rFonts w:ascii="Calibri" w:cs="Calibri" w:eastAsia="Calibri" w:hAnsi="Calibri"/>
          <w:b/>
          <w:bCs/>
          <w:sz w:val="21"/>
          <w:szCs w:val="21"/>
        </w:rPr>
        <w:t xml:space="preserve">Cuándo:</w:t>
      </w:r>
      <w:r>
        <w:rPr>
          <w:rFonts w:ascii="Calibri" w:cs="Calibri" w:eastAsia="Calibri" w:hAnsi="Calibri"/>
          <w:sz w:val="21"/>
          <w:szCs w:val="21"/>
        </w:rPr>
        <w:t xml:space="preserve"> Inventario, en cada puesta en producción; Plan, a los [3; se recomienda 3] meses y anualmente; ensayo, según el apartado 3; entrega y acta, en el período de reversión.</w:t>
      </w:r>
    </w:p>
    <w:p>
      <w:pPr>
        <w:spacing w:after="140" w:line="276"/>
      </w:pPr>
      <w:r>
        <w:rPr>
          <w:rFonts w:ascii="Calibri" w:cs="Calibri" w:eastAsia="Calibri" w:hAnsi="Calibri"/>
          <w:b/>
          <w:bCs/>
          <w:sz w:val="21"/>
          <w:szCs w:val="21"/>
        </w:rPr>
        <w:t xml:space="preserve">Con qué documento:</w:t>
      </w:r>
      <w:r>
        <w:rPr>
          <w:rFonts w:ascii="Calibri" w:cs="Calibri" w:eastAsia="Calibri" w:hAnsi="Calibri"/>
          <w:sz w:val="21"/>
          <w:szCs w:val="21"/>
        </w:rPr>
        <w:t xml:space="preserve"> acta de ensayo de reversibilidad y acta de reversión. Son los dos documentos que convierten esta cláusula en exigible; sin ellos, no hay nada que reclamar.</w:t>
      </w:r>
    </w:p>
    <w:p>
      <w:pPr>
        <w:spacing w:after="140" w:line="276"/>
      </w:pPr>
      <w:r>
        <w:rPr>
          <w:rFonts w:ascii="Calibri" w:cs="Calibri" w:eastAsia="Calibri" w:hAnsi="Calibri"/>
          <w:b/>
          <w:bCs/>
          <w:sz w:val="21"/>
          <w:szCs w:val="21"/>
        </w:rPr>
        <w:t xml:space="preserve">Carga estimada al año</w:t>
      </w:r>
      <w:r>
        <w:rPr>
          <w:rFonts w:ascii="Calibri" w:cs="Calibri" w:eastAsia="Calibri" w:hAnsi="Calibri"/>
          <w:sz w:val="21"/>
          <w:szCs w:val="21"/>
        </w:rPr>
        <w:t xml:space="preserve"> </w:t>
      </w:r>
      <w:r>
        <w:rPr>
          <w:rFonts w:ascii="Calibri" w:cs="Calibri" w:eastAsia="Calibri" w:hAnsi="Calibri"/>
          <w:i/>
          <w:iCs/>
          <w:sz w:val="21"/>
          <w:szCs w:val="21"/>
        </w:rPr>
        <w:t xml:space="preserve">(orientativa)</w:t>
      </w:r>
      <w:r>
        <w:rPr>
          <w:rFonts w:ascii="Calibri" w:cs="Calibri" w:eastAsia="Calibri" w:hAnsi="Calibri"/>
          <w:sz w:val="21"/>
          <w:szCs w:val="21"/>
        </w:rPr>
        <w:t xml:space="preserve">: 4 horas de revisión anual del Plan y del Inventario; 8 a 16 horas por ensayo de reversibilidad; 16 a 24 horas en el período de reversión, una sola vez por contrato. </w:t>
      </w:r>
      <w:r>
        <w:rPr>
          <w:rFonts w:ascii="Calibri" w:cs="Calibri" w:eastAsia="Calibri" w:hAnsi="Calibri"/>
          <w:b/>
          <w:bCs/>
          <w:sz w:val="21"/>
          <w:szCs w:val="21"/>
        </w:rPr>
        <w:t xml:space="preserve">En régimen ordinario, 4 a 12 horas al año.</w:t>
      </w:r>
    </w:p>
    <w:p>
      <w:pPr>
        <w:pBdr>
          <w:left w:val="single" w:color="BFBFBF" w:sz="12" w:space="8"/>
        </w:pBdr>
        <w:spacing w:after="140" w:line="264"/>
        <w:ind w:left="400"/>
      </w:pPr>
      <w:r>
        <w:rPr>
          <w:rFonts w:ascii="Georgia" w:cs="Georgia" w:eastAsia="Georgia" w:hAnsi="Georgia"/>
          <w:b/>
          <w:bCs/>
          <w:i/>
          <w:iCs/>
          <w:color w:val="595959"/>
          <w:sz w:val="20"/>
          <w:szCs w:val="20"/>
        </w:rPr>
        <w:t xml:space="preserve">Advertencia.</w:t>
      </w:r>
      <w:r>
        <w:rPr>
          <w:rFonts w:ascii="Georgia" w:cs="Georgia" w:eastAsia="Georgia" w:hAnsi="Georgia"/>
          <w:i/>
          <w:iCs/>
          <w:color w:val="595959"/>
          <w:sz w:val="20"/>
          <w:szCs w:val="20"/>
        </w:rPr>
        <w:t xml:space="preserve"> El ensayo del apartado 3 es lo único que distingue una reversibilidad real de una reversibilidad declarada. Un plan de reversión nunca probado se descubre inoperante el día en que hace falta, que es siempre el peor día posible. Si el expediente no puede comprometer las horas de personal municipal para presenciar el ensayo, la cláusula se incorpora sin él y se hace constar así en la ficha, en lugar de escribirlo y no hacerlo.</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spacing w:after="140" w:line="276"/>
      </w:pPr>
      <w:r>
        <w:rPr>
          <w:rFonts w:ascii="Calibri" w:cs="Calibri" w:eastAsia="Calibri" w:hAnsi="Calibri"/>
          <w:b/>
          <w:bCs/>
          <w:sz w:val="21"/>
          <w:szCs w:val="21"/>
        </w:rPr>
        <w:t xml:space="preserve">Obligación esencial: SÍ</w:t>
      </w:r>
      <w:r>
        <w:rPr>
          <w:rFonts w:ascii="Calibri" w:cs="Calibri" w:eastAsia="Calibri" w:hAnsi="Calibri"/>
          <w:sz w:val="21"/>
          <w:szCs w:val="21"/>
        </w:rPr>
        <w:t xml:space="preserve">, en un solo supuesto tasado: la falta de entrega de la reversibilidad completa, incluidos el Inventario de Componentes y el Dossier de Reversibilidad, en el período del apartado 4 y transcurrido un mes de subsanación desde requerimiento fehaciente. Figura como tal en la lista cerrada de ADM-6·v3, bloque B. El resto de los apartados </w:t>
      </w:r>
      <w:r>
        <w:rPr>
          <w:rFonts w:ascii="Calibri" w:cs="Calibri" w:eastAsia="Calibri" w:hAnsi="Calibri"/>
          <w:b/>
          <w:bCs/>
          <w:sz w:val="21"/>
          <w:szCs w:val="21"/>
        </w:rPr>
        <w:t xml:space="preserve">no</w:t>
      </w:r>
      <w:r>
        <w:rPr>
          <w:rFonts w:ascii="Calibri" w:cs="Calibri" w:eastAsia="Calibri" w:hAnsi="Calibri"/>
          <w:sz w:val="21"/>
          <w:szCs w:val="21"/>
        </w:rPr>
        <w:t xml:space="preserve"> son esenciales.</w:t>
      </w:r>
    </w:p>
    <w:p>
      <w:pPr>
        <w:spacing w:after="140" w:line="276"/>
      </w:pPr>
      <w:r>
        <w:rPr>
          <w:rFonts w:ascii="Calibri" w:cs="Calibri" w:eastAsia="Calibri" w:hAnsi="Calibri"/>
          <w:i/>
          <w:iCs/>
          <w:sz w:val="21"/>
          <w:szCs w:val="21"/>
        </w:rPr>
        <w:t xml:space="preserve">Tipificaciones que deben incorporarse, con su código, a la lista cerrada del apartado 3 de ADM-5·v3. El PPT no impone penalidades por sí mismo: un hecho de esta tabla que no figure allí no genera penalidad exigible.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Tipificación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Hecho verificable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Leve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Retraso no superior a [X; se recomienda 30] días en la actualización anual del Plan de Reversibilidad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Falta de entrega del Inventario de Componentes o su desactualización respecto de la versión en producción; falta de realización del ensayo del apartado 3 en el plazo previsto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Muy 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Negativa a entregar la reversibilidad; entrega incompleta o en formato no reutilizable no subsanada; negativa a mantener la licencia de continuidad del apartado 5</w:t>
            </w:r>
          </w:p>
        </w:tc>
      </w:tr>
    </w:tbl>
    <w:p>
      <w:pPr>
        <w:spacing w:after="200"/>
      </w:pP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sz w:val="21"/>
          <w:szCs w:val="21"/>
        </w:rPr>
        <w:t xml:space="preserve">Contratos que no generen datos, configuraciones ni desarrollos municipales.</w:t>
      </w:r>
    </w:p>
    <w:p>
      <w:pPr>
        <w:pStyle w:val="ListParagraph"/>
        <w:numPr>
          <w:ilvl w:val="0"/>
          <w:numId w:val="1"/>
        </w:numPr>
        <w:spacing w:after="70" w:line="268"/>
      </w:pPr>
      <w:r>
        <w:rPr>
          <w:rFonts w:ascii="Calibri" w:cs="Calibri" w:eastAsia="Calibri" w:hAnsi="Calibri"/>
          <w:sz w:val="21"/>
          <w:szCs w:val="21"/>
        </w:rPr>
        <w:t xml:space="preserve">Contratos de </w:t>
      </w:r>
      <w:r>
        <w:rPr>
          <w:rFonts w:ascii="Calibri" w:cs="Calibri" w:eastAsia="Calibri" w:hAnsi="Calibri"/>
          <w:b/>
          <w:bCs/>
          <w:sz w:val="21"/>
          <w:szCs w:val="21"/>
        </w:rPr>
        <w:t xml:space="preserve">suministro de software estándar</w:t>
      </w:r>
      <w:r>
        <w:rPr>
          <w:rFonts w:ascii="Calibri" w:cs="Calibri" w:eastAsia="Calibri" w:hAnsi="Calibri"/>
          <w:sz w:val="21"/>
          <w:szCs w:val="21"/>
        </w:rPr>
        <w:t xml:space="preserve">: conforme al criterio de la Junta Consultiva de Contratación Pública del Estado (expediente 58/18), la adquisición de programas de ordenador es contrato de suministro salvo que se trate de programas confeccionados a medida. En un suministro de producto de mercado no cabe exigir titularidad ni entrega de código; sí caben los apartados 1.a), 4, 7 y 8, referidos a los datos.</w:t>
      </w:r>
    </w:p>
    <w:p>
      <w:pPr>
        <w:pStyle w:val="ListParagraph"/>
        <w:numPr>
          <w:ilvl w:val="0"/>
          <w:numId w:val="1"/>
        </w:numPr>
        <w:spacing w:after="70" w:line="268"/>
      </w:pPr>
      <w:r>
        <w:rPr>
          <w:rFonts w:ascii="Calibri" w:cs="Calibri" w:eastAsia="Calibri" w:hAnsi="Calibri"/>
          <w:sz w:val="21"/>
          <w:szCs w:val="21"/>
        </w:rPr>
        <w:t xml:space="preserve">Contratos menores: </w:t>
      </w:r>
      <w:r>
        <w:rPr>
          <w:rFonts w:ascii="Calibri" w:cs="Calibri" w:eastAsia="Calibri" w:hAnsi="Calibri"/>
          <w:b/>
          <w:bCs/>
          <w:sz w:val="21"/>
          <w:szCs w:val="21"/>
        </w:rPr>
        <w:t xml:space="preserve">no hay pliego, y esta cláusula no se incorpora.</w:t>
      </w:r>
      <w:r>
        <w:rPr>
          <w:rFonts w:ascii="Calibri" w:cs="Calibri" w:eastAsia="Calibri" w:hAnsi="Calibri"/>
          <w:sz w:val="21"/>
          <w:szCs w:val="21"/>
        </w:rPr>
        <w:t xml:space="preserve"> Lo único que cabe en el encargo o en la aceptación de oferta es la lista cerrada de la Parte V, §7.1, cuya letra d) es la entrega de los datos y de su diccionario en formato abierto al finalizar, sin coste por la extracción.</w:t>
      </w:r>
    </w:p>
    <w:p>
      <w:pPr>
        <w:pStyle w:val="ListParagraph"/>
        <w:numPr>
          <w:ilvl w:val="0"/>
          <w:numId w:val="1"/>
        </w:numPr>
        <w:spacing w:after="70" w:line="268"/>
      </w:pPr>
      <w:r>
        <w:rPr>
          <w:rFonts w:ascii="Calibri" w:cs="Calibri" w:eastAsia="Calibri" w:hAnsi="Calibri"/>
          <w:sz w:val="21"/>
          <w:szCs w:val="21"/>
        </w:rPr>
        <w:t xml:space="preserve">Prórrogas: no se introducen obligaciones nuevas; se aplica el régimen del contrato prorrogado.</w:t>
      </w:r>
    </w:p>
    <w:p>
      <w:pPr>
        <w:pStyle w:val="ListParagraph"/>
        <w:numPr>
          <w:ilvl w:val="0"/>
          <w:numId w:val="1"/>
        </w:numPr>
        <w:spacing w:after="70" w:line="268"/>
      </w:pPr>
      <w:r>
        <w:rPr>
          <w:rFonts w:ascii="Calibri" w:cs="Calibri" w:eastAsia="Calibri" w:hAnsi="Calibri"/>
          <w:sz w:val="21"/>
          <w:szCs w:val="21"/>
        </w:rPr>
        <w:t xml:space="preserve">El apartado 5 se suprime cuando la solución sea íntegramente de titularidad municipal o de fuentes abiertas.</w:t>
      </w:r>
    </w:p>
    <w:p>
      <w:pPr>
        <w:pStyle w:val="ListParagraph"/>
        <w:numPr>
          <w:ilvl w:val="0"/>
          <w:numId w:val="1"/>
        </w:numPr>
        <w:spacing w:after="70" w:line="268"/>
      </w:pPr>
      <w:r>
        <w:rPr>
          <w:rFonts w:ascii="Calibri" w:cs="Calibri" w:eastAsia="Calibri" w:hAnsi="Calibri"/>
          <w:sz w:val="21"/>
          <w:szCs w:val="21"/>
        </w:rPr>
        <w:t xml:space="preserve">El apartado 7 se suprime cuando no haya tratamiento de datos personales por cuenta del Ayuntamiento.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II.10 · DT-9·v3 — Exigencias tecnológicas determinadas del ejercicio</w:t>
      </w:r>
    </w:p>
    <w:p>
      <w:pPr>
        <w:spacing w:after="140" w:line="276"/>
      </w:pPr>
      <w:r>
        <w:rPr>
          <w:rFonts w:ascii="Calibri" w:cs="Calibri" w:eastAsia="Calibri" w:hAnsi="Calibri"/>
          <w:i/>
          <w:iCs/>
          <w:sz w:val="21"/>
          <w:szCs w:val="21"/>
        </w:rPr>
        <w:t xml:space="preserve">(NUEVA. Contiene el </w:t>
      </w:r>
      <w:r>
        <w:rPr>
          <w:rFonts w:ascii="Calibri" w:cs="Calibri" w:eastAsia="Calibri" w:hAnsi="Calibri"/>
          <w:i/>
          <w:iCs/>
          <w:sz w:val="21"/>
          <w:szCs w:val="21"/>
        </w:rPr>
        <w:t xml:space="preserve">régimen</w:t>
      </w:r>
      <w:r>
        <w:rPr>
          <w:rFonts w:ascii="Calibri" w:cs="Calibri" w:eastAsia="Calibri" w:hAnsi="Calibri"/>
          <w:i/>
          <w:iCs/>
          <w:sz w:val="21"/>
          <w:szCs w:val="21"/>
        </w:rPr>
        <w:t xml:space="preserve">: qué se exige, cómo se acepta y qué consecuencias tiene. </w:t>
      </w:r>
      <w:r>
        <w:rPr>
          <w:rFonts w:ascii="Calibri" w:cs="Calibri" w:eastAsia="Calibri" w:hAnsi="Calibri"/>
          <w:i/>
          <w:iCs/>
          <w:sz w:val="21"/>
          <w:szCs w:val="21"/>
        </w:rPr>
        <w:t xml:space="preserve">El catálogo del ejercicio no está aquí</w:t>
      </w:r>
      <w:r>
        <w:rPr>
          <w:rFonts w:ascii="Calibri" w:cs="Calibri" w:eastAsia="Calibri" w:hAnsi="Calibri"/>
          <w:i/>
          <w:iCs/>
          <w:sz w:val="21"/>
          <w:szCs w:val="21"/>
        </w:rPr>
        <w:t xml:space="preserve">: está en el Anexo V, fechado, versionado y con circuito de aprobación propio.)</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DT-9. Exigencias tecnológicas determinadas del ejercicio.</w:t>
            </w:r>
          </w:p>
          <w:p>
            <w:pPr>
              <w:spacing w:after="100" w:line="264"/>
            </w:pPr>
            <w:r>
              <w:rPr>
                <w:rFonts w:ascii="Georgia" w:cs="Georgia" w:eastAsia="Georgia" w:hAnsi="Georgia"/>
                <w:b/>
                <w:bCs/>
                <w:sz w:val="20"/>
                <w:szCs w:val="20"/>
              </w:rPr>
              <w:t xml:space="preserve">1. Objeto y alcance.</w:t>
            </w:r>
            <w:r>
              <w:rPr>
                <w:rFonts w:ascii="Georgia" w:cs="Georgia" w:eastAsia="Georgia" w:hAnsi="Georgia"/>
                <w:sz w:val="20"/>
                <w:szCs w:val="20"/>
              </w:rPr>
              <w:t xml:space="preserve"> La solución objeto del contrato incorporará las capacidades tecnológicas relacionadas en el </w:t>
            </w:r>
            <w:r>
              <w:rPr>
                <w:rFonts w:ascii="Georgia" w:cs="Georgia" w:eastAsia="Georgia" w:hAnsi="Georgia"/>
                <w:b/>
                <w:bCs/>
                <w:sz w:val="20"/>
                <w:szCs w:val="20"/>
              </w:rPr>
              <w:t xml:space="preserve">Anexo de Exigencias Tecnológicas Determinadas, versión [núm.], de [fecha], aprobado por [órgano]</w:t>
            </w:r>
            <w:r>
              <w:rPr>
                <w:rFonts w:ascii="Georgia" w:cs="Georgia" w:eastAsia="Georgia" w:hAnsi="Georgia"/>
                <w:sz w:val="20"/>
                <w:szCs w:val="20"/>
              </w:rPr>
              <w:t xml:space="preserve">, que se transcribe íntegramente en el Apéndice [núm.] de este pliego, en los plazos y con los criterios de aceptación que en él se establecen. Dichas exigencias forman parte del alcance ordinario del contrato y se entienden retribuidas con el precio ofertado, sin que su cumplimiento dé lugar a facturación adicional ni requiera modificación contractual alguna.</w:t>
            </w:r>
          </w:p>
          <w:p>
            <w:pPr>
              <w:spacing w:after="100" w:line="264"/>
            </w:pPr>
            <w:r>
              <w:rPr>
                <w:rFonts w:ascii="Georgia" w:cs="Georgia" w:eastAsia="Georgia" w:hAnsi="Georgia"/>
                <w:b/>
                <w:bCs/>
                <w:sz w:val="20"/>
                <w:szCs w:val="20"/>
              </w:rPr>
              <w:t xml:space="preserve">2. Invariabilidad.</w:t>
            </w:r>
            <w:r>
              <w:rPr>
                <w:rFonts w:ascii="Georgia" w:cs="Georgia" w:eastAsia="Georgia" w:hAnsi="Georgia"/>
                <w:sz w:val="20"/>
                <w:szCs w:val="20"/>
              </w:rPr>
              <w:t xml:space="preserve"> El contenido del Apéndice [núm.] se determina en el momento de la licitación y </w:t>
            </w:r>
            <w:r>
              <w:rPr>
                <w:rFonts w:ascii="Georgia" w:cs="Georgia" w:eastAsia="Georgia" w:hAnsi="Georgia"/>
                <w:b/>
                <w:bCs/>
                <w:sz w:val="20"/>
                <w:szCs w:val="20"/>
              </w:rPr>
              <w:t xml:space="preserve">permanece invariable durante toda la vigencia del contrato y de sus prórrogas</w:t>
            </w:r>
            <w:r>
              <w:rPr>
                <w:rFonts w:ascii="Georgia" w:cs="Georgia" w:eastAsia="Georgia" w:hAnsi="Georgia"/>
                <w:sz w:val="20"/>
                <w:szCs w:val="20"/>
              </w:rPr>
              <w:t xml:space="preserve">. Las revisiones posteriores del Anexo de Exigencias Tecnológicas Determinadas no resultan exigibles a este contrato. Este pliego no remite a versiones futuras de dicho Anexo.</w:t>
            </w:r>
          </w:p>
          <w:p>
            <w:pPr>
              <w:spacing w:after="100" w:line="264"/>
            </w:pPr>
            <w:r>
              <w:rPr>
                <w:rFonts w:ascii="Georgia" w:cs="Georgia" w:eastAsia="Georgia" w:hAnsi="Georgia"/>
                <w:b/>
                <w:bCs/>
                <w:sz w:val="20"/>
                <w:szCs w:val="20"/>
              </w:rPr>
              <w:t xml:space="preserve">3. Agotamiento.</w:t>
            </w:r>
            <w:r>
              <w:rPr>
                <w:rFonts w:ascii="Georgia" w:cs="Georgia" w:eastAsia="Georgia" w:hAnsi="Georgia"/>
                <w:sz w:val="20"/>
                <w:szCs w:val="20"/>
              </w:rPr>
              <w:t xml:space="preserve"> Fuera del Apéndice [núm.] no existe obligación de evolución tecnológica exigible al amparo de este pliego. Lo que exceda de él se tramitará, en su caso, conforme a los artículos 203 y 204 LCSP o mediante nueva licitación.</w:t>
            </w:r>
          </w:p>
          <w:p>
            <w:pPr>
              <w:spacing w:after="100" w:line="264"/>
            </w:pPr>
            <w:r>
              <w:rPr>
                <w:rFonts w:ascii="Georgia" w:cs="Georgia" w:eastAsia="Georgia" w:hAnsi="Georgia"/>
                <w:b/>
                <w:bCs/>
                <w:sz w:val="20"/>
                <w:szCs w:val="20"/>
              </w:rPr>
              <w:t xml:space="preserve">4. Criterios de aceptación.</w:t>
            </w:r>
            <w:r>
              <w:rPr>
                <w:rFonts w:ascii="Georgia" w:cs="Georgia" w:eastAsia="Georgia" w:hAnsi="Georgia"/>
                <w:sz w:val="20"/>
                <w:szCs w:val="20"/>
              </w:rPr>
              <w:t xml:space="preserve"> Cada exigencia del Apéndice [núm.] va acompañada de criterios de aceptación </w:t>
            </w:r>
            <w:r>
              <w:rPr>
                <w:rFonts w:ascii="Georgia" w:cs="Georgia" w:eastAsia="Georgia" w:hAnsi="Georgia"/>
                <w:b/>
                <w:bCs/>
                <w:sz w:val="20"/>
                <w:szCs w:val="20"/>
              </w:rPr>
              <w:t xml:space="preserve">binarios y comprobables</w:t>
            </w:r>
            <w:r>
              <w:rPr>
                <w:rFonts w:ascii="Georgia" w:cs="Georgia" w:eastAsia="Georgia" w:hAnsi="Georgia"/>
                <w:sz w:val="20"/>
                <w:szCs w:val="20"/>
              </w:rPr>
              <w:t xml:space="preserve">, formulados de modo que su cumplimiento pueda determinarse mediante una prueba con resultado inequívoco. No se admiten criterios cuyo cumplimiento dependa de una apreciación de grado.</w:t>
            </w:r>
          </w:p>
          <w:p>
            <w:pPr>
              <w:spacing w:after="100" w:line="264"/>
            </w:pPr>
            <w:r>
              <w:rPr>
                <w:rFonts w:ascii="Georgia" w:cs="Georgia" w:eastAsia="Georgia" w:hAnsi="Georgia"/>
                <w:b/>
                <w:bCs/>
                <w:sz w:val="20"/>
                <w:szCs w:val="20"/>
              </w:rPr>
              <w:t xml:space="preserve">5. Verificación y aceptación.</w:t>
            </w:r>
            <w:r>
              <w:rPr>
                <w:rFonts w:ascii="Georgia" w:cs="Georgia" w:eastAsia="Georgia" w:hAnsi="Georgia"/>
                <w:sz w:val="20"/>
                <w:szCs w:val="20"/>
              </w:rPr>
              <w:t xml:space="preserve"> El cumplimiento de cada exigencia se verificará sobre el entorno de pruebas previsto en la cláusula DT-5, apartado 6, mediante las pruebas técnicas, funcionales y de seguridad que se estimen necesarias, y se documentará en </w:t>
            </w:r>
            <w:r>
              <w:rPr>
                <w:rFonts w:ascii="Georgia" w:cs="Georgia" w:eastAsia="Georgia" w:hAnsi="Georgia"/>
                <w:b/>
                <w:bCs/>
                <w:sz w:val="20"/>
                <w:szCs w:val="20"/>
              </w:rPr>
              <w:t xml:space="preserve">acta suscrita por el responsable del contrato</w:t>
            </w:r>
            <w:r>
              <w:rPr>
                <w:rFonts w:ascii="Georgia" w:cs="Georgia" w:eastAsia="Georgia" w:hAnsi="Georgia"/>
                <w:sz w:val="20"/>
                <w:szCs w:val="20"/>
              </w:rPr>
              <w:t xml:space="preserve">, con una fila por criterio y el resultado de cada uno. La exigencia cuya acta no recoja el resultado de todos sus criterios no se tiene por cumplida.</w:t>
            </w:r>
          </w:p>
          <w:p>
            <w:pPr>
              <w:spacing w:after="100" w:line="264"/>
            </w:pPr>
            <w:r>
              <w:rPr>
                <w:rFonts w:ascii="Georgia" w:cs="Georgia" w:eastAsia="Georgia" w:hAnsi="Georgia"/>
                <w:b/>
                <w:bCs/>
                <w:sz w:val="20"/>
                <w:szCs w:val="20"/>
              </w:rPr>
              <w:t xml:space="preserve">6. Mantenimiento de la capacidad.</w:t>
            </w:r>
            <w:r>
              <w:rPr>
                <w:rFonts w:ascii="Georgia" w:cs="Georgia" w:eastAsia="Georgia" w:hAnsi="Georgia"/>
                <w:sz w:val="20"/>
                <w:szCs w:val="20"/>
              </w:rPr>
              <w:t xml:space="preserve"> La aceptación no exime al adjudicatario de responsabilidad por defectos, errores, vulnerabilidades, incumplimientos normativos o degradación posterior de la capacidad verificada, que deberá mantenerse operativa durante el resto de la vigencia del contrato y de sus prórrogas. La degradación de una capacidad ya aceptada se tratará como incumplimiento sobrevenido de la exigencia correspondiente.</w:t>
            </w:r>
          </w:p>
          <w:p>
            <w:pPr>
              <w:spacing w:after="100" w:line="264"/>
            </w:pPr>
            <w:r>
              <w:rPr>
                <w:rFonts w:ascii="Georgia" w:cs="Georgia" w:eastAsia="Georgia" w:hAnsi="Georgia"/>
                <w:b/>
                <w:bCs/>
                <w:sz w:val="20"/>
                <w:szCs w:val="20"/>
              </w:rPr>
              <w:t xml:space="preserve">7. Versiones sucesoras.</w:t>
            </w:r>
            <w:r>
              <w:rPr>
                <w:rFonts w:ascii="Georgia" w:cs="Georgia" w:eastAsia="Georgia" w:hAnsi="Georgia"/>
                <w:sz w:val="20"/>
                <w:szCs w:val="20"/>
              </w:rPr>
              <w:t xml:space="preserve"> El adjudicatario pondrá a disposición del Ayuntamiento, sin coste adicional durante la vigencia del contrato y de sus prórrogas, las versiones sucesoras del producto contratado, con independencia de su denominación comercial, según la definición de «versión sucesora» del cuadro de definiciones de este pliego. El adjudicatario comunicará al Ayuntamiento la publicación de cada versión sucesora en el plazo de [X; se recomienda 30] días naturales desde su disponibilidad general.</w:t>
            </w:r>
          </w:p>
          <w:p>
            <w:pPr>
              <w:spacing w:after="100" w:line="264"/>
            </w:pPr>
            <w:r>
              <w:rPr>
                <w:rFonts w:ascii="Georgia" w:cs="Georgia" w:eastAsia="Georgia" w:hAnsi="Georgia"/>
                <w:b/>
                <w:bCs/>
                <w:sz w:val="20"/>
                <w:szCs w:val="20"/>
              </w:rPr>
              <w:t xml:space="preserve">8. Criterios de aceptación de aplicación general.</w:t>
            </w:r>
            <w:r>
              <w:rPr>
                <w:rFonts w:ascii="Georgia" w:cs="Georgia" w:eastAsia="Georgia" w:hAnsi="Georgia"/>
                <w:sz w:val="20"/>
                <w:szCs w:val="20"/>
              </w:rPr>
              <w:t xml:space="preserve"> Cuando el Apéndice [núm.] exija registro de la actuación de sistemas o agentes de inteligencia artificial, o mecanismos de suspensión de dicha actuación, los criterios de aceptación correspondientes serán, como mínimo, los siguientes:</w:t>
            </w:r>
          </w:p>
          <w:p>
            <w:pPr>
              <w:spacing w:after="100" w:line="264"/>
            </w:pPr>
            <w:r>
              <w:rPr>
                <w:rFonts w:ascii="Georgia" w:cs="Georgia" w:eastAsia="Georgia" w:hAnsi="Georgia"/>
                <w:b/>
                <w:bCs/>
                <w:sz w:val="20"/>
                <w:szCs w:val="20"/>
              </w:rPr>
              <w:t xml:space="preserve">8.1. Integridad verificable del registro.</w:t>
            </w:r>
            <w:r>
              <w:rPr>
                <w:rFonts w:ascii="Georgia" w:cs="Georgia" w:eastAsia="Georgia" w:hAnsi="Georgia"/>
                <w:sz w:val="20"/>
                <w:szCs w:val="20"/>
              </w:rPr>
              <w:t xml:space="preserve"> El registro incorpora, por cada asiento o por cada bloque de asientos correspondiente a un período no superior a [X; se recomienda 24] horas, un valor de integridad criptográfico encadenado con el anterior, de modo que cualquier alteración o supresión posterior de un asiento sea </w:t>
            </w:r>
            <w:r>
              <w:rPr>
                <w:rFonts w:ascii="Georgia" w:cs="Georgia" w:eastAsia="Georgia" w:hAnsi="Georgia"/>
                <w:b/>
                <w:bCs/>
                <w:sz w:val="20"/>
                <w:szCs w:val="20"/>
              </w:rPr>
              <w:t xml:space="preserve">detectable por el Ayuntamiento con herramienta propia y sin intervención del adjudicatario</w:t>
            </w:r>
            <w:r>
              <w:rPr>
                <w:rFonts w:ascii="Georgia" w:cs="Georgia" w:eastAsia="Georgia" w:hAnsi="Georgia"/>
                <w:sz w:val="20"/>
                <w:szCs w:val="20"/>
              </w:rPr>
              <w:t xml:space="preserve">. Se acredita ejecutando la verificación sobre una muestra y sobre una muestra deliberadamente alterada en el entorno de pruebas.</w:t>
            </w:r>
          </w:p>
          <w:p>
            <w:pPr>
              <w:spacing w:after="100" w:line="264"/>
            </w:pPr>
            <w:r>
              <w:rPr>
                <w:rFonts w:ascii="Georgia" w:cs="Georgia" w:eastAsia="Georgia" w:hAnsi="Georgia"/>
                <w:b/>
                <w:bCs/>
                <w:sz w:val="20"/>
                <w:szCs w:val="20"/>
              </w:rPr>
              <w:t xml:space="preserve">8.2. Retención garantizada.</w:t>
            </w:r>
            <w:r>
              <w:rPr>
                <w:rFonts w:ascii="Georgia" w:cs="Georgia" w:eastAsia="Georgia" w:hAnsi="Georgia"/>
                <w:sz w:val="20"/>
                <w:szCs w:val="20"/>
              </w:rPr>
              <w:t xml:space="preserve"> El registro se conserva por un plazo no inferior a [X; se recomienda 24] meses y no puede ser purgado antes de ese plazo mediante operación ordinaria del servicio. Se acredita mediante la configuración documentada de la política de retención y la comprobación de que la operación de purga anticipada no está disponible en los perfiles de operación.</w:t>
            </w:r>
          </w:p>
          <w:p>
            <w:pPr>
              <w:spacing w:after="100" w:line="264"/>
            </w:pPr>
            <w:r>
              <w:rPr>
                <w:rFonts w:ascii="Georgia" w:cs="Georgia" w:eastAsia="Georgia" w:hAnsi="Georgia"/>
                <w:b/>
                <w:bCs/>
                <w:sz w:val="20"/>
                <w:szCs w:val="20"/>
              </w:rPr>
              <w:t xml:space="preserve">8.3. Segregación de funciones.</w:t>
            </w:r>
            <w:r>
              <w:rPr>
                <w:rFonts w:ascii="Georgia" w:cs="Georgia" w:eastAsia="Georgia" w:hAnsi="Georgia"/>
                <w:sz w:val="20"/>
                <w:szCs w:val="20"/>
              </w:rPr>
              <w:t xml:space="preserve"> La modificación o supresión de asientos del registro requiere un perfil administrativo distinto del empleado para operar el servicio; toda actuación con ese perfil queda a su vez registrada y se notifica automáticamente al Ayuntamiento. Se acredita mediante la matriz de perfiles y una prueba de notificación.</w:t>
            </w:r>
          </w:p>
          <w:p>
            <w:pPr>
              <w:spacing w:after="100" w:line="264"/>
            </w:pPr>
            <w:r>
              <w:rPr>
                <w:rFonts w:ascii="Georgia" w:cs="Georgia" w:eastAsia="Georgia" w:hAnsi="Georgia"/>
                <w:b/>
                <w:bCs/>
                <w:sz w:val="20"/>
                <w:szCs w:val="20"/>
              </w:rPr>
              <w:t xml:space="preserve">8.4. Copia fuera del ámbito de operación.</w:t>
            </w:r>
            <w:r>
              <w:rPr>
                <w:rFonts w:ascii="Georgia" w:cs="Georgia" w:eastAsia="Georgia" w:hAnsi="Georgia"/>
                <w:sz w:val="20"/>
                <w:szCs w:val="20"/>
              </w:rPr>
              <w:t xml:space="preserve"> El registro se exporta automáticamente, con periodicidad [X; se recomienda diaria], a un repositorio designado por el Ayuntamiento, o se pone a disposición mediante interfaz que permita al Ayuntamiento extraerlo de forma autónoma. Se acredita mediante la ejecución de una exportación por personal municipal.</w:t>
            </w:r>
          </w:p>
          <w:p>
            <w:pPr>
              <w:spacing w:after="100" w:line="264"/>
            </w:pPr>
            <w:r>
              <w:rPr>
                <w:rFonts w:ascii="Georgia" w:cs="Georgia" w:eastAsia="Georgia" w:hAnsi="Georgia"/>
                <w:b/>
                <w:bCs/>
                <w:sz w:val="20"/>
                <w:szCs w:val="20"/>
              </w:rPr>
              <w:t xml:space="preserve">8.5. Suspensión accionable por el Ayuntamiento.</w:t>
            </w:r>
            <w:r>
              <w:rPr>
                <w:rFonts w:ascii="Georgia" w:cs="Georgia" w:eastAsia="Georgia" w:hAnsi="Georgia"/>
                <w:sz w:val="20"/>
                <w:szCs w:val="20"/>
              </w:rPr>
              <w:t xml:space="preserve"> Existe un control accionable con credenciales municipales, desde la interfaz de administración de la solución, que suspende la actuación de sistemas o agentes de forma total o por operación, </w:t>
            </w:r>
            <w:r>
              <w:rPr>
                <w:rFonts w:ascii="Georgia" w:cs="Georgia" w:eastAsia="Georgia" w:hAnsi="Georgia"/>
                <w:b/>
                <w:bCs/>
                <w:sz w:val="20"/>
                <w:szCs w:val="20"/>
              </w:rPr>
              <w:t xml:space="preserve">sin que sea necesaria solicitud, autorización, ticket ni actuación alguna del personal del adjudicatario</w:t>
            </w:r>
            <w:r>
              <w:rPr>
                <w:rFonts w:ascii="Georgia" w:cs="Georgia" w:eastAsia="Georgia" w:hAnsi="Georgia"/>
                <w:sz w:val="20"/>
                <w:szCs w:val="20"/>
              </w:rPr>
              <w:t xml:space="preserve">, con efecto en un plazo máximo de [X; se recomienda 5] minutos. Se acredita activando el control con usuario municipal en el entorno de pruebas y midiendo el tiempo transcurrido hasta que la siguiente invocación es rechazada.</w:t>
            </w:r>
          </w:p>
          <w:p>
            <w:pPr>
              <w:spacing w:after="100" w:line="264"/>
            </w:pPr>
            <w:r>
              <w:rPr>
                <w:rFonts w:ascii="Georgia" w:cs="Georgia" w:eastAsia="Georgia" w:hAnsi="Georgia"/>
                <w:b/>
                <w:bCs/>
                <w:sz w:val="20"/>
                <w:szCs w:val="20"/>
              </w:rPr>
              <w:t xml:space="preserve">8.6. Reversibilidad de las actuaciones.</w:t>
            </w:r>
            <w:r>
              <w:rPr>
                <w:rFonts w:ascii="Georgia" w:cs="Georgia" w:eastAsia="Georgia" w:hAnsi="Georgia"/>
                <w:sz w:val="20"/>
                <w:szCs w:val="20"/>
              </w:rPr>
              <w:t xml:space="preserve"> Toda operación ejecutada por un sistema o agente de inteligencia artificial es reversible </w:t>
            </w:r>
            <w:r>
              <w:rPr>
                <w:rFonts w:ascii="Georgia" w:cs="Georgia" w:eastAsia="Georgia" w:hAnsi="Georgia"/>
                <w:b/>
                <w:bCs/>
                <w:sz w:val="20"/>
                <w:szCs w:val="20"/>
              </w:rPr>
              <w:t xml:space="preserve">desde la propia solución</w:t>
            </w:r>
            <w:r>
              <w:rPr>
                <w:rFonts w:ascii="Georgia" w:cs="Georgia" w:eastAsia="Georgia" w:hAnsi="Georgia"/>
                <w:sz w:val="20"/>
                <w:szCs w:val="20"/>
              </w:rPr>
              <w:t xml:space="preserve">, sin intervención del personal del adjudicatario. Se acredita revirtiendo efectivamente, sobre el entorno de pruebas, al menos una operación de cada tipo, y documentándolo en acta.</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PPT. El Apéndice al que remite el apartado 1 </w:t>
      </w:r>
      <w:r>
        <w:rPr>
          <w:rFonts w:ascii="Calibri" w:cs="Calibri" w:eastAsia="Calibri" w:hAnsi="Calibri"/>
          <w:b/>
          <w:bCs/>
          <w:sz w:val="21"/>
          <w:szCs w:val="21"/>
        </w:rPr>
        <w:t xml:space="preserve">se transcribe físicamente dentro del PPT</w:t>
      </w:r>
      <w:r>
        <w:rPr>
          <w:rFonts w:ascii="Calibri" w:cs="Calibri" w:eastAsia="Calibri" w:hAnsi="Calibri"/>
          <w:sz w:val="21"/>
          <w:szCs w:val="21"/>
        </w:rPr>
        <w:t xml:space="preserve">, con número de versión, fecha y órgano aprobante. No se incorpora por remisión a un documento municipal externo: un pliego que remite a un documento que se revisa cada año es un pliego indeterminado, y ése es el primer motivo de recurso que se formula contra él.</w:t>
      </w:r>
    </w:p>
    <w:p>
      <w:pPr>
        <w:spacing w:after="140" w:line="276"/>
      </w:pPr>
      <w:r>
        <w:rPr>
          <w:rFonts w:ascii="Calibri" w:cs="Calibri" w:eastAsia="Calibri" w:hAnsi="Calibri"/>
          <w:sz w:val="21"/>
          <w:szCs w:val="21"/>
        </w:rPr>
        <w:t xml:space="preserve">El régimen de consecuencias —condición especial de ejecución, plazos, medios de acreditación tasados, esencialidad y proporcionalidad— va al </w:t>
      </w:r>
      <w:r>
        <w:rPr>
          <w:rFonts w:ascii="Calibri" w:cs="Calibri" w:eastAsia="Calibri" w:hAnsi="Calibri"/>
          <w:b/>
          <w:bCs/>
          <w:sz w:val="21"/>
          <w:szCs w:val="21"/>
        </w:rPr>
        <w:t xml:space="preserve">PCAP</w:t>
      </w:r>
      <w:r>
        <w:rPr>
          <w:rFonts w:ascii="Calibri" w:cs="Calibri" w:eastAsia="Calibri" w:hAnsi="Calibri"/>
          <w:sz w:val="21"/>
          <w:szCs w:val="21"/>
        </w:rPr>
        <w:t xml:space="preserve">, en ADM-2·v3. Esta cláusula técnica dice qué hay que entregar y cómo se acepta; no dice qué pasa si no se entrega.</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sz w:val="21"/>
          <w:szCs w:val="21"/>
        </w:rPr>
        <w:t xml:space="preserve">El problema que esta cláusula resuelve lo señalan a la vez el §M1.1 y el asesor externo: una obligación de «mantenerse actualizado» remite a una evolución del mercado que hoy se desconoce. El licitador no puede valorarla —o encarece su oferta con una provisión de riesgo, o la ignora y discutirá su alcance en ejecución— y la Administración no puede exigirla, porque acreditar en un procedimiento contradictorio que una determinada tecnología era necesaria es una apreciación técnica que no resiste a un contratista bien asesorado.</w:t>
      </w:r>
    </w:p>
    <w:p>
      <w:pPr>
        <w:spacing w:after="140" w:line="276"/>
      </w:pPr>
      <w:r>
        <w:rPr>
          <w:rFonts w:ascii="Calibri" w:cs="Calibri" w:eastAsia="Calibri" w:hAnsi="Calibri"/>
          <w:sz w:val="21"/>
          <w:szCs w:val="21"/>
        </w:rPr>
        <w:t xml:space="preserve">El anclaje legal de la solución está en dos preceptos:</w:t>
      </w:r>
    </w:p>
    <w:p>
      <w:pPr>
        <w:pStyle w:val="ListParagraph"/>
        <w:numPr>
          <w:ilvl w:val="0"/>
          <w:numId w:val="1"/>
        </w:numPr>
        <w:spacing w:after="70" w:line="268"/>
      </w:pPr>
      <w:r>
        <w:rPr>
          <w:rFonts w:ascii="Calibri" w:cs="Calibri" w:eastAsia="Calibri" w:hAnsi="Calibri"/>
          <w:b/>
          <w:bCs/>
          <w:sz w:val="21"/>
          <w:szCs w:val="21"/>
        </w:rPr>
        <w:t xml:space="preserve">Artículo 99.1 LCSP:</w:t>
      </w:r>
      <w:r>
        <w:rPr>
          <w:rFonts w:ascii="Calibri" w:cs="Calibri" w:eastAsia="Calibri" w:hAnsi="Calibri"/>
          <w:sz w:val="21"/>
          <w:szCs w:val="21"/>
        </w:rPr>
        <w:t xml:space="preserve"> el objeto «deberá ser determinado» y puede definirse «en atención a las necesidades o funcionalidades concretas que se pretenden satisfacer, sin cerrar el objeto del contrato a una solución única. En especial, se definirán de este modo en aquellos contratos en los que se estime que pueden incorporarse innovaciones tecnológicas». La ley quiere la solución abierta; exige el alcance determinado.</w:t>
      </w:r>
    </w:p>
    <w:p>
      <w:pPr>
        <w:pStyle w:val="ListParagraph"/>
        <w:numPr>
          <w:ilvl w:val="0"/>
          <w:numId w:val="1"/>
        </w:numPr>
        <w:spacing w:after="70" w:line="268"/>
      </w:pPr>
      <w:r>
        <w:rPr>
          <w:rFonts w:ascii="Calibri" w:cs="Calibri" w:eastAsia="Calibri" w:hAnsi="Calibri"/>
          <w:b/>
          <w:bCs/>
          <w:sz w:val="21"/>
          <w:szCs w:val="21"/>
        </w:rPr>
        <w:t xml:space="preserve">Artículo 126.2 LCSP:</w:t>
      </w:r>
      <w:r>
        <w:rPr>
          <w:rFonts w:ascii="Calibri" w:cs="Calibri" w:eastAsia="Calibri" w:hAnsi="Calibri"/>
          <w:sz w:val="21"/>
          <w:szCs w:val="21"/>
        </w:rPr>
        <w:t xml:space="preserve"> las prescripciones técnicas pueden referirse a «un proceso específico de otra fase de su ciclo de vida […] incluso cuando dichos factores no formen parte de la sustancia material», siempre que estén vinculados al objeto y guarden proporción con su valor y objetivos.</w:t>
      </w:r>
    </w:p>
    <w:p>
      <w:pPr>
        <w:spacing w:after="140" w:line="276"/>
      </w:pPr>
      <w:r>
        <w:rPr>
          <w:rFonts w:ascii="Calibri" w:cs="Calibri" w:eastAsia="Calibri" w:hAnsi="Calibri"/>
          <w:sz w:val="21"/>
          <w:szCs w:val="21"/>
        </w:rPr>
        <w:t xml:space="preserve">El estándar de precisión que hay que satisfacer es el del artículo 211.1.f).2.º LCSP —enumeración «precisa, clara e inequívoca», «no siendo admisibles cláusulas de tipo general»—, tal como se desprende, en materia de condiciones especiales de ejecución, de cuatro resoluciones del Tribunal Administrativo Central de Recursos Contractuales. Se citan con sus literales y sus enlaces en ADM-2·v3, epígrafe 3, y aquí sólo se identifican, con las cautelas que cada una exige:</w:t>
      </w:r>
    </w:p>
    <w:p>
      <w:pPr>
        <w:pStyle w:val="ListParagraph"/>
        <w:numPr>
          <w:ilvl w:val="0"/>
          <w:numId w:val="1"/>
        </w:numPr>
        <w:spacing w:after="70" w:line="268"/>
      </w:pPr>
      <w:r>
        <w:rPr>
          <w:rFonts w:ascii="Calibri" w:cs="Calibri" w:eastAsia="Calibri" w:hAnsi="Calibri"/>
          <w:b/>
          <w:bCs/>
          <w:sz w:val="21"/>
          <w:szCs w:val="21"/>
        </w:rPr>
        <w:t xml:space="preserve">Resolución 1071/2018, de 23 de noviembre de 2018</w:t>
      </w:r>
      <w:r>
        <w:rPr>
          <w:rFonts w:ascii="Calibri" w:cs="Calibri" w:eastAsia="Calibri" w:hAnsi="Calibri"/>
          <w:sz w:val="21"/>
          <w:szCs w:val="21"/>
        </w:rPr>
        <w:t xml:space="preserve">: una redacción «demasiado amplia y genérica» equivale a no haber establecido condición especial alguna. </w:t>
      </w:r>
      <w:r>
        <w:rPr>
          <w:rFonts w:ascii="Calibri" w:cs="Calibri" w:eastAsia="Calibri" w:hAnsi="Calibri"/>
          <w:b/>
          <w:bCs/>
          <w:sz w:val="21"/>
          <w:szCs w:val="21"/>
        </w:rPr>
        <w:t xml:space="preserve">Se cita según su reproducción literal en la Resolución 1111/2022, y no por el documento original</w:t>
      </w:r>
      <w:r>
        <w:rPr>
          <w:rFonts w:ascii="Calibri" w:cs="Calibri" w:eastAsia="Calibri" w:hAnsi="Calibri"/>
          <w:sz w:val="21"/>
          <w:szCs w:val="21"/>
        </w:rPr>
        <w:t xml:space="preserve">, que no se ha manejado.</w:t>
      </w:r>
    </w:p>
    <w:p>
      <w:pPr>
        <w:pStyle w:val="ListParagraph"/>
        <w:numPr>
          <w:ilvl w:val="0"/>
          <w:numId w:val="1"/>
        </w:numPr>
        <w:spacing w:after="70" w:line="268"/>
      </w:pPr>
      <w:r>
        <w:rPr>
          <w:rFonts w:ascii="Calibri" w:cs="Calibri" w:eastAsia="Calibri" w:hAnsi="Calibri"/>
          <w:b/>
          <w:bCs/>
          <w:sz w:val="21"/>
          <w:szCs w:val="21"/>
        </w:rPr>
        <w:t xml:space="preserve">Resolución 1111/2022 (Pleno), de 27 de septiembre de 2022, recurso 842/2022</w:t>
      </w:r>
      <w:r>
        <w:rPr>
          <w:rFonts w:ascii="Calibri" w:cs="Calibri" w:eastAsia="Calibri" w:hAnsi="Calibri"/>
          <w:sz w:val="21"/>
          <w:szCs w:val="21"/>
        </w:rPr>
        <w:t xml:space="preserve"> y </w:t>
      </w:r>
      <w:r>
        <w:rPr>
          <w:rFonts w:ascii="Calibri" w:cs="Calibri" w:eastAsia="Calibri" w:hAnsi="Calibri"/>
          <w:b/>
          <w:bCs/>
          <w:sz w:val="21"/>
          <w:szCs w:val="21"/>
        </w:rPr>
        <w:t xml:space="preserve">Resolución 1287/2022, de 20 de octubre de 2022, recurso 846/2022</w:t>
      </w:r>
      <w:r>
        <w:rPr>
          <w:rFonts w:ascii="Calibri" w:cs="Calibri" w:eastAsia="Calibri" w:hAnsi="Calibri"/>
          <w:sz w:val="21"/>
          <w:szCs w:val="21"/>
        </w:rPr>
        <w:t xml:space="preserve">: anulan cláusulas por falta de concreción.</w:t>
      </w:r>
    </w:p>
    <w:p>
      <w:pPr>
        <w:pStyle w:val="ListParagraph"/>
        <w:numPr>
          <w:ilvl w:val="0"/>
          <w:numId w:val="1"/>
        </w:numPr>
        <w:spacing w:after="70" w:line="268"/>
      </w:pPr>
      <w:r>
        <w:rPr>
          <w:rFonts w:ascii="Calibri" w:cs="Calibri" w:eastAsia="Calibri" w:hAnsi="Calibri"/>
          <w:b/>
          <w:bCs/>
          <w:sz w:val="21"/>
          <w:szCs w:val="21"/>
        </w:rPr>
        <w:t xml:space="preserve">Resolución 1113/2022, de 27 de septiembre de 2022, recurso 998/2022</w:t>
      </w:r>
      <w:r>
        <w:rPr>
          <w:rFonts w:ascii="Calibri" w:cs="Calibri" w:eastAsia="Calibri" w:hAnsi="Calibri"/>
          <w:sz w:val="21"/>
          <w:szCs w:val="21"/>
        </w:rPr>
        <w:t xml:space="preserve"> (ADIF Alta Velocidad): «las obligaciones genéricas o imprecisas no pueden configurarse como propias de un contrato […] menos aún pueden elevarse a categoría de obligaciones esenciales». </w:t>
      </w:r>
      <w:r>
        <w:rPr>
          <w:rFonts w:ascii="Calibri" w:cs="Calibri" w:eastAsia="Calibri" w:hAnsi="Calibri"/>
          <w:b/>
          <w:bCs/>
          <w:sz w:val="21"/>
          <w:szCs w:val="21"/>
        </w:rPr>
        <w:t xml:space="preserve">Cautela obligada:</w:t>
      </w:r>
      <w:r>
        <w:rPr>
          <w:rFonts w:ascii="Calibri" w:cs="Calibri" w:eastAsia="Calibri" w:hAnsi="Calibri"/>
          <w:sz w:val="21"/>
          <w:szCs w:val="21"/>
        </w:rPr>
        <w:t xml:space="preserve"> es una reclamación en sectores excluidos, resuelta bajo el Real Decreto-ley 3/2020, y el propio Tribunal advierte que la cláusula impugnada «lejos de remitir al artículo 211 de la LCSP […] remite a las generales previstas en el Derecho privado». No puede escribirse que «aplica» el artículo 211.1.f).2.º LCSP: la traslación es de materia </w:t>
      </w:r>
      <w:r>
        <w:rPr>
          <w:rFonts w:ascii="Calibri" w:cs="Calibri" w:eastAsia="Calibri" w:hAnsi="Calibri"/>
          <w:b/>
          <w:bCs/>
          <w:sz w:val="21"/>
          <w:szCs w:val="21"/>
        </w:rPr>
        <w:t xml:space="preserve">y de régimen</w:t>
      </w:r>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Las cuatro se citan como </w:t>
      </w:r>
      <w:r>
        <w:rPr>
          <w:rFonts w:ascii="Calibri" w:cs="Calibri" w:eastAsia="Calibri" w:hAnsi="Calibri"/>
          <w:b/>
          <w:bCs/>
          <w:sz w:val="21"/>
          <w:szCs w:val="21"/>
        </w:rPr>
        <w:t xml:space="preserve">doctrina general trasladada por analogía</w:t>
      </w:r>
      <w:r>
        <w:rPr>
          <w:rFonts w:ascii="Calibri" w:cs="Calibri" w:eastAsia="Calibri" w:hAnsi="Calibri"/>
          <w:sz w:val="21"/>
          <w:szCs w:val="21"/>
        </w:rPr>
        <w:t xml:space="preserve">: no existe doctrina sobre condiciones especiales de ejecución de contenido tecnológico-evolutivo, y no consta ninguna, a fecha de corte de 1 de septiembre de 2026, tras búsqueda en los repositorios de los tres tribunales citados en el apartado II.3.</w:t>
      </w:r>
    </w:p>
    <w:p>
      <w:pPr>
        <w:spacing w:after="140" w:line="276"/>
      </w:pPr>
      <w:r>
        <w:rPr>
          <w:rFonts w:ascii="Calibri" w:cs="Calibri" w:eastAsia="Calibri" w:hAnsi="Calibri"/>
          <w:b/>
          <w:bCs/>
          <w:sz w:val="21"/>
          <w:szCs w:val="21"/>
        </w:rPr>
        <w:t xml:space="preserve">Por qué el catálogo va a un anexo y no aquí.</w:t>
      </w:r>
      <w:r>
        <w:rPr>
          <w:rFonts w:ascii="Calibri" w:cs="Calibri" w:eastAsia="Calibri" w:hAnsi="Calibri"/>
          <w:sz w:val="21"/>
          <w:szCs w:val="21"/>
        </w:rPr>
        <w:t xml:space="preserve"> Si el catálogo entra en el cuerpo del clausulado, cada revisión anual obliga a reabrir y reaprobar el clausulado entero, lo que garantiza que no se revise nunca. Si el documento va entero como anexo informativo, no vincula y no sostiene ninguna consecuencia. Partirlo resuelve las dos cosas: el articulado es estable, y el catálogo es volátil, fechado y aprobado cada año sin tocar el clausulado.</w:t>
      </w:r>
    </w:p>
    <w:p>
      <w:pPr>
        <w:spacing w:after="140" w:line="276"/>
      </w:pPr>
      <w:r>
        <w:rPr>
          <w:rFonts w:ascii="Calibri" w:cs="Calibri" w:eastAsia="Calibri" w:hAnsi="Calibri"/>
          <w:b/>
          <w:bCs/>
          <w:sz w:val="21"/>
          <w:szCs w:val="21"/>
        </w:rPr>
        <w:t xml:space="preserve">Por qué se han reescrito dos criterios de aceptación.</w:t>
      </w:r>
      <w:r>
        <w:rPr>
          <w:rFonts w:ascii="Calibri" w:cs="Calibri" w:eastAsia="Calibri" w:hAnsi="Calibri"/>
          <w:sz w:val="21"/>
          <w:szCs w:val="21"/>
        </w:rPr>
        <w:t xml:space="preserve"> El catálogo de origen contenía dos criterios que, en una solución entregada como servicio y operada por el propio adjudicatario, </w:t>
      </w:r>
      <w:r>
        <w:rPr>
          <w:rFonts w:ascii="Calibri" w:cs="Calibri" w:eastAsia="Calibri" w:hAnsi="Calibri"/>
          <w:b/>
          <w:bCs/>
          <w:sz w:val="21"/>
          <w:szCs w:val="21"/>
        </w:rPr>
        <w:t xml:space="preserve">nadie puede acreditar</w:t>
      </w:r>
      <w:r>
        <w:rPr>
          <w:rFonts w:ascii="Calibri" w:cs="Calibri" w:eastAsia="Calibri" w:hAnsi="Calibri"/>
          <w:sz w:val="21"/>
          <w:szCs w:val="21"/>
        </w:rPr>
        <w:t xml:space="preserve">: que el registro sea «inalterable por el propio adjudicatario» y que la suspensión sea «accionable sin intervención del adjudicatario». Quien opera la infraestructura tiene, por definición, acceso administrativo a ella; y la suspensión se ejecuta sobre infraestructura suya. Un criterio de aceptación que nadie puede acreditar no protege: restringe, porque expulsa de la licitación a todo el mercado que opera en modalidad de servicio, o bien genera un incumplimiento generalizado desde el primer año.</w:t>
      </w:r>
    </w:p>
    <w:p>
      <w:pPr>
        <w:spacing w:after="140" w:line="276"/>
      </w:pPr>
      <w:r>
        <w:rPr>
          <w:rFonts w:ascii="Calibri" w:cs="Calibri" w:eastAsia="Calibri" w:hAnsi="Calibri"/>
          <w:sz w:val="21"/>
          <w:szCs w:val="21"/>
        </w:rPr>
        <w:t xml:space="preserve">El apartado 8 los sustituye por exigencias que sí son exigibles y sí son acreditables, y que consiguen el mismo efecto material:</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Criterio de origen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Problema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Sustitución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«Registro inalterable por el propio adjudicatario»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Imposible en un servicio operado por el adjudicatario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8.1 integridad verificable</w:t>
            </w:r>
            <w:r>
              <w:rPr>
                <w:rFonts w:ascii="Calibri" w:cs="Calibri" w:eastAsia="Calibri" w:hAnsi="Calibri"/>
                <w:b w:val="false"/>
                <w:bCs w:val="false"/>
                <w:sz w:val="18"/>
                <w:szCs w:val="18"/>
              </w:rPr>
              <w:t xml:space="preserve"> (la alteración es detectable por el Ayuntamiento) + </w:t>
            </w:r>
            <w:r>
              <w:rPr>
                <w:rFonts w:ascii="Calibri" w:cs="Calibri" w:eastAsia="Calibri" w:hAnsi="Calibri"/>
                <w:b/>
                <w:bCs/>
                <w:sz w:val="18"/>
                <w:szCs w:val="18"/>
              </w:rPr>
              <w:t xml:space="preserve">8.2 retención garantizada</w:t>
            </w:r>
            <w:r>
              <w:rPr>
                <w:rFonts w:ascii="Calibri" w:cs="Calibri" w:eastAsia="Calibri" w:hAnsi="Calibri"/>
                <w:b w:val="false"/>
                <w:bCs w:val="false"/>
                <w:sz w:val="18"/>
                <w:szCs w:val="18"/>
              </w:rPr>
              <w:t xml:space="preserve"> + </w:t>
            </w:r>
            <w:r>
              <w:rPr>
                <w:rFonts w:ascii="Calibri" w:cs="Calibri" w:eastAsia="Calibri" w:hAnsi="Calibri"/>
                <w:b/>
                <w:bCs/>
                <w:sz w:val="18"/>
                <w:szCs w:val="18"/>
              </w:rPr>
              <w:t xml:space="preserve">8.3 segregación de funciones</w:t>
            </w:r>
            <w:r>
              <w:rPr>
                <w:rFonts w:ascii="Calibri" w:cs="Calibri" w:eastAsia="Calibri" w:hAnsi="Calibri"/>
                <w:b w:val="false"/>
                <w:bCs w:val="false"/>
                <w:sz w:val="18"/>
                <w:szCs w:val="18"/>
              </w:rPr>
              <w:t xml:space="preserve"> (alterar exige un perfil distinto y queda registrado y notificado) + </w:t>
            </w:r>
            <w:r>
              <w:rPr>
                <w:rFonts w:ascii="Calibri" w:cs="Calibri" w:eastAsia="Calibri" w:hAnsi="Calibri"/>
                <w:b/>
                <w:bCs/>
                <w:sz w:val="18"/>
                <w:szCs w:val="18"/>
              </w:rPr>
              <w:t xml:space="preserve">8.4 copia fuera del ámbito de operación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«Suspensión accionable sin intervención del adjudicatario»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Ambiguo: la infraestructura es suya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8.5</w:t>
            </w:r>
            <w:r>
              <w:rPr>
                <w:rFonts w:ascii="Calibri" w:cs="Calibri" w:eastAsia="Calibri" w:hAnsi="Calibri"/>
                <w:b w:val="false"/>
                <w:bCs w:val="false"/>
                <w:sz w:val="18"/>
                <w:szCs w:val="18"/>
              </w:rPr>
              <w:t xml:space="preserve">: sin que sea necesaria </w:t>
            </w:r>
            <w:r>
              <w:rPr>
                <w:rFonts w:ascii="Calibri" w:cs="Calibri" w:eastAsia="Calibri" w:hAnsi="Calibri"/>
                <w:b/>
                <w:bCs/>
                <w:sz w:val="18"/>
                <w:szCs w:val="18"/>
              </w:rPr>
              <w:t xml:space="preserve">solicitud, autorización, ticket ni actuación alguna del personal</w:t>
            </w:r>
            <w:r>
              <w:rPr>
                <w:rFonts w:ascii="Calibri" w:cs="Calibri" w:eastAsia="Calibri" w:hAnsi="Calibri"/>
                <w:b w:val="false"/>
                <w:bCs w:val="false"/>
                <w:sz w:val="18"/>
                <w:szCs w:val="18"/>
              </w:rPr>
              <w:t xml:space="preserve"> del adjudicatario, con tiempo máximo de efecto medible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«Reversibles, o consta el procedimiento documentado para revertir»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disyuntiva permitía cumplir con un documento sin prueba, y un criterio de aceptación con disyuntiva no es binario, contra el apartado 4 de esta misma cláusula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8.6</w:t>
            </w:r>
            <w:r>
              <w:rPr>
                <w:rFonts w:ascii="Calibri" w:cs="Calibri" w:eastAsia="Calibri" w:hAnsi="Calibri"/>
                <w:b w:val="false"/>
                <w:bCs w:val="false"/>
                <w:sz w:val="18"/>
                <w:szCs w:val="18"/>
              </w:rPr>
              <w:t xml:space="preserve">: </w:t>
            </w:r>
            <w:r>
              <w:rPr>
                <w:rFonts w:ascii="Calibri" w:cs="Calibri" w:eastAsia="Calibri" w:hAnsi="Calibri"/>
                <w:b/>
                <w:bCs/>
                <w:sz w:val="18"/>
                <w:szCs w:val="18"/>
              </w:rPr>
              <w:t xml:space="preserve">se elimina la alternativa documental</w:t>
            </w:r>
            <w:r>
              <w:rPr>
                <w:rFonts w:ascii="Calibri" w:cs="Calibri" w:eastAsia="Calibri" w:hAnsi="Calibri"/>
                <w:b w:val="false"/>
                <w:bCs w:val="false"/>
                <w:sz w:val="18"/>
                <w:szCs w:val="18"/>
              </w:rPr>
              <w:t xml:space="preserve">. La reversión se ejecuta desde la propia solución y se acredita revirtiendo efectivamente una operación de cada tipo. Es la misma exigencia que el criterio 4 de ET-2 del Anexo V —reversión desde la propia solución, acreditada revirtiendo efectivamente una operación de cada tipo—, y ninguna de las dos puede admitir la alternativa documental que aquí se suprime</w:t>
            </w:r>
          </w:p>
        </w:tc>
      </w:tr>
    </w:tbl>
    <w:p>
      <w:pPr>
        <w:spacing w:after="200"/>
      </w:pPr>
    </w:p>
    <w:p>
      <w:pPr>
        <w:spacing w:after="140" w:line="276"/>
      </w:pPr>
      <w:r>
        <w:rPr>
          <w:rFonts w:ascii="Calibri" w:cs="Calibri" w:eastAsia="Calibri" w:hAnsi="Calibri"/>
          <w:b/>
          <w:bCs/>
          <w:sz w:val="21"/>
          <w:szCs w:val="21"/>
        </w:rPr>
        <w:t xml:space="preserve">Advertencia de expediente, obligatoria.</w:t>
      </w:r>
      <w:r>
        <w:rPr>
          <w:rFonts w:ascii="Calibri" w:cs="Calibri" w:eastAsia="Calibri" w:hAnsi="Calibri"/>
          <w:sz w:val="21"/>
          <w:szCs w:val="21"/>
        </w:rPr>
        <w:t xml:space="preserve"> Antes de incorporar el Apéndice a un pliego concreto, su contenido debe contrastarse con el mercado de la tipología de solución de que se trate, y ese contraste debe constar motivado en el expediente. Una exigencia que ningún proveedor del sector pueda cumplir en el plazo previsto no protege al Ayuntamiento: reduce la concurrencia o genera un incumplimiento generalizado desde el primer año. Ese contraste es el mismo trabajo que la consulta preliminar del mercado del artículo 115 LCSP: </w:t>
      </w:r>
      <w:r>
        <w:rPr>
          <w:rFonts w:ascii="Calibri" w:cs="Calibri" w:eastAsia="Calibri" w:hAnsi="Calibri"/>
          <w:b/>
          <w:bCs/>
          <w:sz w:val="21"/>
          <w:szCs w:val="21"/>
        </w:rPr>
        <w:t xml:space="preserve">hágase una vez al año, al aprobar el Anexo V, y reutilícese en cada expediente.</w:t>
      </w:r>
      <w:r>
        <w:rPr>
          <w:rFonts w:ascii="Calibri" w:cs="Calibri" w:eastAsia="Calibri" w:hAnsi="Calibri"/>
          <w:sz w:val="21"/>
          <w:szCs w:val="21"/>
        </w:rPr>
        <w:t xml:space="preserve"> Hacerlo por expediente es inasumible para un servicio de contratación, y quien lo intente acabará no haciéndolo.</w:t>
      </w:r>
    </w:p>
    <w:p>
      <w:pPr>
        <w:spacing w:after="140" w:line="276"/>
      </w:pPr>
      <w:r>
        <w:rPr>
          <w:rFonts w:ascii="Calibri" w:cs="Calibri" w:eastAsia="Calibri" w:hAnsi="Calibri"/>
          <w:b/>
          <w:bCs/>
          <w:sz w:val="21"/>
          <w:szCs w:val="21"/>
        </w:rPr>
        <w:t xml:space="preserve">Advertencia sobre el efecto de convertir una capacidad en requisito.</w:t>
      </w:r>
      <w:r>
        <w:rPr>
          <w:rFonts w:ascii="Calibri" w:cs="Calibri" w:eastAsia="Calibri" w:hAnsi="Calibri"/>
          <w:sz w:val="21"/>
          <w:szCs w:val="21"/>
        </w:rPr>
        <w:t xml:space="preserve"> Trasladar una capacidad tecnológica desde el baremo, donde se compensaba con otros criterios, hasta la categoría de requisito obligatorio con consecuencias, </w:t>
      </w:r>
      <w:r>
        <w:rPr>
          <w:rFonts w:ascii="Calibri" w:cs="Calibri" w:eastAsia="Calibri" w:hAnsi="Calibri"/>
          <w:b/>
          <w:bCs/>
          <w:sz w:val="21"/>
          <w:szCs w:val="21"/>
        </w:rPr>
        <w:t xml:space="preserve">agrava</w:t>
      </w:r>
      <w:r>
        <w:rPr>
          <w:rFonts w:ascii="Calibri" w:cs="Calibri" w:eastAsia="Calibri" w:hAnsi="Calibri"/>
          <w:sz w:val="21"/>
          <w:szCs w:val="21"/>
        </w:rPr>
        <w:t xml:space="preserve"> la restricción en lugar de reducirla: antes se podía licitar sin ella y perder puntos; ahora no se puede licitar. Es una decisión legítima, pero hay que tomarla a sabiendas y motivarla en la memoria, y es la razón por la que el contraste de mercado del párrafo anterior no es una recomendación.</w:t>
      </w:r>
    </w:p>
    <w:p>
      <w:pPr>
        <w:pStyle w:val="Heading3"/>
        <w:keepNext/>
        <w:spacing w:after="140" w:before="320"/>
      </w:pPr>
      <w:r>
        <w:rPr>
          <w:rFonts w:ascii="Georgia" w:cs="Georgia" w:eastAsia="Georgia" w:hAnsi="Georgia"/>
          <w:b/>
          <w:bCs/>
          <w:color w:val="2F5496"/>
          <w:sz w:val="22"/>
          <w:szCs w:val="22"/>
        </w:rPr>
        <w:t xml:space="preserve">4. Cómo se acredita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Elemento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Medio de acreditación tasado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Cumplimiento de cada exigencia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Acta de aceptación</w:t>
            </w:r>
            <w:r>
              <w:rPr>
                <w:rFonts w:ascii="Calibri" w:cs="Calibri" w:eastAsia="Calibri" w:hAnsi="Calibri"/>
                <w:b w:val="false"/>
                <w:bCs w:val="false"/>
                <w:sz w:val="18"/>
                <w:szCs w:val="18"/>
              </w:rPr>
              <w:t xml:space="preserve"> con una fila por criterio y resultado binario, ejecutada sobre el entorno de pruebas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Integridad del registro (8.1)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Verificación sobre muestra íntegra y sobre muestra alterada, ejecutada por personal municipal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Retención (8.2)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Configuración documentada y comprobación de perfiles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Segregación (8.3)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Matriz de perfiles y prueba de notificación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Copia externa (8.4)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Exportación ejecutada por personal municipal, con el fichero resultante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Suspensión (8.5)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Activación por personal municipal con medición del tiempo de efecto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Reversión (8.6)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Reversión ejecutada sobre el entorno de pruebas, documentada en acta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Versión sucesora (ap. 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Certificado o nota técnica del fabricante, o publicación del catálogo del fabricante, o ruta de migración publicada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Mantenimiento (ap. 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Repetición de la prueba de aceptación en la revisión anual</w:t>
            </w:r>
          </w:p>
        </w:tc>
      </w:tr>
    </w:tbl>
    <w:p>
      <w:pPr>
        <w:spacing w:after="200"/>
      </w:pPr>
    </w:p>
    <w:p>
      <w:pPr>
        <w:spacing w:after="140" w:line="276"/>
      </w:pPr>
      <w:r>
        <w:rPr>
          <w:rFonts w:ascii="Calibri" w:cs="Calibri" w:eastAsia="Calibri" w:hAnsi="Calibri"/>
          <w:sz w:val="21"/>
          <w:szCs w:val="21"/>
        </w:rPr>
        <w:t xml:space="preserve">La ausencia de estos medios </w:t>
      </w:r>
      <w:r>
        <w:rPr>
          <w:rFonts w:ascii="Calibri" w:cs="Calibri" w:eastAsia="Calibri" w:hAnsi="Calibri"/>
          <w:b/>
          <w:bCs/>
          <w:sz w:val="21"/>
          <w:szCs w:val="21"/>
        </w:rPr>
        <w:t xml:space="preserve">no puede suplirse por apreciación discrecional</w:t>
      </w:r>
      <w:r>
        <w:rPr>
          <w:rFonts w:ascii="Calibri" w:cs="Calibri" w:eastAsia="Calibri" w:hAnsi="Calibri"/>
          <w:sz w:val="21"/>
          <w:szCs w:val="21"/>
        </w:rPr>
        <w:t xml:space="preserve"> del órgano de contratación. Es la regla que hace exigible el conjunto: si no hay acta, no hay incumplimiento acreditado, y tampoco hay cumplimiento acreditado.</w:t>
      </w:r>
    </w:p>
    <w:p>
      <w:pPr>
        <w:pStyle w:val="Heading3"/>
        <w:keepNext/>
        <w:spacing w:after="140" w:before="320"/>
      </w:pPr>
      <w:r>
        <w:rPr>
          <w:rFonts w:ascii="Georgia" w:cs="Georgia" w:eastAsia="Georgia" w:hAnsi="Georgia"/>
          <w:b/>
          <w:bCs/>
          <w:color w:val="2F5496"/>
          <w:sz w:val="22"/>
          <w:szCs w:val="22"/>
        </w:rPr>
        <w:t xml:space="preserve">5. Cómo se verifica</w:t>
      </w:r>
    </w:p>
    <w:p>
      <w:pPr>
        <w:spacing w:after="140" w:line="276"/>
      </w:pPr>
      <w:r>
        <w:rPr>
          <w:rFonts w:ascii="Calibri" w:cs="Calibri" w:eastAsia="Calibri" w:hAnsi="Calibri"/>
          <w:b/>
          <w:bCs/>
          <w:sz w:val="21"/>
          <w:szCs w:val="21"/>
        </w:rPr>
        <w:t xml:space="preserve">Quién:</w:t>
      </w:r>
      <w:r>
        <w:rPr>
          <w:rFonts w:ascii="Calibri" w:cs="Calibri" w:eastAsia="Calibri" w:hAnsi="Calibri"/>
          <w:sz w:val="21"/>
          <w:szCs w:val="21"/>
        </w:rPr>
        <w:t xml:space="preserve"> responsable del contrato, con el servicio de informática; para las exigencias que afecten a información económico-financiera, con presencia del órgano interventor.</w:t>
      </w:r>
    </w:p>
    <w:p>
      <w:pPr>
        <w:spacing w:after="140" w:line="276"/>
      </w:pPr>
      <w:r>
        <w:rPr>
          <w:rFonts w:ascii="Calibri" w:cs="Calibri" w:eastAsia="Calibri" w:hAnsi="Calibri"/>
          <w:b/>
          <w:bCs/>
          <w:sz w:val="21"/>
          <w:szCs w:val="21"/>
        </w:rPr>
        <w:t xml:space="preserve">Cuándo:</w:t>
      </w:r>
      <w:r>
        <w:rPr>
          <w:rFonts w:ascii="Calibri" w:cs="Calibri" w:eastAsia="Calibri" w:hAnsi="Calibri"/>
          <w:sz w:val="21"/>
          <w:szCs w:val="21"/>
        </w:rPr>
        <w:t xml:space="preserve"> prueba de aceptación al vencimiento del plazo de cada exigencia; repetición anual de una muestra de criterios, para comprobar el apartado 6.</w:t>
      </w:r>
    </w:p>
    <w:p>
      <w:pPr>
        <w:spacing w:after="140" w:line="276"/>
      </w:pPr>
      <w:r>
        <w:rPr>
          <w:rFonts w:ascii="Calibri" w:cs="Calibri" w:eastAsia="Calibri" w:hAnsi="Calibri"/>
          <w:b/>
          <w:bCs/>
          <w:sz w:val="21"/>
          <w:szCs w:val="21"/>
        </w:rPr>
        <w:t xml:space="preserve">Con qué documento:</w:t>
      </w:r>
      <w:r>
        <w:rPr>
          <w:rFonts w:ascii="Calibri" w:cs="Calibri" w:eastAsia="Calibri" w:hAnsi="Calibri"/>
          <w:sz w:val="21"/>
          <w:szCs w:val="21"/>
        </w:rPr>
        <w:t xml:space="preserve"> acta de aceptación por exigencia, y punto en el acta anual de la Comisión de Seguimiento (ADM-4·v3) que deja constancia de la vigencia de las capacidades aceptadas.</w:t>
      </w:r>
    </w:p>
    <w:p>
      <w:pPr>
        <w:spacing w:after="140" w:line="276"/>
      </w:pPr>
      <w:r>
        <w:rPr>
          <w:rFonts w:ascii="Calibri" w:cs="Calibri" w:eastAsia="Calibri" w:hAnsi="Calibri"/>
          <w:b/>
          <w:bCs/>
          <w:sz w:val="21"/>
          <w:szCs w:val="21"/>
        </w:rPr>
        <w:t xml:space="preserve">Carga estimada al año</w:t>
      </w:r>
      <w:r>
        <w:rPr>
          <w:rFonts w:ascii="Calibri" w:cs="Calibri" w:eastAsia="Calibri" w:hAnsi="Calibri"/>
          <w:sz w:val="21"/>
          <w:szCs w:val="21"/>
        </w:rPr>
        <w:t xml:space="preserve"> </w:t>
      </w:r>
      <w:r>
        <w:rPr>
          <w:rFonts w:ascii="Calibri" w:cs="Calibri" w:eastAsia="Calibri" w:hAnsi="Calibri"/>
          <w:i/>
          <w:iCs/>
          <w:sz w:val="21"/>
          <w:szCs w:val="21"/>
        </w:rPr>
        <w:t xml:space="preserve">(orientativa)</w:t>
      </w:r>
      <w:r>
        <w:rPr>
          <w:rFonts w:ascii="Calibri" w:cs="Calibri" w:eastAsia="Calibri" w:hAnsi="Calibri"/>
          <w:sz w:val="21"/>
          <w:szCs w:val="21"/>
        </w:rPr>
        <w:t xml:space="preserve">: 8 a 12 horas por exigencia aceptada; 4 horas de comprobación anual. Con tres exigencias en el primer año: </w:t>
      </w:r>
      <w:r>
        <w:rPr>
          <w:rFonts w:ascii="Calibri" w:cs="Calibri" w:eastAsia="Calibri" w:hAnsi="Calibri"/>
          <w:b/>
          <w:bCs/>
          <w:sz w:val="21"/>
          <w:szCs w:val="21"/>
        </w:rPr>
        <w:t xml:space="preserve">28 a 40 horas el primer año y 4 a 8 en los siguientes.</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spacing w:after="140" w:line="276"/>
      </w:pPr>
      <w:r>
        <w:rPr>
          <w:rFonts w:ascii="Calibri" w:cs="Calibri" w:eastAsia="Calibri" w:hAnsi="Calibri"/>
          <w:b/>
          <w:bCs/>
          <w:sz w:val="21"/>
          <w:szCs w:val="21"/>
        </w:rPr>
        <w:t xml:space="preserve">Obligación esencial: SÍ, condicionadamente</w:t>
      </w:r>
      <w:r>
        <w:rPr>
          <w:rFonts w:ascii="Calibri" w:cs="Calibri" w:eastAsia="Calibri" w:hAnsi="Calibri"/>
          <w:sz w:val="21"/>
          <w:szCs w:val="21"/>
        </w:rPr>
        <w:t xml:space="preserve">, en un solo supuesto tasado y con las mismas dos cautelas de DT-7·v3: la falta de implantación de una exigencia del Apéndice transcurrido su plazo más un mes de subsanación desde requerimiento fehaciente figura en la lista cerrada de ADM-6·v3, bloque B, </w:t>
      </w:r>
      <w:r>
        <w:rPr>
          <w:rFonts w:ascii="Calibri" w:cs="Calibri" w:eastAsia="Calibri" w:hAnsi="Calibri"/>
          <w:b/>
          <w:bCs/>
          <w:sz w:val="21"/>
          <w:szCs w:val="21"/>
        </w:rPr>
        <w:t xml:space="preserve">siempre que</w:t>
      </w:r>
      <w:r>
        <w:rPr>
          <w:rFonts w:ascii="Calibri" w:cs="Calibri" w:eastAsia="Calibri" w:hAnsi="Calibri"/>
          <w:sz w:val="21"/>
          <w:szCs w:val="21"/>
        </w:rPr>
        <w:t xml:space="preserve"> la exigencia recaiga sobre una parte nuclear del objeto y la memoria justifique la proporcionalidad de anudarle la resolución. En otro caso, la obligación </w:t>
      </w:r>
      <w:r>
        <w:rPr>
          <w:rFonts w:ascii="Calibri" w:cs="Calibri" w:eastAsia="Calibri" w:hAnsi="Calibri"/>
          <w:b/>
          <w:bCs/>
          <w:sz w:val="21"/>
          <w:szCs w:val="21"/>
        </w:rPr>
        <w:t xml:space="preserve">no</w:t>
      </w:r>
      <w:r>
        <w:rPr>
          <w:rFonts w:ascii="Calibri" w:cs="Calibri" w:eastAsia="Calibri" w:hAnsi="Calibri"/>
          <w:sz w:val="21"/>
          <w:szCs w:val="21"/>
        </w:rPr>
        <w:t xml:space="preserve"> es esencial y su incumplimiento genera penalidad.</w:t>
      </w:r>
    </w:p>
    <w:p>
      <w:pPr>
        <w:spacing w:after="140" w:line="276"/>
      </w:pPr>
      <w:r>
        <w:rPr>
          <w:rFonts w:ascii="Calibri" w:cs="Calibri" w:eastAsia="Calibri" w:hAnsi="Calibri"/>
          <w:i/>
          <w:iCs/>
          <w:sz w:val="21"/>
          <w:szCs w:val="21"/>
        </w:rPr>
        <w:t xml:space="preserve">Tipificaciones que deben incorporarse, con su código, a la lista cerrada del apartado 3 de ADM-5·v3. El PPT no impone penalidades por sí mismo: un hecho de esta tabla que no figure allí no genera penalidad exigible.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Tipificación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Hecho verificable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Leve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Retraso no superior a [X; se recomienda 15] días en la comunicación de una versión sucesora (ap. 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Incumplimiento del plazo de una exigencia del Apéndice sin causa justificada; falta de un criterio de aceptación en el acta; degradación de una capacidad aceptada, no subsanada en [X; se recomienda 30] días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Muy 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Falta de implantación de una exigencia transcurrido el plazo más el mes de subsanación; falta de puesta a disposición de una versión sucesora en los términos del apartado 7</w:t>
            </w:r>
          </w:p>
        </w:tc>
      </w:tr>
    </w:tbl>
    <w:p>
      <w:pPr>
        <w:spacing w:after="200"/>
      </w:pPr>
    </w:p>
    <w:p>
      <w:pPr>
        <w:spacing w:after="140" w:line="276"/>
      </w:pPr>
      <w:r>
        <w:rPr>
          <w:rFonts w:ascii="Calibri" w:cs="Calibri" w:eastAsia="Calibri" w:hAnsi="Calibri"/>
          <w:b/>
          <w:bCs/>
          <w:sz w:val="21"/>
          <w:szCs w:val="21"/>
        </w:rPr>
        <w:t xml:space="preserve">Cautela sobre el apartado 7.</w:t>
      </w:r>
      <w:r>
        <w:rPr>
          <w:rFonts w:ascii="Calibri" w:cs="Calibri" w:eastAsia="Calibri" w:hAnsi="Calibri"/>
          <w:sz w:val="21"/>
          <w:szCs w:val="21"/>
        </w:rPr>
        <w:t xml:space="preserve"> Anudar consecuencias a que el fabricante publique o no una versión sucesora traslada al adjudicatario el riesgo del comportamiento de un tercero. Por eso la obligación del apartado 7 se formula como </w:t>
      </w:r>
      <w:r>
        <w:rPr>
          <w:rFonts w:ascii="Calibri" w:cs="Calibri" w:eastAsia="Calibri" w:hAnsi="Calibri"/>
          <w:b/>
          <w:bCs/>
          <w:sz w:val="21"/>
          <w:szCs w:val="21"/>
        </w:rPr>
        <w:t xml:space="preserve">poner a disposición</w:t>
      </w:r>
      <w:r>
        <w:rPr>
          <w:rFonts w:ascii="Calibri" w:cs="Calibri" w:eastAsia="Calibri" w:hAnsi="Calibri"/>
          <w:sz w:val="21"/>
          <w:szCs w:val="21"/>
        </w:rPr>
        <w:t xml:space="preserve"> lo que el fabricante publique, no como obtener del fabricante que publique algo. Redactada de otro modo, configura una responsabilidad objetiva por hecho ajeno que es incompatible con el régimen de incumplimiento culpable, y un letrado de licitador lo alegará en primer lugar.</w:t>
      </w: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b/>
          <w:bCs/>
          <w:sz w:val="21"/>
          <w:szCs w:val="21"/>
        </w:rPr>
        <w:t xml:space="preserve">Cuando no exista Anexo de Exigencias Tecnológicas Determinadas vigente, aprobado, fechado y versionado por órgano competente identificado.</w:t>
      </w:r>
      <w:r>
        <w:rPr>
          <w:rFonts w:ascii="Calibri" w:cs="Calibri" w:eastAsia="Calibri" w:hAnsi="Calibri"/>
          <w:sz w:val="21"/>
          <w:szCs w:val="21"/>
        </w:rPr>
        <w:t xml:space="preserve"> Sin él, no hay nada que transcribir y la cláusula no se incorpora.</w:t>
      </w:r>
    </w:p>
    <w:p>
      <w:pPr>
        <w:pStyle w:val="ListParagraph"/>
        <w:numPr>
          <w:ilvl w:val="0"/>
          <w:numId w:val="1"/>
        </w:numPr>
        <w:spacing w:after="70" w:line="268"/>
      </w:pPr>
      <w:r>
        <w:rPr>
          <w:rFonts w:ascii="Calibri" w:cs="Calibri" w:eastAsia="Calibri" w:hAnsi="Calibri"/>
          <w:b/>
          <w:bCs/>
          <w:sz w:val="21"/>
          <w:szCs w:val="21"/>
        </w:rPr>
        <w:t xml:space="preserve">Cuando no conste en el expediente el contraste de mercado documentado</w:t>
      </w:r>
      <w:r>
        <w:rPr>
          <w:rFonts w:ascii="Calibri" w:cs="Calibri" w:eastAsia="Calibri" w:hAnsi="Calibri"/>
          <w:sz w:val="21"/>
          <w:szCs w:val="21"/>
        </w:rPr>
        <w:t xml:space="preserve"> para la tipología de solución de que se trate.</w:t>
      </w:r>
    </w:p>
    <w:p>
      <w:pPr>
        <w:pStyle w:val="ListParagraph"/>
        <w:numPr>
          <w:ilvl w:val="0"/>
          <w:numId w:val="1"/>
        </w:numPr>
        <w:spacing w:after="70" w:line="268"/>
      </w:pPr>
      <w:r>
        <w:rPr>
          <w:rFonts w:ascii="Calibri" w:cs="Calibri" w:eastAsia="Calibri" w:hAnsi="Calibri"/>
          <w:sz w:val="21"/>
          <w:szCs w:val="21"/>
        </w:rPr>
        <w:t xml:space="preserve">Contratos cuyo objeto no sea una solución tecnológica susceptible de incorporar las capacidades del Anexo.</w:t>
      </w:r>
    </w:p>
    <w:p>
      <w:pPr>
        <w:pStyle w:val="ListParagraph"/>
        <w:numPr>
          <w:ilvl w:val="0"/>
          <w:numId w:val="1"/>
        </w:numPr>
        <w:spacing w:after="70" w:line="268"/>
      </w:pPr>
      <w:r>
        <w:rPr>
          <w:rFonts w:ascii="Calibri" w:cs="Calibri" w:eastAsia="Calibri" w:hAnsi="Calibri"/>
          <w:sz w:val="21"/>
          <w:szCs w:val="21"/>
        </w:rPr>
        <w:t xml:space="preserve">Contratos menores: desproporcionado por cuantía y por carga de verificación.</w:t>
      </w:r>
    </w:p>
    <w:p>
      <w:pPr>
        <w:pStyle w:val="ListParagraph"/>
        <w:numPr>
          <w:ilvl w:val="0"/>
          <w:numId w:val="1"/>
        </w:numPr>
        <w:spacing w:after="70" w:line="268"/>
      </w:pPr>
      <w:r>
        <w:rPr>
          <w:rFonts w:ascii="Calibri" w:cs="Calibri" w:eastAsia="Calibri" w:hAnsi="Calibri"/>
          <w:sz w:val="21"/>
          <w:szCs w:val="21"/>
        </w:rPr>
        <w:t xml:space="preserve">Contratos basados en acuerdo marco y adhesiones a centrales de compra: sólo si el instrumento admite añadir prescripciones. Habitualmente no lo admite; hágase constar en la ficha.</w:t>
      </w:r>
    </w:p>
    <w:p>
      <w:pPr>
        <w:pStyle w:val="ListParagraph"/>
        <w:numPr>
          <w:ilvl w:val="0"/>
          <w:numId w:val="1"/>
        </w:numPr>
        <w:spacing w:after="70" w:line="268"/>
      </w:pPr>
      <w:r>
        <w:rPr>
          <w:rFonts w:ascii="Calibri" w:cs="Calibri" w:eastAsia="Calibri" w:hAnsi="Calibri"/>
          <w:sz w:val="21"/>
          <w:szCs w:val="21"/>
        </w:rPr>
        <w:t xml:space="preserve">Prórrogas de contratos vivos: las exigencias del Anexo vigente en la licitación siguen siendo las del contrato. </w:t>
      </w:r>
      <w:r>
        <w:rPr>
          <w:rFonts w:ascii="Calibri" w:cs="Calibri" w:eastAsia="Calibri" w:hAnsi="Calibri"/>
          <w:b/>
          <w:bCs/>
          <w:sz w:val="21"/>
          <w:szCs w:val="21"/>
        </w:rPr>
        <w:t xml:space="preserve">No se introducen exigencias nuevas en la prórroga</w:t>
      </w:r>
      <w:r>
        <w:rPr>
          <w:rFonts w:ascii="Calibri" w:cs="Calibri" w:eastAsia="Calibri" w:hAnsi="Calibri"/>
          <w:sz w:val="21"/>
          <w:szCs w:val="21"/>
        </w:rPr>
        <w:t xml:space="preserve">, ni siquiera las del Anexo revisado.</w:t>
      </w:r>
    </w:p>
    <w:p>
      <w:pPr>
        <w:pStyle w:val="ListParagraph"/>
        <w:numPr>
          <w:ilvl w:val="0"/>
          <w:numId w:val="1"/>
        </w:numPr>
        <w:spacing w:after="70" w:line="268"/>
      </w:pPr>
      <w:r>
        <w:rPr>
          <w:rFonts w:ascii="Calibri" w:cs="Calibri" w:eastAsia="Calibri" w:hAnsi="Calibri"/>
          <w:sz w:val="21"/>
          <w:szCs w:val="21"/>
        </w:rPr>
        <w:t xml:space="preserve">El apartado 8 se incorpora sólo cuando el Apéndice contenga exigencias sobre actuación de sistemas o agentes de IA; en otro caso se suprime.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II.11 · Dependencias</w:t>
      </w:r>
    </w:p>
    <w:p>
      <w:pPr>
        <w:spacing w:after="140" w:line="276"/>
      </w:pPr>
      <w:r>
        <w:rPr>
          <w:rFonts w:ascii="Calibri" w:cs="Calibri" w:eastAsia="Calibri" w:hAnsi="Calibri"/>
          <w:sz w:val="21"/>
          <w:szCs w:val="21"/>
        </w:rPr>
        <w:t xml:space="preserve">Cuando una cláusula de esta Parte se marca NO APLICA, sus menciones sobreviven en el resto del pliego y producen un pliego contradictorio; la contradicción entre PPT y PCAP es un motivo de recurso barato. La tabla completa —cláusulas técnicas, cláusulas administrativas y dependencias en sentido inverso— es la del </w:t>
      </w:r>
      <w:r>
        <w:rPr>
          <w:rFonts w:ascii="Calibri" w:cs="Calibri" w:eastAsia="Calibri" w:hAnsi="Calibri"/>
          <w:b/>
          <w:bCs/>
          <w:sz w:val="21"/>
          <w:szCs w:val="21"/>
        </w:rPr>
        <w:t xml:space="preserve">Anexo VI</w:t>
      </w:r>
      <w:r>
        <w:rPr>
          <w:rFonts w:ascii="Calibri" w:cs="Calibri" w:eastAsia="Calibri" w:hAnsi="Calibri"/>
          <w:sz w:val="21"/>
          <w:szCs w:val="21"/>
        </w:rPr>
        <w:t xml:space="preserve">, que es la única fuente. </w:t>
      </w:r>
      <w:r>
        <w:rPr>
          <w:rFonts w:ascii="Calibri" w:cs="Calibri" w:eastAsia="Calibri" w:hAnsi="Calibri"/>
          <w:b/>
          <w:bCs/>
          <w:sz w:val="21"/>
          <w:szCs w:val="21"/>
        </w:rPr>
        <w:t xml:space="preserve">No se reproduce aquí para que las dos no puedan divergir.</w:t>
      </w:r>
      <w:r>
        <w:rPr>
          <w:rFonts w:ascii="Calibri" w:cs="Calibri" w:eastAsia="Calibri" w:hAnsi="Calibri"/>
          <w:sz w:val="21"/>
          <w:szCs w:val="21"/>
        </w:rPr>
        <w:t xml:space="preserve"> Su ejecución es obligatoria antes de aprobar el pliego y se marca en la casilla de cierre de la Ficha del Anexo II.</w:t>
      </w:r>
    </w:p>
    <w:p>
      <w:pPr>
        <w:spacing w:after="140" w:line="276"/>
      </w:pPr>
      <w:r>
        <w:rPr>
          <w:rFonts w:ascii="Calibri" w:cs="Calibri" w:eastAsia="Calibri" w:hAnsi="Calibri"/>
          <w:sz w:val="21"/>
          <w:szCs w:val="21"/>
        </w:rPr>
        <w:t xml:space="preserve">Dos advertencias que la tabla del Anexo VI recoge y que conviene leer antes de descartar nada:</w:t>
      </w:r>
    </w:p>
    <w:p>
      <w:pPr>
        <w:pStyle w:val="ListParagraph"/>
        <w:numPr>
          <w:ilvl w:val="0"/>
          <w:numId w:val="1"/>
        </w:numPr>
        <w:spacing w:after="70" w:line="268"/>
      </w:pPr>
      <w:r>
        <w:rPr>
          <w:rFonts w:ascii="Calibri" w:cs="Calibri" w:eastAsia="Calibri" w:hAnsi="Calibri"/>
          <w:b/>
          <w:bCs/>
          <w:sz w:val="21"/>
          <w:szCs w:val="21"/>
        </w:rPr>
        <w:t xml:space="preserve">DT-0·v3 no puede excluirse</w:t>
      </w:r>
      <w:r>
        <w:rPr>
          <w:rFonts w:ascii="Calibri" w:cs="Calibri" w:eastAsia="Calibri" w:hAnsi="Calibri"/>
          <w:sz w:val="21"/>
          <w:szCs w:val="21"/>
        </w:rPr>
        <w:t xml:space="preserve"> si el PPT cita algún estándar, red, protocolo, producto o metodología.</w:t>
      </w:r>
    </w:p>
    <w:p>
      <w:pPr>
        <w:pStyle w:val="ListParagraph"/>
        <w:numPr>
          <w:ilvl w:val="0"/>
          <w:numId w:val="1"/>
        </w:numPr>
        <w:spacing w:after="70" w:line="268"/>
      </w:pPr>
      <w:r>
        <w:rPr>
          <w:rFonts w:ascii="Calibri" w:cs="Calibri" w:eastAsia="Calibri" w:hAnsi="Calibri"/>
          <w:b/>
          <w:bCs/>
          <w:sz w:val="21"/>
          <w:szCs w:val="21"/>
        </w:rPr>
        <w:t xml:space="preserve">Descartar DT-6·v3 en un contrato con sistema de información contradice el artículo 2.3 del Real Decreto 311/2022</w:t>
      </w:r>
      <w:r>
        <w:rPr>
          <w:rFonts w:ascii="Calibri" w:cs="Calibri" w:eastAsia="Calibri" w:hAnsi="Calibri"/>
          <w:sz w:val="21"/>
          <w:szCs w:val="21"/>
        </w:rPr>
        <w:t xml:space="preserve">, y requiere motivación expresa en la memoria.</w:t>
      </w:r>
    </w:p>
    <w:p>
      <w:pPr>
        <w:spacing w:after="140" w:line="276"/>
      </w:pPr>
      <w:r>
        <w:rPr>
          <w:rFonts w:ascii="Calibri" w:cs="Calibri" w:eastAsia="Calibri" w:hAnsi="Calibri"/>
          <w:b/>
          <w:bCs/>
          <w:sz w:val="21"/>
          <w:szCs w:val="21"/>
        </w:rPr>
        <w:t xml:space="preserve">Instrucción operativa.</w:t>
      </w:r>
      <w:r>
        <w:rPr>
          <w:rFonts w:ascii="Calibri" w:cs="Calibri" w:eastAsia="Calibri" w:hAnsi="Calibri"/>
          <w:sz w:val="21"/>
          <w:szCs w:val="21"/>
        </w:rPr>
        <w:t xml:space="preserve"> Los recuadros de ADM-5·v3 y ADM-6·v3 deben venir al redactor como </w:t>
      </w:r>
      <w:r>
        <w:rPr>
          <w:rFonts w:ascii="Calibri" w:cs="Calibri" w:eastAsia="Calibri" w:hAnsi="Calibri"/>
          <w:b/>
          <w:bCs/>
          <w:sz w:val="21"/>
          <w:szCs w:val="21"/>
        </w:rPr>
        <w:t xml:space="preserve">lista con casillas de borrado</w:t>
      </w:r>
      <w:r>
        <w:rPr>
          <w:rFonts w:ascii="Calibri" w:cs="Calibri" w:eastAsia="Calibri" w:hAnsi="Calibri"/>
          <w:sz w:val="21"/>
          <w:szCs w:val="21"/>
        </w:rPr>
        <w:t xml:space="preserve">, una por cláusula técnica, y no como texto corrido. Un cuadro de penalidades en texto corrido es la forma más segura de dejar viva la penalidad de una obligación que el pliego no impone.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II.12 · Carga imputable a las cláusulas técnicas, ya incluida en el total de ADM-4·v3</w:t>
      </w:r>
    </w:p>
    <w:p>
      <w:pPr>
        <w:spacing w:after="140" w:line="276"/>
      </w:pPr>
      <w:r>
        <w:rPr>
          <w:rFonts w:ascii="Calibri" w:cs="Calibri" w:eastAsia="Calibri" w:hAnsi="Calibri"/>
          <w:b/>
          <w:bCs/>
          <w:sz w:val="21"/>
          <w:szCs w:val="21"/>
        </w:rPr>
        <w:t xml:space="preserve">Este cuadro es un extracto.</w:t>
      </w:r>
      <w:r>
        <w:rPr>
          <w:rFonts w:ascii="Calibri" w:cs="Calibri" w:eastAsia="Calibri" w:hAnsi="Calibri"/>
          <w:sz w:val="21"/>
          <w:szCs w:val="21"/>
        </w:rPr>
        <w:t xml:space="preserve"> La tabla única de carga de verificación del catálogo, con su desglose por actor, documento, horas por acto y horas al año, es la del </w:t>
      </w:r>
      <w:r>
        <w:rPr>
          <w:rFonts w:ascii="Calibri" w:cs="Calibri" w:eastAsia="Calibri" w:hAnsi="Calibri"/>
          <w:b/>
          <w:bCs/>
          <w:sz w:val="21"/>
          <w:szCs w:val="21"/>
        </w:rPr>
        <w:t xml:space="preserve">epígrafe 5 de ADM-4·v3</w:t>
      </w:r>
      <w:r>
        <w:rPr>
          <w:rFonts w:ascii="Calibri" w:cs="Calibri" w:eastAsia="Calibri" w:hAnsi="Calibri"/>
          <w:sz w:val="21"/>
          <w:szCs w:val="21"/>
        </w:rPr>
        <w:t xml:space="preserve">; lo que sigue son sus filas de la Parte II, reproducidas aquí para que el redactor del PPT no tenga que ir a buscarlas. Las horas de estas filas </w:t>
      </w:r>
      <w:r>
        <w:rPr>
          <w:rFonts w:ascii="Calibri" w:cs="Calibri" w:eastAsia="Calibri" w:hAnsi="Calibri"/>
          <w:b/>
          <w:bCs/>
          <w:sz w:val="21"/>
          <w:szCs w:val="21"/>
        </w:rPr>
        <w:t xml:space="preserve">no se suman</w:t>
      </w:r>
      <w:r>
        <w:rPr>
          <w:rFonts w:ascii="Calibri" w:cs="Calibri" w:eastAsia="Calibri" w:hAnsi="Calibri"/>
          <w:sz w:val="21"/>
          <w:szCs w:val="21"/>
        </w:rPr>
        <w:t xml:space="preserve"> a las de aquella tabla: ya están dentro.</w:t>
      </w:r>
    </w:p>
    <w:p>
      <w:pPr>
        <w:spacing w:after="140" w:line="276"/>
      </w:pPr>
      <w:r>
        <w:rPr>
          <w:rFonts w:ascii="Calibri" w:cs="Calibri" w:eastAsia="Calibri" w:hAnsi="Calibri"/>
          <w:sz w:val="21"/>
          <w:szCs w:val="21"/>
        </w:rPr>
        <w:t xml:space="preserve">La regla que gobierna el cuadro es la de la Parte I, §7.9: </w:t>
      </w:r>
      <w:r>
        <w:rPr>
          <w:rFonts w:ascii="Calibri" w:cs="Calibri" w:eastAsia="Calibri" w:hAnsi="Calibri"/>
          <w:b/>
          <w:bCs/>
          <w:sz w:val="21"/>
          <w:szCs w:val="21"/>
        </w:rPr>
        <w:t xml:space="preserve">no se incorpora ninguna cláusula cuya verificación no tenga actor municipal designado y periodicidad.</w:t>
      </w:r>
    </w:p>
    <w:p>
      <w:pPr>
        <w:spacing w:after="140" w:line="276"/>
      </w:pPr>
      <w:r>
        <w:rPr>
          <w:rFonts w:ascii="Calibri" w:cs="Calibri" w:eastAsia="Calibri" w:hAnsi="Calibri"/>
          <w:sz w:val="21"/>
          <w:szCs w:val="21"/>
        </w:rPr>
        <w:t xml:space="preserve">Estimación orientativa, para un contrato tecnológico de tamaño medio que aplique todas las cláusulas de aplicación ordinaria (DT-0, DT-1, DT-4, DT-5, DT-6, DT-7, DT-8 y DT-9). Los valores deben ajustarse por el servicio municipal antes de aprobar el expediente.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Actor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Periodicidad</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Horas primer año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Horas años siguientes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DT-0·v3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técnico proponente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6–18 (por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informática + DPD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funcionalidad +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16–28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12–20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Informática + DPD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Aceptación +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DT-3·v3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 seguridad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Gestor del proceso + 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automatización + trimestral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DT-5·v3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Informática (+ Intervención en la exportación)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integración +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 seguridad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 + por incidente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10–14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Informática + 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Aceptación +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12–16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 + ensayo + reversión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12–20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4–12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DT-9·v3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exigencia +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28–40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4–8</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Total orientativo (sin DT-2 ni DT-3, que no aplican por defecto, y sin DT-0)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116–156 horas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58–82 horas</w:t>
            </w:r>
          </w:p>
        </w:tc>
      </w:tr>
    </w:tbl>
    <w:p>
      <w:pPr>
        <w:spacing w:after="200"/>
      </w:pPr>
    </w:p>
    <w:p>
      <w:pPr>
        <w:spacing w:after="140" w:line="276"/>
      </w:pPr>
      <w:r>
        <w:rPr>
          <w:rFonts w:ascii="Calibri" w:cs="Calibri" w:eastAsia="Calibri" w:hAnsi="Calibri"/>
          <w:b/>
          <w:bCs/>
          <w:sz w:val="21"/>
          <w:szCs w:val="21"/>
        </w:rPr>
        <w:t xml:space="preserve">Cómo está hecha la suma, porque la base no es la misma en todas las filas.</w:t>
      </w:r>
      <w:r>
        <w:rPr>
          <w:rFonts w:ascii="Calibri" w:cs="Calibri" w:eastAsia="Calibri" w:hAnsi="Calibri"/>
          <w:sz w:val="21"/>
          <w:szCs w:val="21"/>
        </w:rPr>
        <w:t xml:space="preserve"> El total </w:t>
      </w:r>
      <w:r>
        <w:rPr>
          <w:rFonts w:ascii="Calibri" w:cs="Calibri" w:eastAsia="Calibri" w:hAnsi="Calibri"/>
          <w:b/>
          <w:bCs/>
          <w:sz w:val="21"/>
          <w:szCs w:val="21"/>
        </w:rPr>
        <w:t xml:space="preserve">excluye DT-0·v3</w:t>
      </w:r>
      <w:r>
        <w:rPr>
          <w:rFonts w:ascii="Calibri" w:cs="Calibri" w:eastAsia="Calibri" w:hAnsi="Calibri"/>
          <w:sz w:val="21"/>
          <w:szCs w:val="21"/>
        </w:rPr>
        <w:t xml:space="preserve">: su carga es de licitación y no de ejecución (6 a 18 horas por licitación que invoque equivalencia), y sumarla a un total anual mezclaría dos magnitudes distintas. Con DT-0·v3 incluida, el primer año sería de 122 a 174 horas.</w:t>
      </w:r>
    </w:p>
    <w:p>
      <w:pPr>
        <w:spacing w:after="140" w:line="276"/>
      </w:pPr>
      <w:r>
        <w:rPr>
          <w:rFonts w:ascii="Calibri" w:cs="Calibri" w:eastAsia="Calibri" w:hAnsi="Calibri"/>
          <w:sz w:val="21"/>
          <w:szCs w:val="21"/>
        </w:rPr>
        <w:t xml:space="preserve">A esta carga hay que añadir la de las cláusulas administrativas de la Parte III (Comisión de Seguimiento, Plan Anual, verificación del depósito de código, acceso de los órganos de control interno) y la de la preparación del expediente. </w:t>
      </w:r>
      <w:r>
        <w:rPr>
          <w:rFonts w:ascii="Calibri" w:cs="Calibri" w:eastAsia="Calibri" w:hAnsi="Calibri"/>
          <w:b/>
          <w:bCs/>
          <w:sz w:val="21"/>
          <w:szCs w:val="21"/>
        </w:rPr>
        <w:t xml:space="preserve">Si el servicio no puede comprometer estas horas, la respuesta correcta no es escribir las cláusulas igual: es reducir el número de cláusulas incorporadas hasta lo que se pueda verificar.</w:t>
      </w:r>
      <w:r>
        <w:rPr>
          <w:rFonts w:ascii="Calibri" w:cs="Calibri" w:eastAsia="Calibri" w:hAnsi="Calibri"/>
          <w:sz w:val="21"/>
          <w:szCs w:val="21"/>
        </w:rPr>
        <w:t xml:space="preserve"> Un pliego con cuatro obligaciones comprobadas vale más que uno con doce declaradas.</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II.13 · Cuadro de parámetros de la Parte II</w:t>
      </w:r>
    </w:p>
    <w:p>
      <w:pPr>
        <w:spacing w:after="140" w:line="276"/>
      </w:pPr>
      <w:r>
        <w:rPr>
          <w:rFonts w:ascii="Calibri" w:cs="Calibri" w:eastAsia="Calibri" w:hAnsi="Calibri"/>
          <w:sz w:val="21"/>
          <w:szCs w:val="21"/>
        </w:rPr>
        <w:t xml:space="preserve">Todos los corchetes de esta Parte, con su valor recomendado por defecto y el criterio para moverlo. Se reproduce, junto con los de la Parte III, en la tabla consolidada del Anexo X.</w:t>
      </w:r>
    </w:p>
    <w:p>
      <w:pPr>
        <w:pBdr>
          <w:left w:val="single" w:color="BFBFBF" w:sz="12" w:space="8"/>
        </w:pBdr>
        <w:spacing w:after="140" w:line="264"/>
        <w:ind w:left="400"/>
      </w:pPr>
      <w:r>
        <w:rPr>
          <w:rFonts w:ascii="Georgia" w:cs="Georgia" w:eastAsia="Georgia" w:hAnsi="Georgia"/>
          <w:b/>
          <w:bCs/>
          <w:i/>
          <w:iCs/>
          <w:color w:val="595959"/>
          <w:sz w:val="20"/>
          <w:szCs w:val="20"/>
        </w:rPr>
        <w:t xml:space="preserve">Regla de precedencia.</w:t>
      </w:r>
      <w:r>
        <w:rPr>
          <w:rFonts w:ascii="Georgia" w:cs="Georgia" w:eastAsia="Georgia" w:hAnsi="Georgia"/>
          <w:i/>
          <w:iCs/>
          <w:color w:val="595959"/>
          <w:sz w:val="20"/>
          <w:szCs w:val="20"/>
        </w:rPr>
        <w:t xml:space="preserve"> Este cuadro reproduce; no decide. </w:t>
      </w:r>
      <w:r>
        <w:rPr>
          <w:rFonts w:ascii="Georgia" w:cs="Georgia" w:eastAsia="Georgia" w:hAnsi="Georgia"/>
          <w:b/>
          <w:bCs/>
          <w:i/>
          <w:iCs/>
          <w:color w:val="595959"/>
          <w:sz w:val="20"/>
          <w:szCs w:val="20"/>
        </w:rPr>
        <w:t xml:space="preserve">En caso de discrepancia entre un valor de este cuadro y el de la cláusula correspondiente, prevalece el de la cláusula.</w:t>
      </w:r>
      <w:r>
        <w:rPr>
          <w:rFonts w:ascii="Georgia" w:cs="Georgia" w:eastAsia="Georgia" w:hAnsi="Georgia"/>
          <w:i/>
          <w:iCs/>
          <w:color w:val="595959"/>
          <w:sz w:val="20"/>
          <w:szCs w:val="20"/>
        </w:rPr>
        <w:t xml:space="preserve"> Si se detecta una discrepancia, se corrige el cuadro, nunca la cláusula.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Parámetro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Valor recomendado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Cuándo moverlo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DT-0·v3.3.c)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Variante de la tercera condición de equivalencia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Variante abierta (la del texto)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a la variante de continuidad cuando el objeto sea la continuidad o ampliación de un sistema ya implantado y la memoria lo justifique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Preaviso de cambio de clasificación de riesgo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30 días naturales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15 en contratos con despliegue muy dinámico; nunca por debajo de 10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DT-1·v3.6.c)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Conservación de archivos de registro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 meses (mínimo 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Elevar a 24 cuando el sistema soporte procedimientos con plazos de impugnación largos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DT-1·v3.6.e)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Respuesta del punto de contacto ante incidente 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24 horas hábiles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4 horas en servicios de disponibilidad crítica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DT-3·v3.1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Umbral de conservación prolongada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 años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3 en información de categorías especiales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DT-3·v3.3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Periodicidad del inventario criptográfico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Semestral en categoría ENS ALTA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DT-3·v3.4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de entrega del plan de transición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Ampliar a 12 en soluciones con muchos componentes de terceros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DT-4·v3.2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Número mínimo de procesos automatizados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1 en contratos de menor cuantía; elevar sólo con volumen acreditado en el Apéndice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DT-4·v3.2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de automatización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Ampliar a 12 cuando la automatización dependa de integraciones con terceros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DT-4·v3.4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Periodicidad de los indicadores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Trimestral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Semestral en contratos de bajo volumen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DT-5·v3.3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de entrega de documentación de interfaces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30 días naturales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Ampliar a 60 sólo con justificación técnica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Categoría ENS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La que resulte del anexo I del RD 311/2022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Nunca se «elige»: se determina y se motiva en la memoria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para obtener la acreditación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Ampliar a 12 sólo si el mercado lo justifica y consta en la memoria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Subsanación de vulnerabilidades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Crítica 15 / alta 30 / media 90 días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en categoría ALTA; nunca ampliar sin motivación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Comunicación de vulnerabilidad crítica o alta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48 horas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24 en categoría ALTA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Periodicidad de la prueba de continuidad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Semestral en categoría ALTA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Preaviso de auditoría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15 días hábiles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5 en contratos de alta criticidad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DT-7·v3.3.c)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Retención del registro de auditoría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24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Elevar cuando el plazo de impugnación de los actos soportados sea mayor. </w:t>
            </w:r>
            <w:r>
              <w:rPr>
                <w:rFonts w:ascii="Calibri" w:cs="Calibri" w:eastAsia="Calibri" w:hAnsi="Calibri"/>
                <w:b/>
                <w:bCs/>
                <w:sz w:val="18"/>
                <w:szCs w:val="18"/>
              </w:rPr>
              <w:t xml:space="preserve">El criterio de aceptación ET-1 del Anexo V debe llevar este mismo valor</w:t>
            </w:r>
            <w:r>
              <w:rPr>
                <w:rFonts w:ascii="Calibri" w:cs="Calibri" w:eastAsia="Calibri" w:hAnsi="Calibri"/>
                <w:b w:val="false"/>
                <w:bCs w:val="false"/>
                <w:sz w:val="18"/>
                <w:szCs w:val="18"/>
              </w:rPr>
              <w:t xml:space="preserve">: son dos textos que van al mismo PPT sobre el mismo registro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DT-7·v3.3.e)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Antelación del entorno de pruebas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60 días naturales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30 en módulos de baja complejidad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DT-7·v3.3.f)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Tiempo de efecto de la suspensión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 minutos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1 minuto en módulos con operaciones de escritura sobre terceros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DT-7·v3.5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de entrega de la interfaz</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reducir por debajo de 6: por debajo, el contraste de mercado deja de sostenerlo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Primera entrega del Inventario de Componentes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30 días naturales desde la formalización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ampliar: después de la primera entrega el inventario se actualiza con cada versión puesta en producción, y sin plazo cierto de inicio la penalidad por incumplirlo no tiene día desde el que contarse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Entrega del Plan de Reversibilidad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Ampliar a 6 sólo en soluciones con implantación superior a un año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Frecuencia del ensayo de reversibilidad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 cada 24 meses, y uno en el último 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 en contratos de criticidad alta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Inicio del período de reversión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 meses antes de la finalización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Ampliar a 6 en soluciones con migración compleja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máximo de entrega tras la finalización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30 días naturales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ampliar: es lo que hace cierto el día inicial del plazo de garantía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Licencia de continuidad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Ampliar sólo si el coste se computa en el presupuesto base de licitación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para levantar el acta de reversión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15 días hábiles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ampliar: cuanto más largo, más se retrasa el día inicial de la garantía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de garantía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Ajustar al que el PCAP fije con carácter general para el tipo de contrato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DT-9·v3.7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Comunicación de versión sucesora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30 días naturales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15 en soluciones con ciclo de publicación rápido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DT-9·v3.8.1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Período de encadenamiento de integridad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24 horas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1 hora en registros de alta actividad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DT-9·v3.8.2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Retención del registro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24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Alinear con DT-7·v3.3.c)</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DT-9·v3.8.4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Periodicidad de la copia externa del registro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Diaria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Semanal en registros de baja actividad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DT-9·v3.8.5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Tiempo de efecto de la suspensión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 minutos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Alinear con DT-7·v3.3.f)</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desde el requerimiento para subsanar la pérdida de la acreditación ENS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ampliar sin motivación: por encima, la pérdida de la acreditación deja de tener consecuencia práctica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Varios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Plazos de subsanación citados en los cuadros de penalidades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15 o 30 días según el hecho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Alinear con los del PCAP; no dejar dos plazos distintos para el mismo hecho</w:t>
            </w:r>
          </w:p>
        </w:tc>
      </w:tr>
    </w:tbl>
    <w:p>
      <w:pPr>
        <w:spacing w:after="200"/>
      </w:pP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II.14 · Lo que esta Parte no promete</w:t>
      </w:r>
    </w:p>
    <w:p>
      <w:pPr>
        <w:spacing w:after="140" w:line="276"/>
      </w:pPr>
      <w:r>
        <w:rPr>
          <w:rFonts w:ascii="Calibri" w:cs="Calibri" w:eastAsia="Calibri" w:hAnsi="Calibri"/>
          <w:sz w:val="21"/>
          <w:szCs w:val="21"/>
        </w:rPr>
        <w:t xml:space="preserve">No se promete que ningún tribunal pueda anular un pliego que incorpore estas cláusulas. Sobre las materias propias de esta Parte —condiciones especiales de ejecución de contenido tecnológico-evolutivo, interfaces de acceso para agentes de inteligencia artificial e infraestructuras de registro distribuido en pliegos— </w:t>
      </w:r>
      <w:r>
        <w:rPr>
          <w:rFonts w:ascii="Calibri" w:cs="Calibri" w:eastAsia="Calibri" w:hAnsi="Calibri"/>
          <w:b/>
          <w:bCs/>
          <w:sz w:val="21"/>
          <w:szCs w:val="21"/>
        </w:rPr>
        <w:t xml:space="preserve">no consta doctrina</w:t>
      </w:r>
      <w:r>
        <w:rPr>
          <w:rFonts w:ascii="Calibri" w:cs="Calibri" w:eastAsia="Calibri" w:hAnsi="Calibri"/>
          <w:sz w:val="21"/>
          <w:szCs w:val="21"/>
        </w:rPr>
        <w:t xml:space="preserve"> a fecha de corte de 1 de septiembre de 2026, en los términos y con las cautelas que expone la Parte 0, §0.3, y desarrolla la Parte IV, M8. El primer pliego que las incorpore y sea recurrido creará el precedente.</w:t>
      </w:r>
    </w:p>
    <w:p>
      <w:pPr>
        <w:spacing w:after="140" w:line="276"/>
      </w:pPr>
      <w:r>
        <w:rPr>
          <w:rFonts w:ascii="Calibri" w:cs="Calibri" w:eastAsia="Calibri" w:hAnsi="Calibri"/>
          <w:sz w:val="21"/>
          <w:szCs w:val="21"/>
        </w:rPr>
        <w:t xml:space="preserve">Lo que sí se ha diseñado, y es comprobable cláusula por cláusula, es esto: cada exigencia de esta Parte tiene </w:t>
      </w:r>
      <w:r>
        <w:rPr>
          <w:rFonts w:ascii="Calibri" w:cs="Calibri" w:eastAsia="Calibri" w:hAnsi="Calibri"/>
          <w:b/>
          <w:bCs/>
          <w:sz w:val="21"/>
          <w:szCs w:val="21"/>
        </w:rPr>
        <w:t xml:space="preserve">necesidad identificada, instrumento correcto, medio de acreditación tasado, forma de verificación con actor y periodicidad, y consecuencia tasada</w:t>
      </w:r>
      <w:r>
        <w:rPr>
          <w:rFonts w:ascii="Calibri" w:cs="Calibri" w:eastAsia="Calibri" w:hAnsi="Calibri"/>
          <w:sz w:val="21"/>
          <w:szCs w:val="21"/>
        </w:rPr>
        <w:t xml:space="preserve">; y la caída de una pieza no arrastra las demás, </w:t>
      </w:r>
      <w:r>
        <w:rPr>
          <w:rFonts w:ascii="Calibri" w:cs="Calibri" w:eastAsia="Calibri" w:hAnsi="Calibri"/>
          <w:b/>
          <w:bCs/>
          <w:sz w:val="21"/>
          <w:szCs w:val="21"/>
        </w:rPr>
        <w:t xml:space="preserve">salvo las relaciones de presupuesto necesario identificadas en la tabla de dependencias del Anexo VI</w:t>
      </w:r>
      <w:r>
        <w:rPr>
          <w:rFonts w:ascii="Calibri" w:cs="Calibri" w:eastAsia="Calibri" w:hAnsi="Calibri"/>
          <w:sz w:val="21"/>
          <w:szCs w:val="21"/>
        </w:rPr>
        <w:t xml:space="preserve">, que son pocas, están escritas con nombre y apellidos y existen precisamente para que retirar una cláusula sea una operación limpia y no una avería.</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PARTE III · CLÁUSULAS ADMINISTRATIVAS (PCAP)</w:t>
      </w:r>
    </w:p>
    <w:p>
      <w:pPr>
        <w:pStyle w:val="Heading2"/>
        <w:keepNext/>
        <w:spacing w:after="140" w:before="320"/>
      </w:pPr>
      <w:r>
        <w:rPr>
          <w:rFonts w:ascii="Georgia" w:cs="Georgia" w:eastAsia="Georgia" w:hAnsi="Georgia"/>
          <w:b/>
          <w:bCs/>
          <w:color w:val="1F3864"/>
          <w:sz w:val="26"/>
          <w:szCs w:val="26"/>
        </w:rPr>
        <w:t xml:space="preserve">Cómo se lee esta parte</w:t>
      </w:r>
    </w:p>
    <w:p>
      <w:pPr>
        <w:spacing w:after="140" w:line="276"/>
      </w:pPr>
      <w:r>
        <w:rPr>
          <w:rFonts w:ascii="Calibri" w:cs="Calibri" w:eastAsia="Calibri" w:hAnsi="Calibri"/>
          <w:sz w:val="21"/>
          <w:szCs w:val="21"/>
        </w:rPr>
        <w:t xml:space="preserve">Las cláusulas de esta Parte se incorporan al </w:t>
      </w:r>
      <w:r>
        <w:rPr>
          <w:rFonts w:ascii="Calibri" w:cs="Calibri" w:eastAsia="Calibri" w:hAnsi="Calibri"/>
          <w:b/>
          <w:bCs/>
          <w:sz w:val="21"/>
          <w:szCs w:val="21"/>
        </w:rPr>
        <w:t xml:space="preserve">Pliego de Cláusulas Administrativas Particulares</w:t>
      </w:r>
      <w:r>
        <w:rPr>
          <w:rFonts w:ascii="Calibri" w:cs="Calibri" w:eastAsia="Calibri" w:hAnsi="Calibri"/>
          <w:sz w:val="21"/>
          <w:szCs w:val="21"/>
        </w:rPr>
        <w:t xml:space="preserve">. Ninguna de ellas produce efecto si se reproduce en el Pliego de Prescripciones Técnicas: las condiciones especiales de ejecución, las penalidades, las obligaciones esenciales y la cláusula de modificación prevista son materia del PCAP, y su copia en el PPT carece de efectos (regla de ubicación, Parte I, §7).</w:t>
      </w:r>
    </w:p>
    <w:p>
      <w:pPr>
        <w:spacing w:after="140" w:line="276"/>
      </w:pPr>
      <w:r>
        <w:rPr>
          <w:rFonts w:ascii="Calibri" w:cs="Calibri" w:eastAsia="Calibri" w:hAnsi="Calibri"/>
          <w:sz w:val="21"/>
          <w:szCs w:val="21"/>
        </w:rPr>
        <w:t xml:space="preserve">Cada cláusula se presenta con </w:t>
      </w:r>
      <w:r>
        <w:rPr>
          <w:rFonts w:ascii="Calibri" w:cs="Calibri" w:eastAsia="Calibri" w:hAnsi="Calibri"/>
          <w:b/>
          <w:bCs/>
          <w:sz w:val="21"/>
          <w:szCs w:val="21"/>
        </w:rPr>
        <w:t xml:space="preserve">siete epígrafes fijos</w:t>
      </w:r>
      <w:r>
        <w:rPr>
          <w:rFonts w:ascii="Calibri" w:cs="Calibri" w:eastAsia="Calibri" w:hAnsi="Calibri"/>
          <w:sz w:val="21"/>
          <w:szCs w:val="21"/>
        </w:rPr>
        <w:t xml:space="preserve">. Sólo el primero se copia al pliego, y sólo lo que va dentro del bloque delimitado. Todo lo demás —motivo, norma, riesgo, advertencias— es para quien redacta y para quien fiscaliza, y </w:t>
      </w:r>
      <w:r>
        <w:rPr>
          <w:rFonts w:ascii="Calibri" w:cs="Calibri" w:eastAsia="Calibri" w:hAnsi="Calibri"/>
          <w:b/>
          <w:bCs/>
          <w:sz w:val="21"/>
          <w:szCs w:val="21"/>
        </w:rPr>
        <w:t xml:space="preserve">nunca</w:t>
      </w:r>
      <w:r>
        <w:rPr>
          <w:rFonts w:ascii="Calibri" w:cs="Calibri" w:eastAsia="Calibri" w:hAnsi="Calibri"/>
          <w:sz w:val="21"/>
          <w:szCs w:val="21"/>
        </w:rPr>
        <w:t xml:space="preserve"> entra en el pliego.</w:t>
      </w:r>
    </w:p>
    <w:p>
      <w:pPr>
        <w:spacing w:after="140" w:line="276"/>
      </w:pPr>
      <w:r>
        <w:rPr>
          <w:rFonts w:ascii="Calibri" w:cs="Calibri" w:eastAsia="Calibri" w:hAnsi="Calibri"/>
          <w:sz w:val="21"/>
          <w:szCs w:val="21"/>
        </w:rPr>
        <w:t xml:space="preserve">Tres reglas de uso que gobiernan toda la Parte III:</w:t>
      </w:r>
    </w:p>
    <w:p>
      <w:pPr>
        <w:pStyle w:val="ListParagraph"/>
        <w:numPr>
          <w:ilvl w:val="0"/>
          <w:numId w:val="2"/>
        </w:numPr>
        <w:spacing w:after="70" w:line="268"/>
      </w:pPr>
      <w:r>
        <w:rPr>
          <w:rFonts w:ascii="Calibri" w:cs="Calibri" w:eastAsia="Calibri" w:hAnsi="Calibri"/>
          <w:b/>
          <w:bCs/>
          <w:sz w:val="21"/>
          <w:szCs w:val="21"/>
        </w:rPr>
        <w:t xml:space="preserve">Regla de motivación.</w:t>
      </w:r>
      <w:r>
        <w:rPr>
          <w:rFonts w:ascii="Calibri" w:cs="Calibri" w:eastAsia="Calibri" w:hAnsi="Calibri"/>
          <w:sz w:val="21"/>
          <w:szCs w:val="21"/>
        </w:rPr>
        <w:t xml:space="preserve"> Ninguna cláusula se incorpora sin la Ficha de Aplicabilidad del Anexo II firmada y sin el Informe de Necesidad del Anexo III. En su defecto se marca NO APLICA. No es formalismo: el TACP de la Comunidad de Madrid anuló los pliegos del Ayuntamiento de Parla porque la memoria justificativa del expediente no justificaba una exigencia de certificación, y precisó que esa justificación no es admisible en sede de recurso (Resolución 383/2024, de 3 de octubre de 2024, expediente y recurso 383/2024, Tecnologías Viales Aplicadas TEVA, S.L.; </w:t>
      </w:r>
      <w:r>
        <w:rPr>
          <w:rFonts w:ascii="Calibri" w:cs="Calibri" w:eastAsia="Calibri" w:hAnsi="Calibri"/>
          <w:b/>
          <w:bCs/>
          <w:sz w:val="21"/>
          <w:szCs w:val="21"/>
        </w:rPr>
        <w:t xml:space="preserve">estimatoria</w:t>
      </w:r>
      <w:r>
        <w:rPr>
          <w:rFonts w:ascii="Calibri" w:cs="Calibri" w:eastAsia="Calibri" w:hAnsi="Calibri"/>
          <w:sz w:val="21"/>
          <w:szCs w:val="21"/>
        </w:rPr>
        <w:t xml:space="preserve">: el ACUERDA se limita a estimar el recurso y la anulación de los pliegos se declara en el fundamento de derecho quinto; </w:t>
      </w:r>
      <w:hyperlink w:history="1" r:id="rIdbkhytb6msgycyygl8ej9n">
        <w:r>
          <w:rPr>
            <w:rFonts w:ascii="Calibri" w:cs="Calibri" w:eastAsia="Calibri" w:hAnsi="Calibri"/>
            <w:color w:val="2F5496"/>
            <w:sz w:val="21"/>
            <w:szCs w:val="21"/>
            <w:u w:val="single"/>
          </w:rPr>
          <w:t xml:space="preserve">PDF</w:t>
        </w:r>
      </w:hyperlink>
      <w:r>
        <w:rPr>
          <w:rFonts w:ascii="Calibri" w:cs="Calibri" w:eastAsia="Calibri" w:hAnsi="Calibri"/>
          <w:sz w:val="21"/>
          <w:szCs w:val="21"/>
        </w:rPr>
        <w:t xml:space="preserve">). El tratamiento completo de esta resolución, con su literal, está en la Parte IV, §M8.2, y en la Parte V, §V.5.6, y no se repite aquí. Este catálogo no es la memoria justificativa de ningún expediente. Si la memoria del expediente se limita a remitirse a él, la justificación es estereotipada y el defecto no se puede reparar cuando llegue el recurso.</w:t>
      </w:r>
    </w:p>
    <w:p>
      <w:pPr>
        <w:pStyle w:val="ListParagraph"/>
        <w:numPr>
          <w:ilvl w:val="0"/>
          <w:numId w:val="2"/>
        </w:numPr>
        <w:spacing w:after="70" w:line="268"/>
      </w:pPr>
      <w:r>
        <w:rPr>
          <w:rFonts w:ascii="Calibri" w:cs="Calibri" w:eastAsia="Calibri" w:hAnsi="Calibri"/>
          <w:b/>
          <w:bCs/>
          <w:sz w:val="21"/>
          <w:szCs w:val="21"/>
        </w:rPr>
        <w:t xml:space="preserve">Regla de separación de instrumentos.</w:t>
      </w:r>
      <w:r>
        <w:rPr>
          <w:rFonts w:ascii="Calibri" w:cs="Calibri" w:eastAsia="Calibri" w:hAnsi="Calibri"/>
          <w:sz w:val="21"/>
          <w:szCs w:val="21"/>
        </w:rPr>
        <w:t xml:space="preserve"> Cada exigencia aparece </w:t>
      </w:r>
      <w:r>
        <w:rPr>
          <w:rFonts w:ascii="Calibri" w:cs="Calibri" w:eastAsia="Calibri" w:hAnsi="Calibri"/>
          <w:b/>
          <w:bCs/>
          <w:sz w:val="21"/>
          <w:szCs w:val="21"/>
        </w:rPr>
        <w:t xml:space="preserve">una sola vez</w:t>
      </w:r>
      <w:r>
        <w:rPr>
          <w:rFonts w:ascii="Calibri" w:cs="Calibri" w:eastAsia="Calibri" w:hAnsi="Calibri"/>
          <w:sz w:val="21"/>
          <w:szCs w:val="21"/>
        </w:rPr>
        <w:t xml:space="preserve"> y con un único instrumento: prescripción técnica, solvencia, adscripción de medios, condición especial de ejecución, criterio de adjudicación o documento del expediente. El enunciado de la regla, con las tres combinaciones prohibidas, está en la Parte I, §7.3; el Cuadro Maestro del Anexo I es la hoja donde se comprueba.</w:t>
      </w:r>
    </w:p>
    <w:p>
      <w:pPr>
        <w:pStyle w:val="ListParagraph"/>
        <w:numPr>
          <w:ilvl w:val="0"/>
          <w:numId w:val="2"/>
        </w:numPr>
        <w:spacing w:after="70" w:line="268"/>
      </w:pPr>
      <w:r>
        <w:rPr>
          <w:rFonts w:ascii="Calibri" w:cs="Calibri" w:eastAsia="Calibri" w:hAnsi="Calibri"/>
          <w:b/>
          <w:bCs/>
          <w:sz w:val="21"/>
          <w:szCs w:val="21"/>
        </w:rPr>
        <w:t xml:space="preserve">Regla de verificabilidad municipal.</w:t>
      </w:r>
      <w:r>
        <w:rPr>
          <w:rFonts w:ascii="Calibri" w:cs="Calibri" w:eastAsia="Calibri" w:hAnsi="Calibri"/>
          <w:sz w:val="21"/>
          <w:szCs w:val="21"/>
        </w:rPr>
        <w:t xml:space="preserve"> No se incorpora ninguna cláusula cuya verificación no tenga actor municipal designado, periodicidad y horas disponibles (Parte I, §7.9). La cuantificación de esa carga está en ADM-4·v3, epígrafe 5, que es la tabla única de horas de todo el catálogo.</w:t>
      </w:r>
    </w:p>
    <w:p>
      <w:pPr>
        <w:spacing w:after="140" w:line="276"/>
      </w:pPr>
      <w:r>
        <w:rPr>
          <w:rFonts w:ascii="Calibri" w:cs="Calibri" w:eastAsia="Calibri" w:hAnsi="Calibri"/>
          <w:b/>
          <w:bCs/>
          <w:sz w:val="21"/>
          <w:szCs w:val="21"/>
        </w:rPr>
        <w:t xml:space="preserve">Sobre los parámetros.</w:t>
      </w:r>
      <w:r>
        <w:rPr>
          <w:rFonts w:ascii="Calibri" w:cs="Calibri" w:eastAsia="Calibri" w:hAnsi="Calibri"/>
          <w:sz w:val="21"/>
          <w:szCs w:val="21"/>
        </w:rPr>
        <w:t xml:space="preserve"> Todo valor que fija el órgano de contratación se escribe entre corchetes y </w:t>
      </w:r>
      <w:r>
        <w:rPr>
          <w:rFonts w:ascii="Calibri" w:cs="Calibri" w:eastAsia="Calibri" w:hAnsi="Calibri"/>
          <w:b/>
          <w:bCs/>
          <w:sz w:val="21"/>
          <w:szCs w:val="21"/>
        </w:rPr>
        <w:t xml:space="preserve">con valor recomendado por defecto</w:t>
      </w:r>
      <w:r>
        <w:rPr>
          <w:rFonts w:ascii="Calibri" w:cs="Calibri" w:eastAsia="Calibri" w:hAnsi="Calibri"/>
          <w:sz w:val="21"/>
          <w:szCs w:val="21"/>
        </w:rPr>
        <w:t xml:space="preserve">, en la forma </w:t>
      </w:r>
      <w:r>
        <w:rPr>
          <w:rFonts w:ascii="Calibri" w:cs="Calibri" w:eastAsia="Calibri" w:hAnsi="Calibri"/>
          <w:color w:val="2F5496"/>
          <w:sz w:val="21"/>
          <w:szCs w:val="21"/>
        </w:rPr>
        <w:t xml:space="preserve">[X; se recomienda N]</w:t>
      </w:r>
      <w:r>
        <w:rPr>
          <w:rFonts w:ascii="Calibri" w:cs="Calibri" w:eastAsia="Calibri" w:hAnsi="Calibri"/>
          <w:sz w:val="21"/>
          <w:szCs w:val="21"/>
        </w:rPr>
        <w:t xml:space="preserve">. El valor recomendado es el que debe usarse salvo que concurra la circunstancia que se indica a continuación de cada uno. La tabla consolidada de los corchetes de </w:t>
      </w:r>
      <w:r>
        <w:rPr>
          <w:rFonts w:ascii="Calibri" w:cs="Calibri" w:eastAsia="Calibri" w:hAnsi="Calibri"/>
          <w:b/>
          <w:bCs/>
          <w:sz w:val="21"/>
          <w:szCs w:val="21"/>
        </w:rPr>
        <w:t xml:space="preserve">decisión económica, de calendario y de configuración del expediente</w:t>
      </w:r>
      <w:r>
        <w:rPr>
          <w:rFonts w:ascii="Calibri" w:cs="Calibri" w:eastAsia="Calibri" w:hAnsi="Calibri"/>
          <w:sz w:val="21"/>
          <w:szCs w:val="21"/>
        </w:rPr>
        <w:t xml:space="preserve"> está en el Anexo X. Cuatro </w:t>
      </w:r>
      <w:r>
        <w:rPr>
          <w:rFonts w:ascii="Calibri" w:cs="Calibri" w:eastAsia="Calibri" w:hAnsi="Calibri"/>
          <w:b/>
          <w:bCs/>
          <w:sz w:val="21"/>
          <w:szCs w:val="21"/>
        </w:rPr>
        <w:t xml:space="preserve">plazos y umbrales de trámite interno</w:t>
      </w:r>
      <w:r>
        <w:rPr>
          <w:rFonts w:ascii="Calibri" w:cs="Calibri" w:eastAsia="Calibri" w:hAnsi="Calibri"/>
          <w:sz w:val="21"/>
          <w:szCs w:val="21"/>
        </w:rPr>
        <w:t xml:space="preserve"> no se consolidan allí y se quedan en el texto de pliego de la cláusula que los fija, que es su sede: la audiencia previa a la penalidad y el umbral de penalidades acumuladas (ADM-5·v3), la audiencia previa a la liberación del depósito (ADM-11·v3) y los umbrales de no constitución de la Comisión de Seguimiento (ADM-4·v3). El Anexo X cierra su apartado X.1 con esa misma relación.</w:t>
      </w:r>
    </w:p>
    <w:p>
      <w:pPr>
        <w:spacing w:after="140" w:line="276"/>
      </w:pPr>
      <w:r>
        <w:rPr>
          <w:rFonts w:ascii="Calibri" w:cs="Calibri" w:eastAsia="Calibri" w:hAnsi="Calibri"/>
          <w:b/>
          <w:bCs/>
          <w:sz w:val="21"/>
          <w:szCs w:val="21"/>
        </w:rPr>
        <w:t xml:space="preserve">Sobre la reutilización por otras administraciones.</w:t>
      </w:r>
      <w:r>
        <w:rPr>
          <w:rFonts w:ascii="Calibri" w:cs="Calibri" w:eastAsia="Calibri" w:hAnsi="Calibri"/>
          <w:sz w:val="21"/>
          <w:szCs w:val="21"/>
        </w:rPr>
        <w:t xml:space="preserve"> Cada regla se escribe primero en general y después se ejemplifica con el régimen de un municipio de gran población entre paréntesis. Donde se lee «el órgano al que corresponda el informe jurídico preceptivo», el redactor debe sustituir por el suyo: la </w:t>
      </w:r>
      <w:r>
        <w:rPr>
          <w:rFonts w:ascii="Calibri" w:cs="Calibri" w:eastAsia="Calibri" w:hAnsi="Calibri"/>
          <w:b/>
          <w:bCs/>
          <w:sz w:val="21"/>
          <w:szCs w:val="21"/>
        </w:rPr>
        <w:t xml:space="preserve">Asesoría Jurídica</w:t>
      </w:r>
      <w:r>
        <w:rPr>
          <w:rFonts w:ascii="Calibri" w:cs="Calibri" w:eastAsia="Calibri" w:hAnsi="Calibri"/>
          <w:sz w:val="21"/>
          <w:szCs w:val="21"/>
        </w:rPr>
        <w:t xml:space="preserve"> en los municipios de gran población del Título X de la Ley 7/1985 (por la disposición adicional 3.ª.8 LCSP en relación con la disposición adicional 8.ª LBRL), y la </w:t>
      </w:r>
      <w:r>
        <w:rPr>
          <w:rFonts w:ascii="Calibri" w:cs="Calibri" w:eastAsia="Calibri" w:hAnsi="Calibri"/>
          <w:b/>
          <w:bCs/>
          <w:sz w:val="21"/>
          <w:szCs w:val="21"/>
        </w:rPr>
        <w:t xml:space="preserve">Secretaría</w:t>
      </w:r>
      <w:r>
        <w:rPr>
          <w:rFonts w:ascii="Calibri" w:cs="Calibri" w:eastAsia="Calibri" w:hAnsi="Calibri"/>
          <w:sz w:val="21"/>
          <w:szCs w:val="21"/>
        </w:rPr>
        <w:t xml:space="preserve"> en el régimen común.</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III.1 · ADM-1·v3 — Solvencia técnica, sistema de gestión de la IA y certificaciones exigibles</w:t>
      </w:r>
    </w:p>
    <w:p>
      <w:pPr>
        <w:spacing w:after="140" w:line="276"/>
      </w:pPr>
      <w:r>
        <w:rPr>
          <w:rFonts w:ascii="Calibri" w:cs="Calibri" w:eastAsia="Calibri" w:hAnsi="Calibri"/>
          <w:i/>
          <w:iCs/>
          <w:sz w:val="21"/>
          <w:szCs w:val="21"/>
        </w:rPr>
        <w:t xml:space="preserve">(Sustituye a ADM-1 de v2. Recoge la ISO/IEC 42001, que en v2 estaba a la vez en la Parte II, en esta cláusula y en el baremo de ADM-7. A partir de v3 vive </w:t>
      </w:r>
      <w:r>
        <w:rPr>
          <w:rFonts w:ascii="Calibri" w:cs="Calibri" w:eastAsia="Calibri" w:hAnsi="Calibri"/>
          <w:i/>
          <w:iCs/>
          <w:sz w:val="21"/>
          <w:szCs w:val="21"/>
        </w:rPr>
        <w:t xml:space="preserve">sólo aquí</w:t>
      </w:r>
      <w:r>
        <w:rPr>
          <w:rFonts w:ascii="Calibri" w:cs="Calibri" w:eastAsia="Calibri" w:hAnsi="Calibri"/>
          <w:sz w:val="21"/>
          <w:szCs w:val="21"/>
        </w:rPr>
        <w:t xml:space="preserve">* y </w:t>
      </w:r>
      <w:r>
        <w:rPr>
          <w:rFonts w:ascii="Calibri" w:cs="Calibri" w:eastAsia="Calibri" w:hAnsi="Calibri"/>
          <w:b/>
          <w:bCs/>
          <w:sz w:val="21"/>
          <w:szCs w:val="21"/>
        </w:rPr>
        <w:t xml:space="preserve">no se puntúa nunca</w:t>
      </w:r>
      <w:r>
        <w:rPr>
          <w:rFonts w:ascii="Calibri" w:cs="Calibri" w:eastAsia="Calibri" w:hAnsi="Calibri"/>
          <w:sz w:val="21"/>
          <w:szCs w:val="21"/>
        </w:rPr>
        <w:t xml:space="preserve">.)*</w:t>
      </w:r>
    </w:p>
    <w:p>
      <w:pPr>
        <w:pStyle w:val="Heading3"/>
        <w:keepNext/>
        <w:spacing w:after="140" w:before="320"/>
      </w:pPr>
      <w:r>
        <w:rPr>
          <w:rFonts w:ascii="Georgia" w:cs="Georgia" w:eastAsia="Georgia" w:hAnsi="Georgia"/>
          <w:b/>
          <w:bCs/>
          <w:color w:val="2F5496"/>
          <w:sz w:val="22"/>
          <w:szCs w:val="22"/>
        </w:rPr>
        <w:t xml:space="preserve">1. Texto para el pliego</w:t>
      </w:r>
    </w:p>
    <w:p>
      <w:pPr>
        <w:spacing w:after="140" w:line="276"/>
      </w:pPr>
      <w:r>
        <w:rPr>
          <w:rFonts w:ascii="Calibri" w:cs="Calibri" w:eastAsia="Calibri" w:hAnsi="Calibri"/>
          <w:sz w:val="21"/>
          <w:szCs w:val="21"/>
        </w:rPr>
        <w:t xml:space="preserve">Esta cláusula tiene tres modalidades excluyentes entre sí. </w:t>
      </w:r>
      <w:r>
        <w:rPr>
          <w:rFonts w:ascii="Calibri" w:cs="Calibri" w:eastAsia="Calibri" w:hAnsi="Calibri"/>
          <w:b/>
          <w:bCs/>
          <w:sz w:val="21"/>
          <w:szCs w:val="21"/>
        </w:rPr>
        <w:t xml:space="preserve">Se copia una sola.</w:t>
      </w:r>
      <w:r>
        <w:rPr>
          <w:rFonts w:ascii="Calibri" w:cs="Calibri" w:eastAsia="Calibri" w:hAnsi="Calibri"/>
          <w:sz w:val="21"/>
          <w:szCs w:val="21"/>
        </w:rPr>
        <w:t xml:space="preserve"> La elección se motiva en el Informe de Necesidad (Anexo III) y se refleja en el Cuadro Maestro (Anexo I). La modalidad recomendada por defecto es la B.</w:t>
      </w:r>
    </w:p>
    <w:p>
      <w:pPr>
        <w:spacing w:after="140" w:line="276"/>
      </w:pPr>
      <w:r>
        <w:rPr>
          <w:rFonts w:ascii="Calibri" w:cs="Calibri" w:eastAsia="Calibri" w:hAnsi="Calibri"/>
          <w:b/>
          <w:bCs/>
          <w:sz w:val="21"/>
          <w:szCs w:val="21"/>
        </w:rPr>
        <w:t xml:space="preserve">Modalidad A — Solvencia técnica.</w:t>
      </w:r>
      <w:r>
        <w:rPr>
          <w:rFonts w:ascii="Calibri" w:cs="Calibri" w:eastAsia="Calibri" w:hAnsi="Calibri"/>
          <w:sz w:val="21"/>
          <w:szCs w:val="21"/>
        </w:rPr>
        <w:t xml:space="preserve"> Sólo cuando concurran acumulativamente: contrato sujeto a regulación armonizada, y sistema de inteligencia artificial que constituya elemento determinante de la prestación (no accesorio).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Solvencia técnica. Medidas de gestión de la calidad aplicables a los sistemas de inteligencia artificial.</w:t>
            </w:r>
          </w:p>
          <w:p>
            <w:pPr>
              <w:pStyle w:val="ListParagraph"/>
              <w:numPr>
                <w:ilvl w:val="0"/>
                <w:numId w:val="2"/>
              </w:numPr>
              <w:spacing w:after="60" w:line="264"/>
            </w:pPr>
            <w:r>
              <w:rPr>
                <w:rFonts w:ascii="Georgia" w:cs="Georgia" w:eastAsia="Georgia" w:hAnsi="Georgia"/>
                <w:sz w:val="20"/>
                <w:szCs w:val="20"/>
              </w:rPr>
              <w:t xml:space="preserve">El licitador acreditará que aplica un sistema de gestión de la inteligencia artificial conforme a la norma </w:t>
            </w:r>
            <w:r>
              <w:rPr>
                <w:rFonts w:ascii="Georgia" w:cs="Georgia" w:eastAsia="Georgia" w:hAnsi="Georgia"/>
                <w:b/>
                <w:bCs/>
                <w:sz w:val="20"/>
                <w:szCs w:val="20"/>
              </w:rPr>
              <w:t xml:space="preserve">UNE-EN ISO/IEC 42001:2026</w:t>
            </w:r>
            <w:r>
              <w:rPr>
                <w:rFonts w:ascii="Georgia" w:cs="Georgia" w:eastAsia="Georgia" w:hAnsi="Georgia"/>
                <w:sz w:val="20"/>
                <w:szCs w:val="20"/>
              </w:rPr>
              <w:t xml:space="preserve">, cuyo alcance comprenda las actividades que constituyen el objeto de este contrato.</w:t>
            </w:r>
          </w:p>
          <w:p>
            <w:pPr>
              <w:pStyle w:val="ListParagraph"/>
              <w:numPr>
                <w:ilvl w:val="0"/>
                <w:numId w:val="2"/>
              </w:numPr>
              <w:spacing w:after="60" w:line="264"/>
            </w:pPr>
            <w:r>
              <w:rPr>
                <w:rFonts w:ascii="Georgia" w:cs="Georgia" w:eastAsia="Georgia" w:hAnsi="Georgia"/>
                <w:sz w:val="20"/>
                <w:szCs w:val="20"/>
              </w:rPr>
              <w:t xml:space="preserve">La acreditación podrá realizarse indistintamente mediante:</w:t>
            </w:r>
          </w:p>
          <w:p>
            <w:pPr>
              <w:spacing w:after="100" w:line="264"/>
            </w:pPr>
            <w:r>
              <w:rPr>
                <w:rFonts w:ascii="Georgia" w:cs="Georgia" w:eastAsia="Georgia" w:hAnsi="Georgia"/>
                <w:sz w:val="20"/>
                <w:szCs w:val="20"/>
              </w:rPr>
              <w:t xml:space="preserve">a) Certificado en vigor expedido por entidad de certificación acreditada.</w:t>
            </w:r>
          </w:p>
          <w:p>
            <w:pPr>
              <w:spacing w:after="100" w:line="264"/>
            </w:pPr>
            <w:r>
              <w:rPr>
                <w:rFonts w:ascii="Georgia" w:cs="Georgia" w:eastAsia="Georgia" w:hAnsi="Georgia"/>
                <w:sz w:val="20"/>
                <w:szCs w:val="20"/>
              </w:rPr>
              <w:t xml:space="preserve">b) Certificado equivalente expedido por organismo establecido en cualquier Estado miembro de la Unión Europea.</w:t>
            </w:r>
          </w:p>
          <w:p>
            <w:pPr>
              <w:spacing w:after="100" w:line="264"/>
            </w:pPr>
            <w:r>
              <w:rPr>
                <w:rFonts w:ascii="Georgia" w:cs="Georgia" w:eastAsia="Georgia" w:hAnsi="Georgia"/>
                <w:sz w:val="20"/>
                <w:szCs w:val="20"/>
              </w:rPr>
              <w:t xml:space="preserve">c) </w:t>
            </w:r>
            <w:r>
              <w:rPr>
                <w:rFonts w:ascii="Georgia" w:cs="Georgia" w:eastAsia="Georgia" w:hAnsi="Georgia"/>
                <w:b/>
                <w:bCs/>
                <w:sz w:val="20"/>
                <w:szCs w:val="20"/>
              </w:rPr>
              <w:t xml:space="preserve">Otras pruebas de medidas equivalentes de garantía de la calidad</w:t>
            </w:r>
            <w:r>
              <w:rPr>
                <w:rFonts w:ascii="Georgia" w:cs="Georgia" w:eastAsia="Georgia" w:hAnsi="Georgia"/>
                <w:sz w:val="20"/>
                <w:szCs w:val="20"/>
              </w:rPr>
              <w:t xml:space="preserve">, conforme al artículo 93.2 de la Ley 9/2017, de Contratos del Sector Público. A estos efectos se admitirán, y bastarán, los siguientes documentos referidos a la organización del licitador y en vigor a la fecha final de presentación de ofertas: (i) política de gestión de la inteligencia artificial aprobada por el órgano de dirección; (ii) procedimiento documentado de identificación, análisis y tratamiento de los riesgos de los sistemas de inteligencia artificial; (iii) procedimiento documentado de supervisión humana, con identificación de los puestos que la ejercen; (iv) registro de incidencias y de cambios de modelo o de versión; (v) informe de la última revisión interna o externa del sistema de gestión, de antigüedad no superior a [X; se recomienda 24] meses.</w:t>
            </w:r>
          </w:p>
          <w:p>
            <w:pPr>
              <w:pStyle w:val="ListParagraph"/>
              <w:numPr>
                <w:ilvl w:val="0"/>
                <w:numId w:val="2"/>
              </w:numPr>
              <w:spacing w:after="60" w:line="264"/>
            </w:pPr>
            <w:r>
              <w:rPr>
                <w:rFonts w:ascii="Georgia" w:cs="Georgia" w:eastAsia="Georgia" w:hAnsi="Georgia"/>
                <w:sz w:val="20"/>
                <w:szCs w:val="20"/>
              </w:rPr>
              <w:t xml:space="preserve">La designación de la norma se entiende hecha a la </w:t>
            </w:r>
            <w:r>
              <w:rPr>
                <w:rFonts w:ascii="Georgia" w:cs="Georgia" w:eastAsia="Georgia" w:hAnsi="Georgia"/>
                <w:b/>
                <w:bCs/>
                <w:sz w:val="20"/>
                <w:szCs w:val="20"/>
              </w:rPr>
              <w:t xml:space="preserve">versión vigente a la fecha de publicación del anuncio de licitación</w:t>
            </w:r>
            <w:r>
              <w:rPr>
                <w:rFonts w:ascii="Georgia" w:cs="Georgia" w:eastAsia="Georgia" w:hAnsi="Georgia"/>
                <w:sz w:val="20"/>
                <w:szCs w:val="20"/>
              </w:rPr>
              <w:t xml:space="preserve">. La publicación posterior de una revisión, o su sustitución por otra norma, no modificará el contenido de esta exigencia ni el alcance de las obligaciones asumidas por el adjudicatario.</w:t>
            </w:r>
          </w:p>
          <w:p>
            <w:pPr>
              <w:pStyle w:val="ListParagraph"/>
              <w:numPr>
                <w:ilvl w:val="0"/>
                <w:numId w:val="2"/>
              </w:numPr>
              <w:spacing w:after="60" w:line="264"/>
            </w:pPr>
            <w:r>
              <w:rPr>
                <w:rFonts w:ascii="Georgia" w:cs="Georgia" w:eastAsia="Georgia" w:hAnsi="Georgia"/>
                <w:sz w:val="20"/>
                <w:szCs w:val="20"/>
              </w:rPr>
              <w:t xml:space="preserve">El cumplimiento de este requisito no se valora en la adjudicación.</w:t>
            </w:r>
          </w:p>
        </w:tc>
      </w:tr>
    </w:tbl>
    <w:p>
      <w:pPr>
        <w:spacing w:after="220"/>
      </w:pPr>
    </w:p>
    <w:p>
      <w:pPr>
        <w:spacing w:after="140" w:line="276"/>
      </w:pPr>
      <w:r>
        <w:rPr>
          <w:rFonts w:ascii="Calibri" w:cs="Calibri" w:eastAsia="Calibri" w:hAnsi="Calibri"/>
          <w:b/>
          <w:bCs/>
          <w:sz w:val="21"/>
          <w:szCs w:val="21"/>
        </w:rPr>
        <w:t xml:space="preserve">Modalidad B — Condición especial de ejecución.</w:t>
      </w:r>
      <w:r>
        <w:rPr>
          <w:rFonts w:ascii="Calibri" w:cs="Calibri" w:eastAsia="Calibri" w:hAnsi="Calibri"/>
          <w:sz w:val="21"/>
          <w:szCs w:val="21"/>
        </w:rPr>
        <w:t xml:space="preserve"> Modalidad recomendada. Aplicable a cualquier contrato, sujeto o no a regulación armonizada, en cuya ejecución intervengan sistemas de inteligencia artificial sobre datos o procesos municipales.</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Condición especial de ejecución. Sistema de gestión de la inteligencia artificial aplicado a la solución contratada.</w:t>
            </w:r>
          </w:p>
          <w:p>
            <w:pPr>
              <w:pStyle w:val="ListParagraph"/>
              <w:numPr>
                <w:ilvl w:val="0"/>
                <w:numId w:val="2"/>
              </w:numPr>
              <w:spacing w:after="60" w:line="264"/>
            </w:pPr>
            <w:r>
              <w:rPr>
                <w:rFonts w:ascii="Georgia" w:cs="Georgia" w:eastAsia="Georgia" w:hAnsi="Georgia"/>
                <w:b/>
                <w:bCs/>
                <w:sz w:val="20"/>
                <w:szCs w:val="20"/>
              </w:rPr>
              <w:t xml:space="preserve">Objeto.</w:t>
            </w:r>
            <w:r>
              <w:rPr>
                <w:rFonts w:ascii="Georgia" w:cs="Georgia" w:eastAsia="Georgia" w:hAnsi="Georgia"/>
                <w:sz w:val="20"/>
                <w:szCs w:val="20"/>
              </w:rPr>
              <w:t xml:space="preserve"> Durante toda la ejecución del contrato y de sus prórrogas, el contratista aplicará </w:t>
            </w:r>
            <w:r>
              <w:rPr>
                <w:rFonts w:ascii="Georgia" w:cs="Georgia" w:eastAsia="Georgia" w:hAnsi="Georgia"/>
                <w:b/>
                <w:bCs/>
                <w:sz w:val="20"/>
                <w:szCs w:val="20"/>
              </w:rPr>
              <w:t xml:space="preserve">a la solución objeto de este contrato y al equipo adscrito a su ejecución</w:t>
            </w:r>
            <w:r>
              <w:rPr>
                <w:rFonts w:ascii="Georgia" w:cs="Georgia" w:eastAsia="Georgia" w:hAnsi="Georgia"/>
                <w:sz w:val="20"/>
                <w:szCs w:val="20"/>
              </w:rPr>
              <w:t xml:space="preserve"> un sistema de gestión de la inteligencia artificial que comprenda, como mínimo:</w:t>
            </w:r>
          </w:p>
          <w:p>
            <w:pPr>
              <w:spacing w:after="100" w:line="264"/>
            </w:pPr>
            <w:r>
              <w:rPr>
                <w:rFonts w:ascii="Georgia" w:cs="Georgia" w:eastAsia="Georgia" w:hAnsi="Georgia"/>
                <w:sz w:val="20"/>
                <w:szCs w:val="20"/>
              </w:rPr>
              <w:t xml:space="preserve">a) Inventario, actualizado y a disposición del responsable del contrato, de los sistemas de inteligencia artificial que intervienen en la prestación, con indicación de proveedor, finalidad y datos municipales tratados.</w:t>
            </w:r>
          </w:p>
          <w:p>
            <w:pPr>
              <w:spacing w:after="100" w:line="264"/>
            </w:pPr>
            <w:r>
              <w:rPr>
                <w:rFonts w:ascii="Georgia" w:cs="Georgia" w:eastAsia="Georgia" w:hAnsi="Georgia"/>
                <w:sz w:val="20"/>
                <w:szCs w:val="20"/>
              </w:rPr>
              <w:t xml:space="preserve">b) Análisis documentado de los riesgos de esos sistemas referido a los datos y procesos municipales de este contrato, y medidas de tratamiento adoptadas.</w:t>
            </w:r>
          </w:p>
          <w:p>
            <w:pPr>
              <w:spacing w:after="100" w:line="264"/>
            </w:pPr>
            <w:r>
              <w:rPr>
                <w:rFonts w:ascii="Georgia" w:cs="Georgia" w:eastAsia="Georgia" w:hAnsi="Georgia"/>
                <w:sz w:val="20"/>
                <w:szCs w:val="20"/>
              </w:rPr>
              <w:t xml:space="preserve">c) Identificación de las operaciones sujetas a supervisión humana y de los perfiles que la ejercen, con la formación acreditada de las personas que operan los sistemas.</w:t>
            </w:r>
          </w:p>
          <w:p>
            <w:pPr>
              <w:spacing w:after="100" w:line="264"/>
            </w:pPr>
            <w:r>
              <w:rPr>
                <w:rFonts w:ascii="Georgia" w:cs="Georgia" w:eastAsia="Georgia" w:hAnsi="Georgia"/>
                <w:sz w:val="20"/>
                <w:szCs w:val="20"/>
              </w:rPr>
              <w:t xml:space="preserve">d) Registro de incidencias, de cambios de modelo y de cambios de versión que afecten a la prestación, con comunicación al responsable del contrato de los que alteren el comportamiento funcional.</w:t>
            </w:r>
          </w:p>
          <w:p>
            <w:pPr>
              <w:spacing w:after="100" w:line="264"/>
            </w:pPr>
            <w:r>
              <w:rPr>
                <w:rFonts w:ascii="Georgia" w:cs="Georgia" w:eastAsia="Georgia" w:hAnsi="Georgia"/>
                <w:sz w:val="20"/>
                <w:szCs w:val="20"/>
              </w:rPr>
              <w:t xml:space="preserve">e) Revisión documentada, al menos anual, del funcionamiento de las letras anteriores.</w:t>
            </w:r>
          </w:p>
          <w:p>
            <w:pPr>
              <w:pStyle w:val="ListParagraph"/>
              <w:numPr>
                <w:ilvl w:val="0"/>
                <w:numId w:val="2"/>
              </w:numPr>
              <w:spacing w:after="60" w:line="264"/>
            </w:pPr>
            <w:r>
              <w:rPr>
                <w:rFonts w:ascii="Georgia" w:cs="Georgia" w:eastAsia="Georgia" w:hAnsi="Georgia"/>
                <w:b/>
                <w:bCs/>
                <w:sz w:val="20"/>
                <w:szCs w:val="20"/>
              </w:rPr>
              <w:t xml:space="preserve">Acreditación.</w:t>
            </w:r>
            <w:r>
              <w:rPr>
                <w:rFonts w:ascii="Georgia" w:cs="Georgia" w:eastAsia="Georgia" w:hAnsi="Georgia"/>
                <w:sz w:val="20"/>
                <w:szCs w:val="20"/>
              </w:rPr>
              <w:t xml:space="preserve"> El cumplimiento se acredita, a elección del contratista, mediante: (i) certificado en vigor conforme a la norma </w:t>
            </w:r>
            <w:r>
              <w:rPr>
                <w:rFonts w:ascii="Georgia" w:cs="Georgia" w:eastAsia="Georgia" w:hAnsi="Georgia"/>
                <w:b/>
                <w:bCs/>
                <w:sz w:val="20"/>
                <w:szCs w:val="20"/>
              </w:rPr>
              <w:t xml:space="preserve">UNE-EN ISO/IEC 42001:2026</w:t>
            </w:r>
            <w:r>
              <w:rPr>
                <w:rFonts w:ascii="Georgia" w:cs="Georgia" w:eastAsia="Georgia" w:hAnsi="Georgia"/>
                <w:sz w:val="20"/>
                <w:szCs w:val="20"/>
              </w:rPr>
              <w:t xml:space="preserve"> cuyo alcance comprenda la prestación objeto de este contrato, o certificado equivalente, o (ii) la documentación descrita en el apartado 1, mantenida actualizada y puesta a disposición del responsable del contrato en el plazo de [X; se recomienda 10] días hábiles desde su requerimiento.</w:t>
            </w:r>
          </w:p>
          <w:p>
            <w:pPr>
              <w:pStyle w:val="ListParagraph"/>
              <w:numPr>
                <w:ilvl w:val="0"/>
                <w:numId w:val="2"/>
              </w:numPr>
              <w:spacing w:after="60" w:line="264"/>
            </w:pPr>
            <w:r>
              <w:rPr>
                <w:rFonts w:ascii="Georgia" w:cs="Georgia" w:eastAsia="Georgia" w:hAnsi="Georgia"/>
                <w:b/>
                <w:bCs/>
                <w:sz w:val="20"/>
                <w:szCs w:val="20"/>
              </w:rPr>
              <w:t xml:space="preserve">Plazo.</w:t>
            </w:r>
            <w:r>
              <w:rPr>
                <w:rFonts w:ascii="Georgia" w:cs="Georgia" w:eastAsia="Georgia" w:hAnsi="Georgia"/>
                <w:sz w:val="20"/>
                <w:szCs w:val="20"/>
              </w:rPr>
              <w:t xml:space="preserve"> [Sólo si el pliego exige certificación:] El contratista dispondrá de [X; se recomienda 12] meses desde la formalización del contrato para obtener la certificación indicada en el apartado 2.(i). Hasta entonces, y en caso de no obtenerla, el cumplimiento se acredita por la vía del apartado 2.(ii), sin que ello constituya incumplimiento. </w:t>
            </w:r>
            <w:r>
              <w:rPr>
                <w:rFonts w:ascii="Georgia" w:cs="Georgia" w:eastAsia="Georgia" w:hAnsi="Georgia"/>
                <w:b/>
                <w:bCs/>
                <w:sz w:val="20"/>
                <w:szCs w:val="20"/>
              </w:rPr>
              <w:t xml:space="preserve">Las penalidades previstas en este pliego operan sobre la falta de acreditación por cualquiera de las dos vías del apartado 2, nunca sobre la pérdida del certificado en sí.</w:t>
            </w:r>
          </w:p>
          <w:p>
            <w:pPr>
              <w:pStyle w:val="ListParagraph"/>
              <w:numPr>
                <w:ilvl w:val="0"/>
                <w:numId w:val="2"/>
              </w:numPr>
              <w:spacing w:after="60" w:line="264"/>
            </w:pPr>
            <w:r>
              <w:rPr>
                <w:rFonts w:ascii="Georgia" w:cs="Georgia" w:eastAsia="Georgia" w:hAnsi="Georgia"/>
                <w:b/>
                <w:bCs/>
                <w:sz w:val="20"/>
                <w:szCs w:val="20"/>
              </w:rPr>
              <w:t xml:space="preserve">No exigencia previa.</w:t>
            </w:r>
            <w:r>
              <w:rPr>
                <w:rFonts w:ascii="Georgia" w:cs="Georgia" w:eastAsia="Georgia" w:hAnsi="Georgia"/>
                <w:sz w:val="20"/>
                <w:szCs w:val="20"/>
              </w:rPr>
              <w:t xml:space="preserve"> No se exige disponer de certificación alguna a la fecha de presentación de ofertas, ni se valora su tenencia en la adjudicación.</w:t>
            </w:r>
          </w:p>
          <w:p>
            <w:pPr>
              <w:pStyle w:val="ListParagraph"/>
              <w:numPr>
                <w:ilvl w:val="0"/>
                <w:numId w:val="2"/>
              </w:numPr>
              <w:spacing w:after="60" w:line="264"/>
            </w:pPr>
            <w:r>
              <w:rPr>
                <w:rFonts w:ascii="Georgia" w:cs="Georgia" w:eastAsia="Georgia" w:hAnsi="Georgia"/>
                <w:b/>
                <w:bCs/>
                <w:sz w:val="20"/>
                <w:szCs w:val="20"/>
              </w:rPr>
              <w:t xml:space="preserve">Referencia estática.</w:t>
            </w:r>
            <w:r>
              <w:rPr>
                <w:rFonts w:ascii="Georgia" w:cs="Georgia" w:eastAsia="Georgia" w:hAnsi="Georgia"/>
                <w:sz w:val="20"/>
                <w:szCs w:val="20"/>
              </w:rPr>
              <w:t xml:space="preserve"> La designación de la norma se entiende hecha a la versión vigente a la fecha de publicación del anuncio de licitación. La publicación posterior de una revisión, o su sustitución por otra norma, no modificará el contenido de esta obligación. El contratista podrá acogerse voluntariamente a la versión posterior.</w:t>
            </w:r>
          </w:p>
          <w:p>
            <w:pPr>
              <w:pStyle w:val="ListParagraph"/>
              <w:numPr>
                <w:ilvl w:val="0"/>
                <w:numId w:val="2"/>
              </w:numPr>
              <w:spacing w:after="60" w:line="264"/>
            </w:pPr>
            <w:r>
              <w:rPr>
                <w:rFonts w:ascii="Georgia" w:cs="Georgia" w:eastAsia="Georgia" w:hAnsi="Georgia"/>
                <w:b/>
                <w:bCs/>
                <w:sz w:val="20"/>
                <w:szCs w:val="20"/>
              </w:rPr>
              <w:t xml:space="preserve">Naturaleza.</w:t>
            </w:r>
            <w:r>
              <w:rPr>
                <w:rFonts w:ascii="Georgia" w:cs="Georgia" w:eastAsia="Georgia" w:hAnsi="Georgia"/>
                <w:sz w:val="20"/>
                <w:szCs w:val="20"/>
              </w:rPr>
              <w:t xml:space="preserve"> Esta condición especial de ejecución se establece al amparo de los artículos 202.1 y 202.2 de la Ley 9/2017, está vinculada al objeto del contrato en el sentido del artículo 145.6 de la misma ley y se ejecuta durante el cumplimiento de la prestación contratada. Su incumplimiento dará lugar a las penalidades de la cláusula de penalidades de este pliego. </w:t>
            </w:r>
            <w:r>
              <w:rPr>
                <w:rFonts w:ascii="Georgia" w:cs="Georgia" w:eastAsia="Georgia" w:hAnsi="Georgia"/>
                <w:b/>
                <w:bCs/>
                <w:sz w:val="20"/>
                <w:szCs w:val="20"/>
              </w:rPr>
              <w:t xml:space="preserve">No tiene carácter de obligación contractual esencial.</w:t>
            </w:r>
          </w:p>
        </w:tc>
      </w:tr>
    </w:tbl>
    <w:p>
      <w:pPr>
        <w:spacing w:after="220"/>
      </w:pPr>
    </w:p>
    <w:p>
      <w:pPr>
        <w:spacing w:after="140" w:line="276"/>
      </w:pPr>
      <w:r>
        <w:rPr>
          <w:rFonts w:ascii="Calibri" w:cs="Calibri" w:eastAsia="Calibri" w:hAnsi="Calibri"/>
          <w:b/>
          <w:bCs/>
          <w:sz w:val="21"/>
          <w:szCs w:val="21"/>
        </w:rPr>
        <w:t xml:space="preserve">Modalidad C — Otras certificaciones.</w:t>
      </w:r>
      <w:r>
        <w:rPr>
          <w:rFonts w:ascii="Calibri" w:cs="Calibri" w:eastAsia="Calibri" w:hAnsi="Calibri"/>
          <w:sz w:val="21"/>
          <w:szCs w:val="21"/>
        </w:rPr>
        <w:t xml:space="preserve"> Bloque complementario, se copia junto a la A o a la B cuando proceda.</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Otras certificaciones y marcos aplicables.</w:t>
            </w:r>
          </w:p>
          <w:p>
            <w:pPr>
              <w:pStyle w:val="ListParagraph"/>
              <w:numPr>
                <w:ilvl w:val="0"/>
                <w:numId w:val="2"/>
              </w:numPr>
              <w:spacing w:after="60" w:line="264"/>
            </w:pPr>
            <w:r>
              <w:rPr>
                <w:rFonts w:ascii="Georgia" w:cs="Georgia" w:eastAsia="Georgia" w:hAnsi="Georgia"/>
                <w:b/>
                <w:bCs/>
                <w:sz w:val="20"/>
                <w:szCs w:val="20"/>
              </w:rPr>
              <w:t xml:space="preserve">Esquema Nacional de Seguridad.</w:t>
            </w:r>
            <w:r>
              <w:rPr>
                <w:rFonts w:ascii="Georgia" w:cs="Georgia" w:eastAsia="Georgia" w:hAnsi="Georgia"/>
                <w:sz w:val="20"/>
                <w:szCs w:val="20"/>
              </w:rPr>
              <w:t xml:space="preserve"> La conformidad con el Esquema Nacional de Seguridad se exige en los términos de la cláusula técnica correspondiente de este pliego, </w:t>
            </w:r>
            <w:r>
              <w:rPr>
                <w:rFonts w:ascii="Georgia" w:cs="Georgia" w:eastAsia="Georgia" w:hAnsi="Georgia"/>
                <w:b/>
                <w:bCs/>
                <w:sz w:val="20"/>
                <w:szCs w:val="20"/>
              </w:rPr>
              <w:t xml:space="preserve">en la categoría que resulte del anexo I del Real Decreto 311/2022</w:t>
            </w:r>
            <w:r>
              <w:rPr>
                <w:rFonts w:ascii="Georgia" w:cs="Georgia" w:eastAsia="Georgia" w:hAnsi="Georgia"/>
                <w:sz w:val="20"/>
                <w:szCs w:val="20"/>
              </w:rPr>
              <w:t xml:space="preserve"> para el sistema de información de que se trate, según conste determinada en el expediente. No se exige categoría alguna con carácter general ni por remisión a un nivel predeterminado.</w:t>
            </w:r>
          </w:p>
          <w:p>
            <w:pPr>
              <w:pStyle w:val="ListParagraph"/>
              <w:numPr>
                <w:ilvl w:val="0"/>
                <w:numId w:val="2"/>
              </w:numPr>
              <w:spacing w:after="60" w:line="264"/>
            </w:pPr>
            <w:r>
              <w:rPr>
                <w:rFonts w:ascii="Georgia" w:cs="Georgia" w:eastAsia="Georgia" w:hAnsi="Georgia"/>
                <w:b/>
                <w:bCs/>
                <w:sz w:val="20"/>
                <w:szCs w:val="20"/>
              </w:rPr>
              <w:t xml:space="preserve">Sistemas de gestión de la seguridad de la información y de la privacidad.</w:t>
            </w:r>
            <w:r>
              <w:rPr>
                <w:rFonts w:ascii="Georgia" w:cs="Georgia" w:eastAsia="Georgia" w:hAnsi="Georgia"/>
                <w:sz w:val="20"/>
                <w:szCs w:val="20"/>
              </w:rPr>
              <w:t xml:space="preserve"> [Sólo si el Informe de Necesidad lo motiva:] Se exige la aplicación de un sistema de gestión conforme a </w:t>
            </w:r>
            <w:r>
              <w:rPr>
                <w:rFonts w:ascii="Georgia" w:cs="Georgia" w:eastAsia="Georgia" w:hAnsi="Georgia"/>
                <w:b/>
                <w:bCs/>
                <w:sz w:val="20"/>
                <w:szCs w:val="20"/>
              </w:rPr>
              <w:t xml:space="preserve">UNE-EN ISO/IEC 27001:[año vigente]</w:t>
            </w:r>
            <w:r>
              <w:rPr>
                <w:rFonts w:ascii="Georgia" w:cs="Georgia" w:eastAsia="Georgia" w:hAnsi="Georgia"/>
                <w:sz w:val="20"/>
                <w:szCs w:val="20"/>
              </w:rPr>
              <w:t xml:space="preserve"> [y </w:t>
            </w:r>
            <w:r>
              <w:rPr>
                <w:rFonts w:ascii="Georgia" w:cs="Georgia" w:eastAsia="Georgia" w:hAnsi="Georgia"/>
                <w:b/>
                <w:bCs/>
                <w:sz w:val="20"/>
                <w:szCs w:val="20"/>
              </w:rPr>
              <w:t xml:space="preserve">UNE-EN ISO/IEC 27701:[año vigente]</w:t>
            </w:r>
            <w:r>
              <w:rPr>
                <w:rFonts w:ascii="Georgia" w:cs="Georgia" w:eastAsia="Georgia" w:hAnsi="Georgia"/>
                <w:sz w:val="20"/>
                <w:szCs w:val="20"/>
              </w:rPr>
              <w:t xml:space="preserve">], acreditada mediante certificado en vigor, certificado equivalente expedido por organismo de cualquier Estado miembro, u otras pruebas de medidas equivalentes conforme al artículo 93.2 de la Ley 9/2017. Se aplica a esta exigencia la regla de referencia estática del apartado anterior.</w:t>
            </w:r>
          </w:p>
          <w:p>
            <w:pPr>
              <w:pStyle w:val="ListParagraph"/>
              <w:numPr>
                <w:ilvl w:val="0"/>
                <w:numId w:val="2"/>
              </w:numPr>
              <w:spacing w:after="60" w:line="264"/>
            </w:pPr>
            <w:r>
              <w:rPr>
                <w:rFonts w:ascii="Georgia" w:cs="Georgia" w:eastAsia="Georgia" w:hAnsi="Georgia"/>
                <w:b/>
                <w:bCs/>
                <w:sz w:val="20"/>
                <w:szCs w:val="20"/>
              </w:rPr>
              <w:t xml:space="preserve">Servicios electrónicos de confianza.</w:t>
            </w:r>
            <w:r>
              <w:rPr>
                <w:rFonts w:ascii="Georgia" w:cs="Georgia" w:eastAsia="Georgia" w:hAnsi="Georgia"/>
                <w:sz w:val="20"/>
                <w:szCs w:val="20"/>
              </w:rPr>
              <w:t xml:space="preserve"> Cuando el objeto comprenda la prestación de servicios electrónicos de confianza, se exigirá la condición de prestador cualificado en los términos de la normativa europea de identificación electrónica y servicios de confianza.</w:t>
            </w:r>
          </w:p>
          <w:p>
            <w:pPr>
              <w:pStyle w:val="ListParagraph"/>
              <w:numPr>
                <w:ilvl w:val="0"/>
                <w:numId w:val="2"/>
              </w:numPr>
              <w:spacing w:after="60" w:line="264"/>
            </w:pPr>
            <w:r>
              <w:rPr>
                <w:rFonts w:ascii="Georgia" w:cs="Georgia" w:eastAsia="Georgia" w:hAnsi="Georgia"/>
                <w:b/>
                <w:bCs/>
                <w:sz w:val="20"/>
                <w:szCs w:val="20"/>
              </w:rPr>
              <w:t xml:space="preserve">Regla común.</w:t>
            </w:r>
            <w:r>
              <w:rPr>
                <w:rFonts w:ascii="Georgia" w:cs="Georgia" w:eastAsia="Georgia" w:hAnsi="Georgia"/>
                <w:sz w:val="20"/>
                <w:szCs w:val="20"/>
              </w:rPr>
              <w:t xml:space="preserve"> Ninguna de las certificaciones o marcos de este pliego se valora como criterio de adjudicación.</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PCAP. La </w:t>
      </w:r>
      <w:r>
        <w:rPr>
          <w:rFonts w:ascii="Calibri" w:cs="Calibri" w:eastAsia="Calibri" w:hAnsi="Calibri"/>
          <w:b/>
          <w:bCs/>
          <w:sz w:val="21"/>
          <w:szCs w:val="21"/>
        </w:rPr>
        <w:t xml:space="preserve">modalidad A</w:t>
      </w:r>
      <w:r>
        <w:rPr>
          <w:rFonts w:ascii="Calibri" w:cs="Calibri" w:eastAsia="Calibri" w:hAnsi="Calibri"/>
          <w:sz w:val="21"/>
          <w:szCs w:val="21"/>
        </w:rPr>
        <w:t xml:space="preserve">, en el cuadro de características, apartado de solvencia técnica o profesional, y en la cláusula de acreditación de la solvencia. La </w:t>
      </w:r>
      <w:r>
        <w:rPr>
          <w:rFonts w:ascii="Calibri" w:cs="Calibri" w:eastAsia="Calibri" w:hAnsi="Calibri"/>
          <w:b/>
          <w:bCs/>
          <w:sz w:val="21"/>
          <w:szCs w:val="21"/>
        </w:rPr>
        <w:t xml:space="preserve">modalidad B</w:t>
      </w:r>
      <w:r>
        <w:rPr>
          <w:rFonts w:ascii="Calibri" w:cs="Calibri" w:eastAsia="Calibri" w:hAnsi="Calibri"/>
          <w:sz w:val="21"/>
          <w:szCs w:val="21"/>
        </w:rPr>
        <w:t xml:space="preserve">, en la cláusula de condiciones especiales de ejecución, </w:t>
      </w:r>
      <w:r>
        <w:rPr>
          <w:rFonts w:ascii="Calibri" w:cs="Calibri" w:eastAsia="Calibri" w:hAnsi="Calibri"/>
          <w:b/>
          <w:bCs/>
          <w:sz w:val="21"/>
          <w:szCs w:val="21"/>
        </w:rPr>
        <w:t xml:space="preserve">y además en el anuncio de licitación</w:t>
      </w:r>
      <w:r>
        <w:rPr>
          <w:rFonts w:ascii="Calibri" w:cs="Calibri" w:eastAsia="Calibri" w:hAnsi="Calibri"/>
          <w:sz w:val="21"/>
          <w:szCs w:val="21"/>
        </w:rPr>
        <w:t xml:space="preserve">: el artículo 202.1 LCSP exige que las condiciones especiales se indiquen en el anuncio y en los pliegos, y su omisión en el anuncio es un defecto que no se subsana después. La </w:t>
      </w:r>
      <w:r>
        <w:rPr>
          <w:rFonts w:ascii="Calibri" w:cs="Calibri" w:eastAsia="Calibri" w:hAnsi="Calibri"/>
          <w:b/>
          <w:bCs/>
          <w:sz w:val="21"/>
          <w:szCs w:val="21"/>
        </w:rPr>
        <w:t xml:space="preserve">modalidad C</w:t>
      </w:r>
      <w:r>
        <w:rPr>
          <w:rFonts w:ascii="Calibri" w:cs="Calibri" w:eastAsia="Calibri" w:hAnsi="Calibri"/>
          <w:sz w:val="21"/>
          <w:szCs w:val="21"/>
        </w:rPr>
        <w:t xml:space="preserve">, en la cláusula de obligaciones del contratista, con remisión cruzada a la cláusula técnica de seguridad (DT-6·v3).</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sz w:val="21"/>
          <w:szCs w:val="21"/>
        </w:rPr>
        <w:t xml:space="preserve">La necesidad no es «tener una empresa certificada». Es que </w:t>
      </w:r>
      <w:r>
        <w:rPr>
          <w:rFonts w:ascii="Calibri" w:cs="Calibri" w:eastAsia="Calibri" w:hAnsi="Calibri"/>
          <w:b/>
          <w:bCs/>
          <w:sz w:val="21"/>
          <w:szCs w:val="21"/>
        </w:rPr>
        <w:t xml:space="preserve">el Ayuntamiento, como responsable del despliegue de sistemas de inteligencia artificial sobre datos municipales, pueda acreditar cómo se gobiernan esos sistemas</w:t>
      </w:r>
      <w:r>
        <w:rPr>
          <w:rFonts w:ascii="Calibri" w:cs="Calibri" w:eastAsia="Calibri" w:hAnsi="Calibri"/>
          <w:sz w:val="21"/>
          <w:szCs w:val="21"/>
        </w:rPr>
        <w:t xml:space="preserve"> —quién los inventaría, quién analiza sus riesgos, quién supervisa sus decisiones y quién registra sus incidencias— y que esa capacidad esté disponible en el contrato, no en un folleto.</w:t>
      </w:r>
    </w:p>
    <w:p>
      <w:pPr>
        <w:pStyle w:val="ListParagraph"/>
        <w:numPr>
          <w:ilvl w:val="0"/>
          <w:numId w:val="1"/>
        </w:numPr>
        <w:spacing w:after="70" w:line="268"/>
      </w:pPr>
      <w:r>
        <w:rPr>
          <w:rFonts w:ascii="Calibri" w:cs="Calibri" w:eastAsia="Calibri" w:hAnsi="Calibri"/>
          <w:b/>
          <w:bCs/>
          <w:sz w:val="21"/>
          <w:szCs w:val="21"/>
        </w:rPr>
        <w:t xml:space="preserve">Artículo 4 del Reglamento (UE) 2024/1689, en su redacción vigente</w:t>
      </w:r>
      <w:r>
        <w:rPr>
          <w:rFonts w:ascii="Calibri" w:cs="Calibri" w:eastAsia="Calibri" w:hAnsi="Calibri"/>
          <w:sz w:val="21"/>
          <w:szCs w:val="21"/>
        </w:rPr>
        <w:t xml:space="preserve">: proveedores y responsables del despliegue «adoptarán medidas para apoyar la promoción de la alfabetización en materia de IA de su personal y demás personas que se encarguen en su nombre del funcionamiento y la utilización de sistemas de IA». El propio precepto advierte que esta obligación «no exige que los proveedores o los responsables del despliegue garanticen un nivel específico de alfabetización en materia de IA de ninguna persona en particular»: por tanto el pliego no puede presentar un nivel concreto de formación como obligación legal, pero sí puede establecerlo como obligación contractual, que es lo que hace la letra c) del apartado 1 de la modalidad B.</w:t>
      </w:r>
    </w:p>
    <w:p>
      <w:pPr>
        <w:pStyle w:val="ListParagraph"/>
        <w:numPr>
          <w:ilvl w:val="0"/>
          <w:numId w:val="1"/>
        </w:numPr>
        <w:spacing w:after="70" w:line="268"/>
      </w:pPr>
      <w:r>
        <w:rPr>
          <w:rFonts w:ascii="Calibri" w:cs="Calibri" w:eastAsia="Calibri" w:hAnsi="Calibri"/>
          <w:b/>
          <w:bCs/>
          <w:sz w:val="21"/>
          <w:szCs w:val="21"/>
        </w:rPr>
        <w:t xml:space="preserve">Artículo 93.1 y 93.2 LCSP</w:t>
      </w:r>
      <w:r>
        <w:rPr>
          <w:rFonts w:ascii="Calibri" w:cs="Calibri" w:eastAsia="Calibri" w:hAnsi="Calibri"/>
          <w:sz w:val="21"/>
          <w:szCs w:val="21"/>
        </w:rPr>
        <w:t xml:space="preserve">: habilita la exigencia de certificados de sistemas de gestión de la calidad en los contratos sujetos a regulación armonizada y obliga, en todo caso, a reconocer certificados equivalentes «y también [a aceptar] otras pruebas de medidas equivalentes de garantía de la calidad que presenten los empresarios».</w:t>
      </w:r>
    </w:p>
    <w:p>
      <w:pPr>
        <w:pStyle w:val="ListParagraph"/>
        <w:numPr>
          <w:ilvl w:val="0"/>
          <w:numId w:val="1"/>
        </w:numPr>
        <w:spacing w:after="70" w:line="268"/>
      </w:pPr>
      <w:r>
        <w:rPr>
          <w:rFonts w:ascii="Calibri" w:cs="Calibri" w:eastAsia="Calibri" w:hAnsi="Calibri"/>
          <w:b/>
          <w:bCs/>
          <w:sz w:val="21"/>
          <w:szCs w:val="21"/>
        </w:rPr>
        <w:t xml:space="preserve">Artículos 202.1 y 202.2 LCSP</w:t>
      </w:r>
      <w:r>
        <w:rPr>
          <w:rFonts w:ascii="Calibri" w:cs="Calibri" w:eastAsia="Calibri" w:hAnsi="Calibri"/>
          <w:sz w:val="21"/>
          <w:szCs w:val="21"/>
        </w:rPr>
        <w:t xml:space="preserve">: las condiciones especiales de ejecución pueden referirse «en especial» a consideraciones «relacionadas con la innovación».</w:t>
      </w:r>
    </w:p>
    <w:p>
      <w:pPr>
        <w:pStyle w:val="ListParagraph"/>
        <w:numPr>
          <w:ilvl w:val="0"/>
          <w:numId w:val="1"/>
        </w:numPr>
        <w:spacing w:after="70" w:line="268"/>
      </w:pPr>
      <w:r>
        <w:rPr>
          <w:rFonts w:ascii="Calibri" w:cs="Calibri" w:eastAsia="Calibri" w:hAnsi="Calibri"/>
          <w:b/>
          <w:bCs/>
          <w:sz w:val="21"/>
          <w:szCs w:val="21"/>
        </w:rPr>
        <w:t xml:space="preserve">Artículo 2.3 del Real Decreto 311/2022</w:t>
      </w:r>
      <w:r>
        <w:rPr>
          <w:rFonts w:ascii="Calibri" w:cs="Calibri" w:eastAsia="Calibri" w:hAnsi="Calibri"/>
          <w:sz w:val="21"/>
          <w:szCs w:val="21"/>
        </w:rPr>
        <w:t xml:space="preserve">, para el bloque de seguridad de la modalidad C: los pliegos «contemplarán todos aquellos requisitos necesarios para asegurar la conformidad con el ENS de los sistemas de información en los que se sustenten los servicios prestados por los contratistas», y la cautela se extiende a la cadena de suministro.</w:t>
      </w:r>
    </w:p>
    <w:p>
      <w:pPr>
        <w:pStyle w:val="Heading3"/>
        <w:keepNext/>
        <w:spacing w:after="140" w:before="320"/>
      </w:pPr>
      <w:r>
        <w:rPr>
          <w:rFonts w:ascii="Georgia" w:cs="Georgia" w:eastAsia="Georgia" w:hAnsi="Georgia"/>
          <w:b/>
          <w:bCs/>
          <w:color w:val="2F5496"/>
          <w:sz w:val="22"/>
          <w:szCs w:val="22"/>
        </w:rPr>
        <w:t xml:space="preserve">4. Cómo se acredita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Modalidad</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Momento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Medio de prueba admisible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 lo aporta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(solvencia)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 la oferta, o al ser requerido como propuesto adjudicatario según el sistema que elija el 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Certificado en vigor · certificado equivalente de otro Estado miembro · los cinco documentos del apartado 2.c)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Licitador; en su caso el propuesto adjudicatario (art. 150.2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 (CEE)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Durante la ejecución, a requerimiento del responsable del contrato, y en todo caso una vez al 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Certificado en vigor, o los cinco elementos del apartado 1 del bloque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Contratista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 (seguridad)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Antes del inicio de la prestación y en cada renovación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Certificación de conformidad con el ENS (categorías MEDIA y ALTA) o declaración de conformidad por autoevaluación (categoría BÁSICA), conforme al artículo 38.1 del RD 311/2022; certificados 27001/27701 o pruebas equivalentes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Contratista</w:t>
            </w:r>
          </w:p>
        </w:tc>
      </w:tr>
    </w:tbl>
    <w:p>
      <w:pPr>
        <w:spacing w:after="200"/>
      </w:pPr>
    </w:p>
    <w:p>
      <w:pPr>
        <w:spacing w:after="140" w:line="276"/>
      </w:pPr>
      <w:r>
        <w:rPr>
          <w:rFonts w:ascii="Calibri" w:cs="Calibri" w:eastAsia="Calibri" w:hAnsi="Calibri"/>
          <w:sz w:val="21"/>
          <w:szCs w:val="21"/>
        </w:rPr>
        <w:t xml:space="preserve">Regla común de acreditación: </w:t>
      </w:r>
      <w:r>
        <w:rPr>
          <w:rFonts w:ascii="Calibri" w:cs="Calibri" w:eastAsia="Calibri" w:hAnsi="Calibri"/>
          <w:b/>
          <w:bCs/>
          <w:sz w:val="21"/>
          <w:szCs w:val="21"/>
        </w:rPr>
        <w:t xml:space="preserve">la carga de probar la equivalencia corresponde a quien la invoca, y su apreciación corresponde al órgano de contratación</w:t>
      </w:r>
      <w:r>
        <w:rPr>
          <w:rFonts w:ascii="Calibri" w:cs="Calibri" w:eastAsia="Calibri" w:hAnsi="Calibri"/>
          <w:sz w:val="21"/>
          <w:szCs w:val="21"/>
        </w:rPr>
        <w:t xml:space="preserve">, que debe motivarla por escrito. Es la doctrina general que, trasladada por analogía, se extrae de la Resolución 535/2025, de 18 de diciembre de 2025, del TACP de la Comunidad de Madrid (recurso 526/2025, SOPRA STERIA c. Agencia de Ciberseguridad de la Comunidad de Madrid; </w:t>
      </w:r>
      <w:hyperlink w:history="1" r:id="rIdbhappfbcl3w1n4p31dd4h">
        <w:r>
          <w:rPr>
            <w:rFonts w:ascii="Calibri" w:cs="Calibri" w:eastAsia="Calibri" w:hAnsi="Calibri"/>
            <w:color w:val="2F5496"/>
            <w:sz w:val="21"/>
            <w:szCs w:val="21"/>
            <w:u w:val="single"/>
          </w:rPr>
          <w:t xml:space="preserve">PDF</w:t>
        </w:r>
      </w:hyperlink>
      <w:r>
        <w:rPr>
          <w:rFonts w:ascii="Calibri" w:cs="Calibri" w:eastAsia="Calibri" w:hAnsi="Calibri"/>
          <w:sz w:val="21"/>
          <w:szCs w:val="21"/>
        </w:rPr>
        <w:t xml:space="preserve">). </w:t>
      </w:r>
      <w:r>
        <w:rPr>
          <w:rFonts w:ascii="Calibri" w:cs="Calibri" w:eastAsia="Calibri" w:hAnsi="Calibri"/>
          <w:b/>
          <w:bCs/>
          <w:sz w:val="21"/>
          <w:szCs w:val="21"/>
        </w:rPr>
        <w:t xml:space="preserve">Es una resolución desestimatoria y resuelve por discrecionalidad técnica</w:t>
      </w:r>
      <w:r>
        <w:rPr>
          <w:rFonts w:ascii="Calibri" w:cs="Calibri" w:eastAsia="Calibri" w:hAnsi="Calibri"/>
          <w:sz w:val="21"/>
          <w:szCs w:val="21"/>
        </w:rPr>
        <w:t xml:space="preserve">: no convalida ninguna redacción, y no se cita aquí para eso.</w:t>
      </w:r>
    </w:p>
    <w:p>
      <w:pPr>
        <w:pStyle w:val="Heading3"/>
        <w:keepNext/>
        <w:spacing w:after="140" w:before="320"/>
      </w:pPr>
      <w:r>
        <w:rPr>
          <w:rFonts w:ascii="Georgia" w:cs="Georgia" w:eastAsia="Georgia" w:hAnsi="Georgia"/>
          <w:b/>
          <w:bCs/>
          <w:color w:val="2F5496"/>
          <w:sz w:val="22"/>
          <w:szCs w:val="22"/>
        </w:rPr>
        <w:t xml:space="preserve">5. Cómo se verifica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se comprueba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Actor municipal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Cuándo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Horas/año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Vigencia del certificado o suficiencia de la documentación equivalente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 y al mes [12; se recomienda 12] si hay compromiso de obtención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Nota de comprobación incorporada al expediente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Actualización del inventario de sistemas de IA y del registro de incidencias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con apoyo del servicio de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 y en cada cambio comunicado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Diligencia en el acta de la Comisión (ADM-4·v3)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Formación acreditada del personal que opera los sistemas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Relación nominal aportada por el contratista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0,5</w:t>
            </w:r>
          </w:p>
        </w:tc>
      </w:tr>
    </w:tbl>
    <w:p>
      <w:pPr>
        <w:spacing w:after="200"/>
      </w:pPr>
    </w:p>
    <w:p>
      <w:pPr>
        <w:spacing w:after="140" w:line="276"/>
      </w:pPr>
      <w:r>
        <w:rPr>
          <w:rFonts w:ascii="Calibri" w:cs="Calibri" w:eastAsia="Calibri" w:hAnsi="Calibri"/>
          <w:b/>
          <w:bCs/>
          <w:sz w:val="21"/>
          <w:szCs w:val="21"/>
        </w:rPr>
        <w:t xml:space="preserve">Carga estimada: 3,5 horas por contrato y año</w:t>
      </w:r>
      <w:r>
        <w:rPr>
          <w:rFonts w:ascii="Calibri" w:cs="Calibri" w:eastAsia="Calibri" w:hAnsi="Calibri"/>
          <w:sz w:val="21"/>
          <w:szCs w:val="21"/>
        </w:rPr>
        <w:t xml:space="preserve"> (4,5 en el primer año si hay compromiso de obtención de certificación). Es una estimación propia de este catálogo, no una medición; cada Ayuntamiento debe ajustarla y consignarla en la Ficha del Anexo II.</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pStyle w:val="ListParagraph"/>
        <w:numPr>
          <w:ilvl w:val="0"/>
          <w:numId w:val="1"/>
        </w:numPr>
        <w:spacing w:after="70" w:line="268"/>
      </w:pPr>
      <w:r>
        <w:rPr>
          <w:rFonts w:ascii="Calibri" w:cs="Calibri" w:eastAsia="Calibri" w:hAnsi="Calibri"/>
          <w:sz w:val="21"/>
          <w:szCs w:val="21"/>
        </w:rPr>
        <w:t xml:space="preserve">Modalidad A: no es obligación de ejecución. Su falta a la fecha de presentación de ofertas determina la exclusión por falta de solvencia, resuelta en el momento de la calificación de la documentación, nunca después.</w:t>
      </w:r>
    </w:p>
    <w:p>
      <w:pPr>
        <w:pStyle w:val="ListParagraph"/>
        <w:numPr>
          <w:ilvl w:val="0"/>
          <w:numId w:val="1"/>
        </w:numPr>
        <w:spacing w:after="70" w:line="268"/>
      </w:pPr>
      <w:r>
        <w:rPr>
          <w:rFonts w:ascii="Calibri" w:cs="Calibri" w:eastAsia="Calibri" w:hAnsi="Calibri"/>
          <w:sz w:val="21"/>
          <w:szCs w:val="21"/>
        </w:rPr>
        <w:t xml:space="preserve">Modalidad B: penalidad </w:t>
      </w:r>
      <w:r>
        <w:rPr>
          <w:rFonts w:ascii="Calibri" w:cs="Calibri" w:eastAsia="Calibri" w:hAnsi="Calibri"/>
          <w:b/>
          <w:bCs/>
          <w:sz w:val="21"/>
          <w:szCs w:val="21"/>
        </w:rPr>
        <w:t xml:space="preserve">leve</w:t>
      </w:r>
      <w:r>
        <w:rPr>
          <w:rFonts w:ascii="Calibri" w:cs="Calibri" w:eastAsia="Calibri" w:hAnsi="Calibri"/>
          <w:sz w:val="21"/>
          <w:szCs w:val="21"/>
        </w:rPr>
        <w:t xml:space="preserve"> por falta de remisión de la documentación en plazo (tipo L3 de ADM-5·v3); penalidad </w:t>
      </w:r>
      <w:r>
        <w:rPr>
          <w:rFonts w:ascii="Calibri" w:cs="Calibri" w:eastAsia="Calibri" w:hAnsi="Calibri"/>
          <w:b/>
          <w:bCs/>
          <w:sz w:val="21"/>
          <w:szCs w:val="21"/>
        </w:rPr>
        <w:t xml:space="preserve">grave</w:t>
      </w:r>
      <w:r>
        <w:rPr>
          <w:rFonts w:ascii="Calibri" w:cs="Calibri" w:eastAsia="Calibri" w:hAnsi="Calibri"/>
          <w:sz w:val="21"/>
          <w:szCs w:val="21"/>
        </w:rPr>
        <w:t xml:space="preserve"> por pérdida de la certificación exigida cuando el contratista no acredite el cumplimiento por la vía documental del apartado 2.(ii), subsanada en [X; se recomienda 3] meses (tipo G8); penalidad </w:t>
      </w:r>
      <w:r>
        <w:rPr>
          <w:rFonts w:ascii="Calibri" w:cs="Calibri" w:eastAsia="Calibri" w:hAnsi="Calibri"/>
          <w:b/>
          <w:bCs/>
          <w:sz w:val="21"/>
          <w:szCs w:val="21"/>
        </w:rPr>
        <w:t xml:space="preserve">muy grave</w:t>
      </w:r>
      <w:r>
        <w:rPr>
          <w:rFonts w:ascii="Calibri" w:cs="Calibri" w:eastAsia="Calibri" w:hAnsi="Calibri"/>
          <w:sz w:val="21"/>
          <w:szCs w:val="21"/>
        </w:rPr>
        <w:t xml:space="preserve"> por falta de acreditación por cualquiera de las dos vías del apartado 2, no subsanada en ese plazo (tipo M7). </w:t>
      </w:r>
      <w:r>
        <w:rPr>
          <w:rFonts w:ascii="Calibri" w:cs="Calibri" w:eastAsia="Calibri" w:hAnsi="Calibri"/>
          <w:b/>
          <w:bCs/>
          <w:sz w:val="21"/>
          <w:szCs w:val="21"/>
        </w:rPr>
        <w:t xml:space="preserve">La pérdida del certificado, por sí sola, no es sancionable</w:t>
      </w:r>
      <w:r>
        <w:rPr>
          <w:rFonts w:ascii="Calibri" w:cs="Calibri" w:eastAsia="Calibri" w:hAnsi="Calibri"/>
          <w:sz w:val="21"/>
          <w:szCs w:val="21"/>
        </w:rPr>
        <w:t xml:space="preserve">: mientras el contratista mantenga la documentación del apartado 1 a disposición del responsable del contrato, el requisito está acreditado.</w:t>
      </w:r>
    </w:p>
    <w:p>
      <w:pPr>
        <w:pStyle w:val="ListParagraph"/>
        <w:numPr>
          <w:ilvl w:val="0"/>
          <w:numId w:val="1"/>
        </w:numPr>
        <w:spacing w:after="70" w:line="268"/>
      </w:pPr>
      <w:r>
        <w:rPr>
          <w:rFonts w:ascii="Calibri" w:cs="Calibri" w:eastAsia="Calibri" w:hAnsi="Calibri"/>
          <w:sz w:val="21"/>
          <w:szCs w:val="21"/>
        </w:rPr>
        <w:t xml:space="preserve">Modalidad C: mismo régimen, más el específico de la cláusula técnica de seguridad.</w:t>
      </w:r>
    </w:p>
    <w:p>
      <w:pPr>
        <w:spacing w:after="140" w:line="276"/>
      </w:pPr>
      <w:r>
        <w:rPr>
          <w:rFonts w:ascii="Calibri" w:cs="Calibri" w:eastAsia="Calibri" w:hAnsi="Calibri"/>
          <w:b/>
          <w:bCs/>
          <w:sz w:val="21"/>
          <w:szCs w:val="21"/>
        </w:rPr>
        <w:t xml:space="preserve">¿Obligación contractual esencial? NO.</w:t>
      </w:r>
      <w:r>
        <w:rPr>
          <w:rFonts w:ascii="Calibri" w:cs="Calibri" w:eastAsia="Calibri" w:hAnsi="Calibri"/>
          <w:sz w:val="21"/>
          <w:szCs w:val="21"/>
        </w:rPr>
        <w:t xml:space="preserve"> Ni en la modalidad A ni en la B ni en la C. Resolver un contrato porque el contratista perdió una certificación de sistema de gestión, sin más, es desproporcionado y convierte la cláusula en munición contra el pliego.</w:t>
      </w: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sz w:val="21"/>
          <w:szCs w:val="21"/>
        </w:rPr>
        <w:t xml:space="preserve">Contratos en los que </w:t>
      </w:r>
      <w:r>
        <w:rPr>
          <w:rFonts w:ascii="Calibri" w:cs="Calibri" w:eastAsia="Calibri" w:hAnsi="Calibri"/>
          <w:b/>
          <w:bCs/>
          <w:sz w:val="21"/>
          <w:szCs w:val="21"/>
        </w:rPr>
        <w:t xml:space="preserve">no intervienen sistemas de inteligencia artificial</w:t>
      </w:r>
      <w:r>
        <w:rPr>
          <w:rFonts w:ascii="Calibri" w:cs="Calibri" w:eastAsia="Calibri" w:hAnsi="Calibri"/>
          <w:sz w:val="21"/>
          <w:szCs w:val="21"/>
        </w:rPr>
        <w:t xml:space="preserve"> sobre datos o procesos municipales. Es el supuesto más frecuente: no se marca la casilla y no se escribe nada.</w:t>
      </w:r>
    </w:p>
    <w:p>
      <w:pPr>
        <w:pStyle w:val="ListParagraph"/>
        <w:numPr>
          <w:ilvl w:val="0"/>
          <w:numId w:val="1"/>
        </w:numPr>
        <w:spacing w:after="70" w:line="268"/>
      </w:pPr>
      <w:r>
        <w:rPr>
          <w:rFonts w:ascii="Calibri" w:cs="Calibri" w:eastAsia="Calibri" w:hAnsi="Calibri"/>
          <w:sz w:val="21"/>
          <w:szCs w:val="21"/>
        </w:rPr>
        <w:t xml:space="preserve">Contratos de </w:t>
      </w:r>
      <w:r>
        <w:rPr>
          <w:rFonts w:ascii="Calibri" w:cs="Calibri" w:eastAsia="Calibri" w:hAnsi="Calibri"/>
          <w:b/>
          <w:bCs/>
          <w:sz w:val="21"/>
          <w:szCs w:val="21"/>
        </w:rPr>
        <w:t xml:space="preserve">suministro de software estándar de mercado</w:t>
      </w:r>
      <w:r>
        <w:rPr>
          <w:rFonts w:ascii="Calibri" w:cs="Calibri" w:eastAsia="Calibri" w:hAnsi="Calibri"/>
          <w:sz w:val="21"/>
          <w:szCs w:val="21"/>
        </w:rPr>
        <w:t xml:space="preserve"> sin desarrollo ni operación por el contratista, cuando el proveedor no trata datos municipales.</w:t>
      </w:r>
    </w:p>
    <w:p>
      <w:pPr>
        <w:pStyle w:val="ListParagraph"/>
        <w:numPr>
          <w:ilvl w:val="0"/>
          <w:numId w:val="1"/>
        </w:numPr>
        <w:spacing w:after="70" w:line="268"/>
      </w:pPr>
      <w:r>
        <w:rPr>
          <w:rFonts w:ascii="Calibri" w:cs="Calibri" w:eastAsia="Calibri" w:hAnsi="Calibri"/>
          <w:b/>
          <w:bCs/>
          <w:sz w:val="21"/>
          <w:szCs w:val="21"/>
        </w:rPr>
        <w:t xml:space="preserve">Contratos menores</w:t>
      </w:r>
      <w:r>
        <w:rPr>
          <w:rFonts w:ascii="Calibri" w:cs="Calibri" w:eastAsia="Calibri" w:hAnsi="Calibri"/>
          <w:sz w:val="21"/>
          <w:szCs w:val="21"/>
        </w:rPr>
        <w:t xml:space="preserve">: no procede, porque no incorporan pliegos. Lo único que cabe en el encargo o en la aceptación de oferta de un contrato menor está enumerado, de forma cerrada y única para todo el catálogo, en la Parte V, §V.7.1.</w:t>
      </w:r>
    </w:p>
    <w:p>
      <w:pPr>
        <w:pStyle w:val="ListParagraph"/>
        <w:numPr>
          <w:ilvl w:val="0"/>
          <w:numId w:val="1"/>
        </w:numPr>
        <w:spacing w:after="70" w:line="268"/>
      </w:pPr>
      <w:r>
        <w:rPr>
          <w:rFonts w:ascii="Calibri" w:cs="Calibri" w:eastAsia="Calibri" w:hAnsi="Calibri"/>
          <w:b/>
          <w:bCs/>
          <w:sz w:val="21"/>
          <w:szCs w:val="21"/>
        </w:rPr>
        <w:t xml:space="preserve">Contratos basados en un acuerdo marco y adhesiones a sistemas de contratación centralizada</w:t>
      </w:r>
      <w:r>
        <w:rPr>
          <w:rFonts w:ascii="Calibri" w:cs="Calibri" w:eastAsia="Calibri" w:hAnsi="Calibri"/>
          <w:sz w:val="21"/>
          <w:szCs w:val="21"/>
        </w:rPr>
        <w:t xml:space="preserve">: no procede. Las condiciones son las del acuerdo marco o del sistema. La vía correcta es proponer la incorporación de esta cláusula al pliego del propio acuerdo marco cuando se licite.</w:t>
      </w:r>
    </w:p>
    <w:p>
      <w:pPr>
        <w:pStyle w:val="ListParagraph"/>
        <w:numPr>
          <w:ilvl w:val="0"/>
          <w:numId w:val="1"/>
        </w:numPr>
        <w:spacing w:after="70" w:line="268"/>
      </w:pPr>
      <w:r>
        <w:rPr>
          <w:rFonts w:ascii="Calibri" w:cs="Calibri" w:eastAsia="Calibri" w:hAnsi="Calibri"/>
          <w:b/>
          <w:bCs/>
          <w:sz w:val="21"/>
          <w:szCs w:val="21"/>
        </w:rPr>
        <w:t xml:space="preserve">Prórrogas de contratos en vigor</w:t>
      </w:r>
      <w:r>
        <w:rPr>
          <w:rFonts w:ascii="Calibri" w:cs="Calibri" w:eastAsia="Calibri" w:hAnsi="Calibri"/>
          <w:sz w:val="21"/>
          <w:szCs w:val="21"/>
        </w:rPr>
        <w:t xml:space="preserve">: no procede. La prórroga no permite introducir obligaciones nuevas. La vía es la licitación siguiente.</w:t>
      </w:r>
    </w:p>
    <w:p>
      <w:pPr>
        <w:pStyle w:val="ListParagraph"/>
        <w:numPr>
          <w:ilvl w:val="0"/>
          <w:numId w:val="1"/>
        </w:numPr>
        <w:spacing w:after="70" w:line="268"/>
      </w:pPr>
      <w:r>
        <w:rPr>
          <w:rFonts w:ascii="Calibri" w:cs="Calibri" w:eastAsia="Calibri" w:hAnsi="Calibri"/>
          <w:sz w:val="21"/>
          <w:szCs w:val="21"/>
        </w:rPr>
        <w:t xml:space="preserve">Modalidad A: no se usa nunca en contratos </w:t>
      </w:r>
      <w:r>
        <w:rPr>
          <w:rFonts w:ascii="Calibri" w:cs="Calibri" w:eastAsia="Calibri" w:hAnsi="Calibri"/>
          <w:b/>
          <w:bCs/>
          <w:sz w:val="21"/>
          <w:szCs w:val="21"/>
        </w:rPr>
        <w:t xml:space="preserve">no sujetos a regulación armonizada</w:t>
      </w:r>
      <w:r>
        <w:rPr>
          <w:rFonts w:ascii="Calibri" w:cs="Calibri" w:eastAsia="Calibri" w:hAnsi="Calibri"/>
          <w:sz w:val="21"/>
          <w:szCs w:val="21"/>
        </w:rPr>
        <w:t xml:space="preserve">, ni cuando el componente de inteligencia artificial sea accesorio.</w:t>
      </w:r>
    </w:p>
    <w:p>
      <w:pPr>
        <w:pStyle w:val="Heading3"/>
        <w:keepNext/>
        <w:spacing w:after="140" w:before="320"/>
      </w:pPr>
      <w:r>
        <w:rPr>
          <w:rFonts w:ascii="Georgia" w:cs="Georgia" w:eastAsia="Georgia" w:hAnsi="Georgia"/>
          <w:b/>
          <w:bCs/>
          <w:color w:val="2F5496"/>
          <w:sz w:val="22"/>
          <w:szCs w:val="22"/>
        </w:rPr>
        <w:t xml:space="preserve">Nota al redactor · Por qué la objeción del abogado del licitador no tumba esta cláusula, y qué habría que hacer para que la tumbara</w:t>
      </w:r>
    </w:p>
    <w:p>
      <w:pPr>
        <w:spacing w:after="140" w:line="276"/>
      </w:pPr>
      <w:r>
        <w:rPr>
          <w:rFonts w:ascii="Calibri" w:cs="Calibri" w:eastAsia="Calibri" w:hAnsi="Calibri"/>
          <w:sz w:val="21"/>
          <w:szCs w:val="21"/>
        </w:rPr>
        <w:t xml:space="preserve">La objeción tiene dos mitades y ambas son ciertas </w:t>
      </w:r>
      <w:r>
        <w:rPr>
          <w:rFonts w:ascii="Calibri" w:cs="Calibri" w:eastAsia="Calibri" w:hAnsi="Calibri"/>
          <w:i/>
          <w:iCs/>
          <w:sz w:val="21"/>
          <w:szCs w:val="21"/>
        </w:rPr>
        <w:t xml:space="preserve">de la ISO 42001 tal y como la exigía el v2</w:t>
      </w:r>
      <w:r>
        <w:rPr>
          <w:rFonts w:ascii="Calibri" w:cs="Calibri" w:eastAsia="Calibri" w:hAnsi="Calibri"/>
          <w:sz w:val="21"/>
          <w:szCs w:val="21"/>
        </w:rPr>
        <w:t xml:space="preserve">:</w:t>
      </w:r>
    </w:p>
    <w:p>
      <w:pPr>
        <w:pBdr>
          <w:left w:val="single" w:color="BFBFBF" w:sz="12" w:space="8"/>
        </w:pBdr>
        <w:spacing w:after="140" w:line="264"/>
        <w:ind w:left="400"/>
      </w:pPr>
      <w:r>
        <w:rPr>
          <w:rFonts w:ascii="Georgia" w:cs="Georgia" w:eastAsia="Georgia" w:hAnsi="Georgia"/>
          <w:i/>
          <w:iCs/>
          <w:color w:val="595959"/>
          <w:sz w:val="20"/>
          <w:szCs w:val="20"/>
        </w:rPr>
        <w:t xml:space="preserve">«Como condición especial de ejecución es una condición sobre la empresa y no sobre la ejecución (el art. 202.1 exige vinculación al objeto en el sentido del art. 145). Como solvencia, restringe.»</w:t>
      </w:r>
    </w:p>
    <w:p>
      <w:pPr>
        <w:spacing w:after="140" w:line="276"/>
      </w:pPr>
      <w:r>
        <w:rPr>
          <w:rFonts w:ascii="Calibri" w:cs="Calibri" w:eastAsia="Calibri" w:hAnsi="Calibri"/>
          <w:sz w:val="21"/>
          <w:szCs w:val="21"/>
        </w:rPr>
        <w:t xml:space="preserve">Se resuelve </w:t>
      </w:r>
      <w:r>
        <w:rPr>
          <w:rFonts w:ascii="Calibri" w:cs="Calibri" w:eastAsia="Calibri" w:hAnsi="Calibri"/>
          <w:b/>
          <w:bCs/>
          <w:sz w:val="21"/>
          <w:szCs w:val="21"/>
        </w:rPr>
        <w:t xml:space="preserve">cambiando el objeto de la obligación</w:t>
      </w:r>
      <w:r>
        <w:rPr>
          <w:rFonts w:ascii="Calibri" w:cs="Calibri" w:eastAsia="Calibri" w:hAnsi="Calibri"/>
          <w:sz w:val="21"/>
          <w:szCs w:val="21"/>
        </w:rPr>
        <w:t xml:space="preserve">, no buscándole mejor cobertura.</w:t>
      </w:r>
    </w:p>
    <w:p>
      <w:pPr>
        <w:spacing w:after="140" w:line="276"/>
      </w:pPr>
      <w:r>
        <w:rPr>
          <w:rFonts w:ascii="Calibri" w:cs="Calibri" w:eastAsia="Calibri" w:hAnsi="Calibri"/>
          <w:b/>
          <w:bCs/>
          <w:sz w:val="21"/>
          <w:szCs w:val="21"/>
        </w:rPr>
        <w:t xml:space="preserve">Primero: la condición especial no recae sobre la certificación, recae sobre la aplicación de un sistema de gestión a esta solución y a este equipo, durante esta ejecución.</w:t>
      </w:r>
      <w:r>
        <w:rPr>
          <w:rFonts w:ascii="Calibri" w:cs="Calibri" w:eastAsia="Calibri" w:hAnsi="Calibri"/>
          <w:sz w:val="21"/>
          <w:szCs w:val="21"/>
        </w:rPr>
        <w:t xml:space="preserve"> El criterio de vinculación que aplica el tribunal es el de la Junta Consultiva de Contratación Pública del Estado, Informe 1/2020, según su reproducción literal en las Resoluciones del TACRC 1111/2022 y 1113/2022: </w:t>
      </w:r>
      <w:r>
        <w:rPr>
          <w:rFonts w:ascii="Calibri" w:cs="Calibri" w:eastAsia="Calibri" w:hAnsi="Calibri"/>
          <w:i/>
          <w:iCs/>
          <w:sz w:val="21"/>
          <w:szCs w:val="21"/>
        </w:rPr>
        <w:t xml:space="preserve">«La vinculación al objeto del contrato, en el caso de las condiciones especiales de ejecución exige que la condición se efectúe durante el cumplimiento y en la ejecución de la prestación contratada, no en otra.»</w:t>
      </w:r>
      <w:r>
        <w:rPr>
          <w:rFonts w:ascii="Calibri" w:cs="Calibri" w:eastAsia="Calibri" w:hAnsi="Calibri"/>
          <w:sz w:val="21"/>
          <w:szCs w:val="21"/>
        </w:rPr>
        <w:t xml:space="preserve"> Un certificado que la empresa ya tenía antes de licitar no se «efectúa» en esta ejecución: describe a la empresa. Un inventario de los sistemas de IA que intervienen en </w:t>
      </w:r>
      <w:r>
        <w:rPr>
          <w:rFonts w:ascii="Calibri" w:cs="Calibri" w:eastAsia="Calibri" w:hAnsi="Calibri"/>
          <w:b/>
          <w:bCs/>
          <w:sz w:val="21"/>
          <w:szCs w:val="21"/>
        </w:rPr>
        <w:t xml:space="preserve">este</w:t>
      </w:r>
      <w:r>
        <w:rPr>
          <w:rFonts w:ascii="Calibri" w:cs="Calibri" w:eastAsia="Calibri" w:hAnsi="Calibri"/>
          <w:sz w:val="21"/>
          <w:szCs w:val="21"/>
        </w:rPr>
        <w:t xml:space="preserve"> contrato, un análisis de riesgos referido a </w:t>
      </w:r>
      <w:r>
        <w:rPr>
          <w:rFonts w:ascii="Calibri" w:cs="Calibri" w:eastAsia="Calibri" w:hAnsi="Calibri"/>
          <w:b/>
          <w:bCs/>
          <w:sz w:val="21"/>
          <w:szCs w:val="21"/>
        </w:rPr>
        <w:t xml:space="preserve">estos</w:t>
      </w:r>
      <w:r>
        <w:rPr>
          <w:rFonts w:ascii="Calibri" w:cs="Calibri" w:eastAsia="Calibri" w:hAnsi="Calibri"/>
          <w:sz w:val="21"/>
          <w:szCs w:val="21"/>
        </w:rPr>
        <w:t xml:space="preserve"> datos municipales, la identificación de los perfiles que supervisan </w:t>
      </w:r>
      <w:r>
        <w:rPr>
          <w:rFonts w:ascii="Calibri" w:cs="Calibri" w:eastAsia="Calibri" w:hAnsi="Calibri"/>
          <w:b/>
          <w:bCs/>
          <w:sz w:val="21"/>
          <w:szCs w:val="21"/>
        </w:rPr>
        <w:t xml:space="preserve">estas</w:t>
      </w:r>
      <w:r>
        <w:rPr>
          <w:rFonts w:ascii="Calibri" w:cs="Calibri" w:eastAsia="Calibri" w:hAnsi="Calibri"/>
          <w:sz w:val="21"/>
          <w:szCs w:val="21"/>
        </w:rPr>
        <w:t xml:space="preserve"> operaciones y un registro de incidencias de </w:t>
      </w:r>
      <w:r>
        <w:rPr>
          <w:rFonts w:ascii="Calibri" w:cs="Calibri" w:eastAsia="Calibri" w:hAnsi="Calibri"/>
          <w:b/>
          <w:bCs/>
          <w:sz w:val="21"/>
          <w:szCs w:val="21"/>
        </w:rPr>
        <w:t xml:space="preserve">esta</w:t>
      </w:r>
      <w:r>
        <w:rPr>
          <w:rFonts w:ascii="Calibri" w:cs="Calibri" w:eastAsia="Calibri" w:hAnsi="Calibri"/>
          <w:sz w:val="21"/>
          <w:szCs w:val="21"/>
        </w:rPr>
        <w:t xml:space="preserve"> prestación se efectúan íntegramente durante la ejecución y sobre la prestación contratada. Por eso la modalidad B enumera obligaciones de hacer y sitúa el certificado en el epígrafe de </w:t>
      </w:r>
      <w:r>
        <w:rPr>
          <w:rFonts w:ascii="Calibri" w:cs="Calibri" w:eastAsia="Calibri" w:hAnsi="Calibri"/>
          <w:i/>
          <w:iCs/>
          <w:sz w:val="21"/>
          <w:szCs w:val="21"/>
        </w:rPr>
        <w:t xml:space="preserve">acreditación</w:t>
      </w:r>
      <w:r>
        <w:rPr>
          <w:rFonts w:ascii="Calibri" w:cs="Calibri" w:eastAsia="Calibri" w:hAnsi="Calibri"/>
          <w:sz w:val="21"/>
          <w:szCs w:val="21"/>
        </w:rPr>
        <w:t xml:space="preserve">, como uno de los dos medios de prueba admisibles y nunca como la obligación.</w:t>
      </w:r>
    </w:p>
    <w:p>
      <w:pPr>
        <w:spacing w:after="140" w:line="276"/>
      </w:pPr>
      <w:r>
        <w:rPr>
          <w:rFonts w:ascii="Calibri" w:cs="Calibri" w:eastAsia="Calibri" w:hAnsi="Calibri"/>
          <w:b/>
          <w:bCs/>
          <w:sz w:val="21"/>
          <w:szCs w:val="21"/>
        </w:rPr>
        <w:t xml:space="preserve">Segundo: como solvencia sí restringe, y por eso su uso queda acotado.</w:t>
      </w:r>
      <w:r>
        <w:rPr>
          <w:rFonts w:ascii="Calibri" w:cs="Calibri" w:eastAsia="Calibri" w:hAnsi="Calibri"/>
          <w:sz w:val="21"/>
          <w:szCs w:val="21"/>
        </w:rPr>
        <w:t xml:space="preserve"> El artículo 93.1 LCSP contempla expresamente esta exigencia en los contratos sujetos a regulación armonizada; en los demás, exigir una certificación de gobernanza de IA como requisito de aptitud es desproporcionado. Y aun en los armonizados sólo cabe si el sistema de IA es determinante de la prestación, con equivalentes obligatorios y, sobre todo, </w:t>
      </w:r>
      <w:r>
        <w:rPr>
          <w:rFonts w:ascii="Calibri" w:cs="Calibri" w:eastAsia="Calibri" w:hAnsi="Calibri"/>
          <w:b/>
          <w:bCs/>
          <w:sz w:val="21"/>
          <w:szCs w:val="21"/>
        </w:rPr>
        <w:t xml:space="preserve">con la justificación en la memoria del expediente</w:t>
      </w:r>
      <w:r>
        <w:rPr>
          <w:rFonts w:ascii="Calibri" w:cs="Calibri" w:eastAsia="Calibri" w:hAnsi="Calibri"/>
          <w:sz w:val="21"/>
          <w:szCs w:val="21"/>
        </w:rPr>
        <w:t xml:space="preserve">: es exactamente donde perdió el Ayuntamiento de Parla (Res. TACP Madrid 383/2024, citada arriba). La justificación no está en este catálogo. Tiene que estar en la memoria de cada expediente y antes de publicar.</w:t>
      </w:r>
    </w:p>
    <w:p>
      <w:pPr>
        <w:spacing w:after="140" w:line="276"/>
      </w:pPr>
      <w:r>
        <w:rPr>
          <w:rFonts w:ascii="Calibri" w:cs="Calibri" w:eastAsia="Calibri" w:hAnsi="Calibri"/>
          <w:b/>
          <w:bCs/>
          <w:sz w:val="21"/>
          <w:szCs w:val="21"/>
        </w:rPr>
        <w:t xml:space="preserve">Tercero: la vía prohibida.</w:t>
      </w:r>
      <w:r>
        <w:rPr>
          <w:rFonts w:ascii="Calibri" w:cs="Calibri" w:eastAsia="Calibri" w:hAnsi="Calibri"/>
          <w:sz w:val="21"/>
          <w:szCs w:val="21"/>
        </w:rPr>
        <w:t xml:space="preserve"> Ninguna de estas certificaciones puede ser criterio de adjudicación. El TACRC anuló la cláusula del PCAP del Ayuntamiento de Sagunto que valoraba disponer de ISO 27001, ISO 14001 y certificado de conformidad con el ENS (Resolución 786/2019, de 11 de julio de 2019, recurso 557/2019; </w:t>
      </w:r>
      <w:hyperlink w:history="1" r:id="rId6ckxdghttwjexh72hacuj">
        <w:r>
          <w:rPr>
            <w:rFonts w:ascii="Calibri" w:cs="Calibri" w:eastAsia="Calibri" w:hAnsi="Calibri"/>
            <w:color w:val="2F5496"/>
            <w:sz w:val="21"/>
            <w:szCs w:val="21"/>
            <w:u w:val="single"/>
          </w:rPr>
          <w:t xml:space="preserve">PDF</w:t>
        </w:r>
      </w:hyperlink>
      <w:r>
        <w:rPr>
          <w:rFonts w:ascii="Calibri" w:cs="Calibri" w:eastAsia="Calibri" w:hAnsi="Calibri"/>
          <w:sz w:val="21"/>
          <w:szCs w:val="21"/>
        </w:rPr>
        <w:t xml:space="preserve">%2011-07-2019.pdf)), y anuló el pliego del Ayuntamiento de Cofrentes con la doctrina explicada: </w:t>
      </w:r>
      <w:r>
        <w:rPr>
          <w:rFonts w:ascii="Calibri" w:cs="Calibri" w:eastAsia="Calibri" w:hAnsi="Calibri"/>
          <w:i/>
          <w:iCs/>
          <w:sz w:val="21"/>
          <w:szCs w:val="21"/>
        </w:rPr>
        <w:t xml:space="preserve">«los certificados exigidos verdaderamente se refieren a la actividad global de la empresa, no siendo por ello aptos como criterios de adjudicación»</w:t>
      </w:r>
      <w:r>
        <w:rPr>
          <w:rFonts w:ascii="Calibri" w:cs="Calibri" w:eastAsia="Calibri" w:hAnsi="Calibri"/>
          <w:sz w:val="21"/>
          <w:szCs w:val="21"/>
        </w:rPr>
        <w:t xml:space="preserve"> (Resolución 1727/2021, de 2 de diciembre de 2021, recurso 1372/2021; </w:t>
      </w:r>
      <w:hyperlink w:history="1" r:id="rId2crusb2uvid1hc76fywej">
        <w:r>
          <w:rPr>
            <w:rFonts w:ascii="Calibri" w:cs="Calibri" w:eastAsia="Calibri" w:hAnsi="Calibri"/>
            <w:color w:val="2F5496"/>
            <w:sz w:val="21"/>
            <w:szCs w:val="21"/>
            <w:u w:val="single"/>
          </w:rPr>
          <w:t xml:space="preserve">PDF</w:t>
        </w:r>
      </w:hyperlink>
      <w:r>
        <w:rPr>
          <w:rFonts w:ascii="Calibri" w:cs="Calibri" w:eastAsia="Calibri" w:hAnsi="Calibri"/>
          <w:sz w:val="21"/>
          <w:szCs w:val="21"/>
        </w:rPr>
        <w:t xml:space="preserve">%2002-12-2021.pdf)). Ambas son resoluciones sobre pliegos municipales y ambas se citan aquí como doctrina general trasladada por analogía: no versan sobre la norma 42001, que es posterior.</w:t>
      </w:r>
    </w:p>
    <w:p>
      <w:pPr>
        <w:spacing w:after="140" w:line="276"/>
      </w:pPr>
      <w:r>
        <w:rPr>
          <w:rFonts w:ascii="Calibri" w:cs="Calibri" w:eastAsia="Calibri" w:hAnsi="Calibri"/>
          <w:b/>
          <w:bCs/>
          <w:sz w:val="21"/>
          <w:szCs w:val="21"/>
        </w:rPr>
        <w:t xml:space="preserve">Cuarto: en qué tipo de contrato va cada vía.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Tipo de contrato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Vía correcta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Servicios SARA cuyo objeto principal comprenda el desarrollo, suministro u operación de un sistema de 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Solvencia (modalidad A), con equivalentes y con justificación en la memoria. Alternativa admisible: modalidad B</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Servicios no SARA, o SARA con componente de IA no determinante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Condición especial de ejecución (modalidad B)</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Suministro de software estándar con componente de IA operado por el proveedor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Condición especial de ejecución (modalidad B), limitada a las letras a), b) y d) del apartado 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Cualquier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Nunca criterio de adjudicación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Contrato menor, basado en acuerdo marco, adhesión a central de compras, prórroga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aplica</w:t>
            </w:r>
          </w:p>
        </w:tc>
      </w:tr>
    </w:tbl>
    <w:p>
      <w:pPr>
        <w:spacing w:after="200"/>
      </w:pPr>
    </w:p>
    <w:p>
      <w:pPr>
        <w:spacing w:after="140" w:line="276"/>
      </w:pPr>
      <w:r>
        <w:rPr>
          <w:rFonts w:ascii="Calibri" w:cs="Calibri" w:eastAsia="Calibri" w:hAnsi="Calibri"/>
          <w:b/>
          <w:bCs/>
          <w:sz w:val="21"/>
          <w:szCs w:val="21"/>
        </w:rPr>
        <w:t xml:space="preserve">Quinto: las referencias dinámicas.</w:t>
      </w:r>
      <w:r>
        <w:rPr>
          <w:rFonts w:ascii="Calibri" w:cs="Calibri" w:eastAsia="Calibri" w:hAnsi="Calibri"/>
          <w:sz w:val="21"/>
          <w:szCs w:val="21"/>
        </w:rPr>
        <w:t xml:space="preserve"> «O norma que la sustituya» parece una cautela y es un defecto: permite que el contenido de la obligación cambie </w:t>
      </w:r>
      <w:r>
        <w:rPr>
          <w:rFonts w:ascii="Calibri" w:cs="Calibri" w:eastAsia="Calibri" w:hAnsi="Calibri"/>
          <w:b/>
          <w:bCs/>
          <w:sz w:val="21"/>
          <w:szCs w:val="21"/>
        </w:rPr>
        <w:t xml:space="preserve">después de que el licitador haya ofertado</w:t>
      </w:r>
      <w:r>
        <w:rPr>
          <w:rFonts w:ascii="Calibri" w:cs="Calibri" w:eastAsia="Calibri" w:hAnsi="Calibri"/>
          <w:sz w:val="21"/>
          <w:szCs w:val="21"/>
        </w:rPr>
        <w:t xml:space="preserve">, sobre un texto que aún no existe y cuyo coste no ha podido valorar. El pliego es </w:t>
      </w:r>
      <w:r>
        <w:rPr>
          <w:rFonts w:ascii="Calibri" w:cs="Calibri" w:eastAsia="Calibri" w:hAnsi="Calibri"/>
          <w:i/>
          <w:iCs/>
          <w:sz w:val="21"/>
          <w:szCs w:val="21"/>
        </w:rPr>
        <w:t xml:space="preserve">lex contractus</w:t>
      </w:r>
      <w:r>
        <w:rPr>
          <w:rFonts w:ascii="Calibri" w:cs="Calibri" w:eastAsia="Calibri" w:hAnsi="Calibri"/>
          <w:sz w:val="21"/>
          <w:szCs w:val="21"/>
        </w:rPr>
        <w:t xml:space="preserve"> y su contenido tiene que estar cerrado el día en que se presenta la oferta. Por eso la cláusula fija la designación </w:t>
      </w:r>
      <w:r>
        <w:rPr>
          <w:rFonts w:ascii="Calibri" w:cs="Calibri" w:eastAsia="Calibri" w:hAnsi="Calibri"/>
          <w:b/>
          <w:bCs/>
          <w:sz w:val="21"/>
          <w:szCs w:val="21"/>
        </w:rPr>
        <w:t xml:space="preserve">con año</w:t>
      </w:r>
      <w:r>
        <w:rPr>
          <w:rFonts w:ascii="Calibri" w:cs="Calibri" w:eastAsia="Calibri" w:hAnsi="Calibri"/>
          <w:sz w:val="21"/>
          <w:szCs w:val="21"/>
        </w:rPr>
        <w:t xml:space="preserve"> y añade la regla de referencia estática: la revisión posterior no modifica la obligación, y el contratista puede acogerse voluntariamente a ella. Si el Ayuntamiento quiere que una norma futura sea exigible, la vía es incluirla en el Anexo V del ejercicio siguiente y aplicarla en la licitación siguiente, o tramitar una modificación.</w:t>
      </w:r>
    </w:p>
    <w:p>
      <w:pPr>
        <w:spacing w:after="140" w:line="276"/>
      </w:pPr>
      <w:r>
        <w:rPr>
          <w:rFonts w:ascii="Calibri" w:cs="Calibri" w:eastAsia="Calibri" w:hAnsi="Calibri"/>
          <w:b/>
          <w:bCs/>
          <w:sz w:val="21"/>
          <w:szCs w:val="21"/>
        </w:rPr>
        <w:t xml:space="preserve">Sexto: la designación.</w:t>
      </w:r>
      <w:r>
        <w:rPr>
          <w:rFonts w:ascii="Calibri" w:cs="Calibri" w:eastAsia="Calibri" w:hAnsi="Calibri"/>
          <w:sz w:val="21"/>
          <w:szCs w:val="21"/>
        </w:rPr>
        <w:t xml:space="preserve"> Se escribe </w:t>
      </w:r>
      <w:r>
        <w:rPr>
          <w:rFonts w:ascii="Calibri" w:cs="Calibri" w:eastAsia="Calibri" w:hAnsi="Calibri"/>
          <w:b/>
          <w:bCs/>
          <w:sz w:val="21"/>
          <w:szCs w:val="21"/>
        </w:rPr>
        <w:t xml:space="preserve">UNE-EN ISO/IEC 42001:2026</w:t>
      </w:r>
      <w:r>
        <w:rPr>
          <w:rFonts w:ascii="Calibri" w:cs="Calibri" w:eastAsia="Calibri" w:hAnsi="Calibri"/>
          <w:sz w:val="21"/>
          <w:szCs w:val="21"/>
        </w:rPr>
        <w:t xml:space="preserve"> («Tecnología de la información. Inteligencia artificial. Sistema de gestión»), edición de 8 de abril de 2026, idéntica a EN ISO/IEC 42001:2026 y adopción de ISO/IEC 42001:2023, que </w:t>
      </w:r>
      <w:r>
        <w:rPr>
          <w:rFonts w:ascii="Calibri" w:cs="Calibri" w:eastAsia="Calibri" w:hAnsi="Calibri"/>
          <w:b/>
          <w:bCs/>
          <w:sz w:val="21"/>
          <w:szCs w:val="21"/>
        </w:rPr>
        <w:t xml:space="preserve">anula</w:t>
      </w:r>
      <w:r>
        <w:rPr>
          <w:rFonts w:ascii="Calibri" w:cs="Calibri" w:eastAsia="Calibri" w:hAnsi="Calibri"/>
          <w:sz w:val="21"/>
          <w:szCs w:val="21"/>
        </w:rPr>
        <w:t xml:space="preserve"> la anterior UNE-ISO/IEC 42001:2025 (</w:t>
      </w:r>
      <w:hyperlink w:history="1" r:id="rIdspx_drzp3xnbqd9i4ai3f">
        <w:r>
          <w:rPr>
            <w:rFonts w:ascii="Calibri" w:cs="Calibri" w:eastAsia="Calibri" w:hAnsi="Calibri"/>
            <w:color w:val="2F5496"/>
            <w:sz w:val="21"/>
            <w:szCs w:val="21"/>
            <w:u w:val="single"/>
          </w:rPr>
          <w:t xml:space="preserve">ficha en el catálogo de UNE</w:t>
        </w:r>
      </w:hyperlink>
      <w:r>
        <w:rPr>
          <w:rFonts w:ascii="Calibri" w:cs="Calibri" w:eastAsia="Calibri" w:hAnsi="Calibri"/>
          <w:sz w:val="21"/>
          <w:szCs w:val="21"/>
        </w:rPr>
        <w:t xml:space="preserve">). Escribir «UNE-EN ISO/IEC 42001» sin año fue defendible mientras hubo una sola designación; hoy no lo es, porque en menos de un año han convivido dos.</w:t>
      </w:r>
    </w:p>
    <w:p>
      <w:pPr>
        <w:spacing w:after="140" w:line="276"/>
      </w:pPr>
      <w:r>
        <w:rPr>
          <w:rFonts w:ascii="Calibri" w:cs="Calibri" w:eastAsia="Calibri" w:hAnsi="Calibri"/>
          <w:b/>
          <w:bCs/>
          <w:sz w:val="21"/>
          <w:szCs w:val="21"/>
        </w:rPr>
        <w:t xml:space="preserve">Séptimo, y hay que decirlo aunque incomode.</w:t>
      </w:r>
      <w:r>
        <w:rPr>
          <w:rFonts w:ascii="Calibri" w:cs="Calibri" w:eastAsia="Calibri" w:hAnsi="Calibri"/>
          <w:sz w:val="21"/>
          <w:szCs w:val="21"/>
        </w:rPr>
        <w:t xml:space="preserve"> La presunción de conformidad con el Reglamento (UE) 2024/1689 la otorgan las normas armonizadas publicadas en el Diario Oficial de la Unión Europea, conforme al artículo 40 del propio Reglamento. Por tanto no debe darse por supuesto que una certificación conforme a la norma 42001 produzca ese efecto. </w:t>
      </w:r>
      <w:r>
        <w:rPr>
          <w:rFonts w:ascii="Calibri" w:cs="Calibri" w:eastAsia="Calibri" w:hAnsi="Calibri"/>
          <w:b/>
          <w:bCs/>
          <w:sz w:val="21"/>
          <w:szCs w:val="21"/>
        </w:rPr>
        <w:t xml:space="preserve">Esta afirmación es criterio propio de este catálogo y no se lleva al articulado</w:t>
      </w:r>
      <w:r>
        <w:rPr>
          <w:rFonts w:ascii="Calibri" w:cs="Calibri" w:eastAsia="Calibri" w:hAnsi="Calibri"/>
          <w:sz w:val="21"/>
          <w:szCs w:val="21"/>
        </w:rPr>
        <w:t xml:space="preserve">: a la fecha de corte no se ha verificado en fuente oficial la lista de normas armonizadas publicadas, y esa comprobación queda encargada antes de la aprobación (Anexo XI, apartado XI.3).</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III.2 · ADM-2·v3 — Condición especial de ejecución: Compromiso de Evolución Tecnológica Determinada</w:t>
      </w:r>
    </w:p>
    <w:p>
      <w:pPr>
        <w:spacing w:after="140" w:line="276"/>
      </w:pPr>
      <w:r>
        <w:rPr>
          <w:rFonts w:ascii="Calibri" w:cs="Calibri" w:eastAsia="Calibri" w:hAnsi="Calibri"/>
          <w:i/>
          <w:iCs/>
          <w:sz w:val="21"/>
          <w:szCs w:val="21"/>
        </w:rPr>
        <w:t xml:space="preserve">(Sustituye íntegramente a ADM-2 de v2 —«Compromiso de Evolución Tecnológica Continua»—. Es la cláusula que rompía el clausulado anterior y la que más cambia. Quien tenga pliegos redactados con el texto de v2 debe sustituirlo, no parchearlo: ver el Anexo XII.)</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Condición especial de ejecución. Evolución tecnológica determinada.</w:t>
            </w:r>
          </w:p>
          <w:p>
            <w:pPr>
              <w:spacing w:after="100" w:line="264"/>
            </w:pPr>
            <w:r>
              <w:rPr>
                <w:rFonts w:ascii="Georgia" w:cs="Georgia" w:eastAsia="Georgia" w:hAnsi="Georgia"/>
                <w:b/>
                <w:bCs/>
                <w:sz w:val="20"/>
                <w:szCs w:val="20"/>
              </w:rPr>
              <w:t xml:space="preserve">1. Amparo y vinculación al objeto.</w:t>
            </w:r>
            <w:r>
              <w:rPr>
                <w:rFonts w:ascii="Georgia" w:cs="Georgia" w:eastAsia="Georgia" w:hAnsi="Georgia"/>
                <w:sz w:val="20"/>
                <w:szCs w:val="20"/>
              </w:rPr>
              <w:t xml:space="preserve"> Al amparo de los artículos 202.1 y 202.2 de la Ley 9/2017, de Contratos del Sector Público, que admiten expresamente las condiciones especiales de ejecución relacionadas con la innovación, se establece la obligación del contratista de mantener la solución objeto del contrato en las condiciones funcionales, de seguridad y de interoperabilidad determinadas en el </w:t>
            </w:r>
            <w:r>
              <w:rPr>
                <w:rFonts w:ascii="Georgia" w:cs="Georgia" w:eastAsia="Georgia" w:hAnsi="Georgia"/>
                <w:b/>
                <w:bCs/>
                <w:sz w:val="20"/>
                <w:szCs w:val="20"/>
              </w:rPr>
              <w:t xml:space="preserve">Anexo de Exigencias Tecnológicas Determinadas</w:t>
            </w:r>
            <w:r>
              <w:rPr>
                <w:rFonts w:ascii="Georgia" w:cs="Georgia" w:eastAsia="Georgia" w:hAnsi="Georgia"/>
                <w:sz w:val="20"/>
                <w:szCs w:val="20"/>
              </w:rPr>
              <w:t xml:space="preserve">, versión [·] de [fecha], que se transcribe en el Pliego de Prescripciones Técnicas y forma parte del objeto del contrato. La condición está vinculada al objeto del contrato en el sentido del artículo 145.6 de la misma ley y se ejecuta durante el cumplimiento de la prestación contratada.</w:t>
            </w:r>
          </w:p>
          <w:p>
            <w:pPr>
              <w:spacing w:after="100" w:line="264"/>
            </w:pPr>
            <w:r>
              <w:rPr>
                <w:rFonts w:ascii="Georgia" w:cs="Georgia" w:eastAsia="Georgia" w:hAnsi="Georgia"/>
                <w:b/>
                <w:bCs/>
                <w:sz w:val="20"/>
                <w:szCs w:val="20"/>
              </w:rPr>
              <w:t xml:space="preserve">2. Alcance cerrado y regla de agotamiento.</w:t>
            </w:r>
            <w:r>
              <w:rPr>
                <w:rFonts w:ascii="Georgia" w:cs="Georgia" w:eastAsia="Georgia" w:hAnsi="Georgia"/>
                <w:sz w:val="20"/>
                <w:szCs w:val="20"/>
              </w:rPr>
              <w:t xml:space="preserve"> La obligación se agota en las exigencias enumeradas en el Anexo de Exigencias Tecnológicas Determinadas transcrito en este pliego. </w:t>
            </w:r>
            <w:r>
              <w:rPr>
                <w:rFonts w:ascii="Georgia" w:cs="Georgia" w:eastAsia="Georgia" w:hAnsi="Georgia"/>
                <w:b/>
                <w:bCs/>
                <w:sz w:val="20"/>
                <w:szCs w:val="20"/>
              </w:rPr>
              <w:t xml:space="preserve">Fuera de ese Anexo no existe obligación de evolución exigible al amparo de esta cláusula.</w:t>
            </w:r>
            <w:r>
              <w:rPr>
                <w:rFonts w:ascii="Georgia" w:cs="Georgia" w:eastAsia="Georgia" w:hAnsi="Georgia"/>
                <w:sz w:val="20"/>
                <w:szCs w:val="20"/>
              </w:rPr>
              <w:t xml:space="preserve"> Las prestaciones no previstas en él se tramitarán, en su caso, como modificación del contrato conforme a los artículos 203 y 204 de la Ley 9/2017 y a la cláusula de modificación prevista de este pliego, si se ha incorporado, o se atenderán en una licitación posterior.</w:t>
            </w:r>
          </w:p>
          <w:p>
            <w:pPr>
              <w:spacing w:after="100" w:line="264"/>
            </w:pPr>
            <w:r>
              <w:rPr>
                <w:rFonts w:ascii="Georgia" w:cs="Georgia" w:eastAsia="Georgia" w:hAnsi="Georgia"/>
                <w:b/>
                <w:bCs/>
                <w:sz w:val="20"/>
                <w:szCs w:val="20"/>
              </w:rPr>
              <w:t xml:space="preserve">3. Invariabilidad.</w:t>
            </w:r>
            <w:r>
              <w:rPr>
                <w:rFonts w:ascii="Georgia" w:cs="Georgia" w:eastAsia="Georgia" w:hAnsi="Georgia"/>
                <w:sz w:val="20"/>
                <w:szCs w:val="20"/>
              </w:rPr>
              <w:t xml:space="preserve"> El contenido del Anexo transcrito permanece invariable durante toda la vigencia del contrato y de sus prórrogas. Las revisiones posteriores del Anexo que apruebe el Ayuntamiento </w:t>
            </w:r>
            <w:r>
              <w:rPr>
                <w:rFonts w:ascii="Georgia" w:cs="Georgia" w:eastAsia="Georgia" w:hAnsi="Georgia"/>
                <w:b/>
                <w:bCs/>
                <w:sz w:val="20"/>
                <w:szCs w:val="20"/>
              </w:rPr>
              <w:t xml:space="preserve">no serán exigibles a este contrato</w:t>
            </w:r>
            <w:r>
              <w:rPr>
                <w:rFonts w:ascii="Georgia" w:cs="Georgia" w:eastAsia="Georgia" w:hAnsi="Georgia"/>
                <w:sz w:val="20"/>
                <w:szCs w:val="20"/>
              </w:rPr>
              <w:t xml:space="preserve">. Queda excluida toda remisión a versiones futuras del Anexo.</w:t>
            </w:r>
          </w:p>
          <w:p>
            <w:pPr>
              <w:spacing w:after="100" w:line="264"/>
            </w:pPr>
            <w:r>
              <w:rPr>
                <w:rFonts w:ascii="Georgia" w:cs="Georgia" w:eastAsia="Georgia" w:hAnsi="Georgia"/>
                <w:b/>
                <w:bCs/>
                <w:sz w:val="20"/>
                <w:szCs w:val="20"/>
              </w:rPr>
              <w:t xml:space="preserve">4. Retribución.</w:t>
            </w:r>
            <w:r>
              <w:rPr>
                <w:rFonts w:ascii="Georgia" w:cs="Georgia" w:eastAsia="Georgia" w:hAnsi="Georgia"/>
                <w:sz w:val="20"/>
                <w:szCs w:val="20"/>
              </w:rPr>
              <w:t xml:space="preserve"> Las exigencias del Anexo forman parte del alcance ordinario del contrato y se entienden retribuidas con el precio ofertado, sin que su cumplimiento dé lugar a facturación adicional ni requiera modificación contractual.</w:t>
            </w:r>
          </w:p>
          <w:p>
            <w:pPr>
              <w:spacing w:after="100" w:line="264"/>
            </w:pPr>
            <w:r>
              <w:rPr>
                <w:rFonts w:ascii="Georgia" w:cs="Georgia" w:eastAsia="Georgia" w:hAnsi="Georgia"/>
                <w:b/>
                <w:bCs/>
                <w:sz w:val="20"/>
                <w:szCs w:val="20"/>
              </w:rPr>
              <w:t xml:space="preserve">5. Plazos.</w:t>
            </w:r>
            <w:r>
              <w:rPr>
                <w:rFonts w:ascii="Georgia" w:cs="Georgia" w:eastAsia="Georgia" w:hAnsi="Georgia"/>
                <w:sz w:val="20"/>
                <w:szCs w:val="20"/>
              </w:rPr>
              <w:t xml:space="preserve"> Cada exigencia del Anexo se cumplirá en el plazo que el propio Anexo establezca para ella, contado desde la formalización del contrato o, si fuera posterior, desde la puesta en producción del módulo al que se refiera. No podrán fijarse durante la ejecución plazos distintos de los del Anexo. Se admitirá la ampliación del plazo cuando el contratista acredite imposibilidad técnica objetiva mediante documentación del fabricante y el órgano de contratación la acepte de forma motivada.</w:t>
            </w:r>
          </w:p>
          <w:p>
            <w:pPr>
              <w:spacing w:after="100" w:line="264"/>
            </w:pPr>
            <w:r>
              <w:rPr>
                <w:rFonts w:ascii="Georgia" w:cs="Georgia" w:eastAsia="Georgia" w:hAnsi="Georgia"/>
                <w:b/>
                <w:bCs/>
                <w:sz w:val="20"/>
                <w:szCs w:val="20"/>
              </w:rPr>
              <w:t xml:space="preserve">6. Acceso a versiones sucesoras.</w:t>
            </w:r>
            <w:r>
              <w:rPr>
                <w:rFonts w:ascii="Georgia" w:cs="Georgia" w:eastAsia="Georgia" w:hAnsi="Georgia"/>
                <w:sz w:val="20"/>
                <w:szCs w:val="20"/>
              </w:rPr>
              <w:t xml:space="preserve"> Durante la vigencia del contrato y de sus prórrogas, el contratista:</w:t>
            </w:r>
          </w:p>
          <w:p>
            <w:pPr>
              <w:spacing w:after="100" w:line="264"/>
            </w:pPr>
            <w:r>
              <w:rPr>
                <w:rFonts w:ascii="Georgia" w:cs="Georgia" w:eastAsia="Georgia" w:hAnsi="Georgia"/>
                <w:sz w:val="20"/>
                <w:szCs w:val="20"/>
              </w:rPr>
              <w:t xml:space="preserve">a) Comunicará al responsable del contrato la publicación de cada versión sucesora del producto contratado, en el plazo de [X; se recomienda 30] días naturales desde su disponibilidad general.</w:t>
            </w:r>
          </w:p>
          <w:p>
            <w:pPr>
              <w:spacing w:after="100" w:line="264"/>
            </w:pPr>
            <w:r>
              <w:rPr>
                <w:rFonts w:ascii="Georgia" w:cs="Georgia" w:eastAsia="Georgia" w:hAnsi="Georgia"/>
                <w:sz w:val="20"/>
                <w:szCs w:val="20"/>
              </w:rPr>
              <w:t xml:space="preserve">b) </w:t>
            </w:r>
            <w:r>
              <w:rPr>
                <w:rFonts w:ascii="Georgia" w:cs="Georgia" w:eastAsia="Georgia" w:hAnsi="Georgia"/>
                <w:b/>
                <w:bCs/>
                <w:sz w:val="20"/>
                <w:szCs w:val="20"/>
              </w:rPr>
              <w:t xml:space="preserve">Pondrá a disposición del Ayuntamiento, sin coste adicional, las versiones sucesoras que el fabricante publique</w:t>
            </w:r>
            <w:r>
              <w:rPr>
                <w:rFonts w:ascii="Georgia" w:cs="Georgia" w:eastAsia="Georgia" w:hAnsi="Georgia"/>
                <w:sz w:val="20"/>
                <w:szCs w:val="20"/>
              </w:rPr>
              <w:t xml:space="preserve"> y a las que el contratista tenga acceso en virtud de su propia relación con el fabricante.</w:t>
            </w:r>
          </w:p>
          <w:p>
            <w:pPr>
              <w:spacing w:after="100" w:line="264"/>
            </w:pPr>
            <w:r>
              <w:rPr>
                <w:rFonts w:ascii="Georgia" w:cs="Georgia" w:eastAsia="Georgia" w:hAnsi="Georgia"/>
                <w:sz w:val="20"/>
                <w:szCs w:val="20"/>
              </w:rPr>
              <w:t xml:space="preserve">c) Incluirá en el Plan Anual la previsión de implantación de cada versión sucesora puesta a disposición, y la implantará en el plazo que en él se apruebe. Se considerará </w:t>
            </w:r>
            <w:r>
              <w:rPr>
                <w:rFonts w:ascii="Georgia" w:cs="Georgia" w:eastAsia="Georgia" w:hAnsi="Georgia"/>
                <w:b/>
                <w:bCs/>
                <w:sz w:val="20"/>
                <w:szCs w:val="20"/>
              </w:rPr>
              <w:t xml:space="preserve">versión sucesora</w:t>
            </w:r>
            <w:r>
              <w:rPr>
                <w:rFonts w:ascii="Georgia" w:cs="Georgia" w:eastAsia="Georgia" w:hAnsi="Georgia"/>
                <w:sz w:val="20"/>
                <w:szCs w:val="20"/>
              </w:rPr>
              <w:t xml:space="preserve">, con independencia de su denominación comercial, aquella que presente continuidad funcional con el producto contratado, lo sustituya en el catálogo del fabricante o cuente con una ruta de migración ofrecida por el propio fabricante.</w:t>
            </w:r>
          </w:p>
          <w:p>
            <w:pPr>
              <w:spacing w:after="100" w:line="264"/>
            </w:pPr>
            <w:r>
              <w:rPr>
                <w:rFonts w:ascii="Georgia" w:cs="Georgia" w:eastAsia="Georgia" w:hAnsi="Georgia"/>
                <w:b/>
                <w:bCs/>
                <w:sz w:val="20"/>
                <w:szCs w:val="20"/>
              </w:rPr>
              <w:t xml:space="preserve">Esta obligación no comporta compromiso alguno sobre la magnitud o el contenido de la evolución del producto.</w:t>
            </w:r>
            <w:r>
              <w:rPr>
                <w:rFonts w:ascii="Georgia" w:cs="Georgia" w:eastAsia="Georgia" w:hAnsi="Georgia"/>
                <w:sz w:val="20"/>
                <w:szCs w:val="20"/>
              </w:rPr>
              <w:t xml:space="preserve"> Si el fabricante no publica versiones sucesoras, no nace obligación alguna a cargo del contratista por este apartado, ni se produce incumplimiento. Cuando el contratista no sea el fabricante y éste le deniegue el acceso, el contratista quedará exonerado acreditando documentalmente la denegación.</w:t>
            </w:r>
          </w:p>
          <w:p>
            <w:pPr>
              <w:spacing w:after="100" w:line="264"/>
            </w:pPr>
            <w:r>
              <w:rPr>
                <w:rFonts w:ascii="Georgia" w:cs="Georgia" w:eastAsia="Georgia" w:hAnsi="Georgia"/>
                <w:b/>
                <w:bCs/>
                <w:sz w:val="20"/>
                <w:szCs w:val="20"/>
              </w:rPr>
              <w:t xml:space="preserve">7. Acreditación del cumplimiento.</w:t>
            </w:r>
            <w:r>
              <w:rPr>
                <w:rFonts w:ascii="Georgia" w:cs="Georgia" w:eastAsia="Georgia" w:hAnsi="Georgia"/>
                <w:sz w:val="20"/>
                <w:szCs w:val="20"/>
              </w:rPr>
              <w:t xml:space="preserve"> El cumplimiento de cada exigencia del Anexo y de las obligaciones del apartado 6 se acreditará, exclusivamente, por los siguientes medios:</w:t>
            </w:r>
          </w:p>
          <w:p>
            <w:pPr>
              <w:spacing w:after="100" w:line="264"/>
            </w:pPr>
            <w:r>
              <w:rPr>
                <w:rFonts w:ascii="Georgia" w:cs="Georgia" w:eastAsia="Georgia" w:hAnsi="Georgia"/>
                <w:sz w:val="20"/>
                <w:szCs w:val="20"/>
              </w:rPr>
              <w:t xml:space="preserve">a) Acta de la prueba de aceptación ejecutada por los servicios municipales sobre el entorno de pruebas, conforme a los criterios de aceptación del Anexo.</w:t>
            </w:r>
          </w:p>
          <w:p>
            <w:pPr>
              <w:spacing w:after="100" w:line="264"/>
            </w:pPr>
            <w:r>
              <w:rPr>
                <w:rFonts w:ascii="Georgia" w:cs="Georgia" w:eastAsia="Georgia" w:hAnsi="Georgia"/>
                <w:sz w:val="20"/>
                <w:szCs w:val="20"/>
              </w:rPr>
              <w:t xml:space="preserve">b) Certificado o nota técnica del fabricante, cuando la exigencia dependa de una capacidad del producto base.</w:t>
            </w:r>
          </w:p>
          <w:p>
            <w:pPr>
              <w:spacing w:after="100" w:line="264"/>
            </w:pPr>
            <w:r>
              <w:rPr>
                <w:rFonts w:ascii="Georgia" w:cs="Georgia" w:eastAsia="Georgia" w:hAnsi="Georgia"/>
                <w:sz w:val="20"/>
                <w:szCs w:val="20"/>
              </w:rPr>
              <w:t xml:space="preserve">c) Acta de despliegue verificado en el entorno de preproducción municipal.</w:t>
            </w:r>
          </w:p>
          <w:p>
            <w:pPr>
              <w:spacing w:after="100" w:line="264"/>
            </w:pPr>
            <w:r>
              <w:rPr>
                <w:rFonts w:ascii="Georgia" w:cs="Georgia" w:eastAsia="Georgia" w:hAnsi="Georgia"/>
                <w:sz w:val="20"/>
                <w:szCs w:val="20"/>
              </w:rPr>
              <w:t xml:space="preserve">d) Acta de la Comisión de Seguimiento en la que se recoja lo anterior.</w:t>
            </w:r>
          </w:p>
          <w:p>
            <w:pPr>
              <w:spacing w:after="100" w:line="264"/>
            </w:pPr>
            <w:r>
              <w:rPr>
                <w:rFonts w:ascii="Georgia" w:cs="Georgia" w:eastAsia="Georgia" w:hAnsi="Georgia"/>
                <w:sz w:val="20"/>
                <w:szCs w:val="20"/>
              </w:rPr>
              <w:t xml:space="preserve">e) Depósito de las evidencias en el repositorio documental del contrato.</w:t>
            </w:r>
          </w:p>
          <w:p>
            <w:pPr>
              <w:spacing w:after="100" w:line="264"/>
            </w:pPr>
            <w:r>
              <w:rPr>
                <w:rFonts w:ascii="Georgia" w:cs="Georgia" w:eastAsia="Georgia" w:hAnsi="Georgia"/>
                <w:b/>
                <w:bCs/>
                <w:sz w:val="20"/>
                <w:szCs w:val="20"/>
              </w:rPr>
              <w:t xml:space="preserve">La ausencia de estos medios no podrá suplirse por apreciación discrecional del órgano de contratación.</w:t>
            </w:r>
          </w:p>
          <w:p>
            <w:pPr>
              <w:spacing w:after="100" w:line="264"/>
            </w:pPr>
            <w:r>
              <w:rPr>
                <w:rFonts w:ascii="Georgia" w:cs="Georgia" w:eastAsia="Georgia" w:hAnsi="Georgia"/>
                <w:b/>
                <w:bCs/>
                <w:sz w:val="20"/>
                <w:szCs w:val="20"/>
              </w:rPr>
              <w:t xml:space="preserve">8. Naturaleza y consecuencias.</w:t>
            </w:r>
            <w:r>
              <w:rPr>
                <w:rFonts w:ascii="Georgia" w:cs="Georgia" w:eastAsia="Georgia" w:hAnsi="Georgia"/>
                <w:sz w:val="20"/>
                <w:szCs w:val="20"/>
              </w:rPr>
              <w:t xml:space="preserve"> El incumplimiento de esta condición especial de ejecución dará lugar a las penalidades tipificadas en la cláusula de penalidades de este pliego. Tendrá además carácter de obligación contractual esencial, a los efectos del artículo 211.1.f) de la Ley 9/2017, </w:t>
            </w:r>
            <w:r>
              <w:rPr>
                <w:rFonts w:ascii="Georgia" w:cs="Georgia" w:eastAsia="Georgia" w:hAnsi="Georgia"/>
                <w:b/>
                <w:bCs/>
                <w:sz w:val="20"/>
                <w:szCs w:val="20"/>
              </w:rPr>
              <w:t xml:space="preserve">únicamente en los supuestos y con las condiciones expresamente enumerados en la cláusula de obligaciones esenciales de este pliego</w:t>
            </w:r>
            <w:r>
              <w:rPr>
                <w:rFonts w:ascii="Georgia" w:cs="Georgia" w:eastAsia="Georgia" w:hAnsi="Georgia"/>
                <w:sz w:val="20"/>
                <w:szCs w:val="20"/>
              </w:rPr>
              <w:t xml:space="preserve">.</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PCAP, cláusula de condiciones especiales de ejecución, </w:t>
      </w:r>
      <w:r>
        <w:rPr>
          <w:rFonts w:ascii="Calibri" w:cs="Calibri" w:eastAsia="Calibri" w:hAnsi="Calibri"/>
          <w:b/>
          <w:bCs/>
          <w:sz w:val="21"/>
          <w:szCs w:val="21"/>
        </w:rPr>
        <w:t xml:space="preserve">y anuncio de licitación</w:t>
      </w:r>
      <w:r>
        <w:rPr>
          <w:rFonts w:ascii="Calibri" w:cs="Calibri" w:eastAsia="Calibri" w:hAnsi="Calibri"/>
          <w:sz w:val="21"/>
          <w:szCs w:val="21"/>
        </w:rPr>
        <w:t xml:space="preserve"> (art. 202.1 LCSP). El Anexo de Exigencias Tecnológicas Determinadas se transcribe físicamente en el </w:t>
      </w:r>
      <w:r>
        <w:rPr>
          <w:rFonts w:ascii="Calibri" w:cs="Calibri" w:eastAsia="Calibri" w:hAnsi="Calibri"/>
          <w:b/>
          <w:bCs/>
          <w:sz w:val="21"/>
          <w:szCs w:val="21"/>
        </w:rPr>
        <w:t xml:space="preserve">PPT</w:t>
      </w:r>
      <w:r>
        <w:rPr>
          <w:rFonts w:ascii="Calibri" w:cs="Calibri" w:eastAsia="Calibri" w:hAnsi="Calibri"/>
          <w:sz w:val="21"/>
          <w:szCs w:val="21"/>
        </w:rPr>
        <w:t xml:space="preserve">, con número de versión y fecha; no se incorpora por remisión a un documento municipal externo. Un pliego que remite a un documento que el propio Ayuntamiento revisa cada año entrega al recurrente un motivo de indeterminación servido.</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sz w:val="21"/>
          <w:szCs w:val="21"/>
        </w:rPr>
        <w:t xml:space="preserve">La necesidad es que la solución contratada </w:t>
      </w:r>
      <w:r>
        <w:rPr>
          <w:rFonts w:ascii="Calibri" w:cs="Calibri" w:eastAsia="Calibri" w:hAnsi="Calibri"/>
          <w:b/>
          <w:bCs/>
          <w:sz w:val="21"/>
          <w:szCs w:val="21"/>
        </w:rPr>
        <w:t xml:space="preserve">siga siendo utilizable, segura e interoperable durante los tres o cuatro años que dura el contrato</w:t>
      </w:r>
      <w:r>
        <w:rPr>
          <w:rFonts w:ascii="Calibri" w:cs="Calibri" w:eastAsia="Calibri" w:hAnsi="Calibri"/>
          <w:sz w:val="21"/>
          <w:szCs w:val="21"/>
        </w:rPr>
        <w:t xml:space="preserve">, sin que el Ayuntamiento tenga que licitar de nuevo para obtener capacidades que en el momento de licitar ya eran previsibles y estaban al alcance del mercado.</w:t>
      </w:r>
    </w:p>
    <w:p>
      <w:pPr>
        <w:pStyle w:val="ListParagraph"/>
        <w:numPr>
          <w:ilvl w:val="0"/>
          <w:numId w:val="1"/>
        </w:numPr>
        <w:spacing w:after="70" w:line="268"/>
      </w:pPr>
      <w:r>
        <w:rPr>
          <w:rFonts w:ascii="Calibri" w:cs="Calibri" w:eastAsia="Calibri" w:hAnsi="Calibri"/>
          <w:b/>
          <w:bCs/>
          <w:sz w:val="21"/>
          <w:szCs w:val="21"/>
        </w:rPr>
        <w:t xml:space="preserve">Artículo 202.2 LCSP</w:t>
      </w:r>
      <w:r>
        <w:rPr>
          <w:rFonts w:ascii="Calibri" w:cs="Calibri" w:eastAsia="Calibri" w:hAnsi="Calibri"/>
          <w:sz w:val="21"/>
          <w:szCs w:val="21"/>
        </w:rPr>
        <w:t xml:space="preserve">: «Estas condiciones de ejecución podrán referirse, en especial, a consideraciones económicas, </w:t>
      </w:r>
      <w:r>
        <w:rPr>
          <w:rFonts w:ascii="Calibri" w:cs="Calibri" w:eastAsia="Calibri" w:hAnsi="Calibri"/>
          <w:b/>
          <w:bCs/>
          <w:sz w:val="21"/>
          <w:szCs w:val="21"/>
        </w:rPr>
        <w:t xml:space="preserve">relacionadas con la innovación</w:t>
      </w:r>
      <w:r>
        <w:rPr>
          <w:rFonts w:ascii="Calibri" w:cs="Calibri" w:eastAsia="Calibri" w:hAnsi="Calibri"/>
          <w:sz w:val="21"/>
          <w:szCs w:val="21"/>
        </w:rPr>
        <w:t xml:space="preserve">, de tipo medioambiental o de tipo social.» Es cobertura literal, no analógica. El anclaje europeo es el artículo 70 de la Directiva 2014/24/UE, en los mismos términos.</w:t>
      </w:r>
    </w:p>
    <w:p>
      <w:pPr>
        <w:pStyle w:val="ListParagraph"/>
        <w:numPr>
          <w:ilvl w:val="0"/>
          <w:numId w:val="1"/>
        </w:numPr>
        <w:spacing w:after="70" w:line="268"/>
      </w:pPr>
      <w:r>
        <w:rPr>
          <w:rFonts w:ascii="Calibri" w:cs="Calibri" w:eastAsia="Calibri" w:hAnsi="Calibri"/>
          <w:b/>
          <w:bCs/>
          <w:sz w:val="21"/>
          <w:szCs w:val="21"/>
        </w:rPr>
        <w:t xml:space="preserve">Artículo 99.1 LCSP</w:t>
      </w:r>
      <w:r>
        <w:rPr>
          <w:rFonts w:ascii="Calibri" w:cs="Calibri" w:eastAsia="Calibri" w:hAnsi="Calibri"/>
          <w:sz w:val="21"/>
          <w:szCs w:val="21"/>
        </w:rPr>
        <w:t xml:space="preserve">: el objeto puede definirse «en atención a las necesidades o funcionalidades concretas que se pretenden satisfacer, sin cerrar el objeto del contrato a una solución única», y «en especial, se definirán de este modo en aquellos contratos en los que se estime que pueden incorporarse innovaciones tecnológicas». La indeterminación </w:t>
      </w:r>
      <w:r>
        <w:rPr>
          <w:rFonts w:ascii="Calibri" w:cs="Calibri" w:eastAsia="Calibri" w:hAnsi="Calibri"/>
          <w:b/>
          <w:bCs/>
          <w:sz w:val="21"/>
          <w:szCs w:val="21"/>
        </w:rPr>
        <w:t xml:space="preserve">funcional</w:t>
      </w:r>
      <w:r>
        <w:rPr>
          <w:rFonts w:ascii="Calibri" w:cs="Calibri" w:eastAsia="Calibri" w:hAnsi="Calibri"/>
          <w:sz w:val="21"/>
          <w:szCs w:val="21"/>
        </w:rPr>
        <w:t xml:space="preserve"> está querida por la ley. Lo que la ley no tolera es la indeterminación del </w:t>
      </w:r>
      <w:r>
        <w:rPr>
          <w:rFonts w:ascii="Calibri" w:cs="Calibri" w:eastAsia="Calibri" w:hAnsi="Calibri"/>
          <w:b/>
          <w:bCs/>
          <w:sz w:val="21"/>
          <w:szCs w:val="21"/>
        </w:rPr>
        <w:t xml:space="preserve">alcance de la obligación</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b/>
          <w:bCs/>
          <w:sz w:val="21"/>
          <w:szCs w:val="21"/>
        </w:rPr>
        <w:t xml:space="preserve">Artículo 145.6 LCSP</w:t>
      </w:r>
      <w:r>
        <w:rPr>
          <w:rFonts w:ascii="Calibri" w:cs="Calibri" w:eastAsia="Calibri" w:hAnsi="Calibri"/>
          <w:sz w:val="21"/>
          <w:szCs w:val="21"/>
        </w:rPr>
        <w:t xml:space="preserve">: criterio de vinculación al objeto, al que remite el artículo 202.1.</w:t>
      </w:r>
    </w:p>
    <w:p>
      <w:pPr>
        <w:pStyle w:val="Heading3"/>
        <w:keepNext/>
        <w:spacing w:after="140" w:before="320"/>
      </w:pPr>
      <w:r>
        <w:rPr>
          <w:rFonts w:ascii="Georgia" w:cs="Georgia" w:eastAsia="Georgia" w:hAnsi="Georgia"/>
          <w:b/>
          <w:bCs/>
          <w:color w:val="2F5496"/>
          <w:sz w:val="22"/>
          <w:szCs w:val="22"/>
        </w:rPr>
        <w:t xml:space="preserve">4. Cómo se acredita</w:t>
      </w:r>
    </w:p>
    <w:p>
      <w:pPr>
        <w:spacing w:after="140" w:line="276"/>
      </w:pPr>
      <w:r>
        <w:rPr>
          <w:rFonts w:ascii="Calibri" w:cs="Calibri" w:eastAsia="Calibri" w:hAnsi="Calibri"/>
          <w:sz w:val="21"/>
          <w:szCs w:val="21"/>
        </w:rPr>
        <w:t xml:space="preserve">Los medios están tasados en el apartado 7 del texto del pliego y la lista es cerrada. Esa es la pieza que faltaba en v2 y la que salva a una condición especial de ejecución cuando se discute: el OARC/KEAO validó una condición especial precisamente porque el pliego, «además de establecer el alcance de la condición […] indica cuál es la forma de acreditar su cumplimiento» (Resolución 160/2018, recogida en el compendio oficial </w:t>
      </w:r>
      <w:r>
        <w:rPr>
          <w:rFonts w:ascii="Calibri" w:cs="Calibri" w:eastAsia="Calibri" w:hAnsi="Calibri"/>
          <w:i/>
          <w:iCs/>
          <w:sz w:val="21"/>
          <w:szCs w:val="21"/>
        </w:rPr>
        <w:t xml:space="preserve">Doctrina del Órgano Administrativo de Recursos Contractuales 2018-2023</w:t>
      </w:r>
      <w:r>
        <w:rPr>
          <w:rFonts w:ascii="Calibri" w:cs="Calibri" w:eastAsia="Calibri" w:hAnsi="Calibri"/>
          <w:sz w:val="21"/>
          <w:szCs w:val="21"/>
        </w:rPr>
        <w:t xml:space="preserve">, apartado 5.8.1, págs. 515-516; </w:t>
      </w:r>
      <w:hyperlink w:history="1" r:id="rIdeviuwcs1cd-j4ktiswbx4">
        <w:r>
          <w:rPr>
            <w:rFonts w:ascii="Calibri" w:cs="Calibri" w:eastAsia="Calibri" w:hAnsi="Calibri"/>
            <w:color w:val="2F5496"/>
            <w:sz w:val="21"/>
            <w:szCs w:val="21"/>
            <w:u w:val="single"/>
          </w:rPr>
          <w:t xml:space="preserve">PDF</w:t>
        </w:r>
      </w:hyperlink>
      <w:r>
        <w:rPr>
          <w:rFonts w:ascii="Calibri" w:cs="Calibri" w:eastAsia="Calibri" w:hAnsi="Calibri"/>
          <w:sz w:val="21"/>
          <w:szCs w:val="21"/>
        </w:rPr>
        <w:t xml:space="preserve">). Se cita como doctrina general trasladada por analogía: versa sobre una condición especial de contenido medioambiental (suministro de electricidad de origen 100 % renovable), no tecnológico.</w:t>
      </w:r>
    </w:p>
    <w:p>
      <w:pPr>
        <w:pStyle w:val="Heading3"/>
        <w:keepNext/>
        <w:spacing w:after="140" w:before="320"/>
      </w:pPr>
      <w:r>
        <w:rPr>
          <w:rFonts w:ascii="Georgia" w:cs="Georgia" w:eastAsia="Georgia" w:hAnsi="Georgia"/>
          <w:b/>
          <w:bCs/>
          <w:color w:val="2F5496"/>
          <w:sz w:val="22"/>
          <w:szCs w:val="22"/>
        </w:rPr>
        <w:t xml:space="preserve">5. Cómo se verifica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se comprueba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Actor municipal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Cuándo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Horas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Cumplimiento de cada exigencia del Anexo (ET-n)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 con el 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 vencimiento del plazo de cada exigencia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prueba de aceptación sobre el entorno de pruebas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 por exigencia, una sola vez</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Mantenimiento operativo de las capacidades ya aceptadas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Nota de comprobación anexa al acta de la Comisión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4/año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Comunicación y puesta a disposición de versiones sucesoras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cada comunicación, y balance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Registro de comunicaciones + acta de la Comisión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4/año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anual de cumplimiento de la condición especial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 antes del cierre del ejercicio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motivado que sirve de base a penalidades o a resolución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6/año</w:t>
            </w:r>
          </w:p>
        </w:tc>
      </w:tr>
    </w:tbl>
    <w:p>
      <w:pPr>
        <w:spacing w:after="200"/>
      </w:pPr>
    </w:p>
    <w:p>
      <w:pPr>
        <w:spacing w:after="140" w:line="276"/>
      </w:pPr>
      <w:r>
        <w:rPr>
          <w:rFonts w:ascii="Calibri" w:cs="Calibri" w:eastAsia="Calibri" w:hAnsi="Calibri"/>
          <w:b/>
          <w:bCs/>
          <w:sz w:val="21"/>
          <w:szCs w:val="21"/>
        </w:rPr>
        <w:t xml:space="preserve">Carga estimada: 14 horas por contrato y año en régimen ordinario; 44 horas el primer año</w:t>
      </w:r>
      <w:r>
        <w:rPr>
          <w:rFonts w:ascii="Calibri" w:cs="Calibri" w:eastAsia="Calibri" w:hAnsi="Calibri"/>
          <w:sz w:val="21"/>
          <w:szCs w:val="21"/>
        </w:rPr>
        <w:t xml:space="preserve"> si el Anexo contiene tres exigencias (ET-1, ET-2 y ET-3). Estimación propia del catálogo.</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pStyle w:val="ListParagraph"/>
        <w:numPr>
          <w:ilvl w:val="0"/>
          <w:numId w:val="1"/>
        </w:numPr>
        <w:spacing w:after="70" w:line="268"/>
      </w:pPr>
      <w:r>
        <w:rPr>
          <w:rFonts w:ascii="Calibri" w:cs="Calibri" w:eastAsia="Calibri" w:hAnsi="Calibri"/>
          <w:b/>
          <w:bCs/>
          <w:sz w:val="21"/>
          <w:szCs w:val="21"/>
        </w:rPr>
        <w:t xml:space="preserve">Penalidad grave</w:t>
      </w:r>
      <w:r>
        <w:rPr>
          <w:rFonts w:ascii="Calibri" w:cs="Calibri" w:eastAsia="Calibri" w:hAnsi="Calibri"/>
          <w:sz w:val="21"/>
          <w:szCs w:val="21"/>
        </w:rPr>
        <w:t xml:space="preserve"> por cada mes de retraso en la implantación de una exigencia del Anexo (tipo G2 de ADM-5·v3).</w:t>
      </w:r>
    </w:p>
    <w:p>
      <w:pPr>
        <w:pStyle w:val="ListParagraph"/>
        <w:numPr>
          <w:ilvl w:val="0"/>
          <w:numId w:val="1"/>
        </w:numPr>
        <w:spacing w:after="70" w:line="268"/>
      </w:pPr>
      <w:r>
        <w:rPr>
          <w:rFonts w:ascii="Calibri" w:cs="Calibri" w:eastAsia="Calibri" w:hAnsi="Calibri"/>
          <w:b/>
          <w:bCs/>
          <w:sz w:val="21"/>
          <w:szCs w:val="21"/>
        </w:rPr>
        <w:t xml:space="preserve">Penalidad leve</w:t>
      </w:r>
      <w:r>
        <w:rPr>
          <w:rFonts w:ascii="Calibri" w:cs="Calibri" w:eastAsia="Calibri" w:hAnsi="Calibri"/>
          <w:sz w:val="21"/>
          <w:szCs w:val="21"/>
        </w:rPr>
        <w:t xml:space="preserve"> por retraso en la comunicación de una versión sucesora, y </w:t>
      </w:r>
      <w:r>
        <w:rPr>
          <w:rFonts w:ascii="Calibri" w:cs="Calibri" w:eastAsia="Calibri" w:hAnsi="Calibri"/>
          <w:b/>
          <w:bCs/>
          <w:sz w:val="21"/>
          <w:szCs w:val="21"/>
        </w:rPr>
        <w:t xml:space="preserve">grave</w:t>
      </w:r>
      <w:r>
        <w:rPr>
          <w:rFonts w:ascii="Calibri" w:cs="Calibri" w:eastAsia="Calibri" w:hAnsi="Calibri"/>
          <w:sz w:val="21"/>
          <w:szCs w:val="21"/>
        </w:rPr>
        <w:t xml:space="preserve"> si supera 90 días (tipos L2 y G5).</w:t>
      </w:r>
    </w:p>
    <w:p>
      <w:pPr>
        <w:pStyle w:val="ListParagraph"/>
        <w:numPr>
          <w:ilvl w:val="0"/>
          <w:numId w:val="1"/>
        </w:numPr>
        <w:spacing w:after="70" w:line="268"/>
      </w:pPr>
      <w:r>
        <w:rPr>
          <w:rFonts w:ascii="Calibri" w:cs="Calibri" w:eastAsia="Calibri" w:hAnsi="Calibri"/>
          <w:b/>
          <w:bCs/>
          <w:sz w:val="21"/>
          <w:szCs w:val="21"/>
        </w:rPr>
        <w:t xml:space="preserve">Penalidad muy grave</w:t>
      </w:r>
      <w:r>
        <w:rPr>
          <w:rFonts w:ascii="Calibri" w:cs="Calibri" w:eastAsia="Calibri" w:hAnsi="Calibri"/>
          <w:sz w:val="21"/>
          <w:szCs w:val="21"/>
        </w:rPr>
        <w:t xml:space="preserve"> por falta de implantación de una exigencia del Anexo transcurrido el plazo y el mes de subsanación, y por negativa a poner a disposición una versión sucesora publicada y accesible (tipos M1 y M2).</w:t>
      </w:r>
    </w:p>
    <w:p>
      <w:pPr>
        <w:spacing w:after="140" w:line="276"/>
      </w:pPr>
      <w:r>
        <w:rPr>
          <w:rFonts w:ascii="Calibri" w:cs="Calibri" w:eastAsia="Calibri" w:hAnsi="Calibri"/>
          <w:b/>
          <w:bCs/>
          <w:sz w:val="21"/>
          <w:szCs w:val="21"/>
        </w:rPr>
        <w:t xml:space="preserve">¿Obligación contractual esencial? CONDICIONADA.</w:t>
      </w:r>
      <w:r>
        <w:rPr>
          <w:rFonts w:ascii="Calibri" w:cs="Calibri" w:eastAsia="Calibri" w:hAnsi="Calibri"/>
          <w:sz w:val="21"/>
          <w:szCs w:val="21"/>
        </w:rPr>
        <w:t xml:space="preserve"> Sólo lo es en los supuestos del bloque B.2 de ADM-6·v3 y sólo si el PCAP marca la casilla y el expediente supera el test de relevancia allí descrito. </w:t>
      </w:r>
      <w:r>
        <w:rPr>
          <w:rFonts w:ascii="Calibri" w:cs="Calibri" w:eastAsia="Calibri" w:hAnsi="Calibri"/>
          <w:b/>
          <w:bCs/>
          <w:sz w:val="21"/>
          <w:szCs w:val="21"/>
        </w:rPr>
        <w:t xml:space="preserve">No hay esencialidad automática.</w:t>
      </w: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sz w:val="21"/>
          <w:szCs w:val="21"/>
        </w:rPr>
        <w:t xml:space="preserve">Cuando </w:t>
      </w:r>
      <w:r>
        <w:rPr>
          <w:rFonts w:ascii="Calibri" w:cs="Calibri" w:eastAsia="Calibri" w:hAnsi="Calibri"/>
          <w:b/>
          <w:bCs/>
          <w:sz w:val="21"/>
          <w:szCs w:val="21"/>
        </w:rPr>
        <w:t xml:space="preserve">no exista Anexo de Exigencias Tecnológicas Determinadas aprobado, fechado y contrastado con el mercado</w:t>
      </w:r>
      <w:r>
        <w:rPr>
          <w:rFonts w:ascii="Calibri" w:cs="Calibri" w:eastAsia="Calibri" w:hAnsi="Calibri"/>
          <w:sz w:val="21"/>
          <w:szCs w:val="21"/>
        </w:rPr>
        <w:t xml:space="preserve"> para la tipología de solución de que se trate. Sin Anexo, esta cláusula no se incorpora: no hay nada que exigir y una cláusula vacía es una cláusula indeterminada.</w:t>
      </w:r>
    </w:p>
    <w:p>
      <w:pPr>
        <w:pStyle w:val="ListParagraph"/>
        <w:numPr>
          <w:ilvl w:val="0"/>
          <w:numId w:val="1"/>
        </w:numPr>
        <w:spacing w:after="70" w:line="268"/>
      </w:pPr>
      <w:r>
        <w:rPr>
          <w:rFonts w:ascii="Calibri" w:cs="Calibri" w:eastAsia="Calibri" w:hAnsi="Calibri"/>
          <w:sz w:val="21"/>
          <w:szCs w:val="21"/>
        </w:rPr>
        <w:t xml:space="preserve">Contratos de </w:t>
      </w:r>
      <w:r>
        <w:rPr>
          <w:rFonts w:ascii="Calibri" w:cs="Calibri" w:eastAsia="Calibri" w:hAnsi="Calibri"/>
          <w:b/>
          <w:bCs/>
          <w:sz w:val="21"/>
          <w:szCs w:val="21"/>
        </w:rPr>
        <w:t xml:space="preserve">duración inferior a [X; se recomienda 24] meses</w:t>
      </w:r>
      <w:r>
        <w:rPr>
          <w:rFonts w:ascii="Calibri" w:cs="Calibri" w:eastAsia="Calibri" w:hAnsi="Calibri"/>
          <w:sz w:val="21"/>
          <w:szCs w:val="21"/>
        </w:rPr>
        <w:t xml:space="preserve">: no hay recorrido temporal para una obligación de evolución, y la exigencia se traslada al PPT como capacidad inicial.</w:t>
      </w:r>
    </w:p>
    <w:p>
      <w:pPr>
        <w:pStyle w:val="ListParagraph"/>
        <w:numPr>
          <w:ilvl w:val="0"/>
          <w:numId w:val="1"/>
        </w:numPr>
        <w:spacing w:after="70" w:line="268"/>
      </w:pPr>
      <w:r>
        <w:rPr>
          <w:rFonts w:ascii="Calibri" w:cs="Calibri" w:eastAsia="Calibri" w:hAnsi="Calibri"/>
          <w:b/>
          <w:bCs/>
          <w:sz w:val="21"/>
          <w:szCs w:val="21"/>
        </w:rPr>
        <w:t xml:space="preserve">Suministros de bienes</w:t>
      </w:r>
      <w:r>
        <w:rPr>
          <w:rFonts w:ascii="Calibri" w:cs="Calibri" w:eastAsia="Calibri" w:hAnsi="Calibri"/>
          <w:sz w:val="21"/>
          <w:szCs w:val="21"/>
        </w:rPr>
        <w:t xml:space="preserve"> y contratos sin componente de software mantenido.</w:t>
      </w:r>
    </w:p>
    <w:p>
      <w:pPr>
        <w:pStyle w:val="ListParagraph"/>
        <w:numPr>
          <w:ilvl w:val="0"/>
          <w:numId w:val="1"/>
        </w:numPr>
        <w:spacing w:after="70" w:line="268"/>
      </w:pPr>
      <w:r>
        <w:rPr>
          <w:rFonts w:ascii="Calibri" w:cs="Calibri" w:eastAsia="Calibri" w:hAnsi="Calibri"/>
          <w:b/>
          <w:bCs/>
          <w:sz w:val="21"/>
          <w:szCs w:val="21"/>
        </w:rPr>
        <w:t xml:space="preserve">Contratos menores, basados en acuerdo marco, adhesiones a centrales de compra y prórrogas</w:t>
      </w:r>
      <w:r>
        <w:rPr>
          <w:rFonts w:ascii="Calibri" w:cs="Calibri" w:eastAsia="Calibri" w:hAnsi="Calibri"/>
          <w:sz w:val="21"/>
          <w:szCs w:val="21"/>
        </w:rPr>
        <w:t xml:space="preserve">: no procede, por lo dicho en ADM-1·v3, epígrafe 7.</w:t>
      </w:r>
    </w:p>
    <w:p>
      <w:pPr>
        <w:pStyle w:val="ListParagraph"/>
        <w:numPr>
          <w:ilvl w:val="0"/>
          <w:numId w:val="1"/>
        </w:numPr>
        <w:spacing w:after="70" w:line="268"/>
      </w:pPr>
      <w:r>
        <w:rPr>
          <w:rFonts w:ascii="Calibri" w:cs="Calibri" w:eastAsia="Calibri" w:hAnsi="Calibri"/>
          <w:sz w:val="21"/>
          <w:szCs w:val="21"/>
        </w:rPr>
        <w:t xml:space="preserve">Cuando la Ficha del Anexo II marque NO APLICA. En ese caso hay que borrar también: los tipos correspondientes del cuadro de penalidades de ADM-5·v3, las letras del bloque B.2 de ADM-6·v3 que remitan al Anexo, </w:t>
      </w:r>
      <w:r>
        <w:rPr>
          <w:rFonts w:ascii="Calibri" w:cs="Calibri" w:eastAsia="Calibri" w:hAnsi="Calibri"/>
          <w:b/>
          <w:bCs/>
          <w:sz w:val="21"/>
          <w:szCs w:val="21"/>
        </w:rPr>
        <w:t xml:space="preserve">el criterio o criterios del baremo de ADM-7·v3 que valoren el alcance funcional o el plazo ofertados por encima de las exigencias del Anexo</w:t>
      </w:r>
      <w:r>
        <w:rPr>
          <w:rFonts w:ascii="Calibri" w:cs="Calibri" w:eastAsia="Calibri" w:hAnsi="Calibri"/>
          <w:sz w:val="21"/>
          <w:szCs w:val="21"/>
        </w:rPr>
        <w:t xml:space="preserve"> [criterio n.º ] y la casilla del Anexo VII de declaración responsable. La tabla de dependencias del </w:t>
      </w:r>
      <w:r>
        <w:rPr>
          <w:rFonts w:ascii="Calibri" w:cs="Calibri" w:eastAsia="Calibri" w:hAnsi="Calibri"/>
          <w:b/>
          <w:bCs/>
          <w:sz w:val="21"/>
          <w:szCs w:val="21"/>
        </w:rPr>
        <w:t xml:space="preserve">Anexo VI</w:t>
      </w:r>
      <w:r>
        <w:rPr>
          <w:rFonts w:ascii="Calibri" w:cs="Calibri" w:eastAsia="Calibri" w:hAnsi="Calibri"/>
          <w:sz w:val="21"/>
          <w:szCs w:val="21"/>
        </w:rPr>
        <w:t xml:space="preserve"> dice qué arrastra cada NO APLICA, y es la única fuente de esa información.</w:t>
      </w:r>
    </w:p>
    <w:p>
      <w:pPr>
        <w:pStyle w:val="Heading3"/>
        <w:keepNext/>
        <w:spacing w:after="140" w:before="320"/>
      </w:pPr>
      <w:r>
        <w:rPr>
          <w:rFonts w:ascii="Georgia" w:cs="Georgia" w:eastAsia="Georgia" w:hAnsi="Georgia"/>
          <w:b/>
          <w:bCs/>
          <w:color w:val="2F5496"/>
          <w:sz w:val="22"/>
          <w:szCs w:val="22"/>
        </w:rPr>
        <w:t xml:space="preserve">Nota al redactor · Por qué esta cláusula mata al v2 y qué exactamente se ha quitado</w:t>
      </w:r>
    </w:p>
    <w:p>
      <w:pPr>
        <w:spacing w:after="140" w:line="276"/>
      </w:pPr>
      <w:r>
        <w:rPr>
          <w:rFonts w:ascii="Calibri" w:cs="Calibri" w:eastAsia="Calibri" w:hAnsi="Calibri"/>
          <w:sz w:val="21"/>
          <w:szCs w:val="21"/>
        </w:rPr>
        <w:t xml:space="preserve">El texto de v2 decía: </w:t>
      </w:r>
      <w:r>
        <w:rPr>
          <w:rFonts w:ascii="Calibri" w:cs="Calibri" w:eastAsia="Calibri" w:hAnsi="Calibri"/>
          <w:i/>
          <w:iCs/>
          <w:sz w:val="21"/>
          <w:szCs w:val="21"/>
        </w:rPr>
        <w:t xml:space="preserve">«el compromiso del adjudicatario de mantener la solución o el servicio permanentemente actualizado e incorporar progresivamente las tecnologías Deep Tech que el Ayuntamiento determine como necesarias o convenientes»</w:t>
      </w:r>
      <w:r>
        <w:rPr>
          <w:rFonts w:ascii="Calibri" w:cs="Calibri" w:eastAsia="Calibri" w:hAnsi="Calibri"/>
          <w:sz w:val="21"/>
          <w:szCs w:val="21"/>
        </w:rPr>
        <w:t xml:space="preserve">. Tres defectos, y cualquiera de ellos basta:</w:t>
      </w:r>
    </w:p>
    <w:p>
      <w:pPr>
        <w:pStyle w:val="ListParagraph"/>
        <w:numPr>
          <w:ilvl w:val="0"/>
          <w:numId w:val="2"/>
        </w:numPr>
        <w:spacing w:after="70" w:line="268"/>
      </w:pPr>
      <w:r>
        <w:rPr>
          <w:rFonts w:ascii="Calibri" w:cs="Calibri" w:eastAsia="Calibri" w:hAnsi="Calibri"/>
          <w:b/>
          <w:bCs/>
          <w:sz w:val="21"/>
          <w:szCs w:val="21"/>
        </w:rPr>
        <w:t xml:space="preserve">«o convenientes»</w:t>
      </w:r>
      <w:r>
        <w:rPr>
          <w:rFonts w:ascii="Calibri" w:cs="Calibri" w:eastAsia="Calibri" w:hAnsi="Calibri"/>
          <w:sz w:val="21"/>
          <w:szCs w:val="21"/>
        </w:rPr>
        <w:t xml:space="preserve"> no exige siquiera necesidad. Es una obligación cuyo contenido lo fija después una de las partes.</w:t>
      </w:r>
    </w:p>
    <w:p>
      <w:pPr>
        <w:pStyle w:val="ListParagraph"/>
        <w:numPr>
          <w:ilvl w:val="0"/>
          <w:numId w:val="2"/>
        </w:numPr>
        <w:spacing w:after="70" w:line="268"/>
      </w:pPr>
      <w:r>
        <w:rPr>
          <w:rFonts w:ascii="Calibri" w:cs="Calibri" w:eastAsia="Calibri" w:hAnsi="Calibri"/>
          <w:b/>
          <w:bCs/>
          <w:sz w:val="21"/>
          <w:szCs w:val="21"/>
        </w:rPr>
        <w:t xml:space="preserve">«que el Ayuntamiento determine»</w:t>
      </w:r>
      <w:r>
        <w:rPr>
          <w:rFonts w:ascii="Calibri" w:cs="Calibri" w:eastAsia="Calibri" w:hAnsi="Calibri"/>
          <w:sz w:val="21"/>
          <w:szCs w:val="21"/>
        </w:rPr>
        <w:t xml:space="preserve"> entrega el alcance a la apreciación unilateral y futura del acreedor. El licitador no puede valorar económicamente lo que se obliga a hacer.</w:t>
      </w:r>
    </w:p>
    <w:p>
      <w:pPr>
        <w:pStyle w:val="ListParagraph"/>
        <w:numPr>
          <w:ilvl w:val="0"/>
          <w:numId w:val="2"/>
        </w:numPr>
        <w:spacing w:after="70" w:line="268"/>
      </w:pPr>
      <w:r>
        <w:rPr>
          <w:rFonts w:ascii="Calibri" w:cs="Calibri" w:eastAsia="Calibri" w:hAnsi="Calibri"/>
          <w:b/>
          <w:bCs/>
          <w:sz w:val="21"/>
          <w:szCs w:val="21"/>
        </w:rPr>
        <w:t xml:space="preserve">«permanentemente actualizado»</w:t>
      </w:r>
      <w:r>
        <w:rPr>
          <w:rFonts w:ascii="Calibri" w:cs="Calibri" w:eastAsia="Calibri" w:hAnsi="Calibri"/>
          <w:sz w:val="21"/>
          <w:szCs w:val="21"/>
        </w:rPr>
        <w:t xml:space="preserve"> remite a un estado del mercado desconocido en el momento de ofertar.</w:t>
      </w:r>
    </w:p>
    <w:p>
      <w:pPr>
        <w:spacing w:after="140" w:line="276"/>
      </w:pPr>
      <w:r>
        <w:rPr>
          <w:rFonts w:ascii="Calibri" w:cs="Calibri" w:eastAsia="Calibri" w:hAnsi="Calibri"/>
          <w:sz w:val="21"/>
          <w:szCs w:val="21"/>
        </w:rPr>
        <w:t xml:space="preserve">El estándar con el que se juzga esto está fijado, y es severo:</w:t>
      </w:r>
    </w:p>
    <w:p>
      <w:pPr>
        <w:pStyle w:val="ListParagraph"/>
        <w:numPr>
          <w:ilvl w:val="0"/>
          <w:numId w:val="1"/>
        </w:numPr>
        <w:spacing w:after="70" w:line="268"/>
      </w:pPr>
      <w:r>
        <w:rPr>
          <w:rFonts w:ascii="Calibri" w:cs="Calibri" w:eastAsia="Calibri" w:hAnsi="Calibri"/>
          <w:i/>
          <w:iCs/>
          <w:sz w:val="21"/>
          <w:szCs w:val="21"/>
        </w:rPr>
        <w:t xml:space="preserve">«las obligaciones genéricas o imprecisas no pueden configurarse como propias de un contrato, pues ello afectaría al objeto de consentimiento, base para el mutuo acuerdo, como elemento esencial de este; menos aún pueden elevarse a categoría de obligaciones esenciales de este, cuyo incumplimiento habilite a la resolución»</w:t>
      </w:r>
      <w:r>
        <w:rPr>
          <w:rFonts w:ascii="Calibri" w:cs="Calibri" w:eastAsia="Calibri" w:hAnsi="Calibri"/>
          <w:sz w:val="21"/>
          <w:szCs w:val="21"/>
        </w:rPr>
        <w:t xml:space="preserve"> — TACRC, </w:t>
      </w:r>
      <w:r>
        <w:rPr>
          <w:rFonts w:ascii="Calibri" w:cs="Calibri" w:eastAsia="Calibri" w:hAnsi="Calibri"/>
          <w:b/>
          <w:bCs/>
          <w:sz w:val="21"/>
          <w:szCs w:val="21"/>
        </w:rPr>
        <w:t xml:space="preserve">Resolución 1113/2022, de 27 de septiembre de 2022, recurso 998/2022</w:t>
      </w:r>
      <w:r>
        <w:rPr>
          <w:rFonts w:ascii="Calibri" w:cs="Calibri" w:eastAsia="Calibri" w:hAnsi="Calibri"/>
          <w:sz w:val="21"/>
          <w:szCs w:val="21"/>
        </w:rPr>
        <w:t xml:space="preserve"> (ADIF Alta Velocidad), FD Séptimo. En esa resolución el Tribunal </w:t>
      </w:r>
      <w:r>
        <w:rPr>
          <w:rFonts w:ascii="Calibri" w:cs="Calibri" w:eastAsia="Calibri" w:hAnsi="Calibri"/>
          <w:b/>
          <w:bCs/>
          <w:sz w:val="21"/>
          <w:szCs w:val="21"/>
        </w:rPr>
        <w:t xml:space="preserve">anuló</w:t>
      </w:r>
      <w:r>
        <w:rPr>
          <w:rFonts w:ascii="Calibri" w:cs="Calibri" w:eastAsia="Calibri" w:hAnsi="Calibri"/>
          <w:sz w:val="21"/>
          <w:szCs w:val="21"/>
        </w:rPr>
        <w:t xml:space="preserve"> las cláusulas 29 y 39 del pliego y ordenó la retroacción del procedimiento. </w:t>
      </w:r>
      <w:hyperlink w:history="1" r:id="rIdxpx6tiu_q8om_u6gmnyef">
        <w:r>
          <w:rPr>
            <w:rFonts w:ascii="Calibri" w:cs="Calibri" w:eastAsia="Calibri" w:hAnsi="Calibri"/>
            <w:color w:val="2F5496"/>
            <w:sz w:val="21"/>
            <w:szCs w:val="21"/>
            <w:u w:val="single"/>
          </w:rPr>
          <w:t xml:space="preserve">PDF</w:t>
        </w:r>
      </w:hyperlink>
      <w:r>
        <w:rPr>
          <w:rFonts w:ascii="Calibri" w:cs="Calibri" w:eastAsia="Calibri" w:hAnsi="Calibri"/>
          <w:sz w:val="21"/>
          <w:szCs w:val="21"/>
        </w:rPr>
        <w:t xml:space="preserve">%2027-9-2022.pdf)</w:t>
      </w:r>
    </w:p>
    <w:p>
      <w:pPr>
        <w:pStyle w:val="ListParagraph"/>
        <w:numPr>
          <w:ilvl w:val="0"/>
          <w:numId w:val="1"/>
        </w:numPr>
        <w:spacing w:after="70" w:line="268"/>
      </w:pPr>
      <w:r>
        <w:rPr>
          <w:rFonts w:ascii="Calibri" w:cs="Calibri" w:eastAsia="Calibri" w:hAnsi="Calibri"/>
          <w:i/>
          <w:iCs/>
          <w:sz w:val="21"/>
          <w:szCs w:val="21"/>
        </w:rPr>
        <w:t xml:space="preserve">«este Tribunal aprecia que la cláusula no se encuentra redactada de forma precisa, clara e inequívoca, lo que conduciría per se a su anulación»</w:t>
      </w:r>
      <w:r>
        <w:rPr>
          <w:rFonts w:ascii="Calibri" w:cs="Calibri" w:eastAsia="Calibri" w:hAnsi="Calibri"/>
          <w:sz w:val="21"/>
          <w:szCs w:val="21"/>
        </w:rPr>
        <w:t xml:space="preserve"> — TACRC, </w:t>
      </w:r>
      <w:r>
        <w:rPr>
          <w:rFonts w:ascii="Calibri" w:cs="Calibri" w:eastAsia="Calibri" w:hAnsi="Calibri"/>
          <w:b/>
          <w:bCs/>
          <w:sz w:val="21"/>
          <w:szCs w:val="21"/>
        </w:rPr>
        <w:t xml:space="preserve">Resolución 1287/2022, de 20 de octubre de 2022, recurso 846/2022</w:t>
      </w:r>
      <w:r>
        <w:rPr>
          <w:rFonts w:ascii="Calibri" w:cs="Calibri" w:eastAsia="Calibri" w:hAnsi="Calibri"/>
          <w:sz w:val="21"/>
          <w:szCs w:val="21"/>
        </w:rPr>
        <w:t xml:space="preserve">, FD Noveno. </w:t>
      </w:r>
      <w:hyperlink w:history="1" r:id="rId_atuhglfzgocy7xylttfu">
        <w:r>
          <w:rPr>
            <w:rFonts w:ascii="Calibri" w:cs="Calibri" w:eastAsia="Calibri" w:hAnsi="Calibri"/>
            <w:color w:val="2F5496"/>
            <w:sz w:val="21"/>
            <w:szCs w:val="21"/>
            <w:u w:val="single"/>
          </w:rPr>
          <w:t xml:space="preserve">PDF</w:t>
        </w:r>
      </w:hyperlink>
      <w:r>
        <w:rPr>
          <w:rFonts w:ascii="Calibri" w:cs="Calibri" w:eastAsia="Calibri" w:hAnsi="Calibri"/>
          <w:sz w:val="21"/>
          <w:szCs w:val="21"/>
        </w:rPr>
        <w:t xml:space="preserve">%2020-10-2022.pdf)</w:t>
      </w:r>
    </w:p>
    <w:p>
      <w:pPr>
        <w:pStyle w:val="ListParagraph"/>
        <w:numPr>
          <w:ilvl w:val="0"/>
          <w:numId w:val="1"/>
        </w:numPr>
        <w:spacing w:after="70" w:line="268"/>
      </w:pPr>
      <w:r>
        <w:rPr>
          <w:rFonts w:ascii="Calibri" w:cs="Calibri" w:eastAsia="Calibri" w:hAnsi="Calibri"/>
          <w:i/>
          <w:iCs/>
          <w:sz w:val="21"/>
          <w:szCs w:val="21"/>
        </w:rPr>
        <w:t xml:space="preserve">«su redacción es demasiado amplia y genérica, careciendo del grado de concreción exigible, es decir, en realidad el PCAP no establece condición especial de ejecución alguna»</w:t>
      </w:r>
      <w:r>
        <w:rPr>
          <w:rFonts w:ascii="Calibri" w:cs="Calibri" w:eastAsia="Calibri" w:hAnsi="Calibri"/>
          <w:sz w:val="21"/>
          <w:szCs w:val="21"/>
        </w:rPr>
        <w:t xml:space="preserve"> — TACRC, Resolución 1071/2018, de 23 de noviembre, según su reproducción literal en la </w:t>
      </w:r>
      <w:r>
        <w:rPr>
          <w:rFonts w:ascii="Calibri" w:cs="Calibri" w:eastAsia="Calibri" w:hAnsi="Calibri"/>
          <w:b/>
          <w:bCs/>
          <w:sz w:val="21"/>
          <w:szCs w:val="21"/>
        </w:rPr>
        <w:t xml:space="preserve">Resolución 1111/2022 (Pleno), de 27 de septiembre de 2022, recurso 842/2022</w:t>
      </w:r>
      <w:r>
        <w:rPr>
          <w:rFonts w:ascii="Calibri" w:cs="Calibri" w:eastAsia="Calibri" w:hAnsi="Calibri"/>
          <w:sz w:val="21"/>
          <w:szCs w:val="21"/>
        </w:rPr>
        <w:t xml:space="preserve">, FD Séptimo, donde el Tribunal razonó la imprecisión de la cláusula 24 del PCAP «dada su redacción imprecisa y falta de concreción», si bien el ACUERDA declara la nulidad de las cláusulas 42 y 58 del PCAP y del apartado 23.2.3 del Cuadro de Características. Al cotejar la resolución debe advertirse esa discordancia interna entre el fundamento y la parte dispositiva. La condición especial impugnada era de contenido no tecnológico (prohibición de contratar e integridad en la ejecución) en un contrato de conservación de carreteras. </w:t>
      </w:r>
      <w:hyperlink w:history="1" r:id="rIdxcix1w_rlyu47tpjzqwzz">
        <w:r>
          <w:rPr>
            <w:rFonts w:ascii="Calibri" w:cs="Calibri" w:eastAsia="Calibri" w:hAnsi="Calibri"/>
            <w:color w:val="2F5496"/>
            <w:sz w:val="21"/>
            <w:szCs w:val="21"/>
            <w:u w:val="single"/>
          </w:rPr>
          <w:t xml:space="preserve">PDF</w:t>
        </w:r>
      </w:hyperlink>
      <w:r>
        <w:rPr>
          <w:rFonts w:ascii="Calibri" w:cs="Calibri" w:eastAsia="Calibri" w:hAnsi="Calibri"/>
          <w:sz w:val="21"/>
          <w:szCs w:val="21"/>
        </w:rPr>
        <w:t xml:space="preserve">%2027-09-2022.pdf)</w:t>
      </w:r>
    </w:p>
    <w:p>
      <w:pPr>
        <w:pStyle w:val="ListParagraph"/>
        <w:numPr>
          <w:ilvl w:val="0"/>
          <w:numId w:val="1"/>
        </w:numPr>
        <w:spacing w:after="70" w:line="268"/>
      </w:pPr>
      <w:r>
        <w:rPr>
          <w:rFonts w:ascii="Calibri" w:cs="Calibri" w:eastAsia="Calibri" w:hAnsi="Calibri"/>
          <w:i/>
          <w:iCs/>
          <w:sz w:val="21"/>
          <w:szCs w:val="21"/>
        </w:rPr>
        <w:t xml:space="preserve">«las condiciones especiales de ejecución pueden establecerse como tales pero solo pueden calificarse como obligaciones esenciales si se delimitan y configuran debidamente, no de forma meramente genérica»</w:t>
      </w:r>
      <w:r>
        <w:rPr>
          <w:rFonts w:ascii="Calibri" w:cs="Calibri" w:eastAsia="Calibri" w:hAnsi="Calibri"/>
          <w:sz w:val="21"/>
          <w:szCs w:val="21"/>
        </w:rPr>
        <w:t xml:space="preserve"> — </w:t>
      </w:r>
      <w:r>
        <w:rPr>
          <w:rFonts w:ascii="Calibri" w:cs="Calibri" w:eastAsia="Calibri" w:hAnsi="Calibri"/>
          <w:b/>
          <w:bCs/>
          <w:sz w:val="21"/>
          <w:szCs w:val="21"/>
        </w:rPr>
        <w:t xml:space="preserve">Servicio de Asesoramiento y Normalización de los Procedimientos de Contratación de la Junta de Comunidades de Castilla-La Mancha, Consulta 019/2022</w:t>
      </w:r>
      <w:r>
        <w:rPr>
          <w:rFonts w:ascii="Calibri" w:cs="Calibri" w:eastAsia="Calibri" w:hAnsi="Calibri"/>
          <w:sz w:val="21"/>
          <w:szCs w:val="21"/>
        </w:rPr>
        <w:t xml:space="preserve">. Dos cautelas que hay que hacer constar: la respuesta declara ella misma que «tiene carácter meramente informativo y en ningún caso resulta vinculante», y </w:t>
      </w:r>
      <w:r>
        <w:rPr>
          <w:rFonts w:ascii="Calibri" w:cs="Calibri" w:eastAsia="Calibri" w:hAnsi="Calibri"/>
          <w:b/>
          <w:bCs/>
          <w:sz w:val="21"/>
          <w:szCs w:val="21"/>
        </w:rPr>
        <w:t xml:space="preserve">la frase transcrita no es suya</w:t>
      </w:r>
      <w:r>
        <w:rPr>
          <w:rFonts w:ascii="Calibri" w:cs="Calibri" w:eastAsia="Calibri" w:hAnsi="Calibri"/>
          <w:sz w:val="21"/>
          <w:szCs w:val="21"/>
        </w:rPr>
        <w:t xml:space="preserve">: la consulta la entrecomilla como cita de una resolución del TACRC que no identifica, de modo que se recoge aquí de segunda mano. </w:t>
      </w:r>
      <w:hyperlink w:history="1" r:id="rIdu7wflzdpe2pptgl764bp0">
        <w:r>
          <w:rPr>
            <w:rFonts w:ascii="Calibri" w:cs="Calibri" w:eastAsia="Calibri" w:hAnsi="Calibri"/>
            <w:color w:val="2F5496"/>
            <w:sz w:val="21"/>
            <w:szCs w:val="21"/>
            <w:u w:val="single"/>
          </w:rPr>
          <w:t xml:space="preserve">PDF</w:t>
        </w:r>
      </w:hyperlink>
    </w:p>
    <w:p>
      <w:pPr>
        <w:spacing w:after="140" w:line="276"/>
      </w:pPr>
      <w:r>
        <w:rPr>
          <w:rFonts w:ascii="Calibri" w:cs="Calibri" w:eastAsia="Calibri" w:hAnsi="Calibri"/>
          <w:sz w:val="21"/>
          <w:szCs w:val="21"/>
        </w:rPr>
        <w:t xml:space="preserve">Las cuatro se citan como </w:t>
      </w:r>
      <w:r>
        <w:rPr>
          <w:rFonts w:ascii="Calibri" w:cs="Calibri" w:eastAsia="Calibri" w:hAnsi="Calibri"/>
          <w:b/>
          <w:bCs/>
          <w:sz w:val="21"/>
          <w:szCs w:val="21"/>
        </w:rPr>
        <w:t xml:space="preserve">doctrina general trasladada por analogía</w:t>
      </w:r>
      <w:r>
        <w:rPr>
          <w:rFonts w:ascii="Calibri" w:cs="Calibri" w:eastAsia="Calibri" w:hAnsi="Calibri"/>
          <w:sz w:val="21"/>
          <w:szCs w:val="21"/>
        </w:rPr>
        <w:t xml:space="preserve">. Ninguna versa sobre condiciones especiales de contenido tecnológico o evolutivo: sobre esa materia </w:t>
      </w:r>
      <w:r>
        <w:rPr>
          <w:rFonts w:ascii="Calibri" w:cs="Calibri" w:eastAsia="Calibri" w:hAnsi="Calibri"/>
          <w:b/>
          <w:bCs/>
          <w:sz w:val="21"/>
          <w:szCs w:val="21"/>
        </w:rPr>
        <w:t xml:space="preserve">no consta doctrina</w:t>
      </w:r>
      <w:r>
        <w:rPr>
          <w:rFonts w:ascii="Calibri" w:cs="Calibri" w:eastAsia="Calibri" w:hAnsi="Calibri"/>
          <w:sz w:val="21"/>
          <w:szCs w:val="21"/>
        </w:rPr>
        <w:t xml:space="preserve">, a fecha de corte de 1 de septiembre de 2026, tras búsqueda en los repositorios del TACRC, del TACP de la Comunidad de Madrid y del OARC/KEAO. No hay precedente favorable en el que ampararse ni precedente contrario que temer. Precisamente por eso el blindaje es de técnica de redacción y de expediente, no de cita.</w:t>
      </w:r>
    </w:p>
    <w:p>
      <w:pPr>
        <w:spacing w:after="140" w:line="276"/>
      </w:pPr>
      <w:r>
        <w:rPr>
          <w:rFonts w:ascii="Calibri" w:cs="Calibri" w:eastAsia="Calibri" w:hAnsi="Calibri"/>
          <w:b/>
          <w:bCs/>
          <w:sz w:val="21"/>
          <w:szCs w:val="21"/>
        </w:rPr>
        <w:t xml:space="preserve">Qué hace v3 con eso.</w:t>
      </w:r>
      <w:r>
        <w:rPr>
          <w:rFonts w:ascii="Calibri" w:cs="Calibri" w:eastAsia="Calibri" w:hAnsi="Calibri"/>
          <w:sz w:val="21"/>
          <w:szCs w:val="21"/>
        </w:rPr>
        <w:t xml:space="preserve"> Desplaza la indeterminación del articulado a un anexo cerrado, fechado y transcrito en el pliego, y anuda el nacimiento de la obligación a hechos objetivamente verificables. Es, además, el molde que la propia ley usa para las modificaciones previstas (artículo 204.1: formulación «clara, precisa e inequívoca» y activación «por referencia a circunstancias cuya concurrencia pueda verificarse de forma objetiva»). Si ese estándar es suficiente para modificar un contrato, es suficiente para hacer nacer una obligación dentro de él.</w:t>
      </w:r>
    </w:p>
    <w:p>
      <w:pPr>
        <w:spacing w:after="140" w:line="276"/>
      </w:pPr>
      <w:r>
        <w:rPr>
          <w:rFonts w:ascii="Calibri" w:cs="Calibri" w:eastAsia="Calibri" w:hAnsi="Calibri"/>
          <w:sz w:val="21"/>
          <w:szCs w:val="21"/>
        </w:rPr>
        <w:t xml:space="preserve">Y responde a la objeción económica, que es la que un tribunal aprecia sin necesidad de doctrina: el Tribunal Administrativo de Contratos Públicos de Aragón anuló por ilegal la cláusula que hacía al contratista asumir sin retribución adicional el impacto económico de una modificación, porque rompe la equivalencia de prestaciones y porque los licitadores acaban metiendo el riesgo en el precio (</w:t>
      </w:r>
      <w:r>
        <w:rPr>
          <w:rFonts w:ascii="Calibri" w:cs="Calibri" w:eastAsia="Calibri" w:hAnsi="Calibri"/>
          <w:b/>
          <w:bCs/>
          <w:sz w:val="21"/>
          <w:szCs w:val="21"/>
        </w:rPr>
        <w:t xml:space="preserve">Acuerdo 76/2015, de 20 de julio de 2015</w:t>
      </w:r>
      <w:r>
        <w:rPr>
          <w:rFonts w:ascii="Calibri" w:cs="Calibri" w:eastAsia="Calibri" w:hAnsi="Calibri"/>
          <w:sz w:val="21"/>
          <w:szCs w:val="21"/>
        </w:rPr>
        <w:t xml:space="preserve">, FD Tercero; </w:t>
      </w:r>
      <w:hyperlink w:history="1" r:id="rId0qllejqypgkcmpvipndhn">
        <w:r>
          <w:rPr>
            <w:rFonts w:ascii="Calibri" w:cs="Calibri" w:eastAsia="Calibri" w:hAnsi="Calibri"/>
            <w:color w:val="2F5496"/>
            <w:sz w:val="21"/>
            <w:szCs w:val="21"/>
            <w:u w:val="single"/>
          </w:rPr>
          <w:t xml:space="preserve">PDF</w:t>
        </w:r>
      </w:hyperlink>
      <w:r>
        <w:rPr>
          <w:rFonts w:ascii="Calibri" w:cs="Calibri" w:eastAsia="Calibri" w:hAnsi="Calibri"/>
          <w:sz w:val="21"/>
          <w:szCs w:val="21"/>
        </w:rPr>
        <w:t xml:space="preserve">; doctrina general trasladada por analogía). Una evolución indeterminada y gratuita cae por ahí. Una exigencia determinada en el Anexo el día de licitar, no: se puede presupuestar.</w:t>
      </w:r>
    </w:p>
    <w:p>
      <w:pPr>
        <w:spacing w:after="140" w:line="276"/>
      </w:pPr>
      <w:r>
        <w:rPr>
          <w:rFonts w:ascii="Calibri" w:cs="Calibri" w:eastAsia="Calibri" w:hAnsi="Calibri"/>
          <w:b/>
          <w:bCs/>
          <w:sz w:val="21"/>
          <w:szCs w:val="21"/>
        </w:rPr>
        <w:t xml:space="preserve">El punto más delicado: no anudar la esencialidad a hechos ajenos al contratista.</w:t>
      </w:r>
      <w:r>
        <w:rPr>
          <w:rFonts w:ascii="Calibri" w:cs="Calibri" w:eastAsia="Calibri" w:hAnsi="Calibri"/>
          <w:sz w:val="21"/>
          <w:szCs w:val="21"/>
        </w:rPr>
        <w:t xml:space="preserve"> El apartado 6 está redactado para eso. Que el fabricante publique o no una versión sucesora, que declare fin de soporte o que se publique una nueva versión de un estándar </w:t>
      </w:r>
      <w:r>
        <w:rPr>
          <w:rFonts w:ascii="Calibri" w:cs="Calibri" w:eastAsia="Calibri" w:hAnsi="Calibri"/>
          <w:b/>
          <w:bCs/>
          <w:sz w:val="21"/>
          <w:szCs w:val="21"/>
        </w:rPr>
        <w:t xml:space="preserve">no son incumplimientos</w:t>
      </w:r>
      <w:r>
        <w:rPr>
          <w:rFonts w:ascii="Calibri" w:cs="Calibri" w:eastAsia="Calibri" w:hAnsi="Calibri"/>
          <w:sz w:val="21"/>
          <w:szCs w:val="21"/>
        </w:rPr>
        <w:t xml:space="preserve">: son </w:t>
      </w:r>
      <w:r>
        <w:rPr>
          <w:rFonts w:ascii="Calibri" w:cs="Calibri" w:eastAsia="Calibri" w:hAnsi="Calibri"/>
          <w:i/>
          <w:iCs/>
          <w:sz w:val="21"/>
          <w:szCs w:val="21"/>
        </w:rPr>
        <w:t xml:space="preserve">condiciones de nacimiento</w:t>
      </w:r>
      <w:r>
        <w:rPr>
          <w:rFonts w:ascii="Calibri" w:cs="Calibri" w:eastAsia="Calibri" w:hAnsi="Calibri"/>
          <w:sz w:val="21"/>
          <w:szCs w:val="21"/>
        </w:rPr>
        <w:t xml:space="preserve"> de una obligación. Lo que se exige, y lo único que se sanciona, son conductas del contratista: </w:t>
      </w:r>
      <w:r>
        <w:rPr>
          <w:rFonts w:ascii="Calibri" w:cs="Calibri" w:eastAsia="Calibri" w:hAnsi="Calibri"/>
          <w:b/>
          <w:bCs/>
          <w:sz w:val="21"/>
          <w:szCs w:val="21"/>
        </w:rPr>
        <w:t xml:space="preserve">comunicar</w:t>
      </w:r>
      <w:r>
        <w:rPr>
          <w:rFonts w:ascii="Calibri" w:cs="Calibri" w:eastAsia="Calibri" w:hAnsi="Calibri"/>
          <w:sz w:val="21"/>
          <w:szCs w:val="21"/>
        </w:rPr>
        <w:t xml:space="preserve"> la publicación, </w:t>
      </w:r>
      <w:r>
        <w:rPr>
          <w:rFonts w:ascii="Calibri" w:cs="Calibri" w:eastAsia="Calibri" w:hAnsi="Calibri"/>
          <w:b/>
          <w:bCs/>
          <w:sz w:val="21"/>
          <w:szCs w:val="21"/>
        </w:rPr>
        <w:t xml:space="preserve">poner a disposición</w:t>
      </w:r>
      <w:r>
        <w:rPr>
          <w:rFonts w:ascii="Calibri" w:cs="Calibri" w:eastAsia="Calibri" w:hAnsi="Calibri"/>
          <w:sz w:val="21"/>
          <w:szCs w:val="21"/>
        </w:rPr>
        <w:t xml:space="preserve"> lo que el fabricante publique y a lo que él tiene acceso, e </w:t>
      </w:r>
      <w:r>
        <w:rPr>
          <w:rFonts w:ascii="Calibri" w:cs="Calibri" w:eastAsia="Calibri" w:hAnsi="Calibri"/>
          <w:b/>
          <w:bCs/>
          <w:sz w:val="21"/>
          <w:szCs w:val="21"/>
        </w:rPr>
        <w:t xml:space="preserve">implantar</w:t>
      </w:r>
      <w:r>
        <w:rPr>
          <w:rFonts w:ascii="Calibri" w:cs="Calibri" w:eastAsia="Calibri" w:hAnsi="Calibri"/>
          <w:sz w:val="21"/>
          <w:szCs w:val="21"/>
        </w:rPr>
        <w:t xml:space="preserve"> en el plazo aprobado. Si el fabricante no publica nada, no hay obligación ni incumplimiento, y el pliego lo dice con todas las letras. Si el contratista es integrador y el fabricante le deniega el acceso, queda exonerado acreditándolo. Sin esa redacción se estaría configurando una responsabilidad objetiva por el comportamiento de un tercero, que es el reproche más limpio que un letrado puede hacerle a esta cláusula. La observación de Ondiviela de agosto de 2026 —el fabricante «puede publicar versiones sucesoras de contenido limitado y cumplir formalmente»— es cierta, y por eso lo que asegura capacidades concretas no es este apartado, sino el Anexo del apartado 1.</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III.3 · ADM-3·v3 — Plazos de adaptación y bolsa de servicios evolutivos</w:t>
      </w:r>
    </w:p>
    <w:p>
      <w:pPr>
        <w:spacing w:after="140" w:line="276"/>
      </w:pPr>
      <w:r>
        <w:rPr>
          <w:rFonts w:ascii="Calibri" w:cs="Calibri" w:eastAsia="Calibri" w:hAnsi="Calibri"/>
          <w:i/>
          <w:iCs/>
          <w:sz w:val="21"/>
          <w:szCs w:val="21"/>
        </w:rPr>
        <w:t xml:space="preserve">(Sustituye a ADM-3 de v2. Se suprimen «dentro del alcance razonable del contrato» y «salvo que se fije motivadamente un plazo inferior». El </w:t>
      </w:r>
      <w:r>
        <w:rPr>
          <w:rFonts w:ascii="Calibri" w:cs="Calibri" w:eastAsia="Calibri" w:hAnsi="Calibri"/>
          <w:i/>
          <w:iCs/>
          <w:sz w:val="21"/>
          <w:szCs w:val="21"/>
        </w:rPr>
        <w:t xml:space="preserve">Plan Anual de Evolución Tecnológica</w:t>
      </w:r>
      <w:r>
        <w:rPr>
          <w:rFonts w:ascii="Calibri" w:cs="Calibri" w:eastAsia="Calibri" w:hAnsi="Calibri"/>
          <w:sz w:val="21"/>
          <w:szCs w:val="21"/>
        </w:rPr>
        <w:t xml:space="preserve">* y la aprobación expresa de sus hitos, que los primeros borradores de v3 regulaban aquí, tienen sede única en </w:t>
      </w:r>
      <w:r>
        <w:rPr>
          <w:rFonts w:ascii="Calibri" w:cs="Calibri" w:eastAsia="Calibri" w:hAnsi="Calibri"/>
          <w:b/>
          <w:bCs/>
          <w:sz w:val="21"/>
          <w:szCs w:val="21"/>
        </w:rPr>
        <w:t xml:space="preserve">ADM-10·v3</w:t>
      </w:r>
      <w:r>
        <w:rPr>
          <w:rFonts w:ascii="Calibri" w:cs="Calibri" w:eastAsia="Calibri" w:hAnsi="Calibri"/>
          <w:sz w:val="21"/>
          <w:szCs w:val="21"/>
        </w:rPr>
        <w:t xml:space="preserve">: esta cláusula conserva los plazos de adaptación y la bolsa de servicios evolutivos, y no reproduce el Plan para que las dos redacciones no puedan divergir.)*</w:t>
      </w:r>
    </w:p>
    <w:p>
      <w:pPr>
        <w:pStyle w:val="Heading3"/>
        <w:keepNext/>
        <w:spacing w:after="140" w:before="320"/>
      </w:pPr>
      <w:r>
        <w:rPr>
          <w:rFonts w:ascii="Georgia" w:cs="Georgia" w:eastAsia="Georgia" w:hAnsi="Georgia"/>
          <w:b/>
          <w:bCs/>
          <w:color w:val="2F5496"/>
          <w:sz w:val="22"/>
          <w:szCs w:val="22"/>
        </w:rPr>
        <w:t xml:space="preserve">1. Texto para el pliego</w:t>
      </w:r>
    </w:p>
    <w:p>
      <w:pPr>
        <w:spacing w:after="140" w:line="276"/>
      </w:pPr>
      <w:r>
        <w:rPr>
          <w:rFonts w:ascii="Calibri" w:cs="Calibri" w:eastAsia="Calibri" w:hAnsi="Calibri"/>
          <w:b/>
          <w:bCs/>
          <w:sz w:val="21"/>
          <w:szCs w:val="21"/>
        </w:rPr>
        <w:t xml:space="preserve">Bloque 1 — Plazos de adaptación.</w:t>
      </w:r>
      <w:r>
        <w:rPr>
          <w:rFonts w:ascii="Calibri" w:cs="Calibri" w:eastAsia="Calibri" w:hAnsi="Calibri"/>
          <w:sz w:val="21"/>
          <w:szCs w:val="21"/>
        </w:rPr>
        <w:t xml:space="preserve"> Se copia siempre que se haya incorporado ADM-2·v3.</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Plazos de adaptación de las exigencias tecnológicas determinadas.</w:t>
            </w:r>
          </w:p>
          <w:p>
            <w:pPr>
              <w:spacing w:after="100" w:line="264"/>
            </w:pPr>
            <w:r>
              <w:rPr>
                <w:rFonts w:ascii="Georgia" w:cs="Georgia" w:eastAsia="Georgia" w:hAnsi="Georgia"/>
                <w:sz w:val="20"/>
                <w:szCs w:val="20"/>
              </w:rPr>
              <w:t xml:space="preserve">Los plazos de implantación de las exigencias del Anexo de Exigencias Tecnológicas Determinadas son los que el propio Anexo fija para cada una. No podrán establecerse durante la ejecución plazos distintos de los allí previstos, salvo que una norma imponga otro plazo, en cuyo caso se estará al legalmente exigible. Las prestaciones que excedan del alcance del Anexo se tramitarán, en su caso, como modificación del contrato conforme a los artículos 203 y 204 de la Ley 9/2017.</w:t>
            </w:r>
          </w:p>
        </w:tc>
      </w:tr>
    </w:tbl>
    <w:p>
      <w:pPr>
        <w:spacing w:after="220"/>
      </w:pPr>
    </w:p>
    <w:p>
      <w:pPr>
        <w:spacing w:after="140" w:line="276"/>
      </w:pPr>
      <w:r>
        <w:rPr>
          <w:rFonts w:ascii="Calibri" w:cs="Calibri" w:eastAsia="Calibri" w:hAnsi="Calibri"/>
          <w:i/>
          <w:iCs/>
          <w:sz w:val="21"/>
          <w:szCs w:val="21"/>
        </w:rPr>
        <w:t xml:space="preserve">El Plan Anual de Evolución Tecnológica —contenido mínimo, plazo de presentación y aprobación expresa de hitos— se incorpora al pliego por la cláusula </w:t>
      </w:r>
      <w:r>
        <w:rPr>
          <w:rFonts w:ascii="Calibri" w:cs="Calibri" w:eastAsia="Calibri" w:hAnsi="Calibri"/>
          <w:i/>
          <w:iCs/>
          <w:sz w:val="21"/>
          <w:szCs w:val="21"/>
        </w:rPr>
        <w:t xml:space="preserve">ADM-10·v3</w:t>
      </w:r>
      <w:r>
        <w:rPr>
          <w:rFonts w:ascii="Calibri" w:cs="Calibri" w:eastAsia="Calibri" w:hAnsi="Calibri"/>
          <w:i/>
          <w:iCs/>
          <w:sz w:val="21"/>
          <w:szCs w:val="21"/>
        </w:rPr>
        <w:t xml:space="preserve">, que es su sede única. El modelo de Plan está en el </w:t>
      </w:r>
      <w:r>
        <w:rPr>
          <w:rFonts w:ascii="Calibri" w:cs="Calibri" w:eastAsia="Calibri" w:hAnsi="Calibri"/>
          <w:i/>
          <w:iCs/>
          <w:sz w:val="21"/>
          <w:szCs w:val="21"/>
        </w:rPr>
        <w:t xml:space="preserve">Anexo XIV</w:t>
      </w:r>
      <w:r>
        <w:rPr>
          <w:rFonts w:ascii="Calibri" w:cs="Calibri" w:eastAsia="Calibri" w:hAnsi="Calibri"/>
          <w:i/>
          <w:iCs/>
          <w:sz w:val="21"/>
          <w:szCs w:val="21"/>
        </w:rPr>
        <w:t xml:space="preserve">.</w:t>
      </w:r>
    </w:p>
    <w:p>
      <w:pPr>
        <w:spacing w:after="140" w:line="276"/>
      </w:pPr>
      <w:r>
        <w:rPr>
          <w:rFonts w:ascii="Calibri" w:cs="Calibri" w:eastAsia="Calibri" w:hAnsi="Calibri"/>
          <w:b/>
          <w:bCs/>
          <w:sz w:val="21"/>
          <w:szCs w:val="21"/>
        </w:rPr>
        <w:t xml:space="preserve">Bloque 2 — Bolsa de servicios evolutivos.</w:t>
      </w:r>
      <w:r>
        <w:rPr>
          <w:rFonts w:ascii="Calibri" w:cs="Calibri" w:eastAsia="Calibri" w:hAnsi="Calibri"/>
          <w:sz w:val="21"/>
          <w:szCs w:val="21"/>
        </w:rPr>
        <w:t xml:space="preserve"> </w:t>
      </w:r>
      <w:r>
        <w:rPr>
          <w:rFonts w:ascii="Calibri" w:cs="Calibri" w:eastAsia="Calibri" w:hAnsi="Calibri"/>
          <w:b/>
          <w:bCs/>
          <w:sz w:val="21"/>
          <w:szCs w:val="21"/>
        </w:rPr>
        <w:t xml:space="preserve">Opcional.</w:t>
      </w:r>
      <w:r>
        <w:rPr>
          <w:rFonts w:ascii="Calibri" w:cs="Calibri" w:eastAsia="Calibri" w:hAnsi="Calibri"/>
          <w:sz w:val="21"/>
          <w:szCs w:val="21"/>
        </w:rPr>
        <w:t xml:space="preserve"> Se copia </w:t>
      </w:r>
      <w:r>
        <w:rPr>
          <w:rFonts w:ascii="Calibri" w:cs="Calibri" w:eastAsia="Calibri" w:hAnsi="Calibri"/>
          <w:b/>
          <w:bCs/>
          <w:sz w:val="21"/>
          <w:szCs w:val="21"/>
        </w:rPr>
        <w:t xml:space="preserve">únicamente</w:t>
      </w:r>
      <w:r>
        <w:rPr>
          <w:rFonts w:ascii="Calibri" w:cs="Calibri" w:eastAsia="Calibri" w:hAnsi="Calibri"/>
          <w:sz w:val="21"/>
          <w:szCs w:val="21"/>
        </w:rPr>
        <w:t xml:space="preserve"> en contratos de servicios que impliquen desarrollo o mantenimiento de aplicaciones informáticas, y previo informe del órgano al que corresponda el informe jurídico preceptivo (Asesoría Jurídica en municipios de gran población; Secretaría en el régimen común).</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Bolsa de servicios evolutivos.</w:t>
            </w:r>
          </w:p>
          <w:p>
            <w:pPr>
              <w:pStyle w:val="ListParagraph"/>
              <w:numPr>
                <w:ilvl w:val="0"/>
                <w:numId w:val="2"/>
              </w:numPr>
              <w:spacing w:after="60" w:line="264"/>
            </w:pPr>
            <w:r>
              <w:rPr>
                <w:rFonts w:ascii="Georgia" w:cs="Georgia" w:eastAsia="Georgia" w:hAnsi="Georgia"/>
                <w:b/>
                <w:bCs/>
                <w:sz w:val="20"/>
                <w:szCs w:val="20"/>
              </w:rPr>
              <w:t xml:space="preserve">Objeto y encaje.</w:t>
            </w:r>
            <w:r>
              <w:rPr>
                <w:rFonts w:ascii="Georgia" w:cs="Georgia" w:eastAsia="Georgia" w:hAnsi="Georgia"/>
                <w:sz w:val="20"/>
                <w:szCs w:val="20"/>
              </w:rPr>
              <w:t xml:space="preserve"> Al amparo del artículo 308.3 de la Ley 9/2017, el objeto de este contrato comprende, además de las prestaciones descritas en el Pliego de Prescripciones Técnicas, la ejecución de servicios evolutivos sobre la aplicación contratada, definidos por componentes de prestación y retribuidos por unidades de actividad conforme al Cuadro de Precios Unitarios que forma parte de la oferta del contratista.</w:t>
            </w:r>
          </w:p>
          <w:p>
            <w:pPr>
              <w:pStyle w:val="ListParagraph"/>
              <w:numPr>
                <w:ilvl w:val="0"/>
                <w:numId w:val="2"/>
              </w:numPr>
              <w:spacing w:after="60" w:line="264"/>
            </w:pPr>
            <w:r>
              <w:rPr>
                <w:rFonts w:ascii="Georgia" w:cs="Georgia" w:eastAsia="Georgia" w:hAnsi="Georgia"/>
                <w:b/>
                <w:bCs/>
                <w:sz w:val="20"/>
                <w:szCs w:val="20"/>
              </w:rPr>
              <w:t xml:space="preserve">Catálogo cerrado de peticiones admisibles.</w:t>
            </w:r>
            <w:r>
              <w:rPr>
                <w:rFonts w:ascii="Georgia" w:cs="Georgia" w:eastAsia="Georgia" w:hAnsi="Georgia"/>
                <w:sz w:val="20"/>
                <w:szCs w:val="20"/>
              </w:rPr>
              <w:t xml:space="preserve"> Sólo podrán solicitarse con cargo a esta bolsa las siguientes clases de trabajos, todas ellas referidas a la aplicación objeto del contrato: (i) modificación de formularios, informes, listados o cuadros de mando existentes; (ii) creación o modificación de reglas de validación y de flujos de tramitación ya soportados por la aplicación; (iii) creación o modificación de integraciones con sistemas municipales o con servicios comunes de la Administración; (iv) adaptación de la parametrización a cambios organizativos o normativos; (v) migración, depuración o carga de datos; (vi) ampliación del alcance funcional de la interfaz de acceso programático dentro de los módulos contratados. </w:t>
            </w:r>
            <w:r>
              <w:rPr>
                <w:rFonts w:ascii="Georgia" w:cs="Georgia" w:eastAsia="Georgia" w:hAnsi="Georgia"/>
                <w:b/>
                <w:bCs/>
                <w:sz w:val="20"/>
                <w:szCs w:val="20"/>
              </w:rPr>
              <w:t xml:space="preserve">Queda excluida toda petición que suponga módulos funcionales nuevos o prestaciones ajenas al objeto del contrato.</w:t>
            </w:r>
          </w:p>
          <w:p>
            <w:pPr>
              <w:pStyle w:val="ListParagraph"/>
              <w:numPr>
                <w:ilvl w:val="0"/>
                <w:numId w:val="2"/>
              </w:numPr>
              <w:spacing w:after="60" w:line="264"/>
            </w:pPr>
            <w:r>
              <w:rPr>
                <w:rFonts w:ascii="Georgia" w:cs="Georgia" w:eastAsia="Georgia" w:hAnsi="Georgia"/>
                <w:b/>
                <w:bCs/>
                <w:sz w:val="20"/>
                <w:szCs w:val="20"/>
              </w:rPr>
              <w:t xml:space="preserve">Volumen máximo y precio.</w:t>
            </w:r>
            <w:r>
              <w:rPr>
                <w:rFonts w:ascii="Georgia" w:cs="Georgia" w:eastAsia="Georgia" w:hAnsi="Georgia"/>
                <w:sz w:val="20"/>
                <w:szCs w:val="20"/>
              </w:rPr>
              <w:t xml:space="preserve"> El número máximo de horas por perfil profesional es el que figura en el cuadro de características de este pliego. Las horas se retribuyen a los precios unitarios de la oferta del contratista, y </w:t>
            </w:r>
            <w:r>
              <w:rPr>
                <w:rFonts w:ascii="Georgia" w:cs="Georgia" w:eastAsia="Georgia" w:hAnsi="Georgia"/>
                <w:b/>
                <w:bCs/>
                <w:sz w:val="20"/>
                <w:szCs w:val="20"/>
              </w:rPr>
              <w:t xml:space="preserve">sólo las efectivamente ejecutadas y recibidas de conformidad</w:t>
            </w:r>
            <w:r>
              <w:rPr>
                <w:rFonts w:ascii="Georgia" w:cs="Georgia" w:eastAsia="Georgia" w:hAnsi="Georgia"/>
                <w:sz w:val="20"/>
                <w:szCs w:val="20"/>
              </w:rPr>
              <w:t xml:space="preserve">. El importe correspondiente a las horas no consumidas no se abona, no genera derecho a indemnización ni a compensación de ningún tipo, y no será objeto de facturación al término del contrato.</w:t>
            </w:r>
          </w:p>
          <w:p>
            <w:pPr>
              <w:pStyle w:val="ListParagraph"/>
              <w:numPr>
                <w:ilvl w:val="0"/>
                <w:numId w:val="2"/>
              </w:numPr>
              <w:spacing w:after="60" w:line="264"/>
            </w:pPr>
            <w:r>
              <w:rPr>
                <w:rFonts w:ascii="Georgia" w:cs="Georgia" w:eastAsia="Georgia" w:hAnsi="Georgia"/>
                <w:b/>
                <w:bCs/>
                <w:sz w:val="20"/>
                <w:szCs w:val="20"/>
              </w:rPr>
              <w:t xml:space="preserve">Procedimiento.</w:t>
            </w:r>
            <w:r>
              <w:rPr>
                <w:rFonts w:ascii="Georgia" w:cs="Georgia" w:eastAsia="Georgia" w:hAnsi="Georgia"/>
                <w:sz w:val="20"/>
                <w:szCs w:val="20"/>
              </w:rPr>
              <w:t xml:space="preserve"> Cada trabajo se solicitará mediante </w:t>
            </w:r>
            <w:r>
              <w:rPr>
                <w:rFonts w:ascii="Georgia" w:cs="Georgia" w:eastAsia="Georgia" w:hAnsi="Georgia"/>
                <w:b/>
                <w:bCs/>
                <w:sz w:val="20"/>
                <w:szCs w:val="20"/>
              </w:rPr>
              <w:t xml:space="preserve">petición de servicio</w:t>
            </w:r>
            <w:r>
              <w:rPr>
                <w:rFonts w:ascii="Georgia" w:cs="Georgia" w:eastAsia="Georgia" w:hAnsi="Georgia"/>
                <w:sz w:val="20"/>
                <w:szCs w:val="20"/>
              </w:rPr>
              <w:t xml:space="preserve"> escrita del responsable del contrato, que identificará el resultado a obtener, los criterios de aceptación y el plazo. El contratista presentará estimación de horas por perfil en el plazo de [X; se recomienda 5] días hábiles. Aceptada la estimación por el responsable del contrato, el contratista ejecutará el trabajo con </w:t>
            </w:r>
            <w:r>
              <w:rPr>
                <w:rFonts w:ascii="Georgia" w:cs="Georgia" w:eastAsia="Georgia" w:hAnsi="Georgia"/>
                <w:b/>
                <w:bCs/>
                <w:sz w:val="20"/>
                <w:szCs w:val="20"/>
              </w:rPr>
              <w:t xml:space="preserve">su propio personal, bajo su exclusiva dirección y organización</w:t>
            </w:r>
            <w:r>
              <w:rPr>
                <w:rFonts w:ascii="Georgia" w:cs="Georgia" w:eastAsia="Georgia" w:hAnsi="Georgia"/>
                <w:sz w:val="20"/>
                <w:szCs w:val="20"/>
              </w:rPr>
              <w:t xml:space="preserve">. La recepción se documentará en acta con verificación de los criterios de aceptación. </w:t>
            </w:r>
            <w:r>
              <w:rPr>
                <w:rFonts w:ascii="Georgia" w:cs="Georgia" w:eastAsia="Georgia" w:hAnsi="Georgia"/>
                <w:b/>
                <w:bCs/>
                <w:sz w:val="20"/>
                <w:szCs w:val="20"/>
              </w:rPr>
              <w:t xml:space="preserve">El Ayuntamiento no dirige ni organiza al personal del contratista, no le asigna tareas individuales, no controla su jornada y no interviene en su régimen laboral.</w:t>
            </w:r>
          </w:p>
          <w:p>
            <w:pPr>
              <w:pStyle w:val="ListParagraph"/>
              <w:numPr>
                <w:ilvl w:val="0"/>
                <w:numId w:val="2"/>
              </w:numPr>
              <w:spacing w:after="60" w:line="264"/>
            </w:pPr>
            <w:r>
              <w:rPr>
                <w:rFonts w:ascii="Georgia" w:cs="Georgia" w:eastAsia="Georgia" w:hAnsi="Georgia"/>
                <w:b/>
                <w:bCs/>
                <w:sz w:val="20"/>
                <w:szCs w:val="20"/>
              </w:rPr>
              <w:t xml:space="preserve">Límite y base de cálculo.</w:t>
            </w:r>
            <w:r>
              <w:rPr>
                <w:rFonts w:ascii="Georgia" w:cs="Georgia" w:eastAsia="Georgia" w:hAnsi="Georgia"/>
                <w:sz w:val="20"/>
                <w:szCs w:val="20"/>
              </w:rPr>
              <w:t xml:space="preserve"> El importe máximo de esta bolsa </w:t>
            </w:r>
            <w:r>
              <w:rPr>
                <w:rFonts w:ascii="Georgia" w:cs="Georgia" w:eastAsia="Georgia" w:hAnsi="Georgia"/>
                <w:b/>
                <w:bCs/>
                <w:sz w:val="20"/>
                <w:szCs w:val="20"/>
              </w:rPr>
              <w:t xml:space="preserve">no excederá del [X; se recomienda 5] por ciento del presupuesto base de licitación correspondiente a la duración inicial del contrato, sin impuesto sobre el valor añadido, ni en ningún caso del 10 por ciento de esa misma base</w:t>
            </w:r>
            <w:r>
              <w:rPr>
                <w:rFonts w:ascii="Georgia" w:cs="Georgia" w:eastAsia="Georgia" w:hAnsi="Georgia"/>
                <w:sz w:val="20"/>
                <w:szCs w:val="20"/>
              </w:rPr>
              <w:t xml:space="preserve">. Cuando el contrato prevea prórrogas, el cuadro de características indicará </w:t>
            </w:r>
            <w:r>
              <w:rPr>
                <w:rFonts w:ascii="Georgia" w:cs="Georgia" w:eastAsia="Georgia" w:hAnsi="Georgia"/>
                <w:b/>
                <w:bCs/>
                <w:sz w:val="20"/>
                <w:szCs w:val="20"/>
              </w:rPr>
              <w:t xml:space="preserve">expresamente si la bolsa se dota también para cada anualidad prorrogada y por qué importe</w:t>
            </w:r>
            <w:r>
              <w:rPr>
                <w:rFonts w:ascii="Georgia" w:cs="Georgia" w:eastAsia="Georgia" w:hAnsi="Georgia"/>
                <w:sz w:val="20"/>
                <w:szCs w:val="20"/>
              </w:rPr>
              <w:t xml:space="preserve">, calculado sobre la misma base y con el mismo porcentaje; el importe correspondiente a las prórrogas sólo se autoriza cuando la prórroga se acuerde. La suma de los importes máximos de todas las anualidades se consigna en el cuadro de características, </w:t>
            </w:r>
            <w:r>
              <w:rPr>
                <w:rFonts w:ascii="Georgia" w:cs="Georgia" w:eastAsia="Georgia" w:hAnsi="Georgia"/>
                <w:b/>
                <w:bCs/>
                <w:sz w:val="20"/>
                <w:szCs w:val="20"/>
              </w:rPr>
              <w:t xml:space="preserve">forma parte del presupuesto base de licitación</w:t>
            </w:r>
            <w:r>
              <w:rPr>
                <w:rFonts w:ascii="Georgia" w:cs="Georgia" w:eastAsia="Georgia" w:hAnsi="Georgia"/>
                <w:sz w:val="20"/>
                <w:szCs w:val="20"/>
              </w:rPr>
              <w:t xml:space="preserve"> —y, con él, del crédito que se autoriza— y </w:t>
            </w:r>
            <w:r>
              <w:rPr>
                <w:rFonts w:ascii="Georgia" w:cs="Georgia" w:eastAsia="Georgia" w:hAnsi="Georgia"/>
                <w:b/>
                <w:bCs/>
                <w:sz w:val="20"/>
                <w:szCs w:val="20"/>
              </w:rPr>
              <w:t xml:space="preserve">se computa en el valor estimado del contrato</w:t>
            </w:r>
            <w:r>
              <w:rPr>
                <w:rFonts w:ascii="Georgia" w:cs="Georgia" w:eastAsia="Georgia" w:hAnsi="Georgia"/>
                <w:sz w:val="20"/>
                <w:szCs w:val="20"/>
              </w:rPr>
              <w:t xml:space="preserve">.</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PCAP. El bloque 1, en la cláusula de ejecución del contrato, junto a las condiciones especiales de ejecución. El bloque 2, en la cláusula de objeto y en la de precio y sistema de determinación, con reflejo obligatorio en el </w:t>
      </w:r>
      <w:r>
        <w:rPr>
          <w:rFonts w:ascii="Calibri" w:cs="Calibri" w:eastAsia="Calibri" w:hAnsi="Calibri"/>
          <w:b/>
          <w:bCs/>
          <w:sz w:val="21"/>
          <w:szCs w:val="21"/>
        </w:rPr>
        <w:t xml:space="preserve">cuadro de características</w:t>
      </w:r>
      <w:r>
        <w:rPr>
          <w:rFonts w:ascii="Calibri" w:cs="Calibri" w:eastAsia="Calibri" w:hAnsi="Calibri"/>
          <w:sz w:val="21"/>
          <w:szCs w:val="21"/>
        </w:rPr>
        <w:t xml:space="preserve"> (horas máximas por perfil e importe máximo) y en el </w:t>
      </w:r>
      <w:r>
        <w:rPr>
          <w:rFonts w:ascii="Calibri" w:cs="Calibri" w:eastAsia="Calibri" w:hAnsi="Calibri"/>
          <w:b/>
          <w:bCs/>
          <w:sz w:val="21"/>
          <w:szCs w:val="21"/>
        </w:rPr>
        <w:t xml:space="preserve">presupuesto base de licitación</w:t>
      </w:r>
      <w:r>
        <w:rPr>
          <w:rFonts w:ascii="Calibri" w:cs="Calibri" w:eastAsia="Calibri" w:hAnsi="Calibri"/>
          <w:sz w:val="21"/>
          <w:szCs w:val="21"/>
        </w:rPr>
        <w:t xml:space="preserve">. El Cuadro de Precios Unitarios se presenta con la oferta (Anexo X, apartado X.3).</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sz w:val="21"/>
          <w:szCs w:val="21"/>
        </w:rPr>
        <w:t xml:space="preserve">La necesidad es doble. Primera: que las capacidades comprometidas se implanten en fecha cierta. Segunda: que las adaptaciones menores que toda aplicación necesita —un informe nuevo, un cambio de flujo, una integración— tengan una vía contractual con precio pactado, en lugar de resolverse con presiones informales al proveedor o con contratos menores encadenados. </w:t>
      </w:r>
      <w:r>
        <w:rPr>
          <w:rFonts w:ascii="Calibri" w:cs="Calibri" w:eastAsia="Calibri" w:hAnsi="Calibri"/>
          <w:i/>
          <w:iCs/>
          <w:sz w:val="21"/>
          <w:szCs w:val="21"/>
        </w:rPr>
        <w:t xml:space="preserve">(Que el Ayuntamiento sepa cada año en qué estado está el contrato es función del Plan Anual de Evolución Tecnológica, ADM-10·v3.)</w:t>
      </w:r>
    </w:p>
    <w:p>
      <w:pPr>
        <w:pStyle w:val="ListParagraph"/>
        <w:numPr>
          <w:ilvl w:val="0"/>
          <w:numId w:val="1"/>
        </w:numPr>
        <w:spacing w:after="70" w:line="268"/>
      </w:pPr>
      <w:r>
        <w:rPr>
          <w:rFonts w:ascii="Calibri" w:cs="Calibri" w:eastAsia="Calibri" w:hAnsi="Calibri"/>
          <w:b/>
          <w:bCs/>
          <w:sz w:val="21"/>
          <w:szCs w:val="21"/>
        </w:rPr>
        <w:t xml:space="preserve">Artículo 308.3 LCSP</w:t>
      </w:r>
      <w:r>
        <w:rPr>
          <w:rFonts w:ascii="Calibri" w:cs="Calibri" w:eastAsia="Calibri" w:hAnsi="Calibri"/>
          <w:sz w:val="21"/>
          <w:szCs w:val="21"/>
        </w:rPr>
        <w:t xml:space="preserve">, literal verificado: en los contratos de servicios que impliquen desarrollo o mantenimiento de aplicaciones informáticas el objeto puede definirse por componentes de prestación, con precio referido a cada componente «en términos de unidades de actividad, definidas en términos de categorías profesionales o coste», y ello «sin perjuicio de que puedan concretarse dichas funcionalidades por la Administración atendiendo a consideraciones técnicas, económicas o </w:t>
      </w:r>
      <w:r>
        <w:rPr>
          <w:rFonts w:ascii="Calibri" w:cs="Calibri" w:eastAsia="Calibri" w:hAnsi="Calibri"/>
          <w:b/>
          <w:bCs/>
          <w:sz w:val="21"/>
          <w:szCs w:val="21"/>
        </w:rPr>
        <w:t xml:space="preserve">necesidades del usuario durante el período de ejecución, en los términos en que se prevean en el pliego de cláusulas administrativas particulares</w:t>
      </w:r>
      <w:r>
        <w:rPr>
          <w:rFonts w:ascii="Calibri" w:cs="Calibri" w:eastAsia="Calibri" w:hAnsi="Calibri"/>
          <w:sz w:val="21"/>
          <w:szCs w:val="21"/>
        </w:rPr>
        <w:t xml:space="preserve">». Ése es el anclaje de la bolsa, y basta: no hace falta doctrina cuando hay precepto.</w:t>
      </w:r>
    </w:p>
    <w:p>
      <w:pPr>
        <w:pStyle w:val="ListParagraph"/>
        <w:numPr>
          <w:ilvl w:val="0"/>
          <w:numId w:val="1"/>
        </w:numPr>
        <w:spacing w:after="70" w:line="268"/>
      </w:pPr>
      <w:r>
        <w:rPr>
          <w:rFonts w:ascii="Calibri" w:cs="Calibri" w:eastAsia="Calibri" w:hAnsi="Calibri"/>
          <w:b/>
          <w:bCs/>
          <w:sz w:val="21"/>
          <w:szCs w:val="21"/>
        </w:rPr>
        <w:t xml:space="preserve">Artículo 308.2 LCSP</w:t>
      </w:r>
      <w:r>
        <w:rPr>
          <w:rFonts w:ascii="Calibri" w:cs="Calibri" w:eastAsia="Calibri" w:hAnsi="Calibri"/>
          <w:sz w:val="21"/>
          <w:szCs w:val="21"/>
        </w:rPr>
        <w:t xml:space="preserve">, literal verificado: «los empleados o responsables de la Administración deben abstenerse de realizar actos que impliquen el ejercicio de facultades que, como parte de la relación jurídico laboral, le corresponden a la empresa contratista». De ahí la redacción del apartado 4 del bloque 2 y la prohibición absoluta de escribir «horas dirigidas por el Ayuntamiento».</w:t>
      </w:r>
    </w:p>
    <w:p>
      <w:pPr>
        <w:pStyle w:val="ListParagraph"/>
        <w:numPr>
          <w:ilvl w:val="0"/>
          <w:numId w:val="1"/>
        </w:numPr>
        <w:spacing w:after="70" w:line="268"/>
      </w:pPr>
      <w:r>
        <w:rPr>
          <w:rFonts w:ascii="Calibri" w:cs="Calibri" w:eastAsia="Calibri" w:hAnsi="Calibri"/>
          <w:b/>
          <w:bCs/>
          <w:sz w:val="21"/>
          <w:szCs w:val="21"/>
        </w:rPr>
        <w:t xml:space="preserve">Artículo 99.1 LCSP</w:t>
      </w:r>
      <w:r>
        <w:rPr>
          <w:rFonts w:ascii="Calibri" w:cs="Calibri" w:eastAsia="Calibri" w:hAnsi="Calibri"/>
          <w:sz w:val="21"/>
          <w:szCs w:val="21"/>
        </w:rPr>
        <w:t xml:space="preserve">: la definición del objeto por funcionalidades, que es lo que hace el catálogo cerrado del apartado 2.</w:t>
      </w:r>
    </w:p>
    <w:p>
      <w:pPr>
        <w:pStyle w:val="ListParagraph"/>
        <w:numPr>
          <w:ilvl w:val="0"/>
          <w:numId w:val="1"/>
        </w:numPr>
        <w:spacing w:after="70" w:line="268"/>
      </w:pPr>
      <w:r>
        <w:rPr>
          <w:rFonts w:ascii="Calibri" w:cs="Calibri" w:eastAsia="Calibri" w:hAnsi="Calibri"/>
          <w:b/>
          <w:bCs/>
          <w:sz w:val="21"/>
          <w:szCs w:val="21"/>
        </w:rPr>
        <w:t xml:space="preserve">Artículo 101 LCSP</w:t>
      </w:r>
      <w:r>
        <w:rPr>
          <w:rFonts w:ascii="Calibri" w:cs="Calibri" w:eastAsia="Calibri" w:hAnsi="Calibri"/>
          <w:sz w:val="21"/>
          <w:szCs w:val="21"/>
        </w:rPr>
        <w:t xml:space="preserve">: la bolsa </w:t>
      </w:r>
      <w:r>
        <w:rPr>
          <w:rFonts w:ascii="Calibri" w:cs="Calibri" w:eastAsia="Calibri" w:hAnsi="Calibri"/>
          <w:b/>
          <w:bCs/>
          <w:sz w:val="21"/>
          <w:szCs w:val="21"/>
        </w:rPr>
        <w:t xml:space="preserve">computa en el valor estimado</w:t>
      </w:r>
      <w:r>
        <w:rPr>
          <w:rFonts w:ascii="Calibri" w:cs="Calibri" w:eastAsia="Calibri" w:hAnsi="Calibri"/>
          <w:sz w:val="21"/>
          <w:szCs w:val="21"/>
        </w:rPr>
        <w:t xml:space="preserve">. No se puede escribir lo contrario.</w:t>
      </w:r>
    </w:p>
    <w:p>
      <w:pPr>
        <w:pStyle w:val="Heading3"/>
        <w:keepNext/>
        <w:spacing w:after="140" w:before="320"/>
      </w:pPr>
      <w:r>
        <w:rPr>
          <w:rFonts w:ascii="Georgia" w:cs="Georgia" w:eastAsia="Georgia" w:hAnsi="Georgia"/>
          <w:b/>
          <w:bCs/>
          <w:color w:val="2F5496"/>
          <w:sz w:val="22"/>
          <w:szCs w:val="22"/>
        </w:rPr>
        <w:t xml:space="preserve">4. Cómo se acredita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Obligación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Medio de prueba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Cumplimiento del plazo de implantación de una exigencia del Anexo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prueba de aceptación de la exigencia, con su fecha, cotejada con el plazo que el Anexo fija para ella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Ejecución de una petición de servicio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Petición escrita, estimación aceptada, acta de recepción con verificación de los criterios de aceptación, y parte de horas por perfil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Consumo de la bolsa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Cuadro acumulado de horas consumidas por perfil, actualizado con cada recepción</w:t>
            </w:r>
          </w:p>
        </w:tc>
      </w:tr>
    </w:tbl>
    <w:p>
      <w:pPr>
        <w:spacing w:after="200"/>
      </w:pPr>
    </w:p>
    <w:p>
      <w:pPr>
        <w:spacing w:after="140" w:line="276"/>
      </w:pPr>
      <w:r>
        <w:rPr>
          <w:rFonts w:ascii="Calibri" w:cs="Calibri" w:eastAsia="Calibri" w:hAnsi="Calibri"/>
          <w:i/>
          <w:iCs/>
          <w:sz w:val="21"/>
          <w:szCs w:val="21"/>
        </w:rPr>
        <w:t xml:space="preserve">La acreditación de la presentación y del contenido del Plan Anual, y la de los hitos aprobados, está en ADM-10·v3.</w:t>
      </w:r>
    </w:p>
    <w:p>
      <w:pPr>
        <w:pStyle w:val="Heading3"/>
        <w:keepNext/>
        <w:spacing w:after="140" w:before="320"/>
      </w:pPr>
      <w:r>
        <w:rPr>
          <w:rFonts w:ascii="Georgia" w:cs="Georgia" w:eastAsia="Georgia" w:hAnsi="Georgia"/>
          <w:b/>
          <w:bCs/>
          <w:color w:val="2F5496"/>
          <w:sz w:val="22"/>
          <w:szCs w:val="22"/>
        </w:rPr>
        <w:t xml:space="preserve">5. Cómo se verifica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se comprueba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Actor municipal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Cuándo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Horas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Tramitación y recepción de cada petición de servicio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petición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Petición, estimación, acta de recepción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 por petición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Cierre anual de la bolsa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con la unidad gestora del gasto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Cuadro acumulado y propuesta de no disposición del remanente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3/año</w:t>
            </w:r>
          </w:p>
        </w:tc>
      </w:tr>
    </w:tbl>
    <w:p>
      <w:pPr>
        <w:spacing w:after="200"/>
      </w:pPr>
    </w:p>
    <w:p>
      <w:pPr>
        <w:spacing w:after="140" w:line="276"/>
      </w:pPr>
      <w:r>
        <w:rPr>
          <w:rFonts w:ascii="Calibri" w:cs="Calibri" w:eastAsia="Calibri" w:hAnsi="Calibri"/>
          <w:b/>
          <w:bCs/>
          <w:sz w:val="21"/>
          <w:szCs w:val="21"/>
        </w:rPr>
        <w:t xml:space="preserve">Carga estimada: 3 horas por contrato y año</w:t>
      </w:r>
      <w:r>
        <w:rPr>
          <w:rFonts w:ascii="Calibri" w:cs="Calibri" w:eastAsia="Calibri" w:hAnsi="Calibri"/>
          <w:sz w:val="21"/>
          <w:szCs w:val="21"/>
        </w:rPr>
        <w:t xml:space="preserve">, más </w:t>
      </w:r>
      <w:r>
        <w:rPr>
          <w:rFonts w:ascii="Calibri" w:cs="Calibri" w:eastAsia="Calibri" w:hAnsi="Calibri"/>
          <w:b/>
          <w:bCs/>
          <w:sz w:val="21"/>
          <w:szCs w:val="21"/>
        </w:rPr>
        <w:t xml:space="preserve">1 hora por petición de servicio</w:t>
      </w:r>
      <w:r>
        <w:rPr>
          <w:rFonts w:ascii="Calibri" w:cs="Calibri" w:eastAsia="Calibri" w:hAnsi="Calibri"/>
          <w:sz w:val="21"/>
          <w:szCs w:val="21"/>
        </w:rPr>
        <w:t xml:space="preserve">. Con [X; se recomienda 20] peticiones al año, 23 horas. La carga de revisión del Plan Anual y de aprobación de hitos se imputa a ADM-10·v3. Si el pliego prevé una bolsa que nadie va a poder tramitar, la bolsa no se incorpora: es la regla de verificabilidad municipal aplicada a esta cláusula.</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pStyle w:val="ListParagraph"/>
        <w:numPr>
          <w:ilvl w:val="0"/>
          <w:numId w:val="1"/>
        </w:numPr>
        <w:spacing w:after="70" w:line="268"/>
      </w:pPr>
      <w:r>
        <w:rPr>
          <w:rFonts w:ascii="Calibri" w:cs="Calibri" w:eastAsia="Calibri" w:hAnsi="Calibri"/>
          <w:b/>
          <w:bCs/>
          <w:sz w:val="21"/>
          <w:szCs w:val="21"/>
        </w:rPr>
        <w:t xml:space="preserve">Penalidad grave</w:t>
      </w:r>
      <w:r>
        <w:rPr>
          <w:rFonts w:ascii="Calibri" w:cs="Calibri" w:eastAsia="Calibri" w:hAnsi="Calibri"/>
          <w:sz w:val="21"/>
          <w:szCs w:val="21"/>
        </w:rPr>
        <w:t xml:space="preserve"> por cada mes o fracción de retraso en la implantación de una exigencia del Anexo dentro del plazo del bloque 1 (tipo G2 de ADM-5·v3), y </w:t>
      </w:r>
      <w:r>
        <w:rPr>
          <w:rFonts w:ascii="Calibri" w:cs="Calibri" w:eastAsia="Calibri" w:hAnsi="Calibri"/>
          <w:b/>
          <w:bCs/>
          <w:sz w:val="21"/>
          <w:szCs w:val="21"/>
        </w:rPr>
        <w:t xml:space="preserve">muy grave</w:t>
      </w:r>
      <w:r>
        <w:rPr>
          <w:rFonts w:ascii="Calibri" w:cs="Calibri" w:eastAsia="Calibri" w:hAnsi="Calibri"/>
          <w:sz w:val="21"/>
          <w:szCs w:val="21"/>
        </w:rPr>
        <w:t xml:space="preserve"> si transcurre además el mes de subsanación desde requerimiento fehaciente (tipo M1).</w:t>
      </w:r>
    </w:p>
    <w:p>
      <w:pPr>
        <w:pStyle w:val="ListParagraph"/>
        <w:numPr>
          <w:ilvl w:val="0"/>
          <w:numId w:val="1"/>
        </w:numPr>
        <w:spacing w:after="70" w:line="268"/>
      </w:pPr>
      <w:r>
        <w:rPr>
          <w:rFonts w:ascii="Calibri" w:cs="Calibri" w:eastAsia="Calibri" w:hAnsi="Calibri"/>
          <w:sz w:val="21"/>
          <w:szCs w:val="21"/>
        </w:rPr>
        <w:t xml:space="preserve">La bolsa de servicios evolutivos </w:t>
      </w:r>
      <w:r>
        <w:rPr>
          <w:rFonts w:ascii="Calibri" w:cs="Calibri" w:eastAsia="Calibri" w:hAnsi="Calibri"/>
          <w:b/>
          <w:bCs/>
          <w:sz w:val="21"/>
          <w:szCs w:val="21"/>
        </w:rPr>
        <w:t xml:space="preserve">no genera penalidades propias</w:t>
      </w:r>
      <w:r>
        <w:rPr>
          <w:rFonts w:ascii="Calibri" w:cs="Calibri" w:eastAsia="Calibri" w:hAnsi="Calibri"/>
          <w:sz w:val="21"/>
          <w:szCs w:val="21"/>
        </w:rPr>
        <w:t xml:space="preserve"> distintas de las de demora en la ejecución de cada petición aceptada.</w:t>
      </w:r>
    </w:p>
    <w:p>
      <w:pPr>
        <w:pStyle w:val="ListParagraph"/>
        <w:numPr>
          <w:ilvl w:val="0"/>
          <w:numId w:val="1"/>
        </w:numPr>
        <w:spacing w:after="70" w:line="268"/>
      </w:pPr>
      <w:r>
        <w:rPr>
          <w:rFonts w:ascii="Calibri" w:cs="Calibri" w:eastAsia="Calibri" w:hAnsi="Calibri"/>
          <w:sz w:val="21"/>
          <w:szCs w:val="21"/>
        </w:rPr>
        <w:t xml:space="preserve">Los incumplimientos relativos al Plan Anual de Evolución Tecnológica y a sus hitos se tipifican en ADM-5·v3 (tipos L1, G1 y G9) y se regulan en ADM-10·v3. No se reproducen aquí.</w:t>
      </w:r>
    </w:p>
    <w:p>
      <w:pPr>
        <w:spacing w:after="140" w:line="276"/>
      </w:pPr>
      <w:r>
        <w:rPr>
          <w:rFonts w:ascii="Calibri" w:cs="Calibri" w:eastAsia="Calibri" w:hAnsi="Calibri"/>
          <w:b/>
          <w:bCs/>
          <w:sz w:val="21"/>
          <w:szCs w:val="21"/>
        </w:rPr>
        <w:t xml:space="preserve">¿Obligación contractual esencial?</w:t>
      </w:r>
      <w:r>
        <w:rPr>
          <w:rFonts w:ascii="Calibri" w:cs="Calibri" w:eastAsia="Calibri" w:hAnsi="Calibri"/>
          <w:sz w:val="21"/>
          <w:szCs w:val="21"/>
        </w:rPr>
        <w:t xml:space="preserve"> El bloque 1, </w:t>
      </w:r>
      <w:r>
        <w:rPr>
          <w:rFonts w:ascii="Calibri" w:cs="Calibri" w:eastAsia="Calibri" w:hAnsi="Calibri"/>
          <w:b/>
          <w:bCs/>
          <w:sz w:val="21"/>
          <w:szCs w:val="21"/>
        </w:rPr>
        <w:t xml:space="preserve">NO</w:t>
      </w:r>
      <w:r>
        <w:rPr>
          <w:rFonts w:ascii="Calibri" w:cs="Calibri" w:eastAsia="Calibri" w:hAnsi="Calibri"/>
          <w:sz w:val="21"/>
          <w:szCs w:val="21"/>
        </w:rPr>
        <w:t xml:space="preserve">. La bolsa de servicios evolutivos, </w:t>
      </w:r>
      <w:r>
        <w:rPr>
          <w:rFonts w:ascii="Calibri" w:cs="Calibri" w:eastAsia="Calibri" w:hAnsi="Calibri"/>
          <w:b/>
          <w:bCs/>
          <w:sz w:val="21"/>
          <w:szCs w:val="21"/>
        </w:rPr>
        <w:t xml:space="preserve">NO</w:t>
      </w:r>
      <w:r>
        <w:rPr>
          <w:rFonts w:ascii="Calibri" w:cs="Calibri" w:eastAsia="Calibri" w:hAnsi="Calibri"/>
          <w:sz w:val="21"/>
          <w:szCs w:val="21"/>
        </w:rPr>
        <w:t xml:space="preserve"> en ningún caso. La esencialidad condicionada del Plan Anual —falta de presentación durante </w:t>
      </w:r>
      <w:r>
        <w:rPr>
          <w:rFonts w:ascii="Calibri" w:cs="Calibri" w:eastAsia="Calibri" w:hAnsi="Calibri"/>
          <w:b/>
          <w:bCs/>
          <w:sz w:val="21"/>
          <w:szCs w:val="21"/>
        </w:rPr>
        <w:t xml:space="preserve">dos ejercicios consecutivos</w:t>
      </w:r>
      <w:r>
        <w:rPr>
          <w:rFonts w:ascii="Calibri" w:cs="Calibri" w:eastAsia="Calibri" w:hAnsi="Calibri"/>
          <w:sz w:val="21"/>
          <w:szCs w:val="21"/>
        </w:rPr>
        <w:t xml:space="preserve"> e incumplimiento de hitos </w:t>
      </w:r>
      <w:r>
        <w:rPr>
          <w:rFonts w:ascii="Calibri" w:cs="Calibri" w:eastAsia="Calibri" w:hAnsi="Calibri"/>
          <w:b/>
          <w:bCs/>
          <w:sz w:val="21"/>
          <w:szCs w:val="21"/>
        </w:rPr>
        <w:t xml:space="preserve">expresamente aprobados y con fecha cierta en acta</w:t>
      </w:r>
      <w:r>
        <w:rPr>
          <w:rFonts w:ascii="Calibri" w:cs="Calibri" w:eastAsia="Calibri" w:hAnsi="Calibri"/>
          <w:sz w:val="21"/>
          <w:szCs w:val="21"/>
        </w:rPr>
        <w:t xml:space="preserve">— está en el bloque B.2 de ADM-6·v3 y se rige por ADM-10·v3.</w:t>
      </w: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sz w:val="21"/>
          <w:szCs w:val="21"/>
        </w:rPr>
        <w:t xml:space="preserve">El </w:t>
      </w:r>
      <w:r>
        <w:rPr>
          <w:rFonts w:ascii="Calibri" w:cs="Calibri" w:eastAsia="Calibri" w:hAnsi="Calibri"/>
          <w:b/>
          <w:bCs/>
          <w:sz w:val="21"/>
          <w:szCs w:val="21"/>
        </w:rPr>
        <w:t xml:space="preserve">bloque 2 no se incorpora nunca</w:t>
      </w:r>
      <w:r>
        <w:rPr>
          <w:rFonts w:ascii="Calibri" w:cs="Calibri" w:eastAsia="Calibri" w:hAnsi="Calibri"/>
          <w:sz w:val="21"/>
          <w:szCs w:val="21"/>
        </w:rPr>
        <w:t xml:space="preserve"> fuera de los contratos de servicios que impliquen desarrollo o mantenimiento de aplicaciones informáticas. No es una cláusula general. En un contrato de suministro, en un contrato de servicios de otra naturaleza o en un contrato mixto cuya prestación principal no sea ésa, carece de cobertura.</w:t>
      </w:r>
    </w:p>
    <w:p>
      <w:pPr>
        <w:pStyle w:val="ListParagraph"/>
        <w:numPr>
          <w:ilvl w:val="0"/>
          <w:numId w:val="1"/>
        </w:numPr>
        <w:spacing w:after="70" w:line="268"/>
      </w:pPr>
      <w:r>
        <w:rPr>
          <w:rFonts w:ascii="Calibri" w:cs="Calibri" w:eastAsia="Calibri" w:hAnsi="Calibri"/>
          <w:sz w:val="21"/>
          <w:szCs w:val="21"/>
        </w:rPr>
        <w:t xml:space="preserve">El bloque 2 tampoco se incorpora si el pliego no exige </w:t>
      </w:r>
      <w:r>
        <w:rPr>
          <w:rFonts w:ascii="Calibri" w:cs="Calibri" w:eastAsia="Calibri" w:hAnsi="Calibri"/>
          <w:b/>
          <w:bCs/>
          <w:sz w:val="21"/>
          <w:szCs w:val="21"/>
        </w:rPr>
        <w:t xml:space="preserve">Cuadro de Precios Unitarios</w:t>
      </w:r>
      <w:r>
        <w:rPr>
          <w:rFonts w:ascii="Calibri" w:cs="Calibri" w:eastAsia="Calibri" w:hAnsi="Calibri"/>
          <w:sz w:val="21"/>
          <w:szCs w:val="21"/>
        </w:rPr>
        <w:t xml:space="preserve"> con la oferta: sin precios unitarios ofertados no hay sistema de determinación del precio y la bolsa es indeterminada.</w:t>
      </w:r>
    </w:p>
    <w:p>
      <w:pPr>
        <w:pStyle w:val="ListParagraph"/>
        <w:numPr>
          <w:ilvl w:val="0"/>
          <w:numId w:val="1"/>
        </w:numPr>
        <w:spacing w:after="70" w:line="268"/>
      </w:pPr>
      <w:r>
        <w:rPr>
          <w:rFonts w:ascii="Calibri" w:cs="Calibri" w:eastAsia="Calibri" w:hAnsi="Calibri"/>
          <w:sz w:val="21"/>
          <w:szCs w:val="21"/>
        </w:rPr>
        <w:t xml:space="preserve">El bloque 1 no se incorpora si no se ha incorporado ADM-2·v3.</w:t>
      </w:r>
    </w:p>
    <w:p>
      <w:pPr>
        <w:pStyle w:val="ListParagraph"/>
        <w:numPr>
          <w:ilvl w:val="0"/>
          <w:numId w:val="1"/>
        </w:numPr>
        <w:spacing w:after="70" w:line="268"/>
      </w:pPr>
      <w:r>
        <w:rPr>
          <w:rFonts w:ascii="Calibri" w:cs="Calibri" w:eastAsia="Calibri" w:hAnsi="Calibri"/>
          <w:sz w:val="21"/>
          <w:szCs w:val="21"/>
        </w:rPr>
        <w:t xml:space="preserve">Contratos menores, basados en acuerdo marco, adhesiones a centrales de compra y prórrogas: no procede.</w:t>
      </w:r>
    </w:p>
    <w:p>
      <w:pPr>
        <w:pStyle w:val="Heading3"/>
        <w:keepNext/>
        <w:spacing w:after="140" w:before="320"/>
      </w:pPr>
      <w:r>
        <w:rPr>
          <w:rFonts w:ascii="Georgia" w:cs="Georgia" w:eastAsia="Georgia" w:hAnsi="Georgia"/>
          <w:b/>
          <w:bCs/>
          <w:color w:val="2F5496"/>
          <w:sz w:val="22"/>
          <w:szCs w:val="22"/>
        </w:rPr>
        <w:t xml:space="preserve">Nota al redactor · Las dos preguntas del interventor, respondidas</w:t>
      </w:r>
    </w:p>
    <w:p>
      <w:pPr>
        <w:spacing w:after="140" w:line="276"/>
      </w:pPr>
      <w:r>
        <w:rPr>
          <w:rFonts w:ascii="Calibri" w:cs="Calibri" w:eastAsia="Calibri" w:hAnsi="Calibri"/>
          <w:b/>
          <w:bCs/>
          <w:sz w:val="21"/>
          <w:szCs w:val="21"/>
        </w:rPr>
        <w:t xml:space="preserve">Primera: ¿qué pasa con las horas no consumidas?</w:t>
      </w:r>
      <w:r>
        <w:rPr>
          <w:rFonts w:ascii="Calibri" w:cs="Calibri" w:eastAsia="Calibri" w:hAnsi="Calibri"/>
          <w:sz w:val="21"/>
          <w:szCs w:val="21"/>
        </w:rPr>
        <w:t xml:space="preserve"> No se abonan. La bolsa no es un pago a tanto alzado con obligación de gastarlo, sino un </w:t>
      </w:r>
      <w:r>
        <w:rPr>
          <w:rFonts w:ascii="Calibri" w:cs="Calibri" w:eastAsia="Calibri" w:hAnsi="Calibri"/>
          <w:b/>
          <w:bCs/>
          <w:sz w:val="21"/>
          <w:szCs w:val="21"/>
        </w:rPr>
        <w:t xml:space="preserve">máximo de gasto autorizado</w:t>
      </w:r>
      <w:r>
        <w:rPr>
          <w:rFonts w:ascii="Calibri" w:cs="Calibri" w:eastAsia="Calibri" w:hAnsi="Calibri"/>
          <w:sz w:val="21"/>
          <w:szCs w:val="21"/>
        </w:rPr>
        <w:t xml:space="preserve"> que se ejecuta por unidades de actividad y se abona contra recepción. El apartado 3 del bloque 2 lo dice expresamente para que nadie lo interprete de otro modo, y el apartado 4 exige acta de recepción por petición: sin acta no hay abono. En el cierre de cada anualidad, el responsable del contrato propone la no disposición del remanente, que sigue el régimen presupuestario ordinario del crédito no ejecutado.</w:t>
      </w:r>
    </w:p>
    <w:p>
      <w:pPr>
        <w:spacing w:after="140" w:line="276"/>
      </w:pPr>
      <w:r>
        <w:rPr>
          <w:rFonts w:ascii="Calibri" w:cs="Calibri" w:eastAsia="Calibri" w:hAnsi="Calibri"/>
          <w:sz w:val="21"/>
          <w:szCs w:val="21"/>
        </w:rPr>
        <w:t xml:space="preserve">Y la otra mitad de la pregunta: </w:t>
      </w:r>
      <w:r>
        <w:rPr>
          <w:rFonts w:ascii="Calibri" w:cs="Calibri" w:eastAsia="Calibri" w:hAnsi="Calibri"/>
          <w:b/>
          <w:bCs/>
          <w:sz w:val="21"/>
          <w:szCs w:val="21"/>
        </w:rPr>
        <w:t xml:space="preserve">el precio no deja de ser cierto por eso</w:t>
      </w:r>
      <w:r>
        <w:rPr>
          <w:rFonts w:ascii="Calibri" w:cs="Calibri" w:eastAsia="Calibri" w:hAnsi="Calibri"/>
          <w:sz w:val="21"/>
          <w:szCs w:val="21"/>
        </w:rPr>
        <w:t xml:space="preserve">. Es cierto por unidades: el artículo 308.3 LCSP autoriza expresamente el precio «referido a cada componente de la prestación en términos de unidades de actividad, definidas en términos de categorías profesionales o coste». Lo que hay que garantizar es que la unidad esté definida y su precio ofertado, y de eso se ocupa el Cuadro de Precios Unitarios del Anexo X, apartado X.3. Lo incierto no es el precio: es el número de unidades que se consumirán, y ese número tiene un </w:t>
      </w:r>
      <w:r>
        <w:rPr>
          <w:rFonts w:ascii="Calibri" w:cs="Calibri" w:eastAsia="Calibri" w:hAnsi="Calibri"/>
          <w:b/>
          <w:bCs/>
          <w:sz w:val="21"/>
          <w:szCs w:val="21"/>
        </w:rPr>
        <w:t xml:space="preserve">máximo</w:t>
      </w:r>
      <w:r>
        <w:rPr>
          <w:rFonts w:ascii="Calibri" w:cs="Calibri" w:eastAsia="Calibri" w:hAnsi="Calibri"/>
          <w:sz w:val="21"/>
          <w:szCs w:val="21"/>
        </w:rPr>
        <w:t xml:space="preserve"> publicado en el cuadro de características.</w:t>
      </w:r>
    </w:p>
    <w:p>
      <w:pPr>
        <w:spacing w:after="140" w:line="276"/>
      </w:pPr>
      <w:r>
        <w:rPr>
          <w:rFonts w:ascii="Calibri" w:cs="Calibri" w:eastAsia="Calibri" w:hAnsi="Calibri"/>
          <w:b/>
          <w:bCs/>
          <w:sz w:val="21"/>
          <w:szCs w:val="21"/>
        </w:rPr>
        <w:t xml:space="preserve">Segunda: ¿cómo se determina el objeto si el contenido lo fija el gestor durante la ejecución?</w:t>
      </w:r>
      <w:r>
        <w:rPr>
          <w:rFonts w:ascii="Calibri" w:cs="Calibri" w:eastAsia="Calibri" w:hAnsi="Calibri"/>
          <w:sz w:val="21"/>
          <w:szCs w:val="21"/>
        </w:rPr>
        <w:t xml:space="preserve"> Por dos vías acumuladas. La primera es legal y explícita: el mismo artículo 308.3 permite «concretar dichas funcionalidades por la Administración atendiendo a consideraciones técnicas, económicas o necesidades del usuario durante el período de ejecución, </w:t>
      </w:r>
      <w:r>
        <w:rPr>
          <w:rFonts w:ascii="Calibri" w:cs="Calibri" w:eastAsia="Calibri" w:hAnsi="Calibri"/>
          <w:b/>
          <w:bCs/>
          <w:sz w:val="21"/>
          <w:szCs w:val="21"/>
        </w:rPr>
        <w:t xml:space="preserve">en los términos en que se prevean en el pliego</w:t>
      </w:r>
      <w:r>
        <w:rPr>
          <w:rFonts w:ascii="Calibri" w:cs="Calibri" w:eastAsia="Calibri" w:hAnsi="Calibri"/>
          <w:sz w:val="21"/>
          <w:szCs w:val="21"/>
        </w:rPr>
        <w:t xml:space="preserve">». La ley no sólo lo tolera: exige que el pliego diga cómo. La segunda es de redacción: el objeto está determinado por funcionalidades (artículo 99.1) mediante el </w:t>
      </w:r>
      <w:r>
        <w:rPr>
          <w:rFonts w:ascii="Calibri" w:cs="Calibri" w:eastAsia="Calibri" w:hAnsi="Calibri"/>
          <w:b/>
          <w:bCs/>
          <w:sz w:val="21"/>
          <w:szCs w:val="21"/>
        </w:rPr>
        <w:t xml:space="preserve">catálogo cerrado de seis clases de peticiones admisibles</w:t>
      </w:r>
      <w:r>
        <w:rPr>
          <w:rFonts w:ascii="Calibri" w:cs="Calibri" w:eastAsia="Calibri" w:hAnsi="Calibri"/>
          <w:sz w:val="21"/>
          <w:szCs w:val="21"/>
        </w:rPr>
        <w:t xml:space="preserve"> del apartado 2, con exclusión expresa de módulos nuevos y de prestaciones ajenas al objeto. Un licitador puede valorar económicamente esa bolsa: sabe qué clases de trabajo entran, cuántas horas como máximo y a qué precio, porque el precio lo pone él.</w:t>
      </w:r>
    </w:p>
    <w:p>
      <w:pPr>
        <w:spacing w:after="140" w:line="276"/>
      </w:pPr>
      <w:r>
        <w:rPr>
          <w:rFonts w:ascii="Calibri" w:cs="Calibri" w:eastAsia="Calibri" w:hAnsi="Calibri"/>
          <w:b/>
          <w:bCs/>
          <w:sz w:val="21"/>
          <w:szCs w:val="21"/>
        </w:rPr>
        <w:t xml:space="preserve">Tercera cuestión, que el interventor no preguntó pero preguntará el letrado del licitador: el valor estimado.</w:t>
      </w:r>
      <w:r>
        <w:rPr>
          <w:rFonts w:ascii="Calibri" w:cs="Calibri" w:eastAsia="Calibri" w:hAnsi="Calibri"/>
          <w:sz w:val="21"/>
          <w:szCs w:val="21"/>
        </w:rPr>
        <w:t xml:space="preserve"> La bolsa </w:t>
      </w:r>
      <w:r>
        <w:rPr>
          <w:rFonts w:ascii="Calibri" w:cs="Calibri" w:eastAsia="Calibri" w:hAnsi="Calibri"/>
          <w:b/>
          <w:bCs/>
          <w:sz w:val="21"/>
          <w:szCs w:val="21"/>
        </w:rPr>
        <w:t xml:space="preserve">sí computa</w:t>
      </w:r>
      <w:r>
        <w:rPr>
          <w:rFonts w:ascii="Calibri" w:cs="Calibri" w:eastAsia="Calibri" w:hAnsi="Calibri"/>
          <w:sz w:val="21"/>
          <w:szCs w:val="21"/>
        </w:rPr>
        <w:t xml:space="preserve"> en el valor estimado del contrato (artículo 101 LCSP), porque está en el presupuesto base de licitación. Escribir que «no infla el valor estimado» sería un error de cálculo del valor estimado, es decir, un vicio del expediente que además puede desplazar el umbral del recurso especial y el régimen de publicidad. El apartado 5 del bloque 2 lo dice y la lista de comprobación del expediente (apartado V.10) lo comprueba.</w:t>
      </w:r>
    </w:p>
    <w:p>
      <w:pPr>
        <w:spacing w:after="140" w:line="276"/>
      </w:pPr>
      <w:r>
        <w:rPr>
          <w:rFonts w:ascii="Calibri" w:cs="Calibri" w:eastAsia="Calibri" w:hAnsi="Calibri"/>
          <w:b/>
          <w:bCs/>
          <w:sz w:val="21"/>
          <w:szCs w:val="21"/>
        </w:rPr>
        <w:t xml:space="preserve">Cuarta, sobre la redacción prohibida.</w:t>
      </w:r>
      <w:r>
        <w:rPr>
          <w:rFonts w:ascii="Calibri" w:cs="Calibri" w:eastAsia="Calibri" w:hAnsi="Calibri"/>
          <w:sz w:val="21"/>
          <w:szCs w:val="21"/>
        </w:rPr>
        <w:t xml:space="preserve"> En ningún lugar del pliego puede escribirse «horas dirigidas por el Ayuntamiento», «personal a disposición del Ayuntamiento», «bolsa de horas gestionada por el servicio» ni fórmula equivalente. El artículo 308.2 LCSP es explícito y el riesgo no es la anulación del pliego: es una declaración de cesión ilegal de trabajadores. La fórmula correcta, y la única, es </w:t>
      </w:r>
      <w:r>
        <w:rPr>
          <w:rFonts w:ascii="Calibri" w:cs="Calibri" w:eastAsia="Calibri" w:hAnsi="Calibri"/>
          <w:b/>
          <w:bCs/>
          <w:sz w:val="21"/>
          <w:szCs w:val="21"/>
        </w:rPr>
        <w:t xml:space="preserve">petición de servicio del responsable del contrato con resultado y criterios de aceptación</w:t>
      </w:r>
      <w:r>
        <w:rPr>
          <w:rFonts w:ascii="Calibri" w:cs="Calibri" w:eastAsia="Calibri" w:hAnsi="Calibri"/>
          <w:sz w:val="21"/>
          <w:szCs w:val="21"/>
        </w:rPr>
        <w:t xml:space="preserve">, ejecutada por el contratista con su propia organización.</w:t>
      </w:r>
    </w:p>
    <w:p>
      <w:pPr>
        <w:spacing w:after="140" w:line="276"/>
      </w:pPr>
      <w:r>
        <w:rPr>
          <w:rFonts w:ascii="Calibri" w:cs="Calibri" w:eastAsia="Calibri" w:hAnsi="Calibri"/>
          <w:b/>
          <w:bCs/>
          <w:sz w:val="21"/>
          <w:szCs w:val="21"/>
        </w:rPr>
        <w:t xml:space="preserve">Advertencia final de esta cláusula.</w:t>
      </w:r>
      <w:r>
        <w:rPr>
          <w:rFonts w:ascii="Calibri" w:cs="Calibri" w:eastAsia="Calibri" w:hAnsi="Calibri"/>
          <w:sz w:val="21"/>
          <w:szCs w:val="21"/>
        </w:rPr>
        <w:t xml:space="preserve"> No consta doctrina de tribunales administrativos de recursos contractuales sobre bolsas de servicios evolutivos en contratos de mantenimiento de aplicaciones, a fecha de corte de 1 de septiembre de 2026. Lo que sí consta es el precepto que la ampara. Por eso el bloque 2 se marca como opcional y sujeto a informe jurídico previo: no por debilidad del anclaje, sino porque su encaje en el sistema de determinación del precio y en la ejecución presupuestaria de cada Ayuntamiento debe verificarse antes de publicar.</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III.4 · ADM-4·v3 — Seguimiento: responsable del contrato, Comisión de Seguimiento y verificación anual</w:t>
      </w:r>
    </w:p>
    <w:p>
      <w:pPr>
        <w:spacing w:after="140" w:line="276"/>
      </w:pPr>
      <w:r>
        <w:rPr>
          <w:rFonts w:ascii="Calibri" w:cs="Calibri" w:eastAsia="Calibri" w:hAnsi="Calibri"/>
          <w:i/>
          <w:iCs/>
          <w:sz w:val="21"/>
          <w:szCs w:val="21"/>
        </w:rPr>
        <w:t xml:space="preserve">(Reescribe ADM-4 de v2. Aquí es donde este catálogo responde al corolario más incómodo de la segunda dificultad del §M1.1: son pocos los contratos en los que se haga un seguimiento real, y el que se hace mira el gasto y no la eficacia ni la eficiencia.)</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Seguimiento de la ejecución.</w:t>
            </w:r>
          </w:p>
          <w:p>
            <w:pPr>
              <w:pStyle w:val="ListParagraph"/>
              <w:numPr>
                <w:ilvl w:val="0"/>
                <w:numId w:val="2"/>
              </w:numPr>
              <w:spacing w:after="60" w:line="264"/>
            </w:pPr>
            <w:r>
              <w:rPr>
                <w:rFonts w:ascii="Georgia" w:cs="Georgia" w:eastAsia="Georgia" w:hAnsi="Georgia"/>
                <w:b/>
                <w:bCs/>
                <w:sz w:val="20"/>
                <w:szCs w:val="20"/>
              </w:rPr>
              <w:t xml:space="preserve">Responsable del contrato.</w:t>
            </w:r>
            <w:r>
              <w:rPr>
                <w:rFonts w:ascii="Georgia" w:cs="Georgia" w:eastAsia="Georgia" w:hAnsi="Georgia"/>
                <w:sz w:val="20"/>
                <w:szCs w:val="20"/>
              </w:rPr>
              <w:t xml:space="preserve"> El órgano de contratación designa responsable del contrato a [órgano o puesto], al que corresponde supervisar la ejecución, adoptar las decisiones y dictar las instrucciones necesarias para asegurar la correcta realización de la prestación, y emitir los informes previstos en este pliego. La designación se notifica al contratista en la formalización.</w:t>
            </w:r>
          </w:p>
          <w:p>
            <w:pPr>
              <w:pStyle w:val="ListParagraph"/>
              <w:numPr>
                <w:ilvl w:val="0"/>
                <w:numId w:val="2"/>
              </w:numPr>
              <w:spacing w:after="60" w:line="264"/>
            </w:pPr>
            <w:r>
              <w:rPr>
                <w:rFonts w:ascii="Georgia" w:cs="Georgia" w:eastAsia="Georgia" w:hAnsi="Georgia"/>
                <w:b/>
                <w:bCs/>
                <w:sz w:val="20"/>
                <w:szCs w:val="20"/>
              </w:rPr>
              <w:t xml:space="preserve">Comisión de Seguimiento.</w:t>
            </w:r>
            <w:r>
              <w:rPr>
                <w:rFonts w:ascii="Georgia" w:cs="Georgia" w:eastAsia="Georgia" w:hAnsi="Georgia"/>
                <w:sz w:val="20"/>
                <w:szCs w:val="20"/>
              </w:rPr>
              <w:t xml:space="preserve"> Se constituye una Comisión de Seguimiento integrada por el responsable del contrato, que la preside, un técnico del servicio de informática municipal, un representante de la unidad gestora y, cuando el contrato incorpore la condición especial de acceso de los órganos de control, un representante del órgano interventor. Por parte del contratista asistirá el jefe de proyecto y las personas que éste designe.</w:t>
            </w:r>
          </w:p>
          <w:p>
            <w:pPr>
              <w:spacing w:after="100" w:line="264"/>
            </w:pPr>
            <w:r>
              <w:rPr>
                <w:rFonts w:ascii="Georgia" w:cs="Georgia" w:eastAsia="Georgia" w:hAnsi="Georgia"/>
                <w:sz w:val="20"/>
                <w:szCs w:val="20"/>
              </w:rPr>
              <w:t xml:space="preserve">a) Se reunirá </w:t>
            </w:r>
            <w:r>
              <w:rPr>
                <w:rFonts w:ascii="Georgia" w:cs="Georgia" w:eastAsia="Georgia" w:hAnsi="Georgia"/>
                <w:b/>
                <w:bCs/>
                <w:sz w:val="20"/>
                <w:szCs w:val="20"/>
              </w:rPr>
              <w:t xml:space="preserve">[X; se recomienda 2] veces al año</w:t>
            </w:r>
            <w:r>
              <w:rPr>
                <w:rFonts w:ascii="Georgia" w:cs="Georgia" w:eastAsia="Georgia" w:hAnsi="Georgia"/>
                <w:sz w:val="20"/>
                <w:szCs w:val="20"/>
              </w:rPr>
              <w:t xml:space="preserve"> y, además, a petición de cualquiera de las partes cuando concurra un hecho relevante para la ejecución.</w:t>
            </w:r>
          </w:p>
          <w:p>
            <w:pPr>
              <w:spacing w:after="100" w:line="264"/>
            </w:pPr>
            <w:r>
              <w:rPr>
                <w:rFonts w:ascii="Georgia" w:cs="Georgia" w:eastAsia="Georgia" w:hAnsi="Georgia"/>
                <w:sz w:val="20"/>
                <w:szCs w:val="20"/>
              </w:rPr>
              <w:t xml:space="preserve">b) De cada sesión se levantará </w:t>
            </w:r>
            <w:r>
              <w:rPr>
                <w:rFonts w:ascii="Georgia" w:cs="Georgia" w:eastAsia="Georgia" w:hAnsi="Georgia"/>
                <w:b/>
                <w:bCs/>
                <w:sz w:val="20"/>
                <w:szCs w:val="20"/>
              </w:rPr>
              <w:t xml:space="preserve">acta</w:t>
            </w:r>
            <w:r>
              <w:rPr>
                <w:rFonts w:ascii="Georgia" w:cs="Georgia" w:eastAsia="Georgia" w:hAnsi="Georgia"/>
                <w:sz w:val="20"/>
                <w:szCs w:val="20"/>
              </w:rPr>
              <w:t xml:space="preserve">, suscrita por ambas partes, que se incorporará al expediente de ejecución del contrato.</w:t>
            </w:r>
          </w:p>
          <w:p>
            <w:pPr>
              <w:spacing w:after="100" w:line="264"/>
            </w:pPr>
            <w:r>
              <w:rPr>
                <w:rFonts w:ascii="Georgia" w:cs="Georgia" w:eastAsia="Georgia" w:hAnsi="Georgia"/>
                <w:sz w:val="20"/>
                <w:szCs w:val="20"/>
              </w:rPr>
              <w:t xml:space="preserve">c) Las actas de la Comisión constituyen uno de los medios tasados de acreditación del cumplimiento previstos en la cláusula de evolución tecnológica determinada de este pliego.</w:t>
            </w:r>
          </w:p>
          <w:p>
            <w:pPr>
              <w:spacing w:after="100" w:line="264"/>
            </w:pPr>
            <w:r>
              <w:rPr>
                <w:rFonts w:ascii="Georgia" w:cs="Georgia" w:eastAsia="Georgia" w:hAnsi="Georgia"/>
                <w:sz w:val="20"/>
                <w:szCs w:val="20"/>
              </w:rPr>
              <w:t xml:space="preserve">d) La inasistencia no justificada del contratista a una sesión convocada con [X; se recomienda 10] días de antelación tendrá la consideración de incumplimiento leve.</w:t>
            </w:r>
          </w:p>
          <w:p>
            <w:pPr>
              <w:pStyle w:val="ListParagraph"/>
              <w:numPr>
                <w:ilvl w:val="0"/>
                <w:numId w:val="2"/>
              </w:numPr>
              <w:spacing w:after="60" w:line="264"/>
            </w:pPr>
            <w:r>
              <w:rPr>
                <w:rFonts w:ascii="Georgia" w:cs="Georgia" w:eastAsia="Georgia" w:hAnsi="Georgia"/>
                <w:b/>
                <w:bCs/>
                <w:sz w:val="20"/>
                <w:szCs w:val="20"/>
              </w:rPr>
              <w:t xml:space="preserve">Verificación anual.</w:t>
            </w:r>
            <w:r>
              <w:rPr>
                <w:rFonts w:ascii="Georgia" w:cs="Georgia" w:eastAsia="Georgia" w:hAnsi="Georgia"/>
                <w:sz w:val="20"/>
                <w:szCs w:val="20"/>
              </w:rPr>
              <w:t xml:space="preserve"> Dentro de los [X; se recomienda 60] días naturales siguientes al cumplimiento de cada anualidad, el responsable del contrato emitirá un </w:t>
            </w:r>
            <w:r>
              <w:rPr>
                <w:rFonts w:ascii="Georgia" w:cs="Georgia" w:eastAsia="Georgia" w:hAnsi="Georgia"/>
                <w:b/>
                <w:bCs/>
                <w:sz w:val="20"/>
                <w:szCs w:val="20"/>
              </w:rPr>
              <w:t xml:space="preserve">informe anual de ejecución</w:t>
            </w:r>
            <w:r>
              <w:rPr>
                <w:rFonts w:ascii="Georgia" w:cs="Georgia" w:eastAsia="Georgia" w:hAnsi="Georgia"/>
                <w:sz w:val="20"/>
                <w:szCs w:val="20"/>
              </w:rPr>
              <w:t xml:space="preserve"> que se pronunciará expresamente sobre:</w:t>
            </w:r>
          </w:p>
          <w:p>
            <w:pPr>
              <w:spacing w:after="100" w:line="264"/>
            </w:pPr>
            <w:r>
              <w:rPr>
                <w:rFonts w:ascii="Georgia" w:cs="Georgia" w:eastAsia="Georgia" w:hAnsi="Georgia"/>
                <w:sz w:val="20"/>
                <w:szCs w:val="20"/>
              </w:rPr>
              <w:t xml:space="preserve">a) El estado de cumplimiento de cada exigencia del Anexo de Exigencias Tecnológicas Determinadas.</w:t>
            </w:r>
          </w:p>
          <w:p>
            <w:pPr>
              <w:spacing w:after="100" w:line="264"/>
            </w:pPr>
            <w:r>
              <w:rPr>
                <w:rFonts w:ascii="Georgia" w:cs="Georgia" w:eastAsia="Georgia" w:hAnsi="Georgia"/>
                <w:sz w:val="20"/>
                <w:szCs w:val="20"/>
              </w:rPr>
              <w:t xml:space="preserve">b) El cumplimiento de las condiciones especiales de ejecución incorporadas a este pliego, una por una.</w:t>
            </w:r>
          </w:p>
          <w:p>
            <w:pPr>
              <w:spacing w:after="100" w:line="264"/>
            </w:pPr>
            <w:r>
              <w:rPr>
                <w:rFonts w:ascii="Georgia" w:cs="Georgia" w:eastAsia="Georgia" w:hAnsi="Georgia"/>
                <w:sz w:val="20"/>
                <w:szCs w:val="20"/>
              </w:rPr>
              <w:t xml:space="preserve">c) La vigencia de las certificaciones o sistemas de gestión exigidos.</w:t>
            </w:r>
          </w:p>
          <w:p>
            <w:pPr>
              <w:spacing w:after="100" w:line="264"/>
            </w:pPr>
            <w:r>
              <w:rPr>
                <w:rFonts w:ascii="Georgia" w:cs="Georgia" w:eastAsia="Georgia" w:hAnsi="Georgia"/>
                <w:sz w:val="20"/>
                <w:szCs w:val="20"/>
              </w:rPr>
              <w:t xml:space="preserve">d) Los indicadores de servicio del Pliego de Prescripciones Técnicas.</w:t>
            </w:r>
          </w:p>
          <w:p>
            <w:pPr>
              <w:spacing w:after="100" w:line="264"/>
            </w:pPr>
            <w:r>
              <w:rPr>
                <w:rFonts w:ascii="Georgia" w:cs="Georgia" w:eastAsia="Georgia" w:hAnsi="Georgia"/>
                <w:sz w:val="20"/>
                <w:szCs w:val="20"/>
              </w:rPr>
              <w:t xml:space="preserve">e) El consumo de la bolsa de servicios evolutivos, si se hubiera previsto.</w:t>
            </w:r>
          </w:p>
          <w:p>
            <w:pPr>
              <w:spacing w:after="100" w:line="264"/>
            </w:pPr>
            <w:r>
              <w:rPr>
                <w:rFonts w:ascii="Georgia" w:cs="Georgia" w:eastAsia="Georgia" w:hAnsi="Georgia"/>
                <w:sz w:val="20"/>
                <w:szCs w:val="20"/>
              </w:rPr>
              <w:t xml:space="preserve">f) Las incidencias registradas y su tratamiento.</w:t>
            </w:r>
          </w:p>
          <w:p>
            <w:pPr>
              <w:spacing w:after="100" w:line="264"/>
            </w:pPr>
            <w:r>
              <w:rPr>
                <w:rFonts w:ascii="Georgia" w:cs="Georgia" w:eastAsia="Georgia" w:hAnsi="Georgia"/>
                <w:sz w:val="20"/>
                <w:szCs w:val="20"/>
              </w:rPr>
              <w:t xml:space="preserve">g) La propuesta motivada, en su caso, de imposición de penalidades o de incoación del procedimiento de resolución. El informe se notifica al contratista, que dispondrá de [X; se recomienda 10] días hábiles para formular alegaciones antes de que el órgano de contratación adopte acuerdo.</w:t>
            </w:r>
          </w:p>
          <w:p>
            <w:pPr>
              <w:pStyle w:val="ListParagraph"/>
              <w:numPr>
                <w:ilvl w:val="0"/>
                <w:numId w:val="2"/>
              </w:numPr>
              <w:spacing w:after="60" w:line="264"/>
            </w:pPr>
            <w:r>
              <w:rPr>
                <w:rFonts w:ascii="Georgia" w:cs="Georgia" w:eastAsia="Georgia" w:hAnsi="Georgia"/>
                <w:b/>
                <w:bCs/>
                <w:sz w:val="20"/>
                <w:szCs w:val="20"/>
              </w:rPr>
              <w:t xml:space="preserve">Comprobación material.</w:t>
            </w:r>
            <w:r>
              <w:rPr>
                <w:rFonts w:ascii="Georgia" w:cs="Georgia" w:eastAsia="Georgia" w:hAnsi="Georgia"/>
                <w:sz w:val="20"/>
                <w:szCs w:val="20"/>
              </w:rPr>
              <w:t xml:space="preserve"> Cuando proceda la comprobación material de la inversión conforme a la normativa de control interno, el responsable del contrato lo hará constar y se estará a lo dispuesto en dicha normativa. Los actos de recepción previstos en este pliego se documentan de modo que resulten utilizables a esos efectos.</w:t>
            </w:r>
          </w:p>
          <w:p>
            <w:pPr>
              <w:pStyle w:val="ListParagraph"/>
              <w:numPr>
                <w:ilvl w:val="0"/>
                <w:numId w:val="2"/>
              </w:numPr>
              <w:spacing w:after="60" w:line="264"/>
            </w:pPr>
            <w:r>
              <w:rPr>
                <w:rFonts w:ascii="Georgia" w:cs="Georgia" w:eastAsia="Georgia" w:hAnsi="Georgia"/>
                <w:b/>
                <w:bCs/>
                <w:sz w:val="20"/>
                <w:szCs w:val="20"/>
              </w:rPr>
              <w:t xml:space="preserve">Obligación de colaboración del contratista.</w:t>
            </w:r>
            <w:r>
              <w:rPr>
                <w:rFonts w:ascii="Georgia" w:cs="Georgia" w:eastAsia="Georgia" w:hAnsi="Georgia"/>
                <w:sz w:val="20"/>
                <w:szCs w:val="20"/>
              </w:rPr>
              <w:t xml:space="preserve"> El contratista facilitará, en el plazo de [X; se recomienda 10] días hábiles desde su requerimiento, la documentación y los accesos necesarios para las comprobaciones previstas en este pliego, sin coste adicional.</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PCAP, cláusula de ejecución del contrato y de responsable del contrato. La designación concreta del responsable, en el cuadro de características.</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pStyle w:val="ListParagraph"/>
        <w:numPr>
          <w:ilvl w:val="0"/>
          <w:numId w:val="1"/>
        </w:numPr>
        <w:spacing w:after="70" w:line="268"/>
      </w:pPr>
      <w:r>
        <w:rPr>
          <w:rFonts w:ascii="Calibri" w:cs="Calibri" w:eastAsia="Calibri" w:hAnsi="Calibri"/>
          <w:b/>
          <w:bCs/>
          <w:sz w:val="21"/>
          <w:szCs w:val="21"/>
        </w:rPr>
        <w:t xml:space="preserve">Artículo 62 LCSP</w:t>
      </w:r>
      <w:r>
        <w:rPr>
          <w:rFonts w:ascii="Calibri" w:cs="Calibri" w:eastAsia="Calibri" w:hAnsi="Calibri"/>
          <w:sz w:val="21"/>
          <w:szCs w:val="21"/>
        </w:rPr>
        <w:t xml:space="preserve">: designación de un responsable del contrato al que corresponde supervisar la ejecución. Sin responsable designado, ninguna de las cláusulas de esta Parte tiene quién las verifique, y una obligación sin verificador es una obligación que no existe.</w:t>
      </w:r>
    </w:p>
    <w:p>
      <w:pPr>
        <w:pStyle w:val="ListParagraph"/>
        <w:numPr>
          <w:ilvl w:val="0"/>
          <w:numId w:val="1"/>
        </w:numPr>
        <w:spacing w:after="70" w:line="268"/>
      </w:pPr>
      <w:r>
        <w:rPr>
          <w:rFonts w:ascii="Calibri" w:cs="Calibri" w:eastAsia="Calibri" w:hAnsi="Calibri"/>
          <w:b/>
          <w:bCs/>
          <w:sz w:val="21"/>
          <w:szCs w:val="21"/>
        </w:rPr>
        <w:t xml:space="preserve">Artículo 202.3 LCSP</w:t>
      </w:r>
      <w:r>
        <w:rPr>
          <w:rFonts w:ascii="Calibri" w:cs="Calibri" w:eastAsia="Calibri" w:hAnsi="Calibri"/>
          <w:sz w:val="21"/>
          <w:szCs w:val="21"/>
        </w:rPr>
        <w:t xml:space="preserve">: la elección entre penalidad y esencialidad presupone que alguien constata el incumplimiento. El informe anual del apartado 3 es ese acto de constatación.</w:t>
      </w:r>
    </w:p>
    <w:p>
      <w:pPr>
        <w:pStyle w:val="ListParagraph"/>
        <w:numPr>
          <w:ilvl w:val="0"/>
          <w:numId w:val="1"/>
        </w:numPr>
        <w:spacing w:after="70" w:line="268"/>
      </w:pPr>
      <w:r>
        <w:rPr>
          <w:rFonts w:ascii="Calibri" w:cs="Calibri" w:eastAsia="Calibri" w:hAnsi="Calibri"/>
          <w:b/>
          <w:bCs/>
          <w:sz w:val="21"/>
          <w:szCs w:val="21"/>
        </w:rPr>
        <w:t xml:space="preserve">Normativa de control interno de las entidades locales</w:t>
      </w:r>
      <w:r>
        <w:rPr>
          <w:rFonts w:ascii="Calibri" w:cs="Calibri" w:eastAsia="Calibri" w:hAnsi="Calibri"/>
          <w:sz w:val="21"/>
          <w:szCs w:val="21"/>
        </w:rPr>
        <w:t xml:space="preserve"> (Real Decreto 424/2017 y texto refundido de la Ley reguladora de las Haciendas Locales, art. 214): el control de eficacia y eficiencia recae sobre el Ayuntamiento, y sólo puede ejercerse sobre documentos que existan. La utilidad de esta cláusula para la Intervención es que </w:t>
      </w:r>
      <w:r>
        <w:rPr>
          <w:rFonts w:ascii="Calibri" w:cs="Calibri" w:eastAsia="Calibri" w:hAnsi="Calibri"/>
          <w:b/>
          <w:bCs/>
          <w:sz w:val="21"/>
          <w:szCs w:val="21"/>
        </w:rPr>
        <w:t xml:space="preserve">genera esos documentos</w:t>
      </w:r>
      <w:r>
        <w:rPr>
          <w:rFonts w:ascii="Calibri" w:cs="Calibri" w:eastAsia="Calibri" w:hAnsi="Calibri"/>
          <w:sz w:val="21"/>
          <w:szCs w:val="21"/>
        </w:rPr>
        <w:t xml:space="preserve">.</w:t>
      </w:r>
    </w:p>
    <w:p>
      <w:pPr>
        <w:pStyle w:val="Heading3"/>
        <w:keepNext/>
        <w:spacing w:after="140" w:before="320"/>
      </w:pPr>
      <w:r>
        <w:rPr>
          <w:rFonts w:ascii="Georgia" w:cs="Georgia" w:eastAsia="Georgia" w:hAnsi="Georgia"/>
          <w:b/>
          <w:bCs/>
          <w:color w:val="2F5496"/>
          <w:sz w:val="22"/>
          <w:szCs w:val="22"/>
        </w:rPr>
        <w:t xml:space="preserve">4. Cómo se acredita</w:t>
      </w:r>
    </w:p>
    <w:p>
      <w:pPr>
        <w:spacing w:after="140" w:line="276"/>
      </w:pPr>
      <w:r>
        <w:rPr>
          <w:rFonts w:ascii="Calibri" w:cs="Calibri" w:eastAsia="Calibri" w:hAnsi="Calibri"/>
          <w:sz w:val="21"/>
          <w:szCs w:val="21"/>
        </w:rPr>
        <w:t xml:space="preserve">Las actas de la Comisión, el informe anual de ejecución y los requerimientos con su respuesta. Todo ello se incorpora al expediente de ejecución del contrato. Sin acta, el hecho no consta; y en un procedimiento contradictorio de penalidad o de resolución, lo que no consta no ocurrió.</w:t>
      </w:r>
    </w:p>
    <w:p>
      <w:pPr>
        <w:pStyle w:val="Heading3"/>
        <w:keepNext/>
        <w:spacing w:after="140" w:before="320"/>
      </w:pPr>
      <w:r>
        <w:rPr>
          <w:rFonts w:ascii="Georgia" w:cs="Georgia" w:eastAsia="Georgia" w:hAnsi="Georgia"/>
          <w:b/>
          <w:bCs/>
          <w:color w:val="2F5496"/>
          <w:sz w:val="22"/>
          <w:szCs w:val="22"/>
        </w:rPr>
        <w:t xml:space="preserve">5. Cómo se verifica — y cuánto cuesta</w:t>
      </w:r>
    </w:p>
    <w:p>
      <w:pPr>
        <w:spacing w:after="140" w:line="276"/>
      </w:pPr>
      <w:r>
        <w:rPr>
          <w:rFonts w:ascii="Calibri" w:cs="Calibri" w:eastAsia="Calibri" w:hAnsi="Calibri"/>
          <w:sz w:val="21"/>
          <w:szCs w:val="21"/>
        </w:rPr>
        <w:t xml:space="preserve">Ésta es la parte que el catálogo v2 no tenía y sin la cual las demás cláusulas son papel. Se presenta la carga completa, por actor y por documento.</w:t>
      </w:r>
    </w:p>
    <w:p>
      <w:pPr>
        <w:spacing w:after="140" w:line="276"/>
      </w:pPr>
      <w:r>
        <w:rPr>
          <w:rFonts w:ascii="Calibri" w:cs="Calibri" w:eastAsia="Calibri" w:hAnsi="Calibri"/>
          <w:b/>
          <w:bCs/>
          <w:sz w:val="21"/>
          <w:szCs w:val="21"/>
        </w:rPr>
        <w:t xml:space="preserve">Ésta es la tabla única de carga de todo el catálogo.</w:t>
      </w:r>
      <w:r>
        <w:rPr>
          <w:rFonts w:ascii="Calibri" w:cs="Calibri" w:eastAsia="Calibri" w:hAnsi="Calibri"/>
          <w:sz w:val="21"/>
          <w:szCs w:val="21"/>
        </w:rPr>
        <w:t xml:space="preserve"> Los apartados II.12 (Parte II), §M6.3 (Parte IV) y VI.4.8 (Parte VI) son extractos de ella y no estiman por su cuenta: en caso de discrepancia, prevalece esta tabla. Se construye por suma de los epígrafes 5 de cada cláusula, separando la carga de licitación de la de ejecución y la imputable a las cláusulas técnicas de la imputable a las administrativas, para que ninguna partida se cuente dos veces. Todas las cifras son estimaciones propias de este catálogo, no mediciones, y cada Ayuntamiento debe ajustarlas y consignarlas en la Ficha del Anexo II.</w:t>
      </w:r>
    </w:p>
    <w:p>
      <w:pPr>
        <w:spacing w:after="140" w:line="276"/>
      </w:pPr>
      <w:r>
        <w:rPr>
          <w:rFonts w:ascii="Calibri" w:cs="Calibri" w:eastAsia="Calibri" w:hAnsi="Calibri"/>
          <w:b/>
          <w:bCs/>
          <w:sz w:val="21"/>
          <w:szCs w:val="21"/>
        </w:rPr>
        <w:t xml:space="preserve">A · Carga de licitación (por licitación, no anual)</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Verificación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Actor municipal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 que la prueba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Horas por licitación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Apreciación de equivalencias invocadas por los licitadores (DT-0·v3)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técnico proponente del 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técnico de apreciación de la equivalencia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6–18</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Ficha por criterio y hoja de comprobación del baremo (ADM-7·v3)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proponente + informe jurídico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IV cumplimentado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3–6</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Demostración funcional y comprobación documental de criterios evaluables mediante fórmulas, cuando proceda (ADM-9·v3)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Mesa de contratación + servicio de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Guion, acta por licitador y hoja de comprobación documental de todas las ofertas admitidas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24–29</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Subtotal de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33–53 h</w:t>
            </w:r>
          </w:p>
        </w:tc>
      </w:tr>
    </w:tbl>
    <w:p>
      <w:pPr>
        <w:spacing w:after="200"/>
      </w:pPr>
    </w:p>
    <w:p>
      <w:pPr>
        <w:spacing w:after="140" w:line="276"/>
      </w:pPr>
      <w:r>
        <w:rPr>
          <w:rFonts w:ascii="Calibri" w:cs="Calibri" w:eastAsia="Calibri" w:hAnsi="Calibri"/>
          <w:b/>
          <w:bCs/>
          <w:sz w:val="21"/>
          <w:szCs w:val="21"/>
        </w:rPr>
        <w:t xml:space="preserve">B · Carga de ejecución imputable a las cláusulas técnicas (Parte II)</w:t>
      </w:r>
    </w:p>
    <w:p>
      <w:pPr>
        <w:spacing w:after="140" w:line="276"/>
      </w:pPr>
      <w:r>
        <w:rPr>
          <w:rFonts w:ascii="Calibri" w:cs="Calibri" w:eastAsia="Calibri" w:hAnsi="Calibri"/>
          <w:sz w:val="21"/>
          <w:szCs w:val="21"/>
        </w:rPr>
        <w:t xml:space="preserve">Se excluyen DT-2·v3 y DT-3·v3, que están marcadas NO APLICA por defecto; si se incorporan, añádanse 12 y 4 horas el primer año y 4 y 4 en los siguientes.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Verificación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Actor municipal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 que la prueba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h/año ordinario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 año 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Aceptación de funcionalidades de IA y revisión anual del inventario (DT-1·v3)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informática + delegado de protección de datos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aceptación por funcionalidad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12–20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16–28</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Aceptación de automatizaciones e indicadores trimestrales (DT-4·v3)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Gestor del proceso + 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aceptación; informe trimestral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26</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Pruebas de integración y de exportación autónoma (DT-5·v3)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Informática, con el órgano interventor en la exportación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integración; acta de exportación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Revisión de seguridad, vulnerabilidades y prueba de continuidad (DT-6·v3)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 seguridad de la información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anual de seguimiento de seguridad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10–14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Aceptación y verificación anual de la interfaz normalizada (DT-7·v3)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Informática + 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prueba de aceptación de la interfaz</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12–16</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Revisión del Plan y del Inventario de Componentes, y ensayo de reversibilidad (DT-8·v3)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ensayo de reversibilidad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12–20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Prueba de aceptación de cada exigencia del Anexo V y comprobación anual de las capacidades aceptadas (DT-9·v3)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Informática, con el órgano interventor cuando afecte a información económico-financiera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aceptación por exigencia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28–40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Subtotal de las cláusulas técnicas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58–82 h/año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116–156 h</w:t>
            </w:r>
          </w:p>
        </w:tc>
      </w:tr>
    </w:tbl>
    <w:p>
      <w:pPr>
        <w:spacing w:after="200"/>
      </w:pPr>
    </w:p>
    <w:p>
      <w:pPr>
        <w:spacing w:after="140" w:line="276"/>
      </w:pPr>
      <w:r>
        <w:rPr>
          <w:rFonts w:ascii="Calibri" w:cs="Calibri" w:eastAsia="Calibri" w:hAnsi="Calibri"/>
          <w:b/>
          <w:bCs/>
          <w:sz w:val="21"/>
          <w:szCs w:val="21"/>
        </w:rPr>
        <w:t xml:space="preserve">C · Carga de ejecución imputable a las cláusulas administrativas (Parte III)</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Verificación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Actor municipal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Periodicidad</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 que la prueba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h/acto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h/año ordinario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 año 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Sesión de la Comisión de Seguimiento (preparación, sesión y acta) (ADM-4·v3.2)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técnico de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anual de ejecución (ADM-4·v3.3)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Comprobación del sistema de gestión de IA (ADM-1·v3)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Nota de comprobación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Seguimiento de versiones sucesoras y fines de soporte (ADM-2·v3.6)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Continuo, balance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Registro + acta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Revisión del Plan Anual y aprobación de hitos (ADM-10·v3)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 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 acuerdo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Tramitación y recepción de peticiones de la bolsa (ADM-3·v3)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petición ([X; se recomienda 20]/año)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Petición + acta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Cierre anual de la bolsa (ADM-3·v3)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 unidad gestora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Cuadro acumulado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Comprobación del depósito de código (ADM-11·v3), cuando la cláusula se haya incorporado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Certificado del depositario + acta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Comprobación del acceso de los órganos de control (ADM-12·v3)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interventor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Diligencia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Autorización de altas y comprobación de la declaración de sistemas de IA (ADM-13·v3)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1/año y por alta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Autorización escrita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Subtotal de las cláusulas administrativas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62,5 h/año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64,5 h</w:t>
            </w:r>
          </w:p>
        </w:tc>
      </w:tr>
    </w:tbl>
    <w:p>
      <w:pPr>
        <w:spacing w:after="200"/>
      </w:pPr>
    </w:p>
    <w:p>
      <w:pPr>
        <w:spacing w:after="140" w:line="276"/>
      </w:pPr>
      <w:r>
        <w:rPr>
          <w:rFonts w:ascii="Calibri" w:cs="Calibri" w:eastAsia="Calibri" w:hAnsi="Calibri"/>
          <w:b/>
          <w:bCs/>
          <w:sz w:val="21"/>
          <w:szCs w:val="21"/>
        </w:rPr>
        <w:t xml:space="preserve">Totales de ejecución (B + C): entre 120,5 y 144,5 horas al año en régimen ordinario, y entre 180,5 y 220,5 horas el primer año.</w:t>
      </w:r>
    </w:p>
    <w:p>
      <w:pPr>
        <w:spacing w:after="140" w:line="276"/>
      </w:pPr>
      <w:r>
        <w:rPr>
          <w:rFonts w:ascii="Calibri" w:cs="Calibri" w:eastAsia="Calibri" w:hAnsi="Calibri"/>
          <w:sz w:val="21"/>
          <w:szCs w:val="21"/>
        </w:rPr>
        <w:t xml:space="preserve">A lo anterior se añaden entre </w:t>
      </w:r>
      <w:r>
        <w:rPr>
          <w:rFonts w:ascii="Calibri" w:cs="Calibri" w:eastAsia="Calibri" w:hAnsi="Calibri"/>
          <w:b/>
          <w:bCs/>
          <w:sz w:val="21"/>
          <w:szCs w:val="21"/>
        </w:rPr>
        <w:t xml:space="preserve">20 y 40 horas</w:t>
      </w:r>
      <w:r>
        <w:rPr>
          <w:rFonts w:ascii="Calibri" w:cs="Calibri" w:eastAsia="Calibri" w:hAnsi="Calibri"/>
          <w:sz w:val="21"/>
          <w:szCs w:val="21"/>
        </w:rPr>
        <w:t xml:space="preserve"> en el último año, por la reversión efectiva. Los expedientes de penalidad consumen unas </w:t>
      </w:r>
      <w:r>
        <w:rPr>
          <w:rFonts w:ascii="Calibri" w:cs="Calibri" w:eastAsia="Calibri" w:hAnsi="Calibri"/>
          <w:b/>
          <w:bCs/>
          <w:sz w:val="21"/>
          <w:szCs w:val="21"/>
        </w:rPr>
        <w:t xml:space="preserve">6 horas</w:t>
      </w:r>
      <w:r>
        <w:rPr>
          <w:rFonts w:ascii="Calibri" w:cs="Calibri" w:eastAsia="Calibri" w:hAnsi="Calibri"/>
          <w:sz w:val="21"/>
          <w:szCs w:val="21"/>
        </w:rPr>
        <w:t xml:space="preserve"> cada uno y los de resolución, entre </w:t>
      </w:r>
      <w:r>
        <w:rPr>
          <w:rFonts w:ascii="Calibri" w:cs="Calibri" w:eastAsia="Calibri" w:hAnsi="Calibri"/>
          <w:b/>
          <w:bCs/>
          <w:sz w:val="21"/>
          <w:szCs w:val="21"/>
        </w:rPr>
        <w:t xml:space="preserve">25 y 40</w:t>
      </w:r>
      <w:r>
        <w:rPr>
          <w:rFonts w:ascii="Calibri" w:cs="Calibri" w:eastAsia="Calibri" w:hAnsi="Calibri"/>
          <w:sz w:val="21"/>
          <w:szCs w:val="21"/>
        </w:rPr>
        <w:t xml:space="preserve">, mayoritariamente del órgano al que corresponda el informe jurídico preceptivo y del órgano interventor. Ninguna de esas tres partidas es recurrente y por eso no se suma a los totales.</w:t>
      </w:r>
    </w:p>
    <w:p>
      <w:pPr>
        <w:spacing w:after="140" w:line="276"/>
      </w:pPr>
      <w:r>
        <w:rPr>
          <w:rFonts w:ascii="Calibri" w:cs="Calibri" w:eastAsia="Calibri" w:hAnsi="Calibri"/>
          <w:b/>
          <w:bCs/>
          <w:sz w:val="21"/>
          <w:szCs w:val="21"/>
        </w:rPr>
        <w:t xml:space="preserve">Qué significan estos números.</w:t>
      </w:r>
      <w:r>
        <w:rPr>
          <w:rFonts w:ascii="Calibri" w:cs="Calibri" w:eastAsia="Calibri" w:hAnsi="Calibri"/>
          <w:sz w:val="21"/>
          <w:szCs w:val="21"/>
        </w:rPr>
        <w:t xml:space="preserve"> Con el catálogo aplicado en su versión completa —lo que en la práctica no debe hacerse nunca, y por eso existe la versión mínima—, un contrato consume entre </w:t>
      </w:r>
      <w:r>
        <w:rPr>
          <w:rFonts w:ascii="Calibri" w:cs="Calibri" w:eastAsia="Calibri" w:hAnsi="Calibri"/>
          <w:b/>
          <w:bCs/>
          <w:sz w:val="21"/>
          <w:szCs w:val="21"/>
        </w:rPr>
        <w:t xml:space="preserve">120 y 145 horas al año</w:t>
      </w:r>
      <w:r>
        <w:rPr>
          <w:rFonts w:ascii="Calibri" w:cs="Calibri" w:eastAsia="Calibri" w:hAnsi="Calibri"/>
          <w:sz w:val="21"/>
          <w:szCs w:val="21"/>
        </w:rPr>
        <w:t xml:space="preserve"> de personal municipal, y entre </w:t>
      </w:r>
      <w:r>
        <w:rPr>
          <w:rFonts w:ascii="Calibri" w:cs="Calibri" w:eastAsia="Calibri" w:hAnsi="Calibri"/>
          <w:b/>
          <w:bCs/>
          <w:sz w:val="21"/>
          <w:szCs w:val="21"/>
        </w:rPr>
        <w:t xml:space="preserve">180 y 220 el primer año</w:t>
      </w:r>
      <w:r>
        <w:rPr>
          <w:rFonts w:ascii="Calibri" w:cs="Calibri" w:eastAsia="Calibri" w:hAnsi="Calibri"/>
          <w:sz w:val="21"/>
          <w:szCs w:val="21"/>
        </w:rPr>
        <w:t xml:space="preserve">. Diez contratos así son del orden de </w:t>
      </w:r>
      <w:r>
        <w:rPr>
          <w:rFonts w:ascii="Calibri" w:cs="Calibri" w:eastAsia="Calibri" w:hAnsi="Calibri"/>
          <w:b/>
          <w:bCs/>
          <w:sz w:val="21"/>
          <w:szCs w:val="21"/>
        </w:rPr>
        <w:t xml:space="preserve">1.200 a 1.450 horas al año</w:t>
      </w:r>
      <w:r>
        <w:rPr>
          <w:rFonts w:ascii="Calibri" w:cs="Calibri" w:eastAsia="Calibri" w:hAnsi="Calibri"/>
          <w:sz w:val="21"/>
          <w:szCs w:val="21"/>
        </w:rPr>
        <w:t xml:space="preserve">, es decir </w:t>
      </w:r>
      <w:r>
        <w:rPr>
          <w:rFonts w:ascii="Calibri" w:cs="Calibri" w:eastAsia="Calibri" w:hAnsi="Calibri"/>
          <w:b/>
          <w:bCs/>
          <w:sz w:val="21"/>
          <w:szCs w:val="21"/>
        </w:rPr>
        <w:t xml:space="preserve">entre 0,7 y 0,9 efectivos a jornada completa</w:t>
      </w:r>
      <w:r>
        <w:rPr>
          <w:rFonts w:ascii="Calibri" w:cs="Calibri" w:eastAsia="Calibri" w:hAnsi="Calibri"/>
          <w:sz w:val="21"/>
          <w:szCs w:val="21"/>
        </w:rPr>
        <w:t xml:space="preserve"> repartidos entre el responsable del contrato, el servicio de informática, el responsable de seguridad, la unidad gestora y la Intervención. Es una cifra incómoda, y ése es exactamente el punto: </w:t>
      </w:r>
      <w:r>
        <w:rPr>
          <w:rFonts w:ascii="Calibri" w:cs="Calibri" w:eastAsia="Calibri" w:hAnsi="Calibri"/>
          <w:b/>
          <w:bCs/>
          <w:sz w:val="21"/>
          <w:szCs w:val="21"/>
        </w:rPr>
        <w:t xml:space="preserve">el catálogo no se aplica entero, se aplica lo que se pueda verificar.</w:t>
      </w:r>
    </w:p>
    <w:p>
      <w:pPr>
        <w:spacing w:after="140" w:line="276"/>
      </w:pPr>
      <w:r>
        <w:rPr>
          <w:rFonts w:ascii="Calibri" w:cs="Calibri" w:eastAsia="Calibri" w:hAnsi="Calibri"/>
          <w:b/>
          <w:bCs/>
          <w:sz w:val="21"/>
          <w:szCs w:val="21"/>
        </w:rPr>
        <w:t xml:space="preserve">Versión mínima.</w:t>
      </w:r>
      <w:r>
        <w:rPr>
          <w:rFonts w:ascii="Calibri" w:cs="Calibri" w:eastAsia="Calibri" w:hAnsi="Calibri"/>
          <w:sz w:val="21"/>
          <w:szCs w:val="21"/>
        </w:rPr>
        <w:t xml:space="preserve"> Cuando la plantilla no dé para eso, la respuesta correcta no es incorporar las cláusulas y no verificarlas. Es incorporar menos cláusulas. El </w:t>
      </w:r>
      <w:r>
        <w:rPr>
          <w:rFonts w:ascii="Calibri" w:cs="Calibri" w:eastAsia="Calibri" w:hAnsi="Calibri"/>
          <w:b/>
          <w:bCs/>
          <w:sz w:val="21"/>
          <w:szCs w:val="21"/>
        </w:rPr>
        <w:t xml:space="preserve">núcleo mínimo verificable</w:t>
      </w:r>
      <w:r>
        <w:rPr>
          <w:rFonts w:ascii="Calibri" w:cs="Calibri" w:eastAsia="Calibri" w:hAnsi="Calibri"/>
          <w:sz w:val="21"/>
          <w:szCs w:val="21"/>
        </w:rPr>
        <w:t xml:space="preserve"> —ADM-1·v3 modalidad B (C3), ADM-2·v3 con una sola exigencia del Anexo (parte de B7, unas 8–12 h de aceptación el primer año y 4 de comprobación anual) más su seguimiento de versiones sucesoras (C4), ADM-4·v3 con una sola sesión anual y su informe (mitad de C1 más C2), y ADM-12·v3 (C9)— consume </w:t>
      </w:r>
      <w:r>
        <w:rPr>
          <w:rFonts w:ascii="Calibri" w:cs="Calibri" w:eastAsia="Calibri" w:hAnsi="Calibri"/>
          <w:b/>
          <w:bCs/>
          <w:sz w:val="21"/>
          <w:szCs w:val="21"/>
        </w:rPr>
        <w:t xml:space="preserve">unas 25 horas al año en régimen ordinario y entre 35 y 39 el primer año</w:t>
      </w:r>
      <w:r>
        <w:rPr>
          <w:rFonts w:ascii="Calibri" w:cs="Calibri" w:eastAsia="Calibri" w:hAnsi="Calibri"/>
          <w:sz w:val="21"/>
          <w:szCs w:val="21"/>
        </w:rPr>
        <w:t xml:space="preserve">. Es lo que debe usarse por defecto en el primer ejercicio de aplicación.</w:t>
      </w:r>
    </w:p>
    <w:p>
      <w:pPr>
        <w:spacing w:after="140" w:line="276"/>
      </w:pPr>
      <w:r>
        <w:rPr>
          <w:rFonts w:ascii="Calibri" w:cs="Calibri" w:eastAsia="Calibri" w:hAnsi="Calibri"/>
          <w:b/>
          <w:bCs/>
          <w:sz w:val="21"/>
          <w:szCs w:val="21"/>
        </w:rPr>
        <w:t xml:space="preserve">Regla de cierre, y el documento tiene que decirlo aunque no guste.</w:t>
      </w:r>
      <w:r>
        <w:rPr>
          <w:rFonts w:ascii="Calibri" w:cs="Calibri" w:eastAsia="Calibri" w:hAnsi="Calibri"/>
          <w:sz w:val="21"/>
          <w:szCs w:val="21"/>
        </w:rPr>
        <w:t xml:space="preserve"> </w:t>
      </w:r>
      <w:r>
        <w:rPr>
          <w:rFonts w:ascii="Calibri" w:cs="Calibri" w:eastAsia="Calibri" w:hAnsi="Calibri"/>
          <w:i/>
          <w:iCs/>
          <w:sz w:val="21"/>
          <w:szCs w:val="21"/>
        </w:rPr>
        <w:t xml:space="preserve">Ninguna cláusula de este catálogo se incorpora a un pliego si su verificación no tiene actor municipal designado, periodicidad y horas disponibles.</w:t>
      </w:r>
      <w:r>
        <w:rPr>
          <w:rFonts w:ascii="Calibri" w:cs="Calibri" w:eastAsia="Calibri" w:hAnsi="Calibri"/>
          <w:sz w:val="21"/>
          <w:szCs w:val="21"/>
        </w:rPr>
        <w:t xml:space="preserve"> Si al rellenar la Ficha del Anexo II no hay quien firme la casilla del actor, la cláusula se marca NO APLICA. </w:t>
      </w:r>
      <w:r>
        <w:rPr>
          <w:rFonts w:ascii="Calibri" w:cs="Calibri" w:eastAsia="Calibri" w:hAnsi="Calibri"/>
          <w:b/>
          <w:bCs/>
          <w:sz w:val="21"/>
          <w:szCs w:val="21"/>
        </w:rPr>
        <w:t xml:space="preserve">Y si el seguimiento no cabe en la plantilla municipal, la conclusión no es que el catálogo sea inaplicable: es que el Ayuntamiento debe elegir entre dotar la función, reducir el número de cláusulas por contrato o reducir el número de contratos a los que aplica el catálogo.</w:t>
      </w:r>
      <w:r>
        <w:rPr>
          <w:rFonts w:ascii="Calibri" w:cs="Calibri" w:eastAsia="Calibri" w:hAnsi="Calibri"/>
          <w:sz w:val="21"/>
          <w:szCs w:val="21"/>
        </w:rPr>
        <w:t xml:space="preserve"> Crear obligaciones esenciales que nadie comprueba no protege al Ayuntamiento: le construye un expediente vacío para el día en que quiera resolver, y le da al contratista la mejor prueba de que la obligación nunca importó.</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pStyle w:val="ListParagraph"/>
        <w:numPr>
          <w:ilvl w:val="0"/>
          <w:numId w:val="1"/>
        </w:numPr>
        <w:spacing w:after="70" w:line="268"/>
      </w:pPr>
      <w:r>
        <w:rPr>
          <w:rFonts w:ascii="Calibri" w:cs="Calibri" w:eastAsia="Calibri" w:hAnsi="Calibri"/>
          <w:sz w:val="21"/>
          <w:szCs w:val="21"/>
        </w:rPr>
        <w:t xml:space="preserve">Inasistencia no justificada del contratista a una sesión: </w:t>
      </w:r>
      <w:r>
        <w:rPr>
          <w:rFonts w:ascii="Calibri" w:cs="Calibri" w:eastAsia="Calibri" w:hAnsi="Calibri"/>
          <w:b/>
          <w:bCs/>
          <w:sz w:val="21"/>
          <w:szCs w:val="21"/>
        </w:rPr>
        <w:t xml:space="preserve">penalidad leve</w:t>
      </w:r>
      <w:r>
        <w:rPr>
          <w:rFonts w:ascii="Calibri" w:cs="Calibri" w:eastAsia="Calibri" w:hAnsi="Calibri"/>
          <w:sz w:val="21"/>
          <w:szCs w:val="21"/>
        </w:rPr>
        <w:t xml:space="preserve"> (tipo L4).</w:t>
      </w:r>
    </w:p>
    <w:p>
      <w:pPr>
        <w:pStyle w:val="ListParagraph"/>
        <w:numPr>
          <w:ilvl w:val="0"/>
          <w:numId w:val="1"/>
        </w:numPr>
        <w:spacing w:after="70" w:line="268"/>
      </w:pPr>
      <w:r>
        <w:rPr>
          <w:rFonts w:ascii="Calibri" w:cs="Calibri" w:eastAsia="Calibri" w:hAnsi="Calibri"/>
          <w:sz w:val="21"/>
          <w:szCs w:val="21"/>
        </w:rPr>
        <w:t xml:space="preserve">Falta de entrega de documentación o de accesos requeridos en el plazo del apartado 5: </w:t>
      </w:r>
      <w:r>
        <w:rPr>
          <w:rFonts w:ascii="Calibri" w:cs="Calibri" w:eastAsia="Calibri" w:hAnsi="Calibri"/>
          <w:b/>
          <w:bCs/>
          <w:sz w:val="21"/>
          <w:szCs w:val="21"/>
        </w:rPr>
        <w:t xml:space="preserve">penalidad leve</w:t>
      </w:r>
      <w:r>
        <w:rPr>
          <w:rFonts w:ascii="Calibri" w:cs="Calibri" w:eastAsia="Calibri" w:hAnsi="Calibri"/>
          <w:sz w:val="21"/>
          <w:szCs w:val="21"/>
        </w:rPr>
        <w:t xml:space="preserve"> la primera vez, </w:t>
      </w:r>
      <w:r>
        <w:rPr>
          <w:rFonts w:ascii="Calibri" w:cs="Calibri" w:eastAsia="Calibri" w:hAnsi="Calibri"/>
          <w:b/>
          <w:bCs/>
          <w:sz w:val="21"/>
          <w:szCs w:val="21"/>
        </w:rPr>
        <w:t xml:space="preserve">grave</w:t>
      </w:r>
      <w:r>
        <w:rPr>
          <w:rFonts w:ascii="Calibri" w:cs="Calibri" w:eastAsia="Calibri" w:hAnsi="Calibri"/>
          <w:sz w:val="21"/>
          <w:szCs w:val="21"/>
        </w:rPr>
        <w:t xml:space="preserve"> a partir de la segunda en doce meses (tipos L3 y G1).</w:t>
      </w:r>
    </w:p>
    <w:p>
      <w:pPr>
        <w:spacing w:after="140" w:line="276"/>
      </w:pPr>
      <w:r>
        <w:rPr>
          <w:rFonts w:ascii="Calibri" w:cs="Calibri" w:eastAsia="Calibri" w:hAnsi="Calibri"/>
          <w:b/>
          <w:bCs/>
          <w:sz w:val="21"/>
          <w:szCs w:val="21"/>
        </w:rPr>
        <w:t xml:space="preserve">¿Obligación contractual esencial? NO.</w:t>
      </w:r>
      <w:r>
        <w:rPr>
          <w:rFonts w:ascii="Calibri" w:cs="Calibri" w:eastAsia="Calibri" w:hAnsi="Calibri"/>
          <w:sz w:val="21"/>
          <w:szCs w:val="21"/>
        </w:rPr>
        <w:t xml:space="preserve"> Ninguna obligación de esta cláusula lo es.</w:t>
      </w: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sz w:val="21"/>
          <w:szCs w:val="21"/>
        </w:rPr>
        <w:t xml:space="preserve">La </w:t>
      </w:r>
      <w:r>
        <w:rPr>
          <w:rFonts w:ascii="Calibri" w:cs="Calibri" w:eastAsia="Calibri" w:hAnsi="Calibri"/>
          <w:b/>
          <w:bCs/>
          <w:sz w:val="21"/>
          <w:szCs w:val="21"/>
        </w:rPr>
        <w:t xml:space="preserve">Comisión</w:t>
      </w:r>
      <w:r>
        <w:rPr>
          <w:rFonts w:ascii="Calibri" w:cs="Calibri" w:eastAsia="Calibri" w:hAnsi="Calibri"/>
          <w:sz w:val="21"/>
          <w:szCs w:val="21"/>
        </w:rPr>
        <w:t xml:space="preserve"> no se constituye en contratos de duración inferior a [X; se recomienda 12] meses ni en contratos de valor estimado inferior a [X; se recomienda 60.000] euros: en ellos el seguimiento lo hace el responsable del contrato sin órgano colegiado, y el informe anual se sustituye por un informe único a la finalización. Mover el umbral hacia arriba cuando la unidad gestora no tenga capacidad; nunca hacia abajo sin dotarla.</w:t>
      </w:r>
    </w:p>
    <w:p>
      <w:pPr>
        <w:pStyle w:val="ListParagraph"/>
        <w:numPr>
          <w:ilvl w:val="0"/>
          <w:numId w:val="1"/>
        </w:numPr>
        <w:spacing w:after="70" w:line="268"/>
      </w:pPr>
      <w:r>
        <w:rPr>
          <w:rFonts w:ascii="Calibri" w:cs="Calibri" w:eastAsia="Calibri" w:hAnsi="Calibri"/>
          <w:sz w:val="21"/>
          <w:szCs w:val="21"/>
        </w:rPr>
        <w:t xml:space="preserve">El apartado 3 se reduce a las letras que correspondan a las cláusulas efectivamente incorporadas. </w:t>
      </w:r>
      <w:r>
        <w:rPr>
          <w:rFonts w:ascii="Calibri" w:cs="Calibri" w:eastAsia="Calibri" w:hAnsi="Calibri"/>
          <w:b/>
          <w:bCs/>
          <w:sz w:val="21"/>
          <w:szCs w:val="21"/>
        </w:rPr>
        <w:t xml:space="preserve">Las letras huérfanas se borran</w:t>
      </w:r>
      <w:r>
        <w:rPr>
          <w:rFonts w:ascii="Calibri" w:cs="Calibri" w:eastAsia="Calibri" w:hAnsi="Calibri"/>
          <w:sz w:val="21"/>
          <w:szCs w:val="21"/>
        </w:rPr>
        <w:t xml:space="preserve">: un informe anual que se pronuncia sobre un Anexo que no existe es un defecto que el contratista alegará.</w:t>
      </w:r>
    </w:p>
    <w:p>
      <w:pPr>
        <w:pStyle w:val="ListParagraph"/>
        <w:numPr>
          <w:ilvl w:val="0"/>
          <w:numId w:val="1"/>
        </w:numPr>
        <w:spacing w:after="70" w:line="268"/>
      </w:pPr>
      <w:r>
        <w:rPr>
          <w:rFonts w:ascii="Calibri" w:cs="Calibri" w:eastAsia="Calibri" w:hAnsi="Calibri"/>
          <w:sz w:val="21"/>
          <w:szCs w:val="21"/>
        </w:rPr>
        <w:t xml:space="preserve">Contratos menores, basados en acuerdo marco, adhesiones a centrales de compra y prórrogas: no procede.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III.5 · ADM-5·v3 — Penalidades</w:t>
      </w:r>
    </w:p>
    <w:p>
      <w:pPr>
        <w:spacing w:after="140" w:line="276"/>
      </w:pPr>
      <w:r>
        <w:rPr>
          <w:rFonts w:ascii="Calibri" w:cs="Calibri" w:eastAsia="Calibri" w:hAnsi="Calibri"/>
          <w:i/>
          <w:iCs/>
          <w:sz w:val="21"/>
          <w:szCs w:val="21"/>
        </w:rPr>
        <w:t xml:space="preserve">(Reescribe ADM-5 de v2. Se conserva el límite cuantitativo, que en v2 estaba bien. Se sustituye la tipificación por conceptos —«obsolescencia tecnológica», «negativa injustificada a evolucionar»— por una tipificación por hechos con documento que los prueba. Y se suprime «falta de la demostración exigida».)</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Penalidades por incumplimiento.</w:t>
            </w:r>
          </w:p>
          <w:p>
            <w:pPr>
              <w:pStyle w:val="ListParagraph"/>
              <w:numPr>
                <w:ilvl w:val="0"/>
                <w:numId w:val="2"/>
              </w:numPr>
              <w:spacing w:after="60" w:line="264"/>
            </w:pPr>
            <w:r>
              <w:rPr>
                <w:rFonts w:ascii="Georgia" w:cs="Georgia" w:eastAsia="Georgia" w:hAnsi="Georgia"/>
                <w:b/>
                <w:bCs/>
                <w:sz w:val="20"/>
                <w:szCs w:val="20"/>
              </w:rPr>
              <w:t xml:space="preserve">Régimen y límites.</w:t>
            </w:r>
            <w:r>
              <w:rPr>
                <w:rFonts w:ascii="Georgia" w:cs="Georgia" w:eastAsia="Georgia" w:hAnsi="Georgia"/>
                <w:sz w:val="20"/>
                <w:szCs w:val="20"/>
              </w:rPr>
              <w:t xml:space="preserve"> El incumplimiento de las obligaciones y condiciones especiales de ejecución establecidas en este pliego dará lugar a la imposición de penalidades proporcionadas a la gravedad del incumplimiento, conforme al artículo 192.1 de la Ley 9/2017, sin que la cuantía de cada una pueda ser superior al </w:t>
            </w:r>
            <w:r>
              <w:rPr>
                <w:rFonts w:ascii="Georgia" w:cs="Georgia" w:eastAsia="Georgia" w:hAnsi="Georgia"/>
                <w:b/>
                <w:bCs/>
                <w:sz w:val="20"/>
                <w:szCs w:val="20"/>
              </w:rPr>
              <w:t xml:space="preserve">10 por ciento del precio del contrato, IVA excluido</w:t>
            </w:r>
            <w:r>
              <w:rPr>
                <w:rFonts w:ascii="Georgia" w:cs="Georgia" w:eastAsia="Georgia" w:hAnsi="Georgia"/>
                <w:sz w:val="20"/>
                <w:szCs w:val="20"/>
              </w:rPr>
              <w:t xml:space="preserve">, ni el total de las impuestas superar el </w:t>
            </w:r>
            <w:r>
              <w:rPr>
                <w:rFonts w:ascii="Georgia" w:cs="Georgia" w:eastAsia="Georgia" w:hAnsi="Georgia"/>
                <w:b/>
                <w:bCs/>
                <w:sz w:val="20"/>
                <w:szCs w:val="20"/>
              </w:rPr>
              <w:t xml:space="preserve">50 por ciento del precio del contrato</w:t>
            </w:r>
            <w:r>
              <w:rPr>
                <w:rFonts w:ascii="Georgia" w:cs="Georgia" w:eastAsia="Georgia" w:hAnsi="Georgia"/>
                <w:sz w:val="20"/>
                <w:szCs w:val="20"/>
              </w:rPr>
              <w:t xml:space="preserve">. Este cuadro no sustituye al régimen general de la demora en la ejecución previsto en la Ley 9/2017, que opera conforme a sus propios términos.</w:t>
            </w:r>
          </w:p>
          <w:p>
            <w:pPr>
              <w:pStyle w:val="ListParagraph"/>
              <w:numPr>
                <w:ilvl w:val="0"/>
                <w:numId w:val="2"/>
              </w:numPr>
              <w:spacing w:after="60" w:line="264"/>
            </w:pPr>
            <w:r>
              <w:rPr>
                <w:rFonts w:ascii="Georgia" w:cs="Georgia" w:eastAsia="Georgia" w:hAnsi="Georgia"/>
                <w:b/>
                <w:bCs/>
                <w:sz w:val="20"/>
                <w:szCs w:val="20"/>
              </w:rPr>
              <w:t xml:space="preserve">Cuantías.</w:t>
            </w:r>
          </w:p>
          <w:p>
            <w:pPr>
              <w:spacing w:after="100" w:line="264"/>
            </w:pPr>
            <w:r>
              <w:rPr>
                <w:rFonts w:ascii="Georgia" w:cs="Georgia" w:eastAsia="Georgia" w:hAnsi="Georgia"/>
                <w:sz w:val="20"/>
                <w:szCs w:val="20"/>
              </w:rPr>
              <w:t xml:space="preserve">a) Incumplimiento </w:t>
            </w:r>
            <w:r>
              <w:rPr>
                <w:rFonts w:ascii="Georgia" w:cs="Georgia" w:eastAsia="Georgia" w:hAnsi="Georgia"/>
                <w:b/>
                <w:bCs/>
                <w:sz w:val="20"/>
                <w:szCs w:val="20"/>
              </w:rPr>
              <w:t xml:space="preserve">leve</w:t>
            </w:r>
            <w:r>
              <w:rPr>
                <w:rFonts w:ascii="Georgia" w:cs="Georgia" w:eastAsia="Georgia" w:hAnsi="Georgia"/>
                <w:sz w:val="20"/>
                <w:szCs w:val="20"/>
              </w:rPr>
              <w:t xml:space="preserve">: hasta el [X; se recomienda 0,5] por ciento del precio anual del contrato, IVA excluido, por cada incumplimiento.</w:t>
            </w:r>
          </w:p>
          <w:p>
            <w:pPr>
              <w:spacing w:after="100" w:line="264"/>
            </w:pPr>
            <w:r>
              <w:rPr>
                <w:rFonts w:ascii="Georgia" w:cs="Georgia" w:eastAsia="Georgia" w:hAnsi="Georgia"/>
                <w:sz w:val="20"/>
                <w:szCs w:val="20"/>
              </w:rPr>
              <w:t xml:space="preserve">b) Incumplimiento </w:t>
            </w:r>
            <w:r>
              <w:rPr>
                <w:rFonts w:ascii="Georgia" w:cs="Georgia" w:eastAsia="Georgia" w:hAnsi="Georgia"/>
                <w:b/>
                <w:bCs/>
                <w:sz w:val="20"/>
                <w:szCs w:val="20"/>
              </w:rPr>
              <w:t xml:space="preserve">grave</w:t>
            </w:r>
            <w:r>
              <w:rPr>
                <w:rFonts w:ascii="Georgia" w:cs="Georgia" w:eastAsia="Georgia" w:hAnsi="Georgia"/>
                <w:sz w:val="20"/>
                <w:szCs w:val="20"/>
              </w:rPr>
              <w:t xml:space="preserve">: entre el [X; se recomienda 0,5] y el [X; se recomienda 3] por ciento del precio anual del contrato, IVA excluido, por cada incumplimiento.</w:t>
            </w:r>
          </w:p>
          <w:p>
            <w:pPr>
              <w:spacing w:after="100" w:line="264"/>
            </w:pPr>
            <w:r>
              <w:rPr>
                <w:rFonts w:ascii="Georgia" w:cs="Georgia" w:eastAsia="Georgia" w:hAnsi="Georgia"/>
                <w:sz w:val="20"/>
                <w:szCs w:val="20"/>
              </w:rPr>
              <w:t xml:space="preserve">c) Incumplimiento </w:t>
            </w:r>
            <w:r>
              <w:rPr>
                <w:rFonts w:ascii="Georgia" w:cs="Georgia" w:eastAsia="Georgia" w:hAnsi="Georgia"/>
                <w:b/>
                <w:bCs/>
                <w:sz w:val="20"/>
                <w:szCs w:val="20"/>
              </w:rPr>
              <w:t xml:space="preserve">muy grave</w:t>
            </w:r>
            <w:r>
              <w:rPr>
                <w:rFonts w:ascii="Georgia" w:cs="Georgia" w:eastAsia="Georgia" w:hAnsi="Georgia"/>
                <w:sz w:val="20"/>
                <w:szCs w:val="20"/>
              </w:rPr>
              <w:t xml:space="preserve">: entre el [X; se recomienda 3] y el [X; se recomienda 6] por ciento del precio del contrato, IVA excluido, por cada incumplimiento, sin superar en ningún caso el 10 por ciento.</w:t>
            </w:r>
          </w:p>
          <w:p>
            <w:pPr>
              <w:spacing w:after="100" w:line="264"/>
            </w:pPr>
            <w:r>
              <w:rPr>
                <w:rFonts w:ascii="Georgia" w:cs="Georgia" w:eastAsia="Georgia" w:hAnsi="Georgia"/>
                <w:sz w:val="20"/>
                <w:szCs w:val="20"/>
              </w:rPr>
              <w:t xml:space="preserve">d) </w:t>
            </w:r>
            <w:r>
              <w:rPr>
                <w:rFonts w:ascii="Georgia" w:cs="Georgia" w:eastAsia="Georgia" w:hAnsi="Georgia"/>
                <w:b/>
                <w:bCs/>
                <w:sz w:val="20"/>
                <w:szCs w:val="20"/>
              </w:rPr>
              <w:t xml:space="preserve">Tope por hecho continuado.</w:t>
            </w:r>
            <w:r>
              <w:rPr>
                <w:rFonts w:ascii="Georgia" w:cs="Georgia" w:eastAsia="Georgia" w:hAnsi="Georgia"/>
                <w:sz w:val="20"/>
                <w:szCs w:val="20"/>
              </w:rPr>
              <w:t xml:space="preserve"> El importe acumulado de las penalidades impuestas por un mismo hecho continuado no podrá superar el 10 por ciento del precio del contrato, IVA excluido (artículo 192.1 de la Ley 9/2017).</w:t>
            </w:r>
          </w:p>
          <w:p>
            <w:pPr>
              <w:pStyle w:val="ListParagraph"/>
              <w:numPr>
                <w:ilvl w:val="0"/>
                <w:numId w:val="2"/>
              </w:numPr>
              <w:spacing w:after="60" w:line="264"/>
            </w:pPr>
            <w:r>
              <w:rPr>
                <w:rFonts w:ascii="Georgia" w:cs="Georgia" w:eastAsia="Georgia" w:hAnsi="Georgia"/>
                <w:b/>
                <w:bCs/>
                <w:sz w:val="20"/>
                <w:szCs w:val="20"/>
              </w:rPr>
              <w:t xml:space="preserve">Tipificación.</w:t>
            </w:r>
            <w:r>
              <w:rPr>
                <w:rFonts w:ascii="Georgia" w:cs="Georgia" w:eastAsia="Georgia" w:hAnsi="Georgia"/>
                <w:sz w:val="20"/>
                <w:szCs w:val="20"/>
              </w:rPr>
              <w:t xml:space="preserve"> Constituyen incumplimientos sancionables, exclusivamente, los siguientes:</w:t>
            </w:r>
          </w:p>
          <w:p>
            <w:pPr>
              <w:spacing w:after="100" w:line="264"/>
            </w:pPr>
            <w:r>
              <w:rPr>
                <w:rFonts w:ascii="Georgia" w:cs="Georgia" w:eastAsia="Georgia" w:hAnsi="Georgia"/>
                <w:b/>
                <w:bCs/>
                <w:sz w:val="20"/>
                <w:szCs w:val="20"/>
              </w:rPr>
              <w:t xml:space="preserve">Leves</w:t>
            </w:r>
          </w:p>
          <w:p>
            <w:pPr>
              <w:spacing w:after="100" w:line="264"/>
            </w:pPr>
            <w:r>
              <w:rPr>
                <w:rFonts w:ascii="Georgia" w:cs="Georgia" w:eastAsia="Georgia" w:hAnsi="Georgia"/>
                <w:sz w:val="20"/>
                <w:szCs w:val="20"/>
              </w:rPr>
              <w:t xml:space="preserve">L1. Retraso de hasta 30 días naturales en la presentación del Plan Anual de Evolución Tecnológica, contados desde el plazo que para ello fija la cláusula de Plan Anual de este pliego.</w:t>
            </w:r>
          </w:p>
          <w:p>
            <w:pPr>
              <w:spacing w:after="100" w:line="264"/>
            </w:pPr>
            <w:r>
              <w:rPr>
                <w:rFonts w:ascii="Georgia" w:cs="Georgia" w:eastAsia="Georgia" w:hAnsi="Georgia"/>
                <w:sz w:val="20"/>
                <w:szCs w:val="20"/>
              </w:rPr>
              <w:t xml:space="preserve">L2. Retraso de hasta 90 días naturales en la comunicación de la publicación de una versión sucesora del producto contratado.</w:t>
            </w:r>
          </w:p>
          <w:p>
            <w:pPr>
              <w:spacing w:after="100" w:line="264"/>
            </w:pPr>
            <w:r>
              <w:rPr>
                <w:rFonts w:ascii="Georgia" w:cs="Georgia" w:eastAsia="Georgia" w:hAnsi="Georgia"/>
                <w:sz w:val="20"/>
                <w:szCs w:val="20"/>
              </w:rPr>
              <w:t xml:space="preserve">L3. Falta de remisión, en el plazo requerido, de la documentación acreditativa del sistema de gestión de la inteligencia artificial o de cualquier otra documentación exigible conforme a este pliego.</w:t>
            </w:r>
          </w:p>
          <w:p>
            <w:pPr>
              <w:spacing w:after="100" w:line="264"/>
            </w:pPr>
            <w:r>
              <w:rPr>
                <w:rFonts w:ascii="Georgia" w:cs="Georgia" w:eastAsia="Georgia" w:hAnsi="Georgia"/>
                <w:sz w:val="20"/>
                <w:szCs w:val="20"/>
              </w:rPr>
              <w:t xml:space="preserve">L4. Inasistencia no justificada a una sesión de la Comisión de Seguimiento convocada en plazo.</w:t>
            </w:r>
          </w:p>
          <w:p>
            <w:pPr>
              <w:spacing w:after="100" w:line="264"/>
            </w:pPr>
            <w:r>
              <w:rPr>
                <w:rFonts w:ascii="Georgia" w:cs="Georgia" w:eastAsia="Georgia" w:hAnsi="Georgia"/>
                <w:sz w:val="20"/>
                <w:szCs w:val="20"/>
              </w:rPr>
              <w:t xml:space="preserve">L5. Deficiencias documentales subsanables en las actas de aceptación o de recepción, no subsanadas en el plazo requerido.</w:t>
            </w:r>
          </w:p>
          <w:p>
            <w:pPr>
              <w:spacing w:after="100" w:line="264"/>
            </w:pPr>
            <w:r>
              <w:rPr>
                <w:rFonts w:ascii="Georgia" w:cs="Georgia" w:eastAsia="Georgia" w:hAnsi="Georgia"/>
                <w:sz w:val="20"/>
                <w:szCs w:val="20"/>
              </w:rPr>
              <w:t xml:space="preserve">L6. Retraso no superior a [X; se recomienda 15] días naturales en la actualización del inventario de sistemas de inteligencia artificial, o en la entrega de las instrucciones de uso y de los registros exigidos por la cláusula técnica de incorporación de inteligencia artificial.</w:t>
            </w:r>
          </w:p>
          <w:p>
            <w:pPr>
              <w:spacing w:after="100" w:line="264"/>
            </w:pPr>
            <w:r>
              <w:rPr>
                <w:rFonts w:ascii="Georgia" w:cs="Georgia" w:eastAsia="Georgia" w:hAnsi="Georgia"/>
                <w:sz w:val="20"/>
                <w:szCs w:val="20"/>
              </w:rPr>
              <w:t xml:space="preserve">L7. Retraso no superior a [X; se recomienda 15] días naturales en la entrega o actualización de la documentación técnica de las interfaces de interoperabilidad, de la interfaz normalizada de acceso programático o del anclaje de evidencias.</w:t>
            </w:r>
          </w:p>
          <w:p>
            <w:pPr>
              <w:spacing w:after="100" w:line="264"/>
            </w:pPr>
            <w:r>
              <w:rPr>
                <w:rFonts w:ascii="Georgia" w:cs="Georgia" w:eastAsia="Georgia" w:hAnsi="Georgia"/>
                <w:sz w:val="20"/>
                <w:szCs w:val="20"/>
              </w:rPr>
              <w:t xml:space="preserve">L8. Retraso no superior a [X; se recomienda 30] días naturales en la entrega de los indicadores de los procesos automatizados, o en la entrega o actualización del inventario y del plan de transición criptográfica.</w:t>
            </w:r>
          </w:p>
          <w:p>
            <w:pPr>
              <w:spacing w:after="100" w:line="264"/>
            </w:pPr>
            <w:r>
              <w:rPr>
                <w:rFonts w:ascii="Georgia" w:cs="Georgia" w:eastAsia="Georgia" w:hAnsi="Georgia"/>
                <w:sz w:val="20"/>
                <w:szCs w:val="20"/>
              </w:rPr>
              <w:t xml:space="preserve">L9. Retraso no superior a [X; se recomienda 15] días naturales en la entrega del informe de vulnerabilidades o del informe de la prueba de continuidad.</w:t>
            </w:r>
          </w:p>
          <w:p>
            <w:pPr>
              <w:spacing w:after="100" w:line="264"/>
            </w:pPr>
            <w:r>
              <w:rPr>
                <w:rFonts w:ascii="Georgia" w:cs="Georgia" w:eastAsia="Georgia" w:hAnsi="Georgia"/>
                <w:sz w:val="20"/>
                <w:szCs w:val="20"/>
              </w:rPr>
              <w:t xml:space="preserve">L10. Retraso no superior a [X; se recomienda 30] días naturales en la actualización anual del Plan de Reversibilidad.</w:t>
            </w:r>
          </w:p>
          <w:p>
            <w:pPr>
              <w:spacing w:after="100" w:line="264"/>
            </w:pPr>
            <w:r>
              <w:rPr>
                <w:rFonts w:ascii="Georgia" w:cs="Georgia" w:eastAsia="Georgia" w:hAnsi="Georgia"/>
                <w:b/>
                <w:bCs/>
                <w:sz w:val="20"/>
                <w:szCs w:val="20"/>
              </w:rPr>
              <w:t xml:space="preserve">Graves</w:t>
            </w:r>
          </w:p>
          <w:p>
            <w:pPr>
              <w:spacing w:after="100" w:line="264"/>
            </w:pPr>
            <w:r>
              <w:rPr>
                <w:rFonts w:ascii="Georgia" w:cs="Georgia" w:eastAsia="Georgia" w:hAnsi="Georgia"/>
                <w:sz w:val="20"/>
                <w:szCs w:val="20"/>
              </w:rPr>
              <w:t xml:space="preserve">G1. Reiteración de dos incumplimientos leves de la misma clase en doce meses, o persistencia de un incumplimiento leve más allá de 30 días desde el requerimiento de subsanación.</w:t>
            </w:r>
          </w:p>
          <w:p>
            <w:pPr>
              <w:spacing w:after="100" w:line="264"/>
            </w:pPr>
            <w:r>
              <w:rPr>
                <w:rFonts w:ascii="Georgia" w:cs="Georgia" w:eastAsia="Georgia" w:hAnsi="Georgia"/>
                <w:sz w:val="20"/>
                <w:szCs w:val="20"/>
              </w:rPr>
              <w:t xml:space="preserve">G2. Incumplimiento del plazo de implantación de una exigencia del Anexo de Exigencias Tecnológicas Determinadas, por cada mes o fracción de retraso.</w:t>
            </w:r>
          </w:p>
          <w:p>
            <w:pPr>
              <w:spacing w:after="100" w:line="264"/>
            </w:pPr>
            <w:r>
              <w:rPr>
                <w:rFonts w:ascii="Georgia" w:cs="Georgia" w:eastAsia="Georgia" w:hAnsi="Georgia"/>
                <w:sz w:val="20"/>
                <w:szCs w:val="20"/>
              </w:rPr>
              <w:t xml:space="preserve">G3. Falta de entrega o de actualización del Inventario de Componentes en los plazos del pliego.</w:t>
            </w:r>
          </w:p>
          <w:p>
            <w:pPr>
              <w:spacing w:after="100" w:line="264"/>
            </w:pPr>
            <w:r>
              <w:rPr>
                <w:rFonts w:ascii="Georgia" w:cs="Georgia" w:eastAsia="Georgia" w:hAnsi="Georgia"/>
                <w:sz w:val="20"/>
                <w:szCs w:val="20"/>
              </w:rPr>
              <w:t xml:space="preserve">G4. Falta de constitución, de actualización o de verificación del depósito de código en los plazos del pliego.</w:t>
            </w:r>
          </w:p>
          <w:p>
            <w:pPr>
              <w:spacing w:after="100" w:line="264"/>
            </w:pPr>
            <w:r>
              <w:rPr>
                <w:rFonts w:ascii="Georgia" w:cs="Georgia" w:eastAsia="Georgia" w:hAnsi="Georgia"/>
                <w:sz w:val="20"/>
                <w:szCs w:val="20"/>
              </w:rPr>
              <w:t xml:space="preserve">G5. Falta de comunicación, transcurridos 90 días naturales, de la publicación de una versión sucesora.</w:t>
            </w:r>
          </w:p>
          <w:p>
            <w:pPr>
              <w:spacing w:after="100" w:line="264"/>
            </w:pPr>
            <w:r>
              <w:rPr>
                <w:rFonts w:ascii="Georgia" w:cs="Georgia" w:eastAsia="Georgia" w:hAnsi="Georgia"/>
                <w:sz w:val="20"/>
                <w:szCs w:val="20"/>
              </w:rPr>
              <w:t xml:space="preserve">G6. Incumplimiento de las obligaciones de acceso de los órganos de control, incluida la facturación o tarificación de dicho acceso.</w:t>
            </w:r>
          </w:p>
          <w:p>
            <w:pPr>
              <w:spacing w:after="100" w:line="264"/>
            </w:pPr>
            <w:r>
              <w:rPr>
                <w:rFonts w:ascii="Georgia" w:cs="Georgia" w:eastAsia="Georgia" w:hAnsi="Georgia"/>
                <w:sz w:val="20"/>
                <w:szCs w:val="20"/>
              </w:rPr>
              <w:t xml:space="preserve">G7. Alta o utilización de un sistema de inteligencia artificial no autorizado sobre información municipal, cuando no conste incorporación efectiva de información no pública.</w:t>
            </w:r>
          </w:p>
          <w:p>
            <w:pPr>
              <w:spacing w:after="100" w:line="264"/>
            </w:pPr>
            <w:r>
              <w:rPr>
                <w:rFonts w:ascii="Georgia" w:cs="Georgia" w:eastAsia="Georgia" w:hAnsi="Georgia"/>
                <w:sz w:val="20"/>
                <w:szCs w:val="20"/>
              </w:rPr>
              <w:t xml:space="preserve">G8. Pérdida de una certificación o de un sistema de gestión exigidos sin que el contratista acredite, en el plazo requerido, el cumplimiento por la vía documental prevista en la cláusula correspondiente de este pliego, cuando esa vía esté admitida; subsanada en el plazo de [X; se recomienda 3] meses.</w:t>
            </w:r>
          </w:p>
          <w:p>
            <w:pPr>
              <w:spacing w:after="100" w:line="264"/>
            </w:pPr>
            <w:r>
              <w:rPr>
                <w:rFonts w:ascii="Georgia" w:cs="Georgia" w:eastAsia="Georgia" w:hAnsi="Georgia"/>
                <w:sz w:val="20"/>
                <w:szCs w:val="20"/>
              </w:rPr>
              <w:t xml:space="preserve">G9. Incumplimiento de un hito del Plan Anual expresamente aprobado por el órgano de contratación con fecha cierta en acta.</w:t>
            </w:r>
          </w:p>
          <w:p>
            <w:pPr>
              <w:spacing w:after="100" w:line="264"/>
            </w:pPr>
            <w:r>
              <w:rPr>
                <w:rFonts w:ascii="Georgia" w:cs="Georgia" w:eastAsia="Georgia" w:hAnsi="Georgia"/>
                <w:sz w:val="20"/>
                <w:szCs w:val="20"/>
              </w:rPr>
              <w:t xml:space="preserve">G10. Falta de comunicación de un cambio de clasificación de riesgo de un sistema de inteligencia artificial, o ausencia del punto de contacto único exigido por la cláusula técnica de incorporación de inteligencia artificial.</w:t>
            </w:r>
          </w:p>
          <w:p>
            <w:pPr>
              <w:spacing w:after="100" w:line="264"/>
            </w:pPr>
            <w:r>
              <w:rPr>
                <w:rFonts w:ascii="Georgia" w:cs="Georgia" w:eastAsia="Georgia" w:hAnsi="Georgia"/>
                <w:sz w:val="20"/>
                <w:szCs w:val="20"/>
              </w:rPr>
              <w:t xml:space="preserve">G11. Incumplimiento del plazo de respuesta ante un incidente grave imputable a un sistema de inteligencia artificial.</w:t>
            </w:r>
          </w:p>
          <w:p>
            <w:pPr>
              <w:spacing w:after="100" w:line="264"/>
            </w:pPr>
            <w:r>
              <w:rPr>
                <w:rFonts w:ascii="Georgia" w:cs="Georgia" w:eastAsia="Georgia" w:hAnsi="Georgia"/>
                <w:sz w:val="20"/>
                <w:szCs w:val="20"/>
              </w:rPr>
              <w:t xml:space="preserve">G12. Puesta en producción de una funcionalidad de inteligencia artificial sin el acta de aceptación previa exigida por la cláusula técnica de incorporación de inteligencia artificial.</w:t>
            </w:r>
          </w:p>
          <w:p>
            <w:pPr>
              <w:spacing w:after="100" w:line="264"/>
            </w:pPr>
            <w:r>
              <w:rPr>
                <w:rFonts w:ascii="Georgia" w:cs="Georgia" w:eastAsia="Georgia" w:hAnsi="Georgia"/>
                <w:sz w:val="20"/>
                <w:szCs w:val="20"/>
              </w:rPr>
              <w:t xml:space="preserve">G13. Imposibilidad de verificar la integridad de las evidencias ancladas por un tercero sin acceso privilegiado, o falta de entrega del procedimiento de exportación de evidencias.</w:t>
            </w:r>
          </w:p>
          <w:p>
            <w:pPr>
              <w:spacing w:after="100" w:line="264"/>
            </w:pPr>
            <w:r>
              <w:rPr>
                <w:rFonts w:ascii="Georgia" w:cs="Georgia" w:eastAsia="Georgia" w:hAnsi="Georgia"/>
                <w:sz w:val="20"/>
                <w:szCs w:val="20"/>
              </w:rPr>
              <w:t xml:space="preserve">G14. Falta de entrega del plan de transición criptográfica transcurrido su plazo y [X; se recomienda 30] días naturales desde requerimiento.</w:t>
            </w:r>
          </w:p>
          <w:p>
            <w:pPr>
              <w:spacing w:after="100" w:line="264"/>
            </w:pPr>
            <w:r>
              <w:rPr>
                <w:rFonts w:ascii="Georgia" w:cs="Georgia" w:eastAsia="Georgia" w:hAnsi="Georgia"/>
                <w:sz w:val="20"/>
                <w:szCs w:val="20"/>
              </w:rPr>
              <w:t xml:space="preserve">G15. Incumplimiento, sin causa justificada, del plazo de automatización de un proceso de la lista cerrada y numerada del Pliego de Prescripciones Técnicas, o puesta en producción de una automatización sin el acta de aceptación exigida.</w:t>
            </w:r>
          </w:p>
          <w:p>
            <w:pPr>
              <w:spacing w:after="100" w:line="264"/>
            </w:pPr>
            <w:r>
              <w:rPr>
                <w:rFonts w:ascii="Georgia" w:cs="Georgia" w:eastAsia="Georgia" w:hAnsi="Georgia"/>
                <w:sz w:val="20"/>
                <w:szCs w:val="20"/>
              </w:rPr>
              <w:t xml:space="preserve">G16. Exportación de datos que requiera la intervención del personal del adjudicatario, o falta de entrega o desactualización del diccionario de datos.</w:t>
            </w:r>
          </w:p>
          <w:p>
            <w:pPr>
              <w:spacing w:after="100" w:line="264"/>
            </w:pPr>
            <w:r>
              <w:rPr>
                <w:rFonts w:ascii="Georgia" w:cs="Georgia" w:eastAsia="Georgia" w:hAnsi="Georgia"/>
                <w:sz w:val="20"/>
                <w:szCs w:val="20"/>
              </w:rPr>
              <w:t xml:space="preserve">G17. Indisponibilidad del entorno de pruebas en la fecha comprometida, o superior a [X; se recomienda 10] días hábiles.</w:t>
            </w:r>
          </w:p>
          <w:p>
            <w:pPr>
              <w:spacing w:after="100" w:line="264"/>
            </w:pPr>
            <w:r>
              <w:rPr>
                <w:rFonts w:ascii="Georgia" w:cs="Georgia" w:eastAsia="Georgia" w:hAnsi="Georgia"/>
                <w:sz w:val="20"/>
                <w:szCs w:val="20"/>
              </w:rPr>
              <w:t xml:space="preserve">G18. Incumplimiento de los plazos de subsanación de vulnerabilidades de severidad alta, o falta de comunicación de una vulnerabilidad crítica en el plazo del pliego.</w:t>
            </w:r>
          </w:p>
          <w:p>
            <w:pPr>
              <w:spacing w:after="100" w:line="264"/>
            </w:pPr>
            <w:r>
              <w:rPr>
                <w:rFonts w:ascii="Georgia" w:cs="Georgia" w:eastAsia="Georgia" w:hAnsi="Georgia"/>
                <w:sz w:val="20"/>
                <w:szCs w:val="20"/>
              </w:rPr>
              <w:t xml:space="preserve">G19. Falta de entrega del inventario de funciones expuestas por la interfaz normalizada de acceso programático, o incumplimiento del plazo de entrega de la interfaz ofertado por debajo del plazo máximo del pliego.</w:t>
            </w:r>
          </w:p>
          <w:p>
            <w:pPr>
              <w:spacing w:after="100" w:line="264"/>
            </w:pPr>
            <w:r>
              <w:rPr>
                <w:rFonts w:ascii="Georgia" w:cs="Georgia" w:eastAsia="Georgia" w:hAnsi="Georgia"/>
                <w:sz w:val="20"/>
                <w:szCs w:val="20"/>
              </w:rPr>
              <w:t xml:space="preserve">G20. Falta de realización, en el plazo previsto, del ensayo de reversibilidad.</w:t>
            </w:r>
          </w:p>
          <w:p>
            <w:pPr>
              <w:spacing w:after="100" w:line="264"/>
            </w:pPr>
            <w:r>
              <w:rPr>
                <w:rFonts w:ascii="Georgia" w:cs="Georgia" w:eastAsia="Georgia" w:hAnsi="Georgia"/>
                <w:sz w:val="20"/>
                <w:szCs w:val="20"/>
              </w:rPr>
              <w:t xml:space="preserve">G21. Degradación de una capacidad ya aceptada del Anexo de Exigencias Tecnológicas Determinadas, no subsanada en [X; se recomienda 30] días naturales.</w:t>
            </w:r>
          </w:p>
          <w:p>
            <w:pPr>
              <w:spacing w:after="100" w:line="264"/>
            </w:pPr>
            <w:r>
              <w:rPr>
                <w:rFonts w:ascii="Georgia" w:cs="Georgia" w:eastAsia="Georgia" w:hAnsi="Georgia"/>
                <w:sz w:val="20"/>
                <w:szCs w:val="20"/>
              </w:rPr>
              <w:t xml:space="preserve">G22. Falta de constancia en el acta de aceptación de alguno de los criterios de aceptación de una exigencia del Anexo de Exigencias Tecnológicas Determinadas.</w:t>
            </w:r>
          </w:p>
          <w:p>
            <w:pPr>
              <w:spacing w:after="100" w:line="264"/>
            </w:pPr>
            <w:r>
              <w:rPr>
                <w:rFonts w:ascii="Georgia" w:cs="Georgia" w:eastAsia="Georgia" w:hAnsi="Georgia"/>
                <w:b/>
                <w:bCs/>
                <w:sz w:val="20"/>
                <w:szCs w:val="20"/>
              </w:rPr>
              <w:t xml:space="preserve">Muy graves</w:t>
            </w:r>
          </w:p>
          <w:p>
            <w:pPr>
              <w:spacing w:after="100" w:line="264"/>
            </w:pPr>
            <w:r>
              <w:rPr>
                <w:rFonts w:ascii="Georgia" w:cs="Georgia" w:eastAsia="Georgia" w:hAnsi="Georgia"/>
                <w:sz w:val="20"/>
                <w:szCs w:val="20"/>
              </w:rPr>
              <w:t xml:space="preserve">M1. Falta de implantación de una exigencia del Anexo de Exigencias Tecnológicas Determinadas, transcurrido su plazo y un plazo adicional de subsanación de un mes desde requerimiento fehaciente.</w:t>
            </w:r>
          </w:p>
          <w:p>
            <w:pPr>
              <w:spacing w:after="100" w:line="264"/>
            </w:pPr>
            <w:r>
              <w:rPr>
                <w:rFonts w:ascii="Georgia" w:cs="Georgia" w:eastAsia="Georgia" w:hAnsi="Georgia"/>
                <w:sz w:val="20"/>
                <w:szCs w:val="20"/>
              </w:rPr>
              <w:t xml:space="preserve">M2. Negativa a poner a disposición del Ayuntamiento una versión sucesora publicada por el fabricante y a la que el contratista tenga acceso.</w:t>
            </w:r>
          </w:p>
          <w:p>
            <w:pPr>
              <w:spacing w:after="100" w:line="264"/>
            </w:pPr>
            <w:r>
              <w:rPr>
                <w:rFonts w:ascii="Georgia" w:cs="Georgia" w:eastAsia="Georgia" w:hAnsi="Georgia"/>
                <w:sz w:val="20"/>
                <w:szCs w:val="20"/>
              </w:rPr>
              <w:t xml:space="preserve">M3. Negativa a constituir el depósito de código o el plan de continuidad equivalente por la vía de cumplimiento elegida; negativa a liberar el depósito concurriendo un supuesto tasado de liberación; o entrega de material incompleto o no verificable.</w:t>
            </w:r>
          </w:p>
          <w:p>
            <w:pPr>
              <w:spacing w:after="100" w:line="264"/>
            </w:pPr>
            <w:r>
              <w:rPr>
                <w:rFonts w:ascii="Georgia" w:cs="Georgia" w:eastAsia="Georgia" w:hAnsi="Georgia"/>
                <w:sz w:val="20"/>
                <w:szCs w:val="20"/>
              </w:rPr>
              <w:t xml:space="preserve">M4. Negativa a entregar la reversibilidad, entrega incompleta del Dossier de Reversibilidad no subsanada en el plazo requerido, o negativa a mantener la licencia de continuidad del producto base en los términos de este pliego.</w:t>
            </w:r>
          </w:p>
          <w:p>
            <w:pPr>
              <w:spacing w:after="100" w:line="264"/>
            </w:pPr>
            <w:r>
              <w:rPr>
                <w:rFonts w:ascii="Georgia" w:cs="Georgia" w:eastAsia="Georgia" w:hAnsi="Georgia"/>
                <w:sz w:val="20"/>
                <w:szCs w:val="20"/>
              </w:rPr>
              <w:t xml:space="preserve">M5. Introducción de información municipal del nivel 1 definido en la cláusula [ADM-13], apartado 1, en un sistema de inteligencia artificial no autorizado en este contrato, cuando conste su incorporación efectiva.</w:t>
            </w:r>
          </w:p>
          <w:p>
            <w:pPr>
              <w:spacing w:after="100" w:line="264"/>
            </w:pPr>
            <w:r>
              <w:rPr>
                <w:rFonts w:ascii="Georgia" w:cs="Georgia" w:eastAsia="Georgia" w:hAnsi="Georgia"/>
                <w:sz w:val="20"/>
                <w:szCs w:val="20"/>
              </w:rPr>
              <w:t xml:space="preserve">M6. Denegación o supresión del acceso de los órganos de control.</w:t>
            </w:r>
          </w:p>
          <w:p>
            <w:pPr>
              <w:spacing w:after="100" w:line="264"/>
            </w:pPr>
            <w:r>
              <w:rPr>
                <w:rFonts w:ascii="Georgia" w:cs="Georgia" w:eastAsia="Georgia" w:hAnsi="Georgia"/>
                <w:sz w:val="20"/>
                <w:szCs w:val="20"/>
              </w:rPr>
              <w:t xml:space="preserve">M7. Falta de acreditación del sistema de gestión exigido por cualquiera de las vías admitidas en la cláusula correspondiente de este pliego, no subsanada en el plazo de la letra G8.</w:t>
            </w:r>
          </w:p>
          <w:p>
            <w:pPr>
              <w:spacing w:after="100" w:line="264"/>
            </w:pPr>
            <w:r>
              <w:rPr>
                <w:rFonts w:ascii="Georgia" w:cs="Georgia" w:eastAsia="Georgia" w:hAnsi="Georgia"/>
                <w:sz w:val="20"/>
                <w:szCs w:val="20"/>
              </w:rPr>
              <w:t xml:space="preserve">M8. Afectación grave a la seguridad o a la continuidad del servicio imputable al contratista.</w:t>
            </w:r>
          </w:p>
          <w:p>
            <w:pPr>
              <w:spacing w:after="100" w:line="264"/>
            </w:pPr>
            <w:r>
              <w:rPr>
                <w:rFonts w:ascii="Georgia" w:cs="Georgia" w:eastAsia="Georgia" w:hAnsi="Georgia"/>
                <w:sz w:val="20"/>
                <w:szCs w:val="20"/>
              </w:rPr>
              <w:t xml:space="preserve">M9. Empleo de una práctica de inteligencia artificial prohibida; adopción de decisiones automatizadas con efecto jurídico sin la habilitación exigida; o negativa a entregar los registros de funcionamiento o a facilitar el acceso para auditoría previstos en la cláusula técnica de incorporación de inteligencia artificial.</w:t>
            </w:r>
          </w:p>
          <w:p>
            <w:pPr>
              <w:spacing w:after="100" w:line="264"/>
            </w:pPr>
            <w:r>
              <w:rPr>
                <w:rFonts w:ascii="Georgia" w:cs="Georgia" w:eastAsia="Georgia" w:hAnsi="Georgia"/>
                <w:sz w:val="20"/>
                <w:szCs w:val="20"/>
              </w:rPr>
              <w:t xml:space="preserve">M10. Inscripción de datos personales en un registro distribuido contra lo previsto en la cláusula técnica de capa de confianza.</w:t>
            </w:r>
          </w:p>
          <w:p>
            <w:pPr>
              <w:spacing w:after="100" w:line="264"/>
            </w:pPr>
            <w:r>
              <w:rPr>
                <w:rFonts w:ascii="Georgia" w:cs="Georgia" w:eastAsia="Georgia" w:hAnsi="Georgia"/>
                <w:sz w:val="20"/>
                <w:szCs w:val="20"/>
              </w:rPr>
              <w:t xml:space="preserve">M11. Empleo de algoritmos criptográficos expresamente desaconsejados por las guías CCN-STIC aplicables, no subsanado tras requerimiento.</w:t>
            </w:r>
          </w:p>
          <w:p>
            <w:pPr>
              <w:spacing w:after="100" w:line="264"/>
            </w:pPr>
            <w:r>
              <w:rPr>
                <w:rFonts w:ascii="Georgia" w:cs="Georgia" w:eastAsia="Georgia" w:hAnsi="Georgia"/>
                <w:sz w:val="20"/>
                <w:szCs w:val="20"/>
              </w:rPr>
              <w:t xml:space="preserve">M12. Automatización que afecte a un procedimiento administrativo sin la habilitación exigida por la cláusula técnica de incorporación de inteligencia artificial, o ausencia de procedimiento de reversión en una automatización con efectos sobre terceros.</w:t>
            </w:r>
          </w:p>
          <w:p>
            <w:pPr>
              <w:spacing w:after="100" w:line="264"/>
            </w:pPr>
            <w:r>
              <w:rPr>
                <w:rFonts w:ascii="Georgia" w:cs="Georgia" w:eastAsia="Georgia" w:hAnsi="Georgia"/>
                <w:sz w:val="20"/>
                <w:szCs w:val="20"/>
              </w:rPr>
              <w:t xml:space="preserve">M13. Falta de integración con un servicio común de utilización obligatoria en el plazo del pliego, o facturación o tarificación de las consultas o de las exportaciones que este pliego declara incluidas en el precio.</w:t>
            </w:r>
          </w:p>
          <w:p>
            <w:pPr>
              <w:spacing w:after="100" w:line="264"/>
            </w:pPr>
            <w:r>
              <w:rPr>
                <w:rFonts w:ascii="Georgia" w:cs="Georgia" w:eastAsia="Georgia" w:hAnsi="Georgia"/>
                <w:sz w:val="20"/>
                <w:szCs w:val="20"/>
              </w:rPr>
              <w:t xml:space="preserve">M14. Incumplimiento de los plazos de subsanación de vulnerabilidades de severidad crítica, o negativa a la auditoría de seguridad prevista en este pliego.</w:t>
            </w:r>
          </w:p>
          <w:p>
            <w:pPr>
              <w:spacing w:after="100" w:line="264"/>
            </w:pPr>
            <w:r>
              <w:rPr>
                <w:rFonts w:ascii="Georgia" w:cs="Georgia" w:eastAsia="Georgia" w:hAnsi="Georgia"/>
                <w:sz w:val="20"/>
                <w:szCs w:val="20"/>
              </w:rPr>
              <w:t xml:space="preserve">M15. Incumplimiento del plazo máximo de entrega de la interfaz normalizada de acceso programático; imposibilidad de ejecutar la suspensión de la actuación de los agentes sin intervención del adjudicatario; o imposibilidad de exportar el registro de auditoría de la interfaz.</w:t>
            </w:r>
          </w:p>
          <w:p>
            <w:pPr>
              <w:pStyle w:val="ListParagraph"/>
              <w:numPr>
                <w:ilvl w:val="0"/>
                <w:numId w:val="2"/>
              </w:numPr>
              <w:spacing w:after="60" w:line="264"/>
            </w:pPr>
            <w:r>
              <w:rPr>
                <w:rFonts w:ascii="Georgia" w:cs="Georgia" w:eastAsia="Georgia" w:hAnsi="Georgia"/>
                <w:b/>
                <w:bCs/>
                <w:sz w:val="20"/>
                <w:szCs w:val="20"/>
              </w:rPr>
              <w:t xml:space="preserve">Procedimiento.</w:t>
            </w:r>
            <w:r>
              <w:rPr>
                <w:rFonts w:ascii="Georgia" w:cs="Georgia" w:eastAsia="Georgia" w:hAnsi="Georgia"/>
                <w:sz w:val="20"/>
                <w:szCs w:val="20"/>
              </w:rPr>
              <w:t xml:space="preserve"> Las penalidades se imponen por acuerdo del órgano de contratación, a propuesta motivada del responsable del contrato, previa audiencia del contratista por plazo no inferior a [X; se recomienda 10] días hábiles, y se hacen efectivas mediante deducción de las cantidades que deban abonarse al contratista o, en su defecto, sobre la garantía definitiva.</w:t>
            </w:r>
          </w:p>
          <w:p>
            <w:pPr>
              <w:pStyle w:val="ListParagraph"/>
              <w:numPr>
                <w:ilvl w:val="0"/>
                <w:numId w:val="2"/>
              </w:numPr>
              <w:spacing w:after="60" w:line="264"/>
            </w:pPr>
            <w:r>
              <w:rPr>
                <w:rFonts w:ascii="Georgia" w:cs="Georgia" w:eastAsia="Georgia" w:hAnsi="Georgia"/>
                <w:b/>
                <w:bCs/>
                <w:sz w:val="20"/>
                <w:szCs w:val="20"/>
              </w:rPr>
              <w:t xml:space="preserve">Regla de acumulación.</w:t>
            </w:r>
            <w:r>
              <w:rPr>
                <w:rFonts w:ascii="Georgia" w:cs="Georgia" w:eastAsia="Georgia" w:hAnsi="Georgia"/>
                <w:sz w:val="20"/>
                <w:szCs w:val="20"/>
              </w:rPr>
              <w:t xml:space="preserve"> Cuando el importe acumulado de las penalidades impuestas alcance el [X; se recomienda 20] por ciento del precio del contrato, el órgano de contratación valorará expresamente, y hará constar en el expediente, la procedencia de iniciar el procedimiento de resolución conforme a la cláusula de obligaciones esenciales de este pliego.</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PCAP, cláusula de penalidades. Las cuantías concretas, en el cuadro de características. </w:t>
      </w:r>
      <w:r>
        <w:rPr>
          <w:rFonts w:ascii="Calibri" w:cs="Calibri" w:eastAsia="Calibri" w:hAnsi="Calibri"/>
          <w:b/>
          <w:bCs/>
          <w:sz w:val="21"/>
          <w:szCs w:val="21"/>
        </w:rPr>
        <w:t xml:space="preserve">El listado del apartado 3 se copia como lista con casillas de borrado, no como texto corrido</w:t>
      </w:r>
      <w:r>
        <w:rPr>
          <w:rFonts w:ascii="Calibri" w:cs="Calibri" w:eastAsia="Calibri" w:hAnsi="Calibri"/>
          <w:sz w:val="21"/>
          <w:szCs w:val="21"/>
        </w:rPr>
        <w:t xml:space="preserve">: cada tipo que remita a una cláusula marcada NO APLICA se elimina antes de publicar. La tabla de dependencias del Anexo VI indica cuáles.</w:t>
      </w:r>
    </w:p>
    <w:p>
      <w:pPr>
        <w:spacing w:after="140" w:line="276"/>
      </w:pPr>
      <w:r>
        <w:rPr>
          <w:rFonts w:ascii="Calibri" w:cs="Calibri" w:eastAsia="Calibri" w:hAnsi="Calibri"/>
          <w:b/>
          <w:bCs/>
          <w:sz w:val="21"/>
          <w:szCs w:val="21"/>
        </w:rPr>
        <w:t xml:space="preserve">Instrucción de alta, que es la que faltaba.</w:t>
      </w:r>
      <w:r>
        <w:rPr>
          <w:rFonts w:ascii="Calibri" w:cs="Calibri" w:eastAsia="Calibri" w:hAnsi="Calibri"/>
          <w:sz w:val="21"/>
          <w:szCs w:val="21"/>
        </w:rPr>
        <w:t xml:space="preserve"> Los tipos </w:t>
      </w:r>
      <w:r>
        <w:rPr>
          <w:rFonts w:ascii="Calibri" w:cs="Calibri" w:eastAsia="Calibri" w:hAnsi="Calibri"/>
          <w:b/>
          <w:bCs/>
          <w:sz w:val="21"/>
          <w:szCs w:val="21"/>
        </w:rPr>
        <w:t xml:space="preserve">L6 a L10, G10 a G22 y M9 a M15 proceden de las cláusulas técnicas de la Parte II</w:t>
      </w:r>
      <w:r>
        <w:rPr>
          <w:rFonts w:ascii="Calibri" w:cs="Calibri" w:eastAsia="Calibri" w:hAnsi="Calibri"/>
          <w:sz w:val="21"/>
          <w:szCs w:val="21"/>
        </w:rPr>
        <w:t xml:space="preserve">, y reproducen los hechos verificables que cada una tipifica en su epígrafe 6. Se conserva el tipo cuya cláusula técnica se haya incorporado y se borra el de la que se haya marcado NO APLICA. Correspondencia: DT-1·v3 → L6, G10, G11, G12, M9 · DT-2·v3 → L7 </w:t>
      </w:r>
      <w:r>
        <w:rPr>
          <w:rFonts w:ascii="Calibri" w:cs="Calibri" w:eastAsia="Calibri" w:hAnsi="Calibri"/>
          <w:i/>
          <w:iCs/>
          <w:sz w:val="21"/>
          <w:szCs w:val="21"/>
        </w:rPr>
        <w:t xml:space="preserve">(en lo relativo al anclaje)</w:t>
      </w:r>
      <w:r>
        <w:rPr>
          <w:rFonts w:ascii="Calibri" w:cs="Calibri" w:eastAsia="Calibri" w:hAnsi="Calibri"/>
          <w:sz w:val="21"/>
          <w:szCs w:val="21"/>
        </w:rPr>
        <w:t xml:space="preserve">, G13, M10 · DT-3·v3 → L8 </w:t>
      </w:r>
      <w:r>
        <w:rPr>
          <w:rFonts w:ascii="Calibri" w:cs="Calibri" w:eastAsia="Calibri" w:hAnsi="Calibri"/>
          <w:i/>
          <w:iCs/>
          <w:sz w:val="21"/>
          <w:szCs w:val="21"/>
        </w:rPr>
        <w:t xml:space="preserve">(en lo relativo al plan criptográfico)</w:t>
      </w:r>
      <w:r>
        <w:rPr>
          <w:rFonts w:ascii="Calibri" w:cs="Calibri" w:eastAsia="Calibri" w:hAnsi="Calibri"/>
          <w:sz w:val="21"/>
          <w:szCs w:val="21"/>
        </w:rPr>
        <w:t xml:space="preserve">, G14, M11 · DT-4·v3 → L8 </w:t>
      </w:r>
      <w:r>
        <w:rPr>
          <w:rFonts w:ascii="Calibri" w:cs="Calibri" w:eastAsia="Calibri" w:hAnsi="Calibri"/>
          <w:i/>
          <w:iCs/>
          <w:sz w:val="21"/>
          <w:szCs w:val="21"/>
        </w:rPr>
        <w:t xml:space="preserve">(en lo relativo a los indicadores)</w:t>
      </w:r>
      <w:r>
        <w:rPr>
          <w:rFonts w:ascii="Calibri" w:cs="Calibri" w:eastAsia="Calibri" w:hAnsi="Calibri"/>
          <w:sz w:val="21"/>
          <w:szCs w:val="21"/>
        </w:rPr>
        <w:t xml:space="preserve">, G15, M12 · DT-5·v3 → L7, G16, G17, M13 · DT-6·v3 → L9, G8, G18, M7, M14 · DT-7·v3 → L7, G17, G19, M15 · DT-8·v3 → L10, G3, G20, M4 · DT-9·v3 → L2, G2, G5, G21, G22, M1, M2. </w:t>
      </w:r>
      <w:r>
        <w:rPr>
          <w:rFonts w:ascii="Calibri" w:cs="Calibri" w:eastAsia="Calibri" w:hAnsi="Calibri"/>
          <w:b/>
          <w:bCs/>
          <w:sz w:val="21"/>
          <w:szCs w:val="21"/>
        </w:rPr>
        <w:t xml:space="preserve">Sin este trasvase, el pliego anuncia en el PPT penalidades que su PCAP declara inexistentes</w:t>
      </w:r>
      <w:r>
        <w:rPr>
          <w:rFonts w:ascii="Calibri" w:cs="Calibri" w:eastAsia="Calibri" w:hAnsi="Calibri"/>
          <w:sz w:val="21"/>
          <w:szCs w:val="21"/>
        </w:rPr>
        <w:t xml:space="preserve">, porque el apartado 3 tipifica de forma cerrada («exclusivamente») y ese adverbio es justamente lo que hace defendible el cuadro frente al artículo 211.1.f).2.º.</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b/>
          <w:bCs/>
          <w:sz w:val="21"/>
          <w:szCs w:val="21"/>
        </w:rPr>
        <w:t xml:space="preserve">Artículo 192.1 LCSP</w:t>
      </w:r>
      <w:r>
        <w:rPr>
          <w:rFonts w:ascii="Calibri" w:cs="Calibri" w:eastAsia="Calibri" w:hAnsi="Calibri"/>
          <w:sz w:val="21"/>
          <w:szCs w:val="21"/>
        </w:rPr>
        <w:t xml:space="preserve">, literal verificado: «Estas penalidades deberán ser proporcionales a la gravedad del incumplimiento y las cuantías de cada una de ellas no podrán ser superiores al 10 por ciento del precio del contrato, IVA excluido, ni el total de las mismas superar el 50 por cien del precio del contrato.» Y </w:t>
      </w:r>
      <w:r>
        <w:rPr>
          <w:rFonts w:ascii="Calibri" w:cs="Calibri" w:eastAsia="Calibri" w:hAnsi="Calibri"/>
          <w:b/>
          <w:bCs/>
          <w:sz w:val="21"/>
          <w:szCs w:val="21"/>
        </w:rPr>
        <w:t xml:space="preserve">artículo 202.3 LCSP</w:t>
      </w:r>
      <w:r>
        <w:rPr>
          <w:rFonts w:ascii="Calibri" w:cs="Calibri" w:eastAsia="Calibri" w:hAnsi="Calibri"/>
          <w:sz w:val="21"/>
          <w:szCs w:val="21"/>
        </w:rPr>
        <w:t xml:space="preserve">: los pliegos «podrán establecer penalidades, conforme a lo previsto en el apartado 1 del artículo 192, para el caso de incumplimiento de estas condiciones especiales de ejecución, o atribuirles el carácter de obligaciones contractuales esenciales a los efectos señalados en la letra f) del artículo 211». La ley ofrece dos vías; este catálogo usa las dos, pero no sobre las mismas conductas ni con el mismo automatismo.</w:t>
      </w:r>
    </w:p>
    <w:p>
      <w:pPr>
        <w:pStyle w:val="Heading3"/>
        <w:keepNext/>
        <w:spacing w:after="140" w:before="320"/>
      </w:pPr>
      <w:r>
        <w:rPr>
          <w:rFonts w:ascii="Georgia" w:cs="Georgia" w:eastAsia="Georgia" w:hAnsi="Georgia"/>
          <w:b/>
          <w:bCs/>
          <w:color w:val="2F5496"/>
          <w:sz w:val="22"/>
          <w:szCs w:val="22"/>
        </w:rPr>
        <w:t xml:space="preserve">4. Cómo se acredita</w:t>
      </w:r>
    </w:p>
    <w:p>
      <w:pPr>
        <w:spacing w:after="140" w:line="276"/>
      </w:pPr>
      <w:r>
        <w:rPr>
          <w:rFonts w:ascii="Calibri" w:cs="Calibri" w:eastAsia="Calibri" w:hAnsi="Calibri"/>
          <w:sz w:val="21"/>
          <w:szCs w:val="21"/>
        </w:rPr>
        <w:t xml:space="preserve">Cada tipo del apartado 3 está construido sobre un </w:t>
      </w:r>
      <w:r>
        <w:rPr>
          <w:rFonts w:ascii="Calibri" w:cs="Calibri" w:eastAsia="Calibri" w:hAnsi="Calibri"/>
          <w:b/>
          <w:bCs/>
          <w:sz w:val="21"/>
          <w:szCs w:val="21"/>
        </w:rPr>
        <w:t xml:space="preserve">hecho con documento</w:t>
      </w:r>
      <w:r>
        <w:rPr>
          <w:rFonts w:ascii="Calibri" w:cs="Calibri" w:eastAsia="Calibri" w:hAnsi="Calibri"/>
          <w:sz w:val="21"/>
          <w:szCs w:val="21"/>
        </w:rPr>
        <w:t xml:space="preserve">. Es deliberado: en un procedimiento contradictorio, una penalidad sólo se sostiene si el hecho consta.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Hecho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 que lo prueba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L1, G1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Fecha de presentación del Plan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Registro de entrada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L2, G5, M2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Fecha de publicación de la versión sucesora y fecha de comunicación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Nota del fabricante o publicación en su catálogo, y registro de comunicaciones del contrato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Convocatoria e inasistencia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Convocatoria con acuse y acta de la sesión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G2, M1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Vencimiento del plazo del Anexo sin acta de aceptación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transcrito en el PPT + ausencia de acta + requerimiento fehaciente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G3, G4, M3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Estado del Inventario y del depósito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Certificado de la entidad depositaria y acta de verificación técnica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G6, M6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Estado del acceso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Diligencia del órgano interventor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G7, M5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Sistema utilizado y su autorización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Declaración del contratista, autorizaciones concedidas y registro de accesos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G8, M7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Vigencia de la certificación y suficiencia de la documentación equivalente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Certificado o comunicación de la entidad certificadora, y requerimiento con la documentación aportada o su ausencia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Hito aprobado y fecha cierta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la Comisión y acuerdo de aprobación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Incidente y su imputabilidad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del servicio de informática y, en su caso, del responsable de seguridad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L6, G10, G11, G12, M9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Estado del inventario de sistemas de IA, clasificación de riesgo comunicada, punto de contacto y aceptación previa de cada funcionalidad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Inventario con fecha, registro de comunicaciones, acta de aceptación por funcionalidad y registro de accesos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L7, G13, M10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Documentación técnica del anclaje y verificación por tercero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prueba de verificación de integridad y de exportación de evidencias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L8, G14, M11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Entrega del inventario y del plan de transición criptográfica, y algoritmos empleados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anual de revisión del inventario y del plan, y requerimiento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L8, G15, M12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de automatización, acta de aceptación e indicadores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aceptación de la automatización e informe trimestral de indicadores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G16, G17, M13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Autonomía de la exportación, estado del diccionario, disponibilidad del entorno de pruebas e integración con servicios comunes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exportación autónoma, acta de prueba de integración y acta de disponibilidad del entorno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L9, G18, M14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Plazos de comunicación y de subsanación de vulnerabilidades, y auditoría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vulnerabilidades con fecha, informe anual de seguimiento de seguridad y requerimiento de auditoría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G19, M15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Entrega, plazo, suspensión y exportación del registro de la interfaz</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prueba de aceptación de la interfaz, con una fila por cada capacidad exigida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L10, G20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Actualización del Plan de Reversibilidad y realización del ensayo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Plan con fecha y acta de ensayo de reversibilidad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G21, G22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Estado de las capacidades ya aceptadas y contenido del acta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aceptación por exigencia y nota de comprobación anual</w:t>
            </w:r>
          </w:p>
        </w:tc>
      </w:tr>
    </w:tbl>
    <w:p>
      <w:pPr>
        <w:spacing w:after="200"/>
      </w:pPr>
    </w:p>
    <w:p>
      <w:pPr>
        <w:pStyle w:val="Heading3"/>
        <w:keepNext/>
        <w:spacing w:after="140" w:before="320"/>
      </w:pPr>
      <w:r>
        <w:rPr>
          <w:rFonts w:ascii="Georgia" w:cs="Georgia" w:eastAsia="Georgia" w:hAnsi="Georgia"/>
          <w:b/>
          <w:bCs/>
          <w:color w:val="2F5496"/>
          <w:sz w:val="22"/>
          <w:szCs w:val="22"/>
        </w:rPr>
        <w:t xml:space="preserve">5. Cómo se verifica</w:t>
      </w:r>
    </w:p>
    <w:p>
      <w:pPr>
        <w:spacing w:after="140" w:line="276"/>
      </w:pPr>
      <w:r>
        <w:rPr>
          <w:rFonts w:ascii="Calibri" w:cs="Calibri" w:eastAsia="Calibri" w:hAnsi="Calibri"/>
          <w:sz w:val="21"/>
          <w:szCs w:val="21"/>
        </w:rPr>
        <w:t xml:space="preserve">Los hechos se constatan en el curso de las verificaciones de ADM-4·v3; esta cláusula no añade carga periódica propia. La carga aparece cuando hay incumplimiento: </w:t>
      </w:r>
      <w:r>
        <w:rPr>
          <w:rFonts w:ascii="Calibri" w:cs="Calibri" w:eastAsia="Calibri" w:hAnsi="Calibri"/>
          <w:b/>
          <w:bCs/>
          <w:sz w:val="21"/>
          <w:szCs w:val="21"/>
        </w:rPr>
        <w:t xml:space="preserve">6 horas por expediente de penalidad</w:t>
      </w:r>
      <w:r>
        <w:rPr>
          <w:rFonts w:ascii="Calibri" w:cs="Calibri" w:eastAsia="Calibri" w:hAnsi="Calibri"/>
          <w:sz w:val="21"/>
          <w:szCs w:val="21"/>
        </w:rPr>
        <w:t xml:space="preserve"> (propuesta del responsable, audiencia, acuerdo y notificación), a las que se añaden las de fiscalización cuando proceda.</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spacing w:after="140" w:line="276"/>
      </w:pPr>
      <w:r>
        <w:rPr>
          <w:rFonts w:ascii="Calibri" w:cs="Calibri" w:eastAsia="Calibri" w:hAnsi="Calibri"/>
          <w:sz w:val="21"/>
          <w:szCs w:val="21"/>
        </w:rPr>
        <w:t xml:space="preserve">Es la propia cláusula. Dos precisiones que evitan errores frecuentes:</w:t>
      </w:r>
    </w:p>
    <w:p>
      <w:pPr>
        <w:pStyle w:val="ListParagraph"/>
        <w:numPr>
          <w:ilvl w:val="0"/>
          <w:numId w:val="1"/>
        </w:numPr>
        <w:spacing w:after="70" w:line="268"/>
      </w:pPr>
      <w:r>
        <w:rPr>
          <w:rFonts w:ascii="Calibri" w:cs="Calibri" w:eastAsia="Calibri" w:hAnsi="Calibri"/>
          <w:sz w:val="21"/>
          <w:szCs w:val="21"/>
        </w:rPr>
        <w:t xml:space="preserve">La imposición de una penalidad </w:t>
      </w:r>
      <w:r>
        <w:rPr>
          <w:rFonts w:ascii="Calibri" w:cs="Calibri" w:eastAsia="Calibri" w:hAnsi="Calibri"/>
          <w:b/>
          <w:bCs/>
          <w:sz w:val="21"/>
          <w:szCs w:val="21"/>
        </w:rPr>
        <w:t xml:space="preserve">no impide</w:t>
      </w:r>
      <w:r>
        <w:rPr>
          <w:rFonts w:ascii="Calibri" w:cs="Calibri" w:eastAsia="Calibri" w:hAnsi="Calibri"/>
          <w:sz w:val="21"/>
          <w:szCs w:val="21"/>
        </w:rPr>
        <w:t xml:space="preserve"> que el mismo hecho, si está tipificado en ADM-6·v3, funde además la resolución y la indemnización de daños. El Pleno del TACRC lo declaró expresamente: </w:t>
      </w:r>
      <w:r>
        <w:rPr>
          <w:rFonts w:ascii="Calibri" w:cs="Calibri" w:eastAsia="Calibri" w:hAnsi="Calibri"/>
          <w:i/>
          <w:iCs/>
          <w:sz w:val="21"/>
          <w:szCs w:val="21"/>
        </w:rPr>
        <w:t xml:space="preserve">«debe rechazarse el motivo de recurso relativo a la vulneración de los principios non bis in ídem y de proporcionalidad, por el hecho de que una misma circunstancia que se configura como condición especial de ejecución, conlleve en caso de incumplimiento la imposición de una penalidad, la configuración como causa potestativa de resolución contractual y la obligación de resarcir los daños causados»</w:t>
      </w:r>
      <w:r>
        <w:rPr>
          <w:rFonts w:ascii="Calibri" w:cs="Calibri" w:eastAsia="Calibri" w:hAnsi="Calibri"/>
          <w:sz w:val="21"/>
          <w:szCs w:val="21"/>
        </w:rPr>
        <w:t xml:space="preserve"> (Resolución 1111/2022, Pleno, de 27 de septiembre de 2022, recurso 842/2022, FD Octavo; </w:t>
      </w:r>
      <w:hyperlink w:history="1" r:id="rIddtjnui6gnsed9vwb7aqep">
        <w:r>
          <w:rPr>
            <w:rFonts w:ascii="Calibri" w:cs="Calibri" w:eastAsia="Calibri" w:hAnsi="Calibri"/>
            <w:color w:val="2F5496"/>
            <w:sz w:val="21"/>
            <w:szCs w:val="21"/>
            <w:u w:val="single"/>
          </w:rPr>
          <w:t xml:space="preserve">PDF</w:t>
        </w:r>
      </w:hyperlink>
      <w:r>
        <w:rPr>
          <w:rFonts w:ascii="Calibri" w:cs="Calibri" w:eastAsia="Calibri" w:hAnsi="Calibri"/>
          <w:sz w:val="21"/>
          <w:szCs w:val="21"/>
        </w:rPr>
        <w:t xml:space="preserve">%2027-09-2022.pdf)). Doctrina general trasladada por analogía; la incorporación del PDF al expediente es lo que la hace útil.</w:t>
      </w:r>
    </w:p>
    <w:p>
      <w:pPr>
        <w:pStyle w:val="ListParagraph"/>
        <w:numPr>
          <w:ilvl w:val="0"/>
          <w:numId w:val="1"/>
        </w:numPr>
        <w:spacing w:after="70" w:line="268"/>
      </w:pPr>
      <w:r>
        <w:rPr>
          <w:rFonts w:ascii="Calibri" w:cs="Calibri" w:eastAsia="Calibri" w:hAnsi="Calibri"/>
          <w:sz w:val="21"/>
          <w:szCs w:val="21"/>
        </w:rPr>
        <w:t xml:space="preserve">La penalidad </w:t>
      </w:r>
      <w:r>
        <w:rPr>
          <w:rFonts w:ascii="Calibri" w:cs="Calibri" w:eastAsia="Calibri" w:hAnsi="Calibri"/>
          <w:b/>
          <w:bCs/>
          <w:sz w:val="21"/>
          <w:szCs w:val="21"/>
        </w:rPr>
        <w:t xml:space="preserve">no es requisito previo</w:t>
      </w:r>
      <w:r>
        <w:rPr>
          <w:rFonts w:ascii="Calibri" w:cs="Calibri" w:eastAsia="Calibri" w:hAnsi="Calibri"/>
          <w:sz w:val="21"/>
          <w:szCs w:val="21"/>
        </w:rPr>
        <w:t xml:space="preserve"> de la resolución, ni la resolución consecuencia automática de la penalidad.</w:t>
      </w: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sz w:val="21"/>
          <w:szCs w:val="21"/>
        </w:rPr>
        <w:t xml:space="preserve">Los tipos que remitan a cláusulas marcadas NO APLICA </w:t>
      </w:r>
      <w:r>
        <w:rPr>
          <w:rFonts w:ascii="Calibri" w:cs="Calibri" w:eastAsia="Calibri" w:hAnsi="Calibri"/>
          <w:b/>
          <w:bCs/>
          <w:sz w:val="21"/>
          <w:szCs w:val="21"/>
        </w:rPr>
        <w:t xml:space="preserve">se borran</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b/>
          <w:bCs/>
          <w:sz w:val="21"/>
          <w:szCs w:val="21"/>
        </w:rPr>
        <w:t xml:space="preserve">No se tipifica, en ningún caso, la falta de la demostración funcional ni su resultado.</w:t>
      </w:r>
      <w:r>
        <w:rPr>
          <w:rFonts w:ascii="Calibri" w:cs="Calibri" w:eastAsia="Calibri" w:hAnsi="Calibri"/>
          <w:sz w:val="21"/>
          <w:szCs w:val="21"/>
        </w:rPr>
        <w:t xml:space="preserve"> La demostración es un acto de la fase de licitación, no de la ejecución del contrato, y </w:t>
      </w:r>
      <w:r>
        <w:rPr>
          <w:rFonts w:ascii="Calibri" w:cs="Calibri" w:eastAsia="Calibri" w:hAnsi="Calibri"/>
          <w:b/>
          <w:bCs/>
          <w:sz w:val="21"/>
          <w:szCs w:val="21"/>
        </w:rPr>
        <w:t xml:space="preserve">no atribuye puntuación alguna</w:t>
      </w:r>
      <w:r>
        <w:rPr>
          <w:rFonts w:ascii="Calibri" w:cs="Calibri" w:eastAsia="Calibri" w:hAnsi="Calibri"/>
          <w:sz w:val="21"/>
          <w:szCs w:val="21"/>
        </w:rPr>
        <w:t xml:space="preserve">: su único efecto posible es confirmar o retirar la puntuación previamente asignada a lo que el licitador declaró por escrito en su oferta (ADM-9·v3, apartados 1 y 4), y nunca una penalidad. El v2 la tipificaba entre los incumplimientos graves; ese inciso desaparece.</w:t>
      </w:r>
    </w:p>
    <w:p>
      <w:pPr>
        <w:pStyle w:val="ListParagraph"/>
        <w:numPr>
          <w:ilvl w:val="0"/>
          <w:numId w:val="1"/>
        </w:numPr>
        <w:spacing w:after="70" w:line="268"/>
      </w:pPr>
      <w:r>
        <w:rPr>
          <w:rFonts w:ascii="Calibri" w:cs="Calibri" w:eastAsia="Calibri" w:hAnsi="Calibri"/>
          <w:b/>
          <w:bCs/>
          <w:sz w:val="21"/>
          <w:szCs w:val="21"/>
        </w:rPr>
        <w:t xml:space="preserve">No se tipifica la «obsolescencia tecnológica» como concepto</w:t>
      </w:r>
      <w:r>
        <w:rPr>
          <w:rFonts w:ascii="Calibri" w:cs="Calibri" w:eastAsia="Calibri" w:hAnsi="Calibri"/>
          <w:sz w:val="21"/>
          <w:szCs w:val="21"/>
        </w:rPr>
        <w:t xml:space="preserve">, ni la «negativa injustificada a evolucionar». Son apreciaciones, no hechos, y no sobreviven a un procedimiento contradictorio. Lo que se sanciona es la falta de implantación de una exigencia identificada del Anexo, con plazo vencido y requerimiento acreditado.</w:t>
      </w:r>
    </w:p>
    <w:p>
      <w:pPr>
        <w:pStyle w:val="ListParagraph"/>
        <w:numPr>
          <w:ilvl w:val="0"/>
          <w:numId w:val="1"/>
        </w:numPr>
        <w:spacing w:after="70" w:line="268"/>
      </w:pPr>
      <w:r>
        <w:rPr>
          <w:rFonts w:ascii="Calibri" w:cs="Calibri" w:eastAsia="Calibri" w:hAnsi="Calibri"/>
          <w:sz w:val="21"/>
          <w:szCs w:val="21"/>
        </w:rPr>
        <w:t xml:space="preserve">Contratos menores, basados en acuerdo marco, adhesiones a centrales de compra y prórrogas: no procede.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III.6 · ADM-6·v3 — Obligaciones contractuales esenciales y resolución</w:t>
      </w:r>
    </w:p>
    <w:p>
      <w:pPr>
        <w:spacing w:after="140" w:line="276"/>
      </w:pPr>
      <w:r>
        <w:rPr>
          <w:rFonts w:ascii="Calibri" w:cs="Calibri" w:eastAsia="Calibri" w:hAnsi="Calibri"/>
          <w:i/>
          <w:iCs/>
          <w:sz w:val="21"/>
          <w:szCs w:val="21"/>
        </w:rPr>
        <w:t xml:space="preserve">(Reescribe ADM-6 de v2. Es, junto con ADM-2·v3, el cambio de mayor calado. El v2 calificaba como esencial «un compromiso» y «el cumplimiento de un plan» redactado por el propio adjudicatario. El artículo 211.1.f).2.º exige lo contrario: enumeración «precisa, clara e inequívoca», y declara «no siendo admisibles cláusulas de tipo general».)</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Obligaciones contractuales esenciales y resolución del contrato.</w:t>
            </w:r>
          </w:p>
          <w:p>
            <w:pPr>
              <w:spacing w:after="100" w:line="264"/>
            </w:pPr>
            <w:r>
              <w:rPr>
                <w:rFonts w:ascii="Georgia" w:cs="Georgia" w:eastAsia="Georgia" w:hAnsi="Georgia"/>
                <w:b/>
                <w:bCs/>
                <w:sz w:val="20"/>
                <w:szCs w:val="20"/>
              </w:rPr>
              <w:t xml:space="preserve">1. Bloque A. Obligaciones esenciales por imperativo legal.</w:t>
            </w:r>
            <w:r>
              <w:rPr>
                <w:rFonts w:ascii="Georgia" w:cs="Georgia" w:eastAsia="Georgia" w:hAnsi="Georgia"/>
                <w:sz w:val="20"/>
                <w:szCs w:val="20"/>
              </w:rPr>
              <w:t xml:space="preserve"> </w:t>
            </w:r>
            <w:r>
              <w:rPr>
                <w:rFonts w:ascii="Georgia" w:cs="Georgia" w:eastAsia="Georgia" w:hAnsi="Georgia"/>
                <w:i/>
                <w:iCs/>
                <w:sz w:val="20"/>
                <w:szCs w:val="20"/>
              </w:rPr>
              <w:t xml:space="preserve">[Se copian únicamente los apartados cuyo presupuesto concurra en este contrato. Si no concurre ninguno, este bloque no se incorpora.]</w:t>
            </w:r>
          </w:p>
          <w:p>
            <w:pPr>
              <w:spacing w:after="100" w:line="264"/>
            </w:pPr>
            <w:r>
              <w:rPr>
                <w:rFonts w:ascii="Georgia" w:cs="Georgia" w:eastAsia="Georgia" w:hAnsi="Georgia"/>
                <w:sz w:val="20"/>
                <w:szCs w:val="20"/>
              </w:rPr>
              <w:t xml:space="preserve">1.1 </w:t>
            </w:r>
            <w:r>
              <w:rPr>
                <w:rFonts w:ascii="Georgia" w:cs="Georgia" w:eastAsia="Georgia" w:hAnsi="Georgia"/>
                <w:i/>
                <w:iCs/>
                <w:sz w:val="20"/>
                <w:szCs w:val="20"/>
              </w:rPr>
              <w:t xml:space="preserve">[Sólo si la ejecución de este contrato implica la cesión de datos por el Ayuntamiento al contratista.]</w:t>
            </w:r>
            <w:r>
              <w:rPr>
                <w:rFonts w:ascii="Georgia" w:cs="Georgia" w:eastAsia="Georgia" w:hAnsi="Georgia"/>
                <w:sz w:val="20"/>
                <w:szCs w:val="20"/>
              </w:rPr>
              <w:t xml:space="preserve"> Conforme al artículo 202.1, párrafo tercero, de la Ley 9/2017, se establece como condición especial de ejecución la obligación del contratista de someterse a la normativa nacional y de la Unión Europea en materia de protección de datos, y </w:t>
            </w:r>
            <w:r>
              <w:rPr>
                <w:rFonts w:ascii="Georgia" w:cs="Georgia" w:eastAsia="Georgia" w:hAnsi="Georgia"/>
                <w:b/>
                <w:bCs/>
                <w:sz w:val="20"/>
                <w:szCs w:val="20"/>
              </w:rPr>
              <w:t xml:space="preserve">se le advierte de que esta obligación tiene el carácter de obligación contractual esencial</w:t>
            </w:r>
            <w:r>
              <w:rPr>
                <w:rFonts w:ascii="Georgia" w:cs="Georgia" w:eastAsia="Georgia" w:hAnsi="Georgia"/>
                <w:sz w:val="20"/>
                <w:szCs w:val="20"/>
              </w:rPr>
              <w:t xml:space="preserve"> a los efectos de la letra f) del apartado 1 del artículo 211 de la misma ley. La finalidad del tratamiento de los datos cedidos es la que consta especificada en el expediente de contratación.</w:t>
            </w:r>
          </w:p>
          <w:p>
            <w:pPr>
              <w:spacing w:after="100" w:line="264"/>
            </w:pPr>
            <w:r>
              <w:rPr>
                <w:rFonts w:ascii="Georgia" w:cs="Georgia" w:eastAsia="Georgia" w:hAnsi="Georgia"/>
                <w:sz w:val="20"/>
                <w:szCs w:val="20"/>
              </w:rPr>
              <w:t xml:space="preserve">1.2 </w:t>
            </w:r>
            <w:r>
              <w:rPr>
                <w:rFonts w:ascii="Georgia" w:cs="Georgia" w:eastAsia="Georgia" w:hAnsi="Georgia"/>
                <w:i/>
                <w:iCs/>
                <w:sz w:val="20"/>
                <w:szCs w:val="20"/>
              </w:rPr>
              <w:t xml:space="preserve">[Sólo si la ejecución de este contrato requiere el tratamiento por el contratista de datos personales por cuenta del responsable.]</w:t>
            </w:r>
            <w:r>
              <w:rPr>
                <w:rFonts w:ascii="Georgia" w:cs="Georgia" w:eastAsia="Georgia" w:hAnsi="Georgia"/>
                <w:sz w:val="20"/>
                <w:szCs w:val="20"/>
              </w:rPr>
              <w:t xml:space="preserve"> Se incorporan a este pliego las menciones exigidas por el artículo 122.2 de la Ley 9/2017 —relativas, entre otras, a la finalidad del tratamiento, a la obligación del contratista de someterse a la normativa de protección de datos, a la indicación del servidor y del país donde se alojarán los datos, a la comunicación de cualquier cambio al respecto y a la subcontratación de servicios que comporten dicho tratamiento—, </w:t>
            </w:r>
            <w:r>
              <w:rPr>
                <w:rFonts w:ascii="Georgia" w:cs="Georgia" w:eastAsia="Georgia" w:hAnsi="Georgia"/>
                <w:b/>
                <w:bCs/>
                <w:sz w:val="20"/>
                <w:szCs w:val="20"/>
              </w:rPr>
              <w:t xml:space="preserve">que en todo caso tienen el carácter de obligaciones contractuales esenciales</w:t>
            </w:r>
            <w:r>
              <w:rPr>
                <w:rFonts w:ascii="Georgia" w:cs="Georgia" w:eastAsia="Georgia" w:hAnsi="Georgia"/>
                <w:sz w:val="20"/>
                <w:szCs w:val="20"/>
              </w:rPr>
              <w:t xml:space="preserve"> a los efectos de la letra f) del apartado 1 del artículo 211. </w:t>
            </w:r>
            <w:r>
              <w:rPr>
                <w:rFonts w:ascii="Georgia" w:cs="Georgia" w:eastAsia="Georgia" w:hAnsi="Georgia"/>
                <w:i/>
                <w:iCs/>
                <w:sz w:val="20"/>
                <w:szCs w:val="20"/>
              </w:rPr>
              <w:t xml:space="preserve">[Transcríbanse aquí las letras a) a e) del artículo 122.2 de la Ley 9/2017 en su redacción vigente.]</w:t>
            </w:r>
          </w:p>
          <w:p>
            <w:pPr>
              <w:spacing w:after="100" w:line="264"/>
            </w:pPr>
            <w:r>
              <w:rPr>
                <w:rFonts w:ascii="Georgia" w:cs="Georgia" w:eastAsia="Georgia" w:hAnsi="Georgia"/>
                <w:b/>
                <w:bCs/>
                <w:sz w:val="20"/>
                <w:szCs w:val="20"/>
              </w:rPr>
              <w:t xml:space="preserve">2. Bloque B. Obligaciones esenciales por decisión de este pliego.</w:t>
            </w:r>
            <w:r>
              <w:rPr>
                <w:rFonts w:ascii="Georgia" w:cs="Georgia" w:eastAsia="Georgia" w:hAnsi="Georgia"/>
                <w:sz w:val="20"/>
                <w:szCs w:val="20"/>
              </w:rPr>
              <w:t xml:space="preserve"> Se califican expresamente como obligaciones contractuales esenciales, a los efectos del artículo 211.1.f) de la Ley 9/2017, y de forma tasada, </w:t>
            </w:r>
            <w:r>
              <w:rPr>
                <w:rFonts w:ascii="Georgia" w:cs="Georgia" w:eastAsia="Georgia" w:hAnsi="Georgia"/>
                <w:b/>
                <w:bCs/>
                <w:sz w:val="20"/>
                <w:szCs w:val="20"/>
              </w:rPr>
              <w:t xml:space="preserve">exclusivamente</w:t>
            </w:r>
            <w:r>
              <w:rPr>
                <w:rFonts w:ascii="Georgia" w:cs="Georgia" w:eastAsia="Georgia" w:hAnsi="Georgia"/>
                <w:sz w:val="20"/>
                <w:szCs w:val="20"/>
              </w:rPr>
              <w:t xml:space="preserve"> los siguientes incumplimientos:</w:t>
            </w:r>
          </w:p>
          <w:p>
            <w:pPr>
              <w:spacing w:after="100" w:line="264"/>
            </w:pPr>
            <w:r>
              <w:rPr>
                <w:rFonts w:ascii="Georgia" w:cs="Georgia" w:eastAsia="Georgia" w:hAnsi="Georgia"/>
                <w:b/>
                <w:bCs/>
                <w:sz w:val="20"/>
                <w:szCs w:val="20"/>
              </w:rPr>
              <w:t xml:space="preserve">B.1 — Respecto de las cláusulas de este pliego que efectivamente se hayan incorporado:</w:t>
            </w:r>
          </w:p>
          <w:p>
            <w:pPr>
              <w:spacing w:after="100" w:line="264"/>
            </w:pPr>
            <w:r>
              <w:rPr>
                <w:rFonts w:ascii="Georgia" w:cs="Georgia" w:eastAsia="Georgia" w:hAnsi="Georgia"/>
                <w:sz w:val="20"/>
                <w:szCs w:val="20"/>
              </w:rPr>
              <w:t xml:space="preserve">a) </w:t>
            </w:r>
            <w:r>
              <w:rPr>
                <w:rFonts w:ascii="Georgia" w:cs="Georgia" w:eastAsia="Georgia" w:hAnsi="Georgia"/>
                <w:i/>
                <w:iCs/>
                <w:sz w:val="20"/>
                <w:szCs w:val="20"/>
              </w:rPr>
              <w:t xml:space="preserve">[Sólo si este pliego incorpora la cláusula de reversibilidad.]</w:t>
            </w:r>
            <w:r>
              <w:rPr>
                <w:rFonts w:ascii="Georgia" w:cs="Georgia" w:eastAsia="Georgia" w:hAnsi="Georgia"/>
                <w:sz w:val="20"/>
                <w:szCs w:val="20"/>
              </w:rPr>
              <w:t xml:space="preserve"> La negativa a entregar el material de titularidad municipal, el Dossier de Reversibilidad y el Inventario de Componentes, o su entrega incompleta no subsanada en el plazo de [X; se recomienda 1] mes desde requerimiento fehaciente.</w:t>
            </w:r>
          </w:p>
          <w:p>
            <w:pPr>
              <w:spacing w:after="100" w:line="264"/>
            </w:pPr>
            <w:r>
              <w:rPr>
                <w:rFonts w:ascii="Georgia" w:cs="Georgia" w:eastAsia="Georgia" w:hAnsi="Georgia"/>
                <w:sz w:val="20"/>
                <w:szCs w:val="20"/>
              </w:rPr>
              <w:t xml:space="preserve">b) </w:t>
            </w:r>
            <w:r>
              <w:rPr>
                <w:rFonts w:ascii="Georgia" w:cs="Georgia" w:eastAsia="Georgia" w:hAnsi="Georgia"/>
                <w:i/>
                <w:iCs/>
                <w:sz w:val="20"/>
                <w:szCs w:val="20"/>
              </w:rPr>
              <w:t xml:space="preserve">[Sólo si este pliego incorpora la cláusula de depósito de código.]</w:t>
            </w:r>
            <w:r>
              <w:rPr>
                <w:rFonts w:ascii="Georgia" w:cs="Georgia" w:eastAsia="Georgia" w:hAnsi="Georgia"/>
                <w:sz w:val="20"/>
                <w:szCs w:val="20"/>
              </w:rPr>
              <w:t xml:space="preserve"> La negativa a constituir el depósito de código </w:t>
            </w:r>
            <w:r>
              <w:rPr>
                <w:rFonts w:ascii="Georgia" w:cs="Georgia" w:eastAsia="Georgia" w:hAnsi="Georgia"/>
                <w:b/>
                <w:bCs/>
                <w:sz w:val="20"/>
                <w:szCs w:val="20"/>
              </w:rPr>
              <w:t xml:space="preserve">o el plan de continuidad equivalente, por la vía de cumplimiento elegida conforme a la cláusula [ADM-11], apartado 3</w:t>
            </w:r>
            <w:r>
              <w:rPr>
                <w:rFonts w:ascii="Georgia" w:cs="Georgia" w:eastAsia="Georgia" w:hAnsi="Georgia"/>
                <w:sz w:val="20"/>
                <w:szCs w:val="20"/>
              </w:rPr>
              <w:t xml:space="preserve">, la negativa a liberar el depósito concurriendo un supuesto tasado de liberación, o la entrega de material incompleto o no verificable, no subsanadas en el plazo de [X; se recomienda 1] mes desde requerimiento fehaciente.</w:t>
            </w:r>
          </w:p>
          <w:p>
            <w:pPr>
              <w:spacing w:after="100" w:line="264"/>
            </w:pPr>
            <w:r>
              <w:rPr>
                <w:rFonts w:ascii="Georgia" w:cs="Georgia" w:eastAsia="Georgia" w:hAnsi="Georgia"/>
                <w:sz w:val="20"/>
                <w:szCs w:val="20"/>
              </w:rPr>
              <w:t xml:space="preserve">c) </w:t>
            </w:r>
            <w:r>
              <w:rPr>
                <w:rFonts w:ascii="Georgia" w:cs="Georgia" w:eastAsia="Georgia" w:hAnsi="Georgia"/>
                <w:i/>
                <w:iCs/>
                <w:sz w:val="20"/>
                <w:szCs w:val="20"/>
              </w:rPr>
              <w:t xml:space="preserve">[Sólo si este pliego incorpora la cláusula de acceso de los órganos de control.]</w:t>
            </w:r>
            <w:r>
              <w:rPr>
                <w:rFonts w:ascii="Georgia" w:cs="Georgia" w:eastAsia="Georgia" w:hAnsi="Georgia"/>
                <w:sz w:val="20"/>
                <w:szCs w:val="20"/>
              </w:rPr>
              <w:t xml:space="preserve"> La denegación o supresión del acceso de los órganos municipales de control a los datos de ejecución del contrato, no restablecido en el plazo de [X; se recomienda 15] días naturales desde requerimiento fehaciente.</w:t>
            </w:r>
          </w:p>
          <w:p>
            <w:pPr>
              <w:spacing w:after="100" w:line="264"/>
            </w:pPr>
            <w:r>
              <w:rPr>
                <w:rFonts w:ascii="Georgia" w:cs="Georgia" w:eastAsia="Georgia" w:hAnsi="Georgia"/>
                <w:sz w:val="20"/>
                <w:szCs w:val="20"/>
              </w:rPr>
              <w:t xml:space="preserve">d) </w:t>
            </w:r>
            <w:r>
              <w:rPr>
                <w:rFonts w:ascii="Georgia" w:cs="Georgia" w:eastAsia="Georgia" w:hAnsi="Georgia"/>
                <w:i/>
                <w:iCs/>
                <w:sz w:val="20"/>
                <w:szCs w:val="20"/>
              </w:rPr>
              <w:t xml:space="preserve">[Sólo si este pliego incorpora la cláusula de uso de sistemas de inteligencia artificial sobre información municipal.]</w:t>
            </w:r>
            <w:r>
              <w:rPr>
                <w:rFonts w:ascii="Georgia" w:cs="Georgia" w:eastAsia="Georgia" w:hAnsi="Georgia"/>
                <w:sz w:val="20"/>
                <w:szCs w:val="20"/>
              </w:rPr>
              <w:t xml:space="preserve"> La introducción de información municipal del nivel 1 definido en la cláusula [ADM-13], apartado 1, en sistemas de inteligencia artificial no autorizados en este contrato, cuando conste su incorporación efectiva.</w:t>
            </w:r>
          </w:p>
          <w:p>
            <w:pPr>
              <w:spacing w:after="100" w:line="264"/>
            </w:pPr>
            <w:r>
              <w:rPr>
                <w:rFonts w:ascii="Georgia" w:cs="Georgia" w:eastAsia="Georgia" w:hAnsi="Georgia"/>
                <w:b/>
                <w:bCs/>
                <w:sz w:val="20"/>
                <w:szCs w:val="20"/>
              </w:rPr>
              <w:t xml:space="preserve">B.2 — Sólo cuando este pliego lo haya marcado expresamente en el cuadro de características:</w:t>
            </w:r>
          </w:p>
          <w:p>
            <w:pPr>
              <w:spacing w:after="100" w:line="264"/>
            </w:pPr>
            <w:r>
              <w:rPr>
                <w:rFonts w:ascii="Georgia" w:cs="Georgia" w:eastAsia="Georgia" w:hAnsi="Georgia"/>
                <w:sz w:val="20"/>
                <w:szCs w:val="20"/>
              </w:rPr>
              <w:t xml:space="preserve">e) La falta de implantación de una exigencia del Anexo de Exigencias Tecnológicas Determinadas transcrito en el Pliego de Prescripciones Técnicas —nunca del alcance que el licitador haya ofertado por encima de él—, transcurrido su plazo y un plazo adicional de subsanación de [X; se recomienda 1] mes desde requerimiento fehaciente.</w:t>
            </w:r>
          </w:p>
          <w:p>
            <w:pPr>
              <w:spacing w:after="100" w:line="264"/>
            </w:pPr>
            <w:r>
              <w:rPr>
                <w:rFonts w:ascii="Georgia" w:cs="Georgia" w:eastAsia="Georgia" w:hAnsi="Georgia"/>
                <w:sz w:val="20"/>
                <w:szCs w:val="20"/>
              </w:rPr>
              <w:t xml:space="preserve">f) La falta de puesta a disposición del Ayuntamiento de una versión sucesora publicada por el fabricante y a la que el contratista tenga acceso, transcurrido el plazo de [X; se recomienda 1] mes desde requerimiento fehaciente.</w:t>
            </w:r>
          </w:p>
          <w:p>
            <w:pPr>
              <w:spacing w:after="100" w:line="264"/>
            </w:pPr>
            <w:r>
              <w:rPr>
                <w:rFonts w:ascii="Georgia" w:cs="Georgia" w:eastAsia="Georgia" w:hAnsi="Georgia"/>
                <w:sz w:val="20"/>
                <w:szCs w:val="20"/>
              </w:rPr>
              <w:t xml:space="preserve">g) La falta de entrega, en el </w:t>
            </w:r>
            <w:r>
              <w:rPr>
                <w:rFonts w:ascii="Georgia" w:cs="Georgia" w:eastAsia="Georgia" w:hAnsi="Georgia"/>
                <w:b/>
                <w:bCs/>
                <w:sz w:val="20"/>
                <w:szCs w:val="20"/>
              </w:rPr>
              <w:t xml:space="preserve">plazo máximo fijado en el Pliego de Prescripciones Técnicas</w:t>
            </w:r>
            <w:r>
              <w:rPr>
                <w:rFonts w:ascii="Georgia" w:cs="Georgia" w:eastAsia="Georgia" w:hAnsi="Georgia"/>
                <w:sz w:val="20"/>
                <w:szCs w:val="20"/>
              </w:rPr>
              <w:t xml:space="preserve"> —nunca en el plazo inferior que el licitador haya ofertado—, de la interfaz normalizada de acceso programático prevista en dicho pliego.</w:t>
            </w:r>
          </w:p>
          <w:p>
            <w:pPr>
              <w:spacing w:after="100" w:line="264"/>
            </w:pPr>
            <w:r>
              <w:rPr>
                <w:rFonts w:ascii="Georgia" w:cs="Georgia" w:eastAsia="Georgia" w:hAnsi="Georgia"/>
                <w:sz w:val="20"/>
                <w:szCs w:val="20"/>
              </w:rPr>
              <w:t xml:space="preserve">h) La falta de presentación del Plan Anual de Evolución Tecnológica </w:t>
            </w:r>
            <w:r>
              <w:rPr>
                <w:rFonts w:ascii="Georgia" w:cs="Georgia" w:eastAsia="Georgia" w:hAnsi="Georgia"/>
                <w:b/>
                <w:bCs/>
                <w:sz w:val="20"/>
                <w:szCs w:val="20"/>
              </w:rPr>
              <w:t xml:space="preserve">durante dos ejercicios consecutivos</w:t>
            </w:r>
            <w:r>
              <w:rPr>
                <w:rFonts w:ascii="Georgia" w:cs="Georgia" w:eastAsia="Georgia" w:hAnsi="Georgia"/>
                <w:sz w:val="20"/>
                <w:szCs w:val="20"/>
              </w:rPr>
              <w:t xml:space="preserve">.</w:t>
            </w:r>
          </w:p>
          <w:p>
            <w:pPr>
              <w:spacing w:after="100" w:line="264"/>
            </w:pPr>
            <w:r>
              <w:rPr>
                <w:rFonts w:ascii="Georgia" w:cs="Georgia" w:eastAsia="Georgia" w:hAnsi="Georgia"/>
                <w:sz w:val="20"/>
                <w:szCs w:val="20"/>
              </w:rPr>
              <w:t xml:space="preserve">i) El incumplimiento de los hitos del Plan Anual </w:t>
            </w:r>
            <w:r>
              <w:rPr>
                <w:rFonts w:ascii="Georgia" w:cs="Georgia" w:eastAsia="Georgia" w:hAnsi="Georgia"/>
                <w:b/>
                <w:bCs/>
                <w:sz w:val="20"/>
                <w:szCs w:val="20"/>
              </w:rPr>
              <w:t xml:space="preserve">expresamente aprobados por el órgano de contratación y recogidos con fecha cierta en acta de la Comisión de Seguimiento</w:t>
            </w:r>
            <w:r>
              <w:rPr>
                <w:rFonts w:ascii="Georgia" w:cs="Georgia" w:eastAsia="Georgia" w:hAnsi="Georgia"/>
                <w:sz w:val="20"/>
                <w:szCs w:val="20"/>
              </w:rPr>
              <w:t xml:space="preserve">.</w:t>
            </w:r>
          </w:p>
          <w:p>
            <w:pPr>
              <w:spacing w:after="100" w:line="264"/>
            </w:pPr>
            <w:r>
              <w:rPr>
                <w:rFonts w:ascii="Georgia" w:cs="Georgia" w:eastAsia="Georgia" w:hAnsi="Georgia"/>
                <w:b/>
                <w:bCs/>
                <w:sz w:val="20"/>
                <w:szCs w:val="20"/>
              </w:rPr>
              <w:t xml:space="preserve">3. Regla de cierre.</w:t>
            </w:r>
            <w:r>
              <w:rPr>
                <w:rFonts w:ascii="Georgia" w:cs="Georgia" w:eastAsia="Georgia" w:hAnsi="Georgia"/>
                <w:sz w:val="20"/>
                <w:szCs w:val="20"/>
              </w:rPr>
              <w:t xml:space="preserve"> </w:t>
            </w:r>
            <w:r>
              <w:rPr>
                <w:rFonts w:ascii="Georgia" w:cs="Georgia" w:eastAsia="Georgia" w:hAnsi="Georgia"/>
                <w:b/>
                <w:bCs/>
                <w:sz w:val="20"/>
                <w:szCs w:val="20"/>
              </w:rPr>
              <w:t xml:space="preserve">Ninguna otra de las obligaciones incorporadas a este pliego en virtud del catálogo [denominación y versión del catálogo, tal como conste en el acuerdo de aprobación] tiene el carácter de obligación contractual esencial</w:t>
            </w:r>
            <w:r>
              <w:rPr>
                <w:rFonts w:ascii="Georgia" w:cs="Georgia" w:eastAsia="Georgia" w:hAnsi="Georgia"/>
                <w:sz w:val="20"/>
                <w:szCs w:val="20"/>
              </w:rPr>
              <w:t xml:space="preserve">, sin perjuicio de las penalidades que procedan conforme a la cláusula de penalidades. Esta regla </w:t>
            </w:r>
            <w:r>
              <w:rPr>
                <w:rFonts w:ascii="Georgia" w:cs="Georgia" w:eastAsia="Georgia" w:hAnsi="Georgia"/>
                <w:b/>
                <w:bCs/>
                <w:sz w:val="20"/>
                <w:szCs w:val="20"/>
              </w:rPr>
              <w:t xml:space="preserve">no afecta</w:t>
            </w:r>
            <w:r>
              <w:rPr>
                <w:rFonts w:ascii="Georgia" w:cs="Georgia" w:eastAsia="Georgia" w:hAnsi="Georgia"/>
                <w:sz w:val="20"/>
                <w:szCs w:val="20"/>
              </w:rPr>
              <w:t xml:space="preserve"> a las obligaciones que este pliego califique como esenciales por causas ajenas a dicho catálogo.</w:t>
            </w:r>
          </w:p>
          <w:p>
            <w:pPr>
              <w:spacing w:after="100" w:line="264"/>
            </w:pPr>
            <w:r>
              <w:rPr>
                <w:rFonts w:ascii="Georgia" w:cs="Georgia" w:eastAsia="Georgia" w:hAnsi="Georgia"/>
                <w:b/>
                <w:bCs/>
                <w:sz w:val="20"/>
                <w:szCs w:val="20"/>
              </w:rPr>
              <w:t xml:space="preserve">4. Efectos y procedimiento.</w:t>
            </w:r>
            <w:r>
              <w:rPr>
                <w:rFonts w:ascii="Georgia" w:cs="Georgia" w:eastAsia="Georgia" w:hAnsi="Georgia"/>
                <w:sz w:val="20"/>
                <w:szCs w:val="20"/>
              </w:rPr>
              <w:t xml:space="preserve"> El incumplimiento de una obligación esencial de los bloques A o B constituye causa de resolución del contrato conforme al artículo 211.1.f) de la Ley 9/2017, con los efectos de los artículos 212 y 213. La resolución:</w:t>
            </w:r>
          </w:p>
          <w:p>
            <w:pPr>
              <w:spacing w:after="100" w:line="264"/>
            </w:pPr>
            <w:r>
              <w:rPr>
                <w:rFonts w:ascii="Georgia" w:cs="Georgia" w:eastAsia="Georgia" w:hAnsi="Georgia"/>
                <w:sz w:val="20"/>
                <w:szCs w:val="20"/>
              </w:rPr>
              <w:t xml:space="preserve">a) Es </w:t>
            </w:r>
            <w:r>
              <w:rPr>
                <w:rFonts w:ascii="Georgia" w:cs="Georgia" w:eastAsia="Georgia" w:hAnsi="Georgia"/>
                <w:b/>
                <w:bCs/>
                <w:sz w:val="20"/>
                <w:szCs w:val="20"/>
              </w:rPr>
              <w:t xml:space="preserve">potestativa</w:t>
            </w:r>
            <w:r>
              <w:rPr>
                <w:rFonts w:ascii="Georgia" w:cs="Georgia" w:eastAsia="Georgia" w:hAnsi="Georgia"/>
                <w:sz w:val="20"/>
                <w:szCs w:val="20"/>
              </w:rPr>
              <w:t xml:space="preserve">. El órgano de contratación puede optar por la imposición de la penalidad que corresponda.</w:t>
            </w:r>
          </w:p>
          <w:p>
            <w:pPr>
              <w:spacing w:after="100" w:line="264"/>
            </w:pPr>
            <w:r>
              <w:rPr>
                <w:rFonts w:ascii="Georgia" w:cs="Georgia" w:eastAsia="Georgia" w:hAnsi="Georgia"/>
                <w:sz w:val="20"/>
                <w:szCs w:val="20"/>
              </w:rPr>
              <w:t xml:space="preserve">b) Requiere </w:t>
            </w:r>
            <w:r>
              <w:rPr>
                <w:rFonts w:ascii="Georgia" w:cs="Georgia" w:eastAsia="Georgia" w:hAnsi="Georgia"/>
                <w:b/>
                <w:bCs/>
                <w:sz w:val="20"/>
                <w:szCs w:val="20"/>
              </w:rPr>
              <w:t xml:space="preserve">requerimiento previo de subsanación</w:t>
            </w:r>
            <w:r>
              <w:rPr>
                <w:rFonts w:ascii="Georgia" w:cs="Georgia" w:eastAsia="Georgia" w:hAnsi="Georgia"/>
                <w:sz w:val="20"/>
                <w:szCs w:val="20"/>
              </w:rPr>
              <w:t xml:space="preserve">, con plazo no inferior a [X; se recomienda 1] mes, salvo que la obligación sea insusceptible de cumplimiento tardío.</w:t>
            </w:r>
          </w:p>
          <w:p>
            <w:pPr>
              <w:spacing w:after="100" w:line="264"/>
            </w:pPr>
            <w:r>
              <w:rPr>
                <w:rFonts w:ascii="Georgia" w:cs="Georgia" w:eastAsia="Georgia" w:hAnsi="Georgia"/>
                <w:sz w:val="20"/>
                <w:szCs w:val="20"/>
              </w:rPr>
              <w:t xml:space="preserve">c) Requiere la tramitación de </w:t>
            </w:r>
            <w:r>
              <w:rPr>
                <w:rFonts w:ascii="Georgia" w:cs="Georgia" w:eastAsia="Georgia" w:hAnsi="Georgia"/>
                <w:b/>
                <w:bCs/>
                <w:sz w:val="20"/>
                <w:szCs w:val="20"/>
              </w:rPr>
              <w:t xml:space="preserve">procedimiento contradictorio con audiencia del contratista</w:t>
            </w:r>
            <w:r>
              <w:rPr>
                <w:rFonts w:ascii="Georgia" w:cs="Georgia" w:eastAsia="Georgia" w:hAnsi="Georgia"/>
                <w:sz w:val="20"/>
                <w:szCs w:val="20"/>
              </w:rPr>
              <w:t xml:space="preserve">, conforme a los artículos 191 y 212 de la Ley 9/2017.</w:t>
            </w:r>
          </w:p>
          <w:p>
            <w:pPr>
              <w:spacing w:after="100" w:line="264"/>
            </w:pPr>
            <w:r>
              <w:rPr>
                <w:rFonts w:ascii="Georgia" w:cs="Georgia" w:eastAsia="Georgia" w:hAnsi="Georgia"/>
                <w:sz w:val="20"/>
                <w:szCs w:val="20"/>
              </w:rPr>
              <w:t xml:space="preserve">d) Sólo se acordará cuando del expediente resulte, de forma motivada, que </w:t>
            </w:r>
            <w:r>
              <w:rPr>
                <w:rFonts w:ascii="Georgia" w:cs="Georgia" w:eastAsia="Georgia" w:hAnsi="Georgia"/>
                <w:b/>
                <w:bCs/>
                <w:sz w:val="20"/>
                <w:szCs w:val="20"/>
              </w:rPr>
              <w:t xml:space="preserve">el perjuicio derivado de la resolución no es superior al derivado del mantenimiento del contrato</w:t>
            </w:r>
            <w:r>
              <w:rPr>
                <w:rFonts w:ascii="Georgia" w:cs="Georgia" w:eastAsia="Georgia" w:hAnsi="Georgia"/>
                <w:sz w:val="20"/>
                <w:szCs w:val="20"/>
              </w:rPr>
              <w:t xml:space="preserve">.</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PCAP, cláusula de causas de resolución, y en el cuadro de características las casillas del bloque B.2. Las condiciones especiales del bloque A deben figurar además en el </w:t>
      </w:r>
      <w:r>
        <w:rPr>
          <w:rFonts w:ascii="Calibri" w:cs="Calibri" w:eastAsia="Calibri" w:hAnsi="Calibri"/>
          <w:b/>
          <w:bCs/>
          <w:sz w:val="21"/>
          <w:szCs w:val="21"/>
        </w:rPr>
        <w:t xml:space="preserve">anuncio de licitación</w:t>
      </w:r>
      <w:r>
        <w:rPr>
          <w:rFonts w:ascii="Calibri" w:cs="Calibri" w:eastAsia="Calibri" w:hAnsi="Calibri"/>
          <w:sz w:val="21"/>
          <w:szCs w:val="21"/>
        </w:rPr>
        <w:t xml:space="preserve">.</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pStyle w:val="ListParagraph"/>
        <w:numPr>
          <w:ilvl w:val="0"/>
          <w:numId w:val="1"/>
        </w:numPr>
        <w:spacing w:after="70" w:line="268"/>
      </w:pPr>
      <w:r>
        <w:rPr>
          <w:rFonts w:ascii="Calibri" w:cs="Calibri" w:eastAsia="Calibri" w:hAnsi="Calibri"/>
          <w:b/>
          <w:bCs/>
          <w:sz w:val="21"/>
          <w:szCs w:val="21"/>
        </w:rPr>
        <w:t xml:space="preserve">Artículo 211.1.f).2.º LCSP</w:t>
      </w:r>
      <w:r>
        <w:rPr>
          <w:rFonts w:ascii="Calibri" w:cs="Calibri" w:eastAsia="Calibri" w:hAnsi="Calibri"/>
          <w:sz w:val="21"/>
          <w:szCs w:val="21"/>
        </w:rPr>
        <w:t xml:space="preserve">, literal verificado: las obligaciones esenciales deben figurar «enumeradas de manera precisa, clara e inequívoca en los pliegos o en el documento descriptivo, </w:t>
      </w:r>
      <w:r>
        <w:rPr>
          <w:rFonts w:ascii="Calibri" w:cs="Calibri" w:eastAsia="Calibri" w:hAnsi="Calibri"/>
          <w:b/>
          <w:bCs/>
          <w:sz w:val="21"/>
          <w:szCs w:val="21"/>
        </w:rPr>
        <w:t xml:space="preserve">no siendo admisibles cláusulas de tipo general</w:t>
      </w:r>
      <w:r>
        <w:rPr>
          <w:rFonts w:ascii="Calibri" w:cs="Calibri" w:eastAsia="Calibri" w:hAnsi="Calibri"/>
          <w:sz w:val="21"/>
          <w:szCs w:val="21"/>
        </w:rPr>
        <w:t xml:space="preserve">», y respetar los límites del artículo 34.1 a la libertad de pactos.</w:t>
      </w:r>
    </w:p>
    <w:p>
      <w:pPr>
        <w:pStyle w:val="ListParagraph"/>
        <w:numPr>
          <w:ilvl w:val="0"/>
          <w:numId w:val="1"/>
        </w:numPr>
        <w:spacing w:after="70" w:line="268"/>
      </w:pPr>
      <w:r>
        <w:rPr>
          <w:rFonts w:ascii="Calibri" w:cs="Calibri" w:eastAsia="Calibri" w:hAnsi="Calibri"/>
          <w:b/>
          <w:bCs/>
          <w:sz w:val="21"/>
          <w:szCs w:val="21"/>
        </w:rPr>
        <w:t xml:space="preserve">Artículo 202.1, párrafo tercero, LCSP</w:t>
      </w:r>
      <w:r>
        <w:rPr>
          <w:rFonts w:ascii="Calibri" w:cs="Calibri" w:eastAsia="Calibri" w:hAnsi="Calibri"/>
          <w:sz w:val="21"/>
          <w:szCs w:val="21"/>
        </w:rPr>
        <w:t xml:space="preserve">, literal verificado: en los contratos «cuya ejecución implique la cesión de datos por las entidades del sector público al contratista» es obligatorio establecer la condición especial de protección de datos, «advirtiéndose además al contratista de que esta obligación tiene el carácter de obligación contractual esencial de conformidad con lo dispuesto en la letra f) del apartado 1 del artículo 211».</w:t>
      </w:r>
    </w:p>
    <w:p>
      <w:pPr>
        <w:pStyle w:val="ListParagraph"/>
        <w:numPr>
          <w:ilvl w:val="0"/>
          <w:numId w:val="1"/>
        </w:numPr>
        <w:spacing w:after="70" w:line="268"/>
      </w:pPr>
      <w:r>
        <w:rPr>
          <w:rFonts w:ascii="Calibri" w:cs="Calibri" w:eastAsia="Calibri" w:hAnsi="Calibri"/>
          <w:b/>
          <w:bCs/>
          <w:sz w:val="21"/>
          <w:szCs w:val="21"/>
        </w:rPr>
        <w:t xml:space="preserve">Artículo 122.2 LCSP</w:t>
      </w:r>
      <w:r>
        <w:rPr>
          <w:rFonts w:ascii="Calibri" w:cs="Calibri" w:eastAsia="Calibri" w:hAnsi="Calibri"/>
          <w:sz w:val="21"/>
          <w:szCs w:val="21"/>
        </w:rPr>
        <w:t xml:space="preserve">, literal verificado en su parte final: «las obligaciones recogidas en las letras a) a e) anteriores en todo caso deberán ser calificadas como esenciales a los efectos de lo previsto en la letra f) del apartado 1 del artículo 211».</w:t>
      </w:r>
    </w:p>
    <w:p>
      <w:pPr>
        <w:pStyle w:val="ListParagraph"/>
        <w:numPr>
          <w:ilvl w:val="0"/>
          <w:numId w:val="1"/>
        </w:numPr>
        <w:spacing w:after="70" w:line="268"/>
      </w:pPr>
      <w:r>
        <w:rPr>
          <w:rFonts w:ascii="Calibri" w:cs="Calibri" w:eastAsia="Calibri" w:hAnsi="Calibri"/>
          <w:b/>
          <w:bCs/>
          <w:sz w:val="21"/>
          <w:szCs w:val="21"/>
        </w:rPr>
        <w:t xml:space="preserve">Artículo 202.3 LCSP</w:t>
      </w:r>
      <w:r>
        <w:rPr>
          <w:rFonts w:ascii="Calibri" w:cs="Calibri" w:eastAsia="Calibri" w:hAnsi="Calibri"/>
          <w:sz w:val="21"/>
          <w:szCs w:val="21"/>
        </w:rPr>
        <w:t xml:space="preserve">: habilita a atribuir a una condición especial el carácter de obligación esencial.</w:t>
      </w:r>
    </w:p>
    <w:p>
      <w:pPr>
        <w:pStyle w:val="Heading3"/>
        <w:keepNext/>
        <w:spacing w:after="140" w:before="320"/>
      </w:pPr>
      <w:r>
        <w:rPr>
          <w:rFonts w:ascii="Georgia" w:cs="Georgia" w:eastAsia="Georgia" w:hAnsi="Georgia"/>
          <w:b/>
          <w:bCs/>
          <w:color w:val="2F5496"/>
          <w:sz w:val="22"/>
          <w:szCs w:val="22"/>
        </w:rPr>
        <w:t xml:space="preserve">4. Cómo se acredita</w:t>
      </w:r>
    </w:p>
    <w:p>
      <w:pPr>
        <w:spacing w:after="140" w:line="276"/>
      </w:pPr>
      <w:r>
        <w:rPr>
          <w:rFonts w:ascii="Calibri" w:cs="Calibri" w:eastAsia="Calibri" w:hAnsi="Calibri"/>
          <w:sz w:val="21"/>
          <w:szCs w:val="21"/>
        </w:rPr>
        <w:t xml:space="preserve">El incumplimiento de una obligación esencial se acredita </w:t>
      </w:r>
      <w:r>
        <w:rPr>
          <w:rFonts w:ascii="Calibri" w:cs="Calibri" w:eastAsia="Calibri" w:hAnsi="Calibri"/>
          <w:b/>
          <w:bCs/>
          <w:sz w:val="21"/>
          <w:szCs w:val="21"/>
        </w:rPr>
        <w:t xml:space="preserve">por los mismos medios tasados</w:t>
      </w:r>
      <w:r>
        <w:rPr>
          <w:rFonts w:ascii="Calibri" w:cs="Calibri" w:eastAsia="Calibri" w:hAnsi="Calibri"/>
          <w:sz w:val="21"/>
          <w:szCs w:val="21"/>
        </w:rPr>
        <w:t xml:space="preserve"> que la obligación de la que deriva: acta de aceptación o su ausencia unida al requerimiento fehaciente, acta de la Comisión, certificado de la entidad depositaria, diligencia del órgano interventor, registro de accesos. No cabe fundar una resolución en una apreciación técnica sin documento. La cláusula ADM-2·v3, apartado 7, es explícita: «la ausencia de estos medios no podrá suplirse por apreciación discrecional del órgano de contratación».</w:t>
      </w:r>
    </w:p>
    <w:p>
      <w:pPr>
        <w:spacing w:after="140" w:line="276"/>
      </w:pPr>
      <w:r>
        <w:rPr>
          <w:rFonts w:ascii="Calibri" w:cs="Calibri" w:eastAsia="Calibri" w:hAnsi="Calibri"/>
          <w:sz w:val="21"/>
          <w:szCs w:val="21"/>
        </w:rPr>
        <w:t xml:space="preserve">Además, y esto conviene decirlo antes de que lo diga el contratista: </w:t>
      </w:r>
      <w:r>
        <w:rPr>
          <w:rFonts w:ascii="Calibri" w:cs="Calibri" w:eastAsia="Calibri" w:hAnsi="Calibri"/>
          <w:b/>
          <w:bCs/>
          <w:sz w:val="21"/>
          <w:szCs w:val="21"/>
        </w:rPr>
        <w:t xml:space="preserve">la falta del requerimiento fehaciente de subsanación, o la falta de acta de la verificación en la que se apoya, hace decaer la resolución con independencia de lo grave que sea el incumplimiento.</w:t>
      </w:r>
    </w:p>
    <w:p>
      <w:pPr>
        <w:pStyle w:val="Heading3"/>
        <w:keepNext/>
        <w:spacing w:after="140" w:before="320"/>
      </w:pPr>
      <w:r>
        <w:rPr>
          <w:rFonts w:ascii="Georgia" w:cs="Georgia" w:eastAsia="Georgia" w:hAnsi="Georgia"/>
          <w:b/>
          <w:bCs/>
          <w:color w:val="2F5496"/>
          <w:sz w:val="22"/>
          <w:szCs w:val="22"/>
        </w:rPr>
        <w:t xml:space="preserve">5. Cómo se verifica</w:t>
      </w:r>
    </w:p>
    <w:p>
      <w:pPr>
        <w:spacing w:after="140" w:line="276"/>
      </w:pPr>
      <w:r>
        <w:rPr>
          <w:rFonts w:ascii="Calibri" w:cs="Calibri" w:eastAsia="Calibri" w:hAnsi="Calibri"/>
          <w:sz w:val="21"/>
          <w:szCs w:val="21"/>
        </w:rPr>
        <w:t xml:space="preserve">No hay verificación periódica: la constatación se produce en el informe anual de ejecución de ADM-4·v3 o en el momento del hecho. La carga aparece cuando se activa: </w:t>
      </w:r>
      <w:r>
        <w:rPr>
          <w:rFonts w:ascii="Calibri" w:cs="Calibri" w:eastAsia="Calibri" w:hAnsi="Calibri"/>
          <w:b/>
          <w:bCs/>
          <w:sz w:val="21"/>
          <w:szCs w:val="21"/>
        </w:rPr>
        <w:t xml:space="preserve">entre 25 y 40 horas por expediente de resolución</w:t>
      </w:r>
      <w:r>
        <w:rPr>
          <w:rFonts w:ascii="Calibri" w:cs="Calibri" w:eastAsia="Calibri" w:hAnsi="Calibri"/>
          <w:sz w:val="21"/>
          <w:szCs w:val="21"/>
        </w:rPr>
        <w:t xml:space="preserve">, repartidas entre el responsable del contrato, el órgano al que corresponda el informe jurídico preceptivo, el órgano interventor y el órgano de contratación, más el plazo del procedimiento contradictorio. Es una carga baja en frecuencia y alta en intensidad; el catálogo la señala para que nadie tipifique esencialidades pensando que la resolución es un trámite.</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spacing w:after="140" w:line="276"/>
      </w:pPr>
      <w:r>
        <w:rPr>
          <w:rFonts w:ascii="Calibri" w:cs="Calibri" w:eastAsia="Calibri" w:hAnsi="Calibri"/>
          <w:sz w:val="21"/>
          <w:szCs w:val="21"/>
        </w:rPr>
        <w:t xml:space="preserve">Resolución potestativa del contrato con los efectos de los artículos 212 y 213 LCSP, previa la tramitación del apartado 4. Alternativamente, penalidad muy grave conforme a ADM-5·v3. Ambas vías, más la indemnización de daños, son acumulables sobre el mismo hecho (Res. TACRC 1111/2022, Pleno, citada en ADM-5·v3).</w:t>
      </w: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b/>
          <w:bCs/>
          <w:sz w:val="21"/>
          <w:szCs w:val="21"/>
        </w:rPr>
        <w:t xml:space="preserve">El bloque A no se copia si no concurre su presupuesto.</w:t>
      </w:r>
      <w:r>
        <w:rPr>
          <w:rFonts w:ascii="Calibri" w:cs="Calibri" w:eastAsia="Calibri" w:hAnsi="Calibri"/>
          <w:sz w:val="21"/>
          <w:szCs w:val="21"/>
        </w:rPr>
        <w:t xml:space="preserve"> Si el contrato no implica cesión de datos por el Ayuntamiento al contratista, el apartado 1.1 no existe. Si el contrato no requiere tratamiento de datos personales por cuenta del responsable, el apartado 1.2 no existe. Copiarlos igualmente declara esenciales obligaciones improcedentes, que es exactamente lo que el artículo 211.1.f).2.º castiga.</w:t>
      </w:r>
    </w:p>
    <w:p>
      <w:pPr>
        <w:pStyle w:val="ListParagraph"/>
        <w:numPr>
          <w:ilvl w:val="0"/>
          <w:numId w:val="1"/>
        </w:numPr>
        <w:spacing w:after="70" w:line="268"/>
      </w:pPr>
      <w:r>
        <w:rPr>
          <w:rFonts w:ascii="Calibri" w:cs="Calibri" w:eastAsia="Calibri" w:hAnsi="Calibri"/>
          <w:b/>
          <w:bCs/>
          <w:sz w:val="21"/>
          <w:szCs w:val="21"/>
        </w:rPr>
        <w:t xml:space="preserve">El bloque B.2 no se marca por defecto.</w:t>
      </w:r>
      <w:r>
        <w:rPr>
          <w:rFonts w:ascii="Calibri" w:cs="Calibri" w:eastAsia="Calibri" w:hAnsi="Calibri"/>
          <w:sz w:val="21"/>
          <w:szCs w:val="21"/>
        </w:rPr>
        <w:t xml:space="preserve"> Su marcado requiere superar el test de relevancia del comentario siguiente, y dejar constancia motivada en la memoria justificativa del expediente.</w:t>
      </w:r>
    </w:p>
    <w:p>
      <w:pPr>
        <w:pStyle w:val="ListParagraph"/>
        <w:numPr>
          <w:ilvl w:val="0"/>
          <w:numId w:val="1"/>
        </w:numPr>
        <w:spacing w:after="70" w:line="268"/>
      </w:pPr>
      <w:r>
        <w:rPr>
          <w:rFonts w:ascii="Calibri" w:cs="Calibri" w:eastAsia="Calibri" w:hAnsi="Calibri"/>
          <w:sz w:val="21"/>
          <w:szCs w:val="21"/>
        </w:rPr>
        <w:t xml:space="preserve">Las letras que remitan a cláusulas marcadas NO APLICA </w:t>
      </w:r>
      <w:r>
        <w:rPr>
          <w:rFonts w:ascii="Calibri" w:cs="Calibri" w:eastAsia="Calibri" w:hAnsi="Calibri"/>
          <w:b/>
          <w:bCs/>
          <w:sz w:val="21"/>
          <w:szCs w:val="21"/>
        </w:rPr>
        <w:t xml:space="preserve">se borran</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sz w:val="21"/>
          <w:szCs w:val="21"/>
        </w:rPr>
        <w:t xml:space="preserve">Contratos menores, basados en acuerdo marco, adhesiones a centrales de compra y prórrogas: no procede.</w:t>
      </w:r>
    </w:p>
    <w:p>
      <w:pPr>
        <w:pStyle w:val="Heading3"/>
        <w:keepNext/>
        <w:spacing w:after="140" w:before="320"/>
      </w:pPr>
      <w:r>
        <w:rPr>
          <w:rFonts w:ascii="Georgia" w:cs="Georgia" w:eastAsia="Georgia" w:hAnsi="Georgia"/>
          <w:b/>
          <w:bCs/>
          <w:color w:val="2F5496"/>
          <w:sz w:val="22"/>
          <w:szCs w:val="22"/>
        </w:rPr>
        <w:t xml:space="preserve">Nota al redactor · Cuatro correcciones que no son opcionales</w:t>
      </w:r>
    </w:p>
    <w:p>
      <w:pPr>
        <w:spacing w:after="140" w:line="276"/>
      </w:pPr>
      <w:r>
        <w:rPr>
          <w:rFonts w:ascii="Calibri" w:cs="Calibri" w:eastAsia="Calibri" w:hAnsi="Calibri"/>
          <w:b/>
          <w:bCs/>
          <w:sz w:val="21"/>
          <w:szCs w:val="21"/>
        </w:rPr>
        <w:t xml:space="preserve">Primera: las esencialidades legales van condicionadas, no afirmadas.</w:t>
      </w:r>
    </w:p>
    <w:p>
      <w:pPr>
        <w:spacing w:after="140" w:line="276"/>
      </w:pPr>
      <w:r>
        <w:rPr>
          <w:rFonts w:ascii="Calibri" w:cs="Calibri" w:eastAsia="Calibri" w:hAnsi="Calibri"/>
          <w:sz w:val="21"/>
          <w:szCs w:val="21"/>
        </w:rPr>
        <w:t xml:space="preserve">Es tentador escribir el bloque A como una lista de obligaciones esenciales «que ningún tribunal puede discutir». Es cierto que ningún tribunal las discute </w:t>
      </w:r>
      <w:r>
        <w:rPr>
          <w:rFonts w:ascii="Calibri" w:cs="Calibri" w:eastAsia="Calibri" w:hAnsi="Calibri"/>
          <w:b/>
          <w:bCs/>
          <w:sz w:val="21"/>
          <w:szCs w:val="21"/>
        </w:rPr>
        <w:t xml:space="preserve">cuando concurre su presupuesto</w:t>
      </w:r>
      <w:r>
        <w:rPr>
          <w:rFonts w:ascii="Calibri" w:cs="Calibri" w:eastAsia="Calibri" w:hAnsi="Calibri"/>
          <w:sz w:val="21"/>
          <w:szCs w:val="21"/>
        </w:rPr>
        <w:t xml:space="preserve">, y falso fuera de él. El artículo 202.1, párrafo tercero, opera sólo «en los contratos cuya ejecución implique la cesión de datos por las entidades del sector público al contratista»; el artículo 122.2 sólo «en aquellos contratos cuya ejecución requiera el tratamiento por el contratista de datos personales por cuenta del responsable». En un contrato sin cesión de datos y sin encargo de tratamiento, ese bloque </w:t>
      </w:r>
      <w:r>
        <w:rPr>
          <w:rFonts w:ascii="Calibri" w:cs="Calibri" w:eastAsia="Calibri" w:hAnsi="Calibri"/>
          <w:b/>
          <w:bCs/>
          <w:sz w:val="21"/>
          <w:szCs w:val="21"/>
        </w:rPr>
        <w:t xml:space="preserve">no existe</w:t>
      </w:r>
      <w:r>
        <w:rPr>
          <w:rFonts w:ascii="Calibri" w:cs="Calibri" w:eastAsia="Calibri" w:hAnsi="Calibri"/>
          <w:sz w:val="21"/>
          <w:szCs w:val="21"/>
        </w:rPr>
        <w:t xml:space="preserve">. Un pliego que lo copie igualmente estará declarando esenciales obligaciones improcedentes —y ofreciendo, en la misma línea, la prueba de que la lista no fue examinada, que es el reproche del artículo 211.1.f).2.º. Por eso cada apartado del bloque A lleva delante, entre corchetes, la condición de su aplicación, y por eso la lista de comprobación del expediente (apartado V.10) obliga a marcarla.</w:t>
      </w:r>
    </w:p>
    <w:p>
      <w:pPr>
        <w:spacing w:after="140" w:line="276"/>
      </w:pPr>
      <w:r>
        <w:rPr>
          <w:rFonts w:ascii="Calibri" w:cs="Calibri" w:eastAsia="Calibri" w:hAnsi="Calibri"/>
          <w:b/>
          <w:bCs/>
          <w:sz w:val="21"/>
          <w:szCs w:val="21"/>
        </w:rPr>
        <w:t xml:space="preserve">Segunda: la cláusula de cierre no puede arrasar el resto del PCAP.</w:t>
      </w:r>
    </w:p>
    <w:p>
      <w:pPr>
        <w:spacing w:after="140" w:line="276"/>
      </w:pPr>
      <w:r>
        <w:rPr>
          <w:rFonts w:ascii="Calibri" w:cs="Calibri" w:eastAsia="Calibri" w:hAnsi="Calibri"/>
          <w:sz w:val="21"/>
          <w:szCs w:val="21"/>
        </w:rPr>
        <w:t xml:space="preserve">El v2 y los primeros borradores del v3 escribían: «Ninguna otra obligación de este clausulado tiene carácter esencial». Esa frase funciona dentro de un documento doctrinal y es destructiva dentro de un pliego. Copiada al PCAP, «este clausulado» pasa a leerse como «este pliego», y el PCAP tiene sus propias obligaciones esenciales que nada tienen que ver con este catálogo: el compromiso de adscripción de medios personales o materiales, las condiciones salariales del convenio sectorial, las obligaciones que el propio órgano haya calificado como esenciales por razones ajenas a la tecnología. La cláusula de cierre las anularía todas de un plumazo, y el Ayuntamiento se enteraría el día que quisiera resolver por una de ellas.</w:t>
      </w:r>
    </w:p>
    <w:p>
      <w:pPr>
        <w:spacing w:after="140" w:line="276"/>
      </w:pPr>
      <w:r>
        <w:rPr>
          <w:rFonts w:ascii="Calibri" w:cs="Calibri" w:eastAsia="Calibri" w:hAnsi="Calibri"/>
          <w:sz w:val="21"/>
          <w:szCs w:val="21"/>
        </w:rPr>
        <w:t xml:space="preserve">La redacción correcta es la del apartado 3: </w:t>
      </w:r>
      <w:r>
        <w:rPr>
          <w:rFonts w:ascii="Calibri" w:cs="Calibri" w:eastAsia="Calibri" w:hAnsi="Calibri"/>
          <w:b/>
          <w:bCs/>
          <w:sz w:val="21"/>
          <w:szCs w:val="21"/>
        </w:rPr>
        <w:t xml:space="preserve">«ninguna otra de las obligaciones incorporadas a este pliego en virtud del catálogo [denominación y versión]…»</w:t>
      </w:r>
      <w:r>
        <w:rPr>
          <w:rFonts w:ascii="Calibri" w:cs="Calibri" w:eastAsia="Calibri" w:hAnsi="Calibri"/>
          <w:sz w:val="21"/>
          <w:szCs w:val="21"/>
        </w:rPr>
        <w:t xml:space="preserve">, con la salvedad expresa de las esenciales de origen distinto. Es una corrección de cuatro palabras y evita un daño que no tiene arreglo. Obsérvese además que el catálogo se identifica en el pliego </w:t>
      </w:r>
      <w:r>
        <w:rPr>
          <w:rFonts w:ascii="Calibri" w:cs="Calibri" w:eastAsia="Calibri" w:hAnsi="Calibri"/>
          <w:b/>
          <w:bCs/>
          <w:sz w:val="21"/>
          <w:szCs w:val="21"/>
        </w:rPr>
        <w:t xml:space="preserve">por su denominación y versión concretas</w:t>
      </w:r>
      <w:r>
        <w:rPr>
          <w:rFonts w:ascii="Calibri" w:cs="Calibri" w:eastAsia="Calibri" w:hAnsi="Calibri"/>
          <w:sz w:val="21"/>
          <w:szCs w:val="21"/>
        </w:rPr>
        <w:t xml:space="preserve">: sin ese dato, la regla de cierre no delimita nada.</w:t>
      </w:r>
    </w:p>
    <w:p>
      <w:pPr>
        <w:spacing w:after="140" w:line="276"/>
      </w:pPr>
      <w:r>
        <w:rPr>
          <w:rFonts w:ascii="Calibri" w:cs="Calibri" w:eastAsia="Calibri" w:hAnsi="Calibri"/>
          <w:b/>
          <w:bCs/>
          <w:sz w:val="21"/>
          <w:szCs w:val="21"/>
        </w:rPr>
        <w:t xml:space="preserve">Tercera: la esencialidad se gradúa, o es desproporcionada.</w:t>
      </w:r>
    </w:p>
    <w:p>
      <w:pPr>
        <w:spacing w:after="140" w:line="276"/>
      </w:pPr>
      <w:r>
        <w:rPr>
          <w:rFonts w:ascii="Calibri" w:cs="Calibri" w:eastAsia="Calibri" w:hAnsi="Calibri"/>
          <w:sz w:val="21"/>
          <w:szCs w:val="21"/>
        </w:rPr>
        <w:t xml:space="preserve">En este punto la objeción del letrado del licitador es fundada, y procede reconocerla por escrito en la memoria antes de que se formule. </w:t>
      </w:r>
      <w:r>
        <w:rPr>
          <w:rFonts w:ascii="Calibri" w:cs="Calibri" w:eastAsia="Calibri" w:hAnsi="Calibri"/>
          <w:b/>
          <w:bCs/>
          <w:sz w:val="21"/>
          <w:szCs w:val="21"/>
        </w:rPr>
        <w:t xml:space="preserve">Resolver un contrato de gestión de subvenciones y ayudas municipales porque el contratista no entregó en plazo una interfaz para agentes de inteligencia artificial es desproporcionado en grado manifiesto.</w:t>
      </w:r>
      <w:r>
        <w:rPr>
          <w:rFonts w:ascii="Calibri" w:cs="Calibri" w:eastAsia="Calibri" w:hAnsi="Calibri"/>
          <w:sz w:val="21"/>
          <w:szCs w:val="21"/>
        </w:rPr>
        <w:t xml:space="preserve"> El contrato sirve para tramitar las subvenciones del Ayuntamiento; la interfaz es una capacidad accesoria y valiosa, pero accesoria. Resolver por ella deja al Ayuntamiento sin tramitar sus subvenciones para ganar una discusión sobre una interfaz. Ningún tribunal lo va a validar, y bastará con que un licitador lo señale en el recurso contra el pliego para que caiga la calificación entera.</w:t>
      </w:r>
    </w:p>
    <w:p>
      <w:pPr>
        <w:spacing w:after="140" w:line="276"/>
      </w:pPr>
      <w:r>
        <w:rPr>
          <w:rFonts w:ascii="Calibri" w:cs="Calibri" w:eastAsia="Calibri" w:hAnsi="Calibri"/>
          <w:sz w:val="21"/>
          <w:szCs w:val="21"/>
        </w:rPr>
        <w:t xml:space="preserve">De ahí la separación en B.1 y B.2, que es la pieza nueva de esta cláusula:</w:t>
      </w:r>
    </w:p>
    <w:p>
      <w:pPr>
        <w:pStyle w:val="ListParagraph"/>
        <w:numPr>
          <w:ilvl w:val="0"/>
          <w:numId w:val="1"/>
        </w:numPr>
        <w:spacing w:after="70" w:line="268"/>
      </w:pPr>
      <w:r>
        <w:rPr>
          <w:rFonts w:ascii="Calibri" w:cs="Calibri" w:eastAsia="Calibri" w:hAnsi="Calibri"/>
          <w:b/>
          <w:bCs/>
          <w:sz w:val="21"/>
          <w:szCs w:val="21"/>
        </w:rPr>
        <w:t xml:space="preserve">B.1 son incumplimientos que afectan a la posición institucional del Ayuntamiento y no a una capacidad accesoria</w:t>
      </w:r>
      <w:r>
        <w:rPr>
          <w:rFonts w:ascii="Calibri" w:cs="Calibri" w:eastAsia="Calibri" w:hAnsi="Calibri"/>
          <w:sz w:val="21"/>
          <w:szCs w:val="21"/>
        </w:rPr>
        <w:t xml:space="preserve">: quedarse sin poder recuperar sus datos y su lógica de negocio (reversibilidad), quedarse sin la garantía de continuidad que pagó (depósito), quedarse sin control interno sobre el contrato (acceso de los órganos de control), o descubrir que su información no pública ha entrado en un sistema de terceros no autorizado. En los cuatro casos, el mantenimiento del contrato en esas condiciones es peor que su resolución, que es justamente el juicio que exige la cautela del apartado 4.d).</w:t>
      </w:r>
    </w:p>
    <w:p>
      <w:pPr>
        <w:pStyle w:val="ListParagraph"/>
        <w:numPr>
          <w:ilvl w:val="0"/>
          <w:numId w:val="1"/>
        </w:numPr>
        <w:spacing w:after="70" w:line="268"/>
      </w:pPr>
      <w:r>
        <w:rPr>
          <w:rFonts w:ascii="Calibri" w:cs="Calibri" w:eastAsia="Calibri" w:hAnsi="Calibri"/>
          <w:b/>
          <w:bCs/>
          <w:sz w:val="21"/>
          <w:szCs w:val="21"/>
        </w:rPr>
        <w:t xml:space="preserve">B.2 son incumplimientos sobre capacidades tecnológicas determinadas</w:t>
      </w:r>
      <w:r>
        <w:rPr>
          <w:rFonts w:ascii="Calibri" w:cs="Calibri" w:eastAsia="Calibri" w:hAnsi="Calibri"/>
          <w:sz w:val="21"/>
          <w:szCs w:val="21"/>
        </w:rPr>
        <w:t xml:space="preserve">, y su esencialidad no puede presumirse. Sólo procede marcarlas cuando el expediente supere este </w:t>
      </w:r>
      <w:r>
        <w:rPr>
          <w:rFonts w:ascii="Calibri" w:cs="Calibri" w:eastAsia="Calibri" w:hAnsi="Calibri"/>
          <w:b/>
          <w:bCs/>
          <w:sz w:val="21"/>
          <w:szCs w:val="21"/>
        </w:rPr>
        <w:t xml:space="preserve">test de relevancia</w:t>
      </w:r>
      <w:r>
        <w:rPr>
          <w:rFonts w:ascii="Calibri" w:cs="Calibri" w:eastAsia="Calibri" w:hAnsi="Calibri"/>
          <w:sz w:val="21"/>
          <w:szCs w:val="21"/>
        </w:rPr>
        <w:t xml:space="preserve">, cuya conclusión debe constar en la memoria justificativa:</w:t>
      </w:r>
    </w:p>
    <w:p>
      <w:pPr>
        <w:spacing w:after="140" w:line="276"/>
      </w:pPr>
      <w:r>
        <w:rPr>
          <w:rFonts w:ascii="Calibri" w:cs="Calibri" w:eastAsia="Calibri" w:hAnsi="Calibri"/>
          <w:sz w:val="21"/>
          <w:szCs w:val="21"/>
        </w:rPr>
        <w:t xml:space="preserve">(i) que la capacidad esté identificada en el Informe de Necesidad como </w:t>
      </w:r>
      <w:r>
        <w:rPr>
          <w:rFonts w:ascii="Calibri" w:cs="Calibri" w:eastAsia="Calibri" w:hAnsi="Calibri"/>
          <w:b/>
          <w:bCs/>
          <w:sz w:val="21"/>
          <w:szCs w:val="21"/>
        </w:rPr>
        <w:t xml:space="preserve">determinante de la finalidad</w:t>
      </w:r>
      <w:r>
        <w:rPr>
          <w:rFonts w:ascii="Calibri" w:cs="Calibri" w:eastAsia="Calibri" w:hAnsi="Calibri"/>
          <w:sz w:val="21"/>
          <w:szCs w:val="21"/>
        </w:rPr>
        <w:t xml:space="preserve"> del contrato, y no como mejora deseable; </w:t>
      </w:r>
      <w:r>
        <w:rPr>
          <w:rFonts w:ascii="Calibri" w:cs="Calibri" w:eastAsia="Calibri" w:hAnsi="Calibri"/>
          <w:b/>
          <w:bCs/>
          <w:sz w:val="21"/>
          <w:szCs w:val="21"/>
        </w:rPr>
        <w:t xml:space="preserve">o</w:t>
      </w:r>
    </w:p>
    <w:p>
      <w:pPr>
        <w:spacing w:after="140" w:line="276"/>
      </w:pPr>
      <w:r>
        <w:rPr>
          <w:rFonts w:ascii="Calibri" w:cs="Calibri" w:eastAsia="Calibri" w:hAnsi="Calibri"/>
          <w:sz w:val="21"/>
          <w:szCs w:val="21"/>
        </w:rPr>
        <w:t xml:space="preserve">(ii) que su peso económico en la oferta sea igual o superior al [X; se recomienda 10] por ciento del precio del contrato; </w:t>
      </w:r>
      <w:r>
        <w:rPr>
          <w:rFonts w:ascii="Calibri" w:cs="Calibri" w:eastAsia="Calibri" w:hAnsi="Calibri"/>
          <w:b/>
          <w:bCs/>
          <w:sz w:val="21"/>
          <w:szCs w:val="21"/>
        </w:rPr>
        <w:t xml:space="preserve">o</w:t>
      </w:r>
    </w:p>
    <w:p>
      <w:pPr>
        <w:spacing w:after="140" w:line="276"/>
      </w:pPr>
      <w:r>
        <w:rPr>
          <w:rFonts w:ascii="Calibri" w:cs="Calibri" w:eastAsia="Calibri" w:hAnsi="Calibri"/>
          <w:sz w:val="21"/>
          <w:szCs w:val="21"/>
        </w:rPr>
        <w:t xml:space="preserve">(iii) que su falta impida el uso de la solución para la finalidad contratada, o impida al Ayuntamiento cumplir una obligación legal propia.</w:t>
      </w:r>
    </w:p>
    <w:p>
      <w:pPr>
        <w:spacing w:after="140" w:line="276"/>
      </w:pPr>
      <w:r>
        <w:rPr>
          <w:rFonts w:ascii="Calibri" w:cs="Calibri" w:eastAsia="Calibri" w:hAnsi="Calibri"/>
          <w:sz w:val="21"/>
          <w:szCs w:val="21"/>
        </w:rPr>
        <w:t xml:space="preserve">Si no concurre ninguno de los tres, la casilla no se marca y el incumplimiento queda en penalidad grave o muy grave. Es consecuencia suficiente: una penalidad de hasta el 6 por ciento del precio del contrato por no entregar una capacidad comprometida no es un castigo simbólico.</w:t>
      </w:r>
    </w:p>
    <w:p>
      <w:pPr>
        <w:spacing w:after="140" w:line="276"/>
      </w:pPr>
      <w:r>
        <w:rPr>
          <w:rFonts w:ascii="Calibri" w:cs="Calibri" w:eastAsia="Calibri" w:hAnsi="Calibri"/>
          <w:sz w:val="21"/>
          <w:szCs w:val="21"/>
        </w:rPr>
        <w:t xml:space="preserve">Y una regla de coherencia que hay que respetar al montar el pliego: </w:t>
      </w:r>
      <w:r>
        <w:rPr>
          <w:rFonts w:ascii="Calibri" w:cs="Calibri" w:eastAsia="Calibri" w:hAnsi="Calibri"/>
          <w:b/>
          <w:bCs/>
          <w:sz w:val="21"/>
          <w:szCs w:val="21"/>
        </w:rPr>
        <w:t xml:space="preserve">una obligación no puede figurar a la vez como criterio de adjudicación y como obligación esencial del bloque B.2</w:t>
      </w:r>
      <w:r>
        <w:rPr>
          <w:rFonts w:ascii="Calibri" w:cs="Calibri" w:eastAsia="Calibri" w:hAnsi="Calibri"/>
          <w:sz w:val="21"/>
          <w:szCs w:val="21"/>
        </w:rPr>
        <w:t xml:space="preserve">. Si la capacidad se puntúa en el baremo, se está retribuyendo su ofrecimiento; convertir además su falta en causa de resolución acumula sobre el mismo elemento un premio y una pena de máxima intensidad, y alimenta el reproche de doble cómputo del Cuadro Maestro (Anexo I).</w:t>
      </w:r>
    </w:p>
    <w:p>
      <w:pPr>
        <w:spacing w:after="140" w:line="276"/>
      </w:pPr>
      <w:r>
        <w:rPr>
          <w:rFonts w:ascii="Calibri" w:cs="Calibri" w:eastAsia="Calibri" w:hAnsi="Calibri"/>
          <w:b/>
          <w:bCs/>
          <w:sz w:val="21"/>
          <w:szCs w:val="21"/>
        </w:rPr>
        <w:t xml:space="preserve">Cuarta, sobre lo que desaparece.</w:t>
      </w:r>
      <w:r>
        <w:rPr>
          <w:rFonts w:ascii="Calibri" w:cs="Calibri" w:eastAsia="Calibri" w:hAnsi="Calibri"/>
          <w:sz w:val="21"/>
          <w:szCs w:val="21"/>
        </w:rPr>
        <w:t xml:space="preserve"> Del v2 se eliminan íntegramente: la calificación como esencial del «compromiso de evolución tecnológica continua»; la del «cumplimiento del Plan de Actualización y de los compromisos anti-obsolescencia»; el párrafo de «obsolescencia tecnológica» como causa autónoma de resolución —«el Ayuntamiento podrá resolver el contrato como penalidad por obsolescencia tecnológica»—; y la calificación como esencial del «mantenimiento de las certificaciones». Los cuatro son calificaciones sobre conceptos y no sobre incumplimientos, y los cuatro son, en el lenguaje del artículo 211.1.f).2.º, cláusulas de tipo general. Quien tenga un pliego redactado con el texto de v2 debe sustituir la cláusula entera; una corrección parcial no subsana el defecto.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Cierre de la primera mitad de la Parte III</w:t>
      </w:r>
    </w:p>
    <w:p>
      <w:pPr>
        <w:spacing w:after="140" w:line="276"/>
      </w:pPr>
      <w:r>
        <w:rPr>
          <w:rFonts w:ascii="Calibri" w:cs="Calibri" w:eastAsia="Calibri" w:hAnsi="Calibri"/>
          <w:sz w:val="21"/>
          <w:szCs w:val="21"/>
        </w:rPr>
        <w:t xml:space="preserve">Lo que estas seis cláusulas hacen, y lo que no.</w:t>
      </w:r>
    </w:p>
    <w:p>
      <w:pPr>
        <w:spacing w:after="140" w:line="276"/>
      </w:pPr>
      <w:r>
        <w:rPr>
          <w:rFonts w:ascii="Calibri" w:cs="Calibri" w:eastAsia="Calibri" w:hAnsi="Calibri"/>
          <w:b/>
          <w:bCs/>
          <w:sz w:val="21"/>
          <w:szCs w:val="21"/>
        </w:rPr>
        <w:t xml:space="preserve">Hacen</w:t>
      </w:r>
      <w:r>
        <w:rPr>
          <w:rFonts w:ascii="Calibri" w:cs="Calibri" w:eastAsia="Calibri" w:hAnsi="Calibri"/>
          <w:sz w:val="21"/>
          <w:szCs w:val="21"/>
        </w:rPr>
        <w:t xml:space="preserve"> que cada exigencia tenga su instrumento —solvencia, condición especial de ejecución o prescripción técnica, nunca dos a la vez—, su necesidad identificada, su medio de acreditación tasado, su verificador municipal con horas contadas y su consecuencia graduada. Y hacen que la caída de una pieza no arrastre las demás: si el Anexo de Exigencias Tecnológicas no llega a aprobarse, ADM-2·v3 no se incorpora y ADM-1·v3, ADM-4·v3, ADM-5·v3 y ADM-6·v3 siguen funcionando; si la bolsa de evolutivos no supera el informe jurídico, se borra el bloque 2 de ADM-3·v3 y el resto queda intacto.</w:t>
      </w:r>
    </w:p>
    <w:p>
      <w:pPr>
        <w:spacing w:after="140" w:line="276"/>
      </w:pPr>
      <w:r>
        <w:rPr>
          <w:rFonts w:ascii="Calibri" w:cs="Calibri" w:eastAsia="Calibri" w:hAnsi="Calibri"/>
          <w:b/>
          <w:bCs/>
          <w:sz w:val="21"/>
          <w:szCs w:val="21"/>
        </w:rPr>
        <w:t xml:space="preserve">No hacen</w:t>
      </w:r>
      <w:r>
        <w:rPr>
          <w:rFonts w:ascii="Calibri" w:cs="Calibri" w:eastAsia="Calibri" w:hAnsi="Calibri"/>
          <w:sz w:val="21"/>
          <w:szCs w:val="21"/>
        </w:rPr>
        <w:t xml:space="preserve"> que ningún tribunal deje de poder anular un pliego. Lo que este catálogo no promete está enunciado en la Parte 0, §0.3, y razonado en la Parte IV, §M8; no se repite aquí. Sobre condiciones especiales de ejecución de contenido tecnológico-evolutivo, sobre interfaces para agentes de inteligencia artificial, sobre la norma ISO/IEC 42001 como criterio y sobre bolsas de servicios evolutivos </w:t>
      </w:r>
      <w:r>
        <w:rPr>
          <w:rFonts w:ascii="Calibri" w:cs="Calibri" w:eastAsia="Calibri" w:hAnsi="Calibri"/>
          <w:b/>
          <w:bCs/>
          <w:sz w:val="21"/>
          <w:szCs w:val="21"/>
        </w:rPr>
        <w:t xml:space="preserve">no consta doctrina</w:t>
      </w:r>
      <w:r>
        <w:rPr>
          <w:rFonts w:ascii="Calibri" w:cs="Calibri" w:eastAsia="Calibri" w:hAnsi="Calibri"/>
          <w:sz w:val="21"/>
          <w:szCs w:val="21"/>
        </w:rPr>
        <w:t xml:space="preserve">, a fecha de corte de 1 de septiembre de 2026, tras búsqueda en los repositorios del Tribunal Administrativo Central de Recursos Contractuales, del Tribunal Administrativo de Contratación Pública de la Comunidad de Madrid y del Órgano Administrativo de Recursos Contractuales de Euskadi. El primer pliego que se recurra sobre estas materias creará el precedente. Lo único que cabe diseñar es que, cuando eso ocurra, el expediente esté completo y la exigencia impugnada esté motivada donde el Tribunal la busca: en la memoria justificativa del expediente, antes de publicar, y no en el escrito de alegaciones.</w:t>
      </w:r>
    </w:p>
    <w:p>
      <w:pPr>
        <w:pBdr>
          <w:bottom w:val="single" w:color="D0D0D0" w:sz="6"/>
        </w:pBdr>
        <w:spacing w:after="200" w:before="120"/>
      </w:pPr>
    </w:p>
    <w:p>
      <w:pPr>
        <w:spacing w:after="140" w:line="276"/>
      </w:pPr>
      <w:r>
        <w:rPr>
          <w:rFonts w:ascii="Calibri" w:cs="Calibri" w:eastAsia="Calibri" w:hAnsi="Calibri"/>
          <w:i/>
          <w:iCs/>
          <w:sz w:val="21"/>
          <w:szCs w:val="21"/>
        </w:rPr>
        <w:t xml:space="preserve">Continúa la Parte III. Las tres reglas de uso que gobiernan las catorce cláusulas —motivación, separación de instrumentos y verificabilidad municipal—, la advertencia sobre parámetros y la regla de reutilización por otras administraciones están al inicio de la Parte III y no se repiten aquí.</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III.7 · ADM-7·v3 — Criterios de adjudicación</w:t>
      </w:r>
    </w:p>
    <w:p>
      <w:pPr>
        <w:spacing w:after="140" w:line="276"/>
      </w:pPr>
      <w:r>
        <w:rPr>
          <w:rFonts w:ascii="Calibri" w:cs="Calibri" w:eastAsia="Calibri" w:hAnsi="Calibri"/>
          <w:i/>
          <w:iCs/>
          <w:sz w:val="21"/>
          <w:szCs w:val="21"/>
        </w:rPr>
        <w:t xml:space="preserve">(Sustituye a ADM-7 de v2. Corrige tres defectos de construcción del baremo anterior: no valoraba la prestación contratada, incurría en doble cómputo y no encajaba en el procedimiento. La explicación completa está en la nota al redactor, al final de la cláusula.)</w:t>
      </w:r>
    </w:p>
    <w:p>
      <w:pPr>
        <w:pStyle w:val="Heading3"/>
        <w:keepNext/>
        <w:spacing w:after="140" w:before="320"/>
      </w:pPr>
      <w:r>
        <w:rPr>
          <w:rFonts w:ascii="Georgia" w:cs="Georgia" w:eastAsia="Georgia" w:hAnsi="Georgia"/>
          <w:b/>
          <w:bCs/>
          <w:color w:val="2F5496"/>
          <w:sz w:val="22"/>
          <w:szCs w:val="22"/>
        </w:rPr>
        <w:t xml:space="preserve">1. Texto para el pliego</w:t>
      </w:r>
    </w:p>
    <w:p>
      <w:pPr>
        <w:spacing w:after="140" w:line="276"/>
      </w:pPr>
      <w:r>
        <w:rPr>
          <w:rFonts w:ascii="Calibri" w:cs="Calibri" w:eastAsia="Calibri" w:hAnsi="Calibri"/>
          <w:b/>
          <w:bCs/>
          <w:sz w:val="21"/>
          <w:szCs w:val="21"/>
        </w:rPr>
        <w:t xml:space="preserve">ADM-7.1 · Reglas de construcción del baremo.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Criterios de adjudicación: reglas de construcción del baremo.</w:t>
            </w:r>
          </w:p>
          <w:p>
            <w:pPr>
              <w:pStyle w:val="ListParagraph"/>
              <w:numPr>
                <w:ilvl w:val="0"/>
                <w:numId w:val="2"/>
              </w:numPr>
              <w:spacing w:after="60" w:line="264"/>
            </w:pPr>
            <w:r>
              <w:rPr>
                <w:rFonts w:ascii="Georgia" w:cs="Georgia" w:eastAsia="Georgia" w:hAnsi="Georgia"/>
                <w:b/>
                <w:bCs/>
                <w:sz w:val="20"/>
                <w:szCs w:val="20"/>
              </w:rPr>
              <w:t xml:space="preserve">Regla de separación de instrumentos.</w:t>
            </w:r>
            <w:r>
              <w:rPr>
                <w:rFonts w:ascii="Georgia" w:cs="Georgia" w:eastAsia="Georgia" w:hAnsi="Georgia"/>
                <w:sz w:val="20"/>
                <w:szCs w:val="20"/>
              </w:rPr>
              <w:t xml:space="preserve"> Cada exigencia de este contrato se asigna a un único instrumento —prescripción técnica (artículos 124 a 126 LCSP), criterio de solvencia (artículos 90, 93 y 94 LCSP), compromiso de adscripción de medios (artículo 76 LCSP), condición especial de ejecución (artículo 202 LCSP) o criterio de adjudicación (artículo 145 LCSP)— y no puede computarse en más de uno. Queda prohibido, en particular:</w:t>
            </w:r>
          </w:p>
          <w:p>
            <w:pPr>
              <w:spacing w:after="100" w:line="264"/>
            </w:pPr>
            <w:r>
              <w:rPr>
                <w:rFonts w:ascii="Georgia" w:cs="Georgia" w:eastAsia="Georgia" w:hAnsi="Georgia"/>
                <w:sz w:val="20"/>
                <w:szCs w:val="20"/>
              </w:rPr>
              <w:t xml:space="preserve">a) valorar como criterio de adjudicación una exigencia que este pliego configure como requisito de solvencia;</w:t>
            </w:r>
          </w:p>
          <w:p>
            <w:pPr>
              <w:spacing w:after="100" w:line="264"/>
            </w:pPr>
            <w:r>
              <w:rPr>
                <w:rFonts w:ascii="Georgia" w:cs="Georgia" w:eastAsia="Georgia" w:hAnsi="Georgia"/>
                <w:sz w:val="20"/>
                <w:szCs w:val="20"/>
              </w:rPr>
              <w:t xml:space="preserve">b) valorar como criterio de adjudicación el cumplimiento de una prescripción técnica que el pliego de prescripciones técnicas o sus anexos impongan como obligatoria; sólo podrá valorarse el </w:t>
            </w:r>
            <w:r>
              <w:rPr>
                <w:rFonts w:ascii="Georgia" w:cs="Georgia" w:eastAsia="Georgia" w:hAnsi="Georgia"/>
                <w:b/>
                <w:bCs/>
                <w:sz w:val="20"/>
                <w:szCs w:val="20"/>
              </w:rPr>
              <w:t xml:space="preserve">incremento ofertado sobre el mínimo obligatorio</w:t>
            </w:r>
            <w:r>
              <w:rPr>
                <w:rFonts w:ascii="Georgia" w:cs="Georgia" w:eastAsia="Georgia" w:hAnsi="Georgia"/>
                <w:sz w:val="20"/>
                <w:szCs w:val="20"/>
              </w:rPr>
              <w:t xml:space="preserve">, expresado sobre la misma unidad de medida y sobre la misma relación cerrada y numerada que fije el mínimo;</w:t>
            </w:r>
          </w:p>
          <w:p>
            <w:pPr>
              <w:spacing w:after="100" w:line="264"/>
            </w:pPr>
            <w:r>
              <w:rPr>
                <w:rFonts w:ascii="Georgia" w:cs="Georgia" w:eastAsia="Georgia" w:hAnsi="Georgia"/>
                <w:sz w:val="20"/>
                <w:szCs w:val="20"/>
              </w:rPr>
              <w:t xml:space="preserve">c) valorar como criterio de adjudicación el contenido de una condición especial de ejecución de este contrato. Cuando una prestación se configure como condición especial de ejecución, no se puntúa; cuando se puntúe, no se configura además como condición especial de ejecución sobre el mismo contenido.</w:t>
            </w:r>
          </w:p>
          <w:p>
            <w:pPr>
              <w:pStyle w:val="ListParagraph"/>
              <w:numPr>
                <w:ilvl w:val="0"/>
                <w:numId w:val="2"/>
              </w:numPr>
              <w:spacing w:after="60" w:line="264"/>
            </w:pPr>
            <w:r>
              <w:rPr>
                <w:rFonts w:ascii="Georgia" w:cs="Georgia" w:eastAsia="Georgia" w:hAnsi="Georgia"/>
                <w:b/>
                <w:bCs/>
                <w:sz w:val="20"/>
                <w:szCs w:val="20"/>
              </w:rPr>
              <w:t xml:space="preserve">Regla de no valoración de la tenencia previa.</w:t>
            </w:r>
            <w:r>
              <w:rPr>
                <w:rFonts w:ascii="Georgia" w:cs="Georgia" w:eastAsia="Georgia" w:hAnsi="Georgia"/>
                <w:sz w:val="20"/>
                <w:szCs w:val="20"/>
              </w:rPr>
              <w:t xml:space="preserve"> No se configurarán como criterios de adjudicación las circunstancias que describen a la empresa licitadora y no a la prestación que se contrata. En particular, no se valorarán: la mera tenencia de certificaciones que acrediten sistemas de gestión de la empresa; la experiencia previa del licitador; la disponibilidad, a la fecha de finalización del plazo de presentación de ofertas, de medios personales, medios materiales o instalaciones; ni la titularidad o disponibilidad, a esa misma fecha, de desarrollos, productos o infraestructuras </w:t>
            </w:r>
            <w:r>
              <w:rPr>
                <w:rFonts w:ascii="Georgia" w:cs="Georgia" w:eastAsia="Georgia" w:hAnsi="Georgia"/>
                <w:b/>
                <w:bCs/>
                <w:sz w:val="20"/>
                <w:szCs w:val="20"/>
              </w:rPr>
              <w:t xml:space="preserve">ajenos al objeto de este contrato</w:t>
            </w:r>
            <w:r>
              <w:rPr>
                <w:rFonts w:ascii="Georgia" w:cs="Georgia" w:eastAsia="Georgia" w:hAnsi="Georgia"/>
                <w:sz w:val="20"/>
                <w:szCs w:val="20"/>
              </w:rPr>
              <w:t xml:space="preserve">. Estas circunstancias se sitúan, cuando proceda y esté justificado en el expediente, en la solvencia, en el compromiso de adscripción de medios del artículo 76 LCSP —acreditable por el licitador propuesto como adjudicatario en el trámite del artículo 150.2 LCSP— o en una condición especial de ejecución.</w:t>
            </w:r>
          </w:p>
          <w:p>
            <w:pPr>
              <w:spacing w:after="100" w:line="264"/>
            </w:pPr>
            <w:r>
              <w:rPr>
                <w:rFonts w:ascii="Georgia" w:cs="Georgia" w:eastAsia="Georgia" w:hAnsi="Georgia"/>
                <w:b/>
                <w:bCs/>
                <w:sz w:val="20"/>
                <w:szCs w:val="20"/>
              </w:rPr>
              <w:t xml:space="preserve">Lo que sí se valora: la prestación comprometida.</w:t>
            </w:r>
            <w:r>
              <w:rPr>
                <w:rFonts w:ascii="Georgia" w:cs="Georgia" w:eastAsia="Georgia" w:hAnsi="Georgia"/>
                <w:sz w:val="20"/>
                <w:szCs w:val="20"/>
              </w:rPr>
              <w:t xml:space="preserve"> El alcance funcional que el licitador se compromete a entregar sobre las relaciones cerradas y numeradas publicadas en el pliego de prescripciones técnicas y en sus apéndices es contenido de la prestación contratada, y se valora </w:t>
            </w:r>
            <w:r>
              <w:rPr>
                <w:rFonts w:ascii="Georgia" w:cs="Georgia" w:eastAsia="Georgia" w:hAnsi="Georgia"/>
                <w:b/>
                <w:bCs/>
                <w:sz w:val="20"/>
                <w:szCs w:val="20"/>
              </w:rPr>
              <w:t xml:space="preserve">con independencia de que la solución ofertada lo cubra desde su entrega inicial o de que el licitador deba desarrollarlo dentro del plazo de ejecución fijado en el pliego</w:t>
            </w:r>
            <w:r>
              <w:rPr>
                <w:rFonts w:ascii="Georgia" w:cs="Georgia" w:eastAsia="Georgia" w:hAnsi="Georgia"/>
                <w:sz w:val="20"/>
                <w:szCs w:val="20"/>
              </w:rPr>
              <w:t xml:space="preserve">. En consecuencia, ningún criterio de adjudicación podrá condicionar la puntuación a que la funcionalidad esté disponible a la fecha de finalización del plazo de presentación de ofertas, ni excluir de la puntuación lo que el licitador se comprometa a desarrollar dentro de plazo. El alcance comprometido se incorpora al contrato como obligación contractual exigible, en los términos del criterio que lo valore.</w:t>
            </w:r>
          </w:p>
          <w:p>
            <w:pPr>
              <w:pStyle w:val="ListParagraph"/>
              <w:numPr>
                <w:ilvl w:val="0"/>
                <w:numId w:val="2"/>
              </w:numPr>
              <w:spacing w:after="60" w:line="264"/>
            </w:pPr>
            <w:r>
              <w:rPr>
                <w:rFonts w:ascii="Georgia" w:cs="Georgia" w:eastAsia="Georgia" w:hAnsi="Georgia"/>
                <w:b/>
                <w:bCs/>
                <w:sz w:val="20"/>
                <w:szCs w:val="20"/>
              </w:rPr>
              <w:t xml:space="preserve">Regla de correspondencia con el pliego técnico.</w:t>
            </w:r>
            <w:r>
              <w:rPr>
                <w:rFonts w:ascii="Georgia" w:cs="Georgia" w:eastAsia="Georgia" w:hAnsi="Georgia"/>
                <w:sz w:val="20"/>
                <w:szCs w:val="20"/>
              </w:rPr>
              <w:t xml:space="preserve"> No se incorporará ningún criterio de adjudicación que valore una capacidad, prestación o integración que el pliego de prescripciones técnicas no exija ni describa. Si una cláusula técnica se marca como NO APLICA en la Ficha de Aplicabilidad, se suprime el criterio de adjudicación que la valoraba y </w:t>
            </w:r>
            <w:r>
              <w:rPr>
                <w:rFonts w:ascii="Georgia" w:cs="Georgia" w:eastAsia="Georgia" w:hAnsi="Georgia"/>
                <w:b/>
                <w:bCs/>
                <w:sz w:val="20"/>
                <w:szCs w:val="20"/>
              </w:rPr>
              <w:t xml:space="preserve">se recompone el baremo antes de publicar el anuncio de licitación, sin que quepa redistribución alguna una vez iniciada la licitación (apartado 6)</w:t>
            </w:r>
            <w:r>
              <w:rPr>
                <w:rFonts w:ascii="Georgia" w:cs="Georgia" w:eastAsia="Georgia" w:hAnsi="Georgia"/>
                <w:sz w:val="20"/>
                <w:szCs w:val="20"/>
              </w:rPr>
              <w:t xml:space="preserve">.</w:t>
            </w:r>
          </w:p>
          <w:p>
            <w:pPr>
              <w:pStyle w:val="ListParagraph"/>
              <w:numPr>
                <w:ilvl w:val="0"/>
                <w:numId w:val="2"/>
              </w:numPr>
              <w:spacing w:after="60" w:line="264"/>
            </w:pPr>
            <w:r>
              <w:rPr>
                <w:rFonts w:ascii="Georgia" w:cs="Georgia" w:eastAsia="Georgia" w:hAnsi="Georgia"/>
                <w:b/>
                <w:bCs/>
                <w:sz w:val="20"/>
                <w:szCs w:val="20"/>
              </w:rPr>
              <w:t xml:space="preserve">Reglas de proporción.</w:t>
            </w:r>
            <w:r>
              <w:rPr>
                <w:rFonts w:ascii="Georgia" w:cs="Georgia" w:eastAsia="Georgia" w:hAnsi="Georgia"/>
                <w:sz w:val="20"/>
                <w:szCs w:val="20"/>
              </w:rPr>
              <w:t xml:space="preserve"> En la determinación del baremo:</w:t>
            </w:r>
          </w:p>
          <w:p>
            <w:pPr>
              <w:spacing w:after="100" w:line="264"/>
            </w:pPr>
            <w:r>
              <w:rPr>
                <w:rFonts w:ascii="Georgia" w:cs="Georgia" w:eastAsia="Georgia" w:hAnsi="Georgia"/>
                <w:sz w:val="20"/>
                <w:szCs w:val="20"/>
              </w:rPr>
              <w:t xml:space="preserve">a) el conjunto de los criterios agrupados en el bloque «Innovación y tecnología» no superará el </w:t>
            </w:r>
            <w:r>
              <w:rPr>
                <w:rFonts w:ascii="Georgia" w:cs="Georgia" w:eastAsia="Georgia" w:hAnsi="Georgia"/>
                <w:b/>
                <w:bCs/>
                <w:sz w:val="20"/>
                <w:szCs w:val="20"/>
              </w:rPr>
              <w:t xml:space="preserve">[X; se recomienda 25] por ciento</w:t>
            </w:r>
            <w:r>
              <w:rPr>
                <w:rFonts w:ascii="Georgia" w:cs="Georgia" w:eastAsia="Georgia" w:hAnsi="Georgia"/>
                <w:sz w:val="20"/>
                <w:szCs w:val="20"/>
              </w:rPr>
              <w:t xml:space="preserve"> de la puntuación total del contrato y, en ningún caso, el cuarenta por ciento;</w:t>
            </w:r>
          </w:p>
          <w:p>
            <w:pPr>
              <w:spacing w:after="100" w:line="264"/>
            </w:pPr>
            <w:r>
              <w:rPr>
                <w:rFonts w:ascii="Georgia" w:cs="Georgia" w:eastAsia="Georgia" w:hAnsi="Georgia"/>
                <w:sz w:val="20"/>
                <w:szCs w:val="20"/>
              </w:rPr>
              <w:t xml:space="preserve">b) se dará preponderancia a los criterios evaluables mediante la mera aplicación de fórmulas (artículo 146.2, párrafo primero, LCSP);</w:t>
            </w:r>
          </w:p>
          <w:p>
            <w:pPr>
              <w:spacing w:after="100" w:line="264"/>
            </w:pPr>
            <w:r>
              <w:rPr>
                <w:rFonts w:ascii="Georgia" w:cs="Georgia" w:eastAsia="Georgia" w:hAnsi="Georgia"/>
                <w:sz w:val="20"/>
                <w:szCs w:val="20"/>
              </w:rPr>
              <w:t xml:space="preserve">c) si, pese a lo anterior, la ponderación conjunta de los criterios sujetos a juicio de valor resultara superior a la de los evaluables mediante fórmulas, será </w:t>
            </w:r>
            <w:r>
              <w:rPr>
                <w:rFonts w:ascii="Georgia" w:cs="Georgia" w:eastAsia="Georgia" w:hAnsi="Georgia"/>
                <w:b/>
                <w:bCs/>
                <w:sz w:val="20"/>
                <w:szCs w:val="20"/>
              </w:rPr>
              <w:t xml:space="preserve">preceptiva</w:t>
            </w:r>
            <w:r>
              <w:rPr>
                <w:rFonts w:ascii="Georgia" w:cs="Georgia" w:eastAsia="Georgia" w:hAnsi="Georgia"/>
                <w:sz w:val="20"/>
                <w:szCs w:val="20"/>
              </w:rPr>
              <w:t xml:space="preserve"> la constitución del comité de expertos del artículo 146.2.a) LCSP, con un mínimo de tres miembros con cualificación apropiada no adscritos al órgano proponente del contrato, cuya composición, procedimiento de designación, metodología y plazo de valoración constarán identificados en este pliego y publicados en el perfil de contratante con anterioridad a la apertura del sobre correspondiente;</w:t>
            </w:r>
          </w:p>
          <w:p>
            <w:pPr>
              <w:spacing w:after="100" w:line="264"/>
            </w:pPr>
            <w:r>
              <w:rPr>
                <w:rFonts w:ascii="Georgia" w:cs="Georgia" w:eastAsia="Georgia" w:hAnsi="Georgia"/>
                <w:sz w:val="20"/>
                <w:szCs w:val="20"/>
              </w:rPr>
              <w:t xml:space="preserve">d) las mejoras que se valoren mediante juicio de valor no superarán el 2,5 por ciento de la puntuación total y estarán suficientemente especificadas (artículo 145.7 LCSP);</w:t>
            </w:r>
          </w:p>
          <w:p>
            <w:pPr>
              <w:spacing w:after="100" w:line="264"/>
            </w:pPr>
            <w:r>
              <w:rPr>
                <w:rFonts w:ascii="Georgia" w:cs="Georgia" w:eastAsia="Georgia" w:hAnsi="Georgia"/>
                <w:sz w:val="20"/>
                <w:szCs w:val="20"/>
              </w:rPr>
              <w:t xml:space="preserve">e) cuando el objeto del contrato sean prestaciones de carácter intelectual, los criterios relacionados con la calidad representarán al menos el 51 por ciento de la puntuación asignable (artículo 145.4 LCSP), extremo que se motivará en el expediente;</w:t>
            </w:r>
          </w:p>
          <w:p>
            <w:pPr>
              <w:spacing w:after="100" w:line="264"/>
            </w:pPr>
            <w:r>
              <w:rPr>
                <w:rFonts w:ascii="Georgia" w:cs="Georgia" w:eastAsia="Georgia" w:hAnsi="Georgia"/>
                <w:sz w:val="20"/>
                <w:szCs w:val="20"/>
              </w:rPr>
              <w:t xml:space="preserve">f) no se emplea la categoría «mixto»: cada criterio es evaluable mediante fórmula o sujeto a juicio de valor, sin excepción, y así consta en la columna correspondiente del baremo.</w:t>
            </w:r>
          </w:p>
          <w:p>
            <w:pPr>
              <w:pStyle w:val="ListParagraph"/>
              <w:numPr>
                <w:ilvl w:val="0"/>
                <w:numId w:val="2"/>
              </w:numPr>
              <w:spacing w:after="60" w:line="264"/>
            </w:pPr>
            <w:r>
              <w:rPr>
                <w:rFonts w:ascii="Georgia" w:cs="Georgia" w:eastAsia="Georgia" w:hAnsi="Georgia"/>
                <w:b/>
                <w:bCs/>
                <w:sz w:val="20"/>
                <w:szCs w:val="20"/>
              </w:rPr>
              <w:t xml:space="preserve">Verificabilidad.</w:t>
            </w:r>
            <w:r>
              <w:rPr>
                <w:rFonts w:ascii="Georgia" w:cs="Georgia" w:eastAsia="Georgia" w:hAnsi="Georgia"/>
                <w:sz w:val="20"/>
                <w:szCs w:val="20"/>
              </w:rPr>
              <w:t xml:space="preserve"> Cada criterio va acompañado en este pliego de la especificación del medio por el que se comprobará de manera efectiva la información facilitada por los licitadores (artículo 145.5.c LCSP). El criterio que no pueda comprobarse de manera efectiva no se incorpora al baremo.</w:t>
            </w:r>
          </w:p>
          <w:p>
            <w:pPr>
              <w:pStyle w:val="ListParagraph"/>
              <w:numPr>
                <w:ilvl w:val="0"/>
                <w:numId w:val="2"/>
              </w:numPr>
              <w:spacing w:after="60" w:line="264"/>
            </w:pPr>
            <w:r>
              <w:rPr>
                <w:rFonts w:ascii="Georgia" w:cs="Georgia" w:eastAsia="Georgia" w:hAnsi="Georgia"/>
                <w:b/>
                <w:bCs/>
                <w:sz w:val="20"/>
                <w:szCs w:val="20"/>
              </w:rPr>
              <w:t xml:space="preserve">Ponderaciones.</w:t>
            </w:r>
            <w:r>
              <w:rPr>
                <w:rFonts w:ascii="Georgia" w:cs="Georgia" w:eastAsia="Georgia" w:hAnsi="Georgia"/>
                <w:sz w:val="20"/>
                <w:szCs w:val="20"/>
              </w:rPr>
              <w:t xml:space="preserve"> Las ponderaciones publicadas en este pliego no serán objeto de reescalado ni de redistribución una vez publicado el anuncio de licitación.</w:t>
            </w:r>
          </w:p>
          <w:p>
            <w:pPr>
              <w:pStyle w:val="ListParagraph"/>
              <w:numPr>
                <w:ilvl w:val="0"/>
                <w:numId w:val="2"/>
              </w:numPr>
              <w:spacing w:after="60" w:line="264"/>
            </w:pPr>
            <w:r>
              <w:rPr>
                <w:rFonts w:ascii="Georgia" w:cs="Georgia" w:eastAsia="Georgia" w:hAnsi="Georgia"/>
                <w:b/>
                <w:bCs/>
                <w:sz w:val="20"/>
                <w:szCs w:val="20"/>
              </w:rPr>
              <w:t xml:space="preserve">Ofertas anormalmente bajas.</w:t>
            </w:r>
            <w:r>
              <w:rPr>
                <w:rFonts w:ascii="Georgia" w:cs="Georgia" w:eastAsia="Georgia" w:hAnsi="Georgia"/>
                <w:sz w:val="20"/>
                <w:szCs w:val="20"/>
              </w:rPr>
              <w:t xml:space="preserve"> Este pliego publica, en el apartado [ ], los </w:t>
            </w:r>
            <w:r>
              <w:rPr>
                <w:rFonts w:ascii="Georgia" w:cs="Georgia" w:eastAsia="Georgia" w:hAnsi="Georgia"/>
                <w:b/>
                <w:bCs/>
                <w:sz w:val="20"/>
                <w:szCs w:val="20"/>
              </w:rPr>
              <w:t xml:space="preserve">parámetros objetivos</w:t>
            </w:r>
            <w:r>
              <w:rPr>
                <w:rFonts w:ascii="Georgia" w:cs="Georgia" w:eastAsia="Georgia" w:hAnsi="Georgia"/>
                <w:sz w:val="20"/>
                <w:szCs w:val="20"/>
              </w:rPr>
              <w:t xml:space="preserve"> con arreglo a los cuales se identificará la oferta presuntamente anormalmente baja, referidos a </w:t>
            </w:r>
            <w:r>
              <w:rPr>
                <w:rFonts w:ascii="Georgia" w:cs="Georgia" w:eastAsia="Georgia" w:hAnsi="Georgia"/>
                <w:b/>
                <w:bCs/>
                <w:sz w:val="20"/>
                <w:szCs w:val="20"/>
              </w:rPr>
              <w:t xml:space="preserve">[la oferta en su conjunto / el criterio de precio]</w:t>
            </w:r>
            <w:r>
              <w:rPr>
                <w:rFonts w:ascii="Georgia" w:cs="Georgia" w:eastAsia="Georgia" w:hAnsi="Georgia"/>
                <w:sz w:val="20"/>
                <w:szCs w:val="20"/>
              </w:rPr>
              <w:t xml:space="preserve">, sin remisión a parámetros supletorios de normas de desarrollo. Identificada una oferta como presuntamente anormal, se requerirá al licitador para que la justifique, se recabará el informe técnico y se resolverá de forma motivada conforme al artículo 149 de la LCSP </w:t>
            </w:r>
            <w:r>
              <w:rPr>
                <w:rFonts w:ascii="Georgia" w:cs="Georgia" w:eastAsia="Georgia" w:hAnsi="Georgia"/>
                <w:b/>
                <w:bCs/>
                <w:sz w:val="20"/>
                <w:szCs w:val="20"/>
              </w:rPr>
              <w:t xml:space="preserve">con anterioridad a la aplicación de las fórmulas de valoración</w:t>
            </w:r>
            <w:r>
              <w:rPr>
                <w:rFonts w:ascii="Georgia" w:cs="Georgia" w:eastAsia="Georgia" w:hAnsi="Georgia"/>
                <w:sz w:val="20"/>
                <w:szCs w:val="20"/>
              </w:rPr>
              <w:t xml:space="preserve">. </w:t>
            </w:r>
            <w:r>
              <w:rPr>
                <w:rFonts w:ascii="Georgia" w:cs="Georgia" w:eastAsia="Georgia" w:hAnsi="Georgia"/>
                <w:b/>
                <w:bCs/>
                <w:sz w:val="20"/>
                <w:szCs w:val="20"/>
              </w:rPr>
              <w:t xml:space="preserve">La oferta excluida no se computará como referencia de cálculo en ninguna fórmula de este pliego.</w:t>
            </w:r>
          </w:p>
        </w:tc>
      </w:tr>
    </w:tbl>
    <w:p>
      <w:pPr>
        <w:spacing w:after="220"/>
      </w:pPr>
    </w:p>
    <w:p>
      <w:pPr>
        <w:spacing w:after="140" w:line="276"/>
      </w:pPr>
      <w:r>
        <w:rPr>
          <w:rFonts w:ascii="Calibri" w:cs="Calibri" w:eastAsia="Calibri" w:hAnsi="Calibri"/>
          <w:b/>
          <w:bCs/>
          <w:sz w:val="21"/>
          <w:szCs w:val="21"/>
        </w:rPr>
        <w:t xml:space="preserve">ADM-7.2 · Baremo modelo. Variante A: procedimiento abierto (artículo 156 LCSP).</w:t>
      </w:r>
    </w:p>
    <w:p>
      <w:pPr>
        <w:spacing w:after="140" w:line="276"/>
      </w:pPr>
      <w:r>
        <w:rPr>
          <w:rFonts w:ascii="Calibri" w:cs="Calibri" w:eastAsia="Calibri" w:hAnsi="Calibri"/>
          <w:sz w:val="21"/>
          <w:szCs w:val="21"/>
        </w:rPr>
        <w:t xml:space="preserve">Ejemplo completo trabajado sobre un contrato </w:t>
      </w:r>
      <w:r>
        <w:rPr>
          <w:rFonts w:ascii="Calibri" w:cs="Calibri" w:eastAsia="Calibri" w:hAnsi="Calibri"/>
          <w:b/>
          <w:bCs/>
          <w:sz w:val="21"/>
          <w:szCs w:val="21"/>
        </w:rPr>
        <w:t xml:space="preserve">simulado</w:t>
      </w:r>
      <w:r>
        <w:rPr>
          <w:rFonts w:ascii="Calibri" w:cs="Calibri" w:eastAsia="Calibri" w:hAnsi="Calibri"/>
          <w:sz w:val="21"/>
          <w:szCs w:val="21"/>
        </w:rPr>
        <w:t xml:space="preserve"> de servicios de mantenimiento, evolución y soporte de una aplicación municipal de gestión de subvenciones y ayudas. </w:t>
      </w:r>
      <w:r>
        <w:rPr>
          <w:rFonts w:ascii="Calibri" w:cs="Calibri" w:eastAsia="Calibri" w:hAnsi="Calibri"/>
          <w:b/>
          <w:bCs/>
          <w:sz w:val="21"/>
          <w:szCs w:val="21"/>
        </w:rPr>
        <w:t xml:space="preserve">Es el mismo expediente simulado que emplea el ejemplo trabajado de la Parte VI, con sus mismas cifras —construidas para el ejemplo—</w:t>
      </w:r>
      <w:r>
        <w:rPr>
          <w:rFonts w:ascii="Calibri" w:cs="Calibri" w:eastAsia="Calibri" w:hAnsi="Calibri"/>
          <w:sz w:val="21"/>
          <w:szCs w:val="21"/>
        </w:rPr>
        <w:t xml:space="preserve">, para que no existan dos baremos modelo distintos para el mismo objeto: presupuesto base de licitación del servicio 240.000 euros (IVA excluido) para dos años, a razón de 120.000 euros anuales, más una bolsa de servicios evolutivos de 12.000 euros —el 5 por ciento de esa misma base, calculada conforme a ADM-3·v3, bloque 2, apartado 5— que está </w:t>
      </w:r>
      <w:r>
        <w:rPr>
          <w:rFonts w:ascii="Calibri" w:cs="Calibri" w:eastAsia="Calibri" w:hAnsi="Calibri"/>
          <w:b/>
          <w:bCs/>
          <w:sz w:val="21"/>
          <w:szCs w:val="21"/>
        </w:rPr>
        <w:t xml:space="preserve">dentro</w:t>
      </w:r>
      <w:r>
        <w:rPr>
          <w:rFonts w:ascii="Calibri" w:cs="Calibri" w:eastAsia="Calibri" w:hAnsi="Calibri"/>
          <w:sz w:val="21"/>
          <w:szCs w:val="21"/>
        </w:rPr>
        <w:t xml:space="preserve"> del presupuesto base de licitación y lo sitúa en </w:t>
      </w:r>
      <w:r>
        <w:rPr>
          <w:rFonts w:ascii="Calibri" w:cs="Calibri" w:eastAsia="Calibri" w:hAnsi="Calibri"/>
          <w:b/>
          <w:bCs/>
          <w:sz w:val="21"/>
          <w:szCs w:val="21"/>
        </w:rPr>
        <w:t xml:space="preserve">252.000 euros</w:t>
      </w:r>
      <w:r>
        <w:rPr>
          <w:rFonts w:ascii="Calibri" w:cs="Calibri" w:eastAsia="Calibri" w:hAnsi="Calibri"/>
          <w:sz w:val="21"/>
          <w:szCs w:val="21"/>
        </w:rPr>
        <w:t xml:space="preserve">; prórroga prevista de dos años en las mismas condiciones, 252.000 euros, con la bolsa dotada en la misma proporción; </w:t>
      </w:r>
      <w:r>
        <w:rPr>
          <w:rFonts w:ascii="Calibri" w:cs="Calibri" w:eastAsia="Calibri" w:hAnsi="Calibri"/>
          <w:b/>
          <w:bCs/>
          <w:sz w:val="21"/>
          <w:szCs w:val="21"/>
        </w:rPr>
        <w:t xml:space="preserve">valor estimado 504.000 euros</w:t>
      </w:r>
      <w:r>
        <w:rPr>
          <w:rFonts w:ascii="Calibri" w:cs="Calibri" w:eastAsia="Calibri" w:hAnsi="Calibri"/>
          <w:sz w:val="21"/>
          <w:szCs w:val="21"/>
        </w:rPr>
        <w:t xml:space="preserve">; sin reserva de modificación. Al superar el umbral de regulación armonizada, el contrato se publica en el Diario Oficial de la Unión Europea, los pliegos son directamente recurribles y no cabe el procedimiento abierto simplificado.</w:t>
      </w:r>
    </w:p>
    <w:p>
      <w:pPr>
        <w:spacing w:after="140" w:line="276"/>
      </w:pPr>
      <w:r>
        <w:rPr>
          <w:rFonts w:ascii="Calibri" w:cs="Calibri" w:eastAsia="Calibri" w:hAnsi="Calibri"/>
          <w:sz w:val="21"/>
          <w:szCs w:val="21"/>
        </w:rPr>
        <w:t xml:space="preserve">Los códigos de criterio de este baremo (</w:t>
      </w:r>
      <w:r>
        <w:rPr>
          <w:rFonts w:ascii="Calibri" w:cs="Calibri" w:eastAsia="Calibri" w:hAnsi="Calibri"/>
          <w:color w:val="2F5496"/>
          <w:sz w:val="21"/>
          <w:szCs w:val="21"/>
        </w:rPr>
        <w:t xml:space="preserve">P · C1 · C2 · C3 · C4 · A · B · D · E · F · H</w:t>
      </w:r>
      <w:r>
        <w:rPr>
          <w:rFonts w:ascii="Calibri" w:cs="Calibri" w:eastAsia="Calibri" w:hAnsi="Calibri"/>
          <w:sz w:val="21"/>
          <w:szCs w:val="21"/>
        </w:rPr>
        <w:t xml:space="preserve">) son los que emplean el Cuadro Maestro del Anexo I, la tabla de dependencias del Anexo VI y la aplicación piloto de la Parte VI. Es </w:t>
      </w:r>
      <w:r>
        <w:rPr>
          <w:rFonts w:ascii="Calibri" w:cs="Calibri" w:eastAsia="Calibri" w:hAnsi="Calibri"/>
          <w:b/>
          <w:bCs/>
          <w:sz w:val="21"/>
          <w:szCs w:val="21"/>
        </w:rPr>
        <w:t xml:space="preserve">la única serie del catálogo</w:t>
      </w:r>
      <w:r>
        <w:rPr>
          <w:rFonts w:ascii="Calibri" w:cs="Calibri" w:eastAsia="Calibri" w:hAnsi="Calibri"/>
          <w:sz w:val="21"/>
          <w:szCs w:val="21"/>
        </w:rPr>
        <w:t xml:space="preserve">: no existe ninguna otra.</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[n+1]. Criterios de adjudicación (procedimiento abierto).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Criterio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Puntos</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Medio de comprobación efectiva (art. 145.5.c LCSP)</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Precio del servicio.</w:t>
                  </w:r>
                  <w:r>
                    <w:rPr>
                      <w:rFonts w:ascii="Calibri" w:cs="Calibri" w:eastAsia="Calibri" w:hAnsi="Calibri"/>
                      <w:b w:val="false"/>
                      <w:bCs w:val="false"/>
                      <w:sz w:val="18"/>
                      <w:szCs w:val="18"/>
                    </w:rPr>
                    <w:t xml:space="preserve"> Baja sobre el presupuesto base de licitación, con la fórmula publicada en el apartado [ ] de este pliego y el tratamiento de las ofertas anormalmente bajas del artículo 149 de la LCSP y del apartado [ ].</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40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Oferta económica, modelo del Anexo [ ] de este pliego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C1</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Cobertura funcional comprometida</w:t>
                  </w:r>
                  <w:r>
                    <w:rPr>
                      <w:rFonts w:ascii="Calibri" w:cs="Calibri" w:eastAsia="Calibri" w:hAnsi="Calibri"/>
                      <w:b w:val="false"/>
                      <w:bCs w:val="false"/>
                      <w:sz w:val="18"/>
                      <w:szCs w:val="18"/>
                    </w:rPr>
                    <w:t xml:space="preserve"> sobre la relación cerrada y numerada del </w:t>
                  </w:r>
                  <w:r>
                    <w:rPr>
                      <w:rFonts w:ascii="Calibri" w:cs="Calibri" w:eastAsia="Calibri" w:hAnsi="Calibri"/>
                      <w:b/>
                      <w:bCs/>
                      <w:sz w:val="18"/>
                      <w:szCs w:val="18"/>
                    </w:rPr>
                    <w:t xml:space="preserve">bloque B · Requisitos funcionales valorables</w:t>
                  </w:r>
                  <w:r>
                    <w:rPr>
                      <w:rFonts w:ascii="Calibri" w:cs="Calibri" w:eastAsia="Calibri" w:hAnsi="Calibri"/>
                      <w:b w:val="false"/>
                      <w:bCs w:val="false"/>
                      <w:sz w:val="18"/>
                      <w:szCs w:val="18"/>
                    </w:rPr>
                    <w:t xml:space="preserve"> del </w:t>
                  </w:r>
                  <w:r>
                    <w:rPr>
                      <w:rFonts w:ascii="Calibri" w:cs="Calibri" w:eastAsia="Calibri" w:hAnsi="Calibri"/>
                      <w:b/>
                      <w:bCs/>
                      <w:sz w:val="18"/>
                      <w:szCs w:val="18"/>
                    </w:rPr>
                    <w:t xml:space="preserve">Apéndice técnico 0 · Matriz de requisitos funcionales</w:t>
                  </w:r>
                  <w:r>
                    <w:rPr>
                      <w:rFonts w:ascii="Calibri" w:cs="Calibri" w:eastAsia="Calibri" w:hAnsi="Calibri"/>
                      <w:b w:val="false"/>
                      <w:bCs w:val="false"/>
                      <w:sz w:val="18"/>
                      <w:szCs w:val="18"/>
                    </w:rPr>
                    <w:t xml:space="preserve"> del pliego de prescripciones técnicas, aplicando la fórmula de cantidad reproducida íntegramente en el apartado [ ] de este PCAP, correspondiente a la </w:t>
                  </w:r>
                  <w:r>
                    <w:rPr>
                      <w:rFonts w:ascii="Calibri" w:cs="Calibri" w:eastAsia="Calibri" w:hAnsi="Calibri"/>
                      <w:b/>
                      <w:bCs/>
                      <w:sz w:val="18"/>
                      <w:szCs w:val="18"/>
                    </w:rPr>
                    <w:t xml:space="preserve">fórmula E del Anexo XVII</w:t>
                  </w:r>
                  <w:r>
                    <w:rPr>
                      <w:rFonts w:ascii="Calibri" w:cs="Calibri" w:eastAsia="Calibri" w:hAnsi="Calibri"/>
                      <w:b w:val="false"/>
                      <w:bCs w:val="false"/>
                      <w:sz w:val="18"/>
                      <w:szCs w:val="18"/>
                    </w:rPr>
                    <w:t xml:space="preserve"> de este catálogo, con </w:t>
                  </w:r>
                  <w:r>
                    <w:rPr>
                      <w:rFonts w:ascii="Calibri" w:cs="Calibri" w:eastAsia="Calibri" w:hAnsi="Calibri"/>
                      <w:b/>
                      <w:bCs/>
                      <w:sz w:val="18"/>
                      <w:szCs w:val="18"/>
                    </w:rPr>
                    <w:t xml:space="preserve">Cmín = 0</w:t>
                  </w:r>
                  <w:r>
                    <w:rPr>
                      <w:rFonts w:ascii="Calibri" w:cs="Calibri" w:eastAsia="Calibri" w:hAnsi="Calibri"/>
                      <w:b w:val="false"/>
                      <w:bCs w:val="false"/>
                      <w:sz w:val="18"/>
                      <w:szCs w:val="18"/>
                    </w:rPr>
                    <w:t xml:space="preserve"> y </w:t>
                  </w:r>
                  <w:r>
                    <w:rPr>
                      <w:rFonts w:ascii="Calibri" w:cs="Calibri" w:eastAsia="Calibri" w:hAnsi="Calibri"/>
                      <w:b/>
                      <w:bCs/>
                      <w:sz w:val="18"/>
                      <w:szCs w:val="18"/>
                    </w:rPr>
                    <w:t xml:space="preserve">Ctecho = número total de requisitos del bloque B</w:t>
                  </w:r>
                  <w:r>
                    <w:rPr>
                      <w:rFonts w:ascii="Calibri" w:cs="Calibri" w:eastAsia="Calibri" w:hAnsi="Calibri"/>
                      <w:b w:val="false"/>
                      <w:bCs w:val="false"/>
                      <w:sz w:val="18"/>
                      <w:szCs w:val="18"/>
                    </w:rPr>
                    <w:t xml:space="preserve">. Se cuentan únicamente los requisitos que el licitador se compromete a tener operativos en el plazo fijado en el PPT. </w:t>
                  </w:r>
                  <w:r>
                    <w:rPr>
                      <w:rFonts w:ascii="Calibri" w:cs="Calibri" w:eastAsia="Calibri" w:hAnsi="Calibri"/>
                      <w:b/>
                      <w:bCs/>
                      <w:sz w:val="18"/>
                      <w:szCs w:val="18"/>
                    </w:rPr>
                    <w:t xml:space="preserve">Es indiferente que el requisito lo cubra la solución ofertada desde su entrega inicial o que se cubra mediante desarrollo dentro de ese plazo</w:t>
                  </w:r>
                  <w:r>
                    <w:rPr>
                      <w:rFonts w:ascii="Calibri" w:cs="Calibri" w:eastAsia="Calibri" w:hAnsi="Calibri"/>
                      <w:b w:val="false"/>
                      <w:bCs w:val="false"/>
                      <w:sz w:val="18"/>
                      <w:szCs w:val="18"/>
                    </w:rPr>
                    <w:t xml:space="preserve">: se valora el compromiso, no la disponibilidad a la fecha de la oferta (apartado 2 de la cláusula anterior). Los requisitos del bloque A, «mínimos obligatorios», no puntúan.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Declaración del licitador sobre el bloque B del </w:t>
                  </w:r>
                  <w:r>
                    <w:rPr>
                      <w:rFonts w:ascii="Calibri" w:cs="Calibri" w:eastAsia="Calibri" w:hAnsi="Calibri"/>
                      <w:b/>
                      <w:bCs/>
                      <w:sz w:val="18"/>
                      <w:szCs w:val="18"/>
                    </w:rPr>
                    <w:t xml:space="preserve">Apéndice técnico 0 · Matriz de requisitos funcionales</w:t>
                  </w:r>
                  <w:r>
                    <w:rPr>
                      <w:rFonts w:ascii="Calibri" w:cs="Calibri" w:eastAsia="Calibri" w:hAnsi="Calibri"/>
                      <w:b w:val="false"/>
                      <w:bCs w:val="false"/>
                      <w:sz w:val="18"/>
                      <w:szCs w:val="18"/>
                    </w:rPr>
                    <w:t xml:space="preserve">, presentada en el sobre de criterios evaluables mediante fórmulas, acompañada de la documentación técnica del fabricante o del propio licitador que identifique, función por función, la versión y el módulo que la soporta o, cuando se comprometa a desarrollarla, el hito del plan de implantación en que se entregará. Cuando este pliego incorpore la cláusula [ADM-9], la exactitud de la declaración se comprobará además conforme al trámite de su apartado 5. La cobertura comprometida se incorpora al contrato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Plan de implantación y migración de datos</w:t>
                  </w:r>
                  <w:r>
                    <w:rPr>
                      <w:rFonts w:ascii="Calibri" w:cs="Calibri" w:eastAsia="Calibri" w:hAnsi="Calibri"/>
                      <w:b w:val="false"/>
                      <w:bCs w:val="false"/>
                      <w:sz w:val="18"/>
                      <w:szCs w:val="18"/>
                    </w:rPr>
                    <w:t xml:space="preserve">: migración de los ejercicios históricos, plan de pruebas y plan de vuelta atrás, valorados conforme a la rúbrica con descriptores por tramos publicada en el Anexo [ ] de este pliego. El plan es obligatorio conforme al pliego de prescripciones técnicas; se valora únicamente su contenido por encima de ese mínimo.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técnica; rúbrica del Anexo [ ] de este pliego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Niveles de servicio ofertados por encima del mínimo del pliego de prescripciones técnicas</w:t>
                  </w:r>
                  <w:r>
                    <w:rPr>
                      <w:rFonts w:ascii="Calibri" w:cs="Calibri" w:eastAsia="Calibri" w:hAnsi="Calibri"/>
                      <w:b w:val="false"/>
                      <w:bCs w:val="false"/>
                      <w:sz w:val="18"/>
                      <w:szCs w:val="18"/>
                    </w:rPr>
                    <w:t xml:space="preserve">: tiempo máximo de respuesta y tiempo máximo de resolución de incidencias críticas, en horas por debajo del máximo exigido.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Oferta técnica; los niveles ofertados se incorporan al contrato y se penalizan conforme a la cláusula [ADM-5]</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C4</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Plan de formación y acompañamiento</w:t>
                  </w:r>
                  <w:r>
                    <w:rPr>
                      <w:rFonts w:ascii="Calibri" w:cs="Calibri" w:eastAsia="Calibri" w:hAnsi="Calibri"/>
                      <w:b w:val="false"/>
                      <w:bCs w:val="false"/>
                      <w:sz w:val="18"/>
                      <w:szCs w:val="18"/>
                    </w:rPr>
                    <w:t xml:space="preserve"> al personal del servicio gestor y de los órganos de control interno, valorado conforme a la rúbrica con descriptores por tramos publicada en el Anexo [ ] de este pliego, y por encima de las horas mínimas exigidas en el pliego de prescripciones técnicas.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técnica; rúbrica del Anexo [ ] de este pliego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Alcance funcional adicional de la interfaz normalizada de acceso programático</w:t>
                  </w:r>
                  <w:r>
                    <w:rPr>
                      <w:rFonts w:ascii="Calibri" w:cs="Calibri" w:eastAsia="Calibri" w:hAnsi="Calibri"/>
                      <w:b w:val="false"/>
                      <w:bCs w:val="false"/>
                      <w:sz w:val="18"/>
                      <w:szCs w:val="18"/>
                    </w:rPr>
                    <w:t xml:space="preserve">, sobre la relación cerrada y numerada de módulos y funciones contenida en el </w:t>
                  </w:r>
                  <w:r>
                    <w:rPr>
                      <w:rFonts w:ascii="Calibri" w:cs="Calibri" w:eastAsia="Calibri" w:hAnsi="Calibri"/>
                      <w:b/>
                      <w:bCs/>
                      <w:sz w:val="18"/>
                      <w:szCs w:val="18"/>
                    </w:rPr>
                    <w:t xml:space="preserve">Apéndice técnico 2 · Exigencias tecnológicas determinadas</w:t>
                  </w:r>
                  <w:r>
                    <w:rPr>
                      <w:rFonts w:ascii="Calibri" w:cs="Calibri" w:eastAsia="Calibri" w:hAnsi="Calibri"/>
                      <w:b w:val="false"/>
                      <w:bCs w:val="false"/>
                      <w:sz w:val="18"/>
                      <w:szCs w:val="18"/>
                    </w:rPr>
                    <w:t xml:space="preserve"> del pliego de prescripciones técnicas, contando únicamente las funciones y conjuntos de datos del bloque de </w:t>
                  </w:r>
                  <w:r>
                    <w:rPr>
                      <w:rFonts w:ascii="Calibri" w:cs="Calibri" w:eastAsia="Calibri" w:hAnsi="Calibri"/>
                      <w:b/>
                      <w:bCs/>
                      <w:sz w:val="18"/>
                      <w:szCs w:val="18"/>
                    </w:rPr>
                    <w:t xml:space="preserve">funciones adicionales ofertables</w:t>
                  </w:r>
                  <w:r>
                    <w:rPr>
                      <w:rFonts w:ascii="Calibri" w:cs="Calibri" w:eastAsia="Calibri" w:hAnsi="Calibri"/>
                      <w:b w:val="false"/>
                      <w:bCs w:val="false"/>
                      <w:sz w:val="18"/>
                      <w:szCs w:val="18"/>
                    </w:rPr>
                    <w:t xml:space="preserve"> que el licitador se compromete a exponer por encima de las </w:t>
                  </w:r>
                  <w:r>
                    <w:rPr>
                      <w:rFonts w:ascii="Calibri" w:cs="Calibri" w:eastAsia="Calibri" w:hAnsi="Calibri"/>
                      <w:b/>
                      <w:bCs/>
                      <w:sz w:val="18"/>
                      <w:szCs w:val="18"/>
                    </w:rPr>
                    <w:t xml:space="preserve">funciones mínimas</w:t>
                  </w:r>
                  <w:r>
                    <w:rPr>
                      <w:rFonts w:ascii="Calibri" w:cs="Calibri" w:eastAsia="Calibri" w:hAnsi="Calibri"/>
                      <w:b w:val="false"/>
                      <w:bCs w:val="false"/>
                      <w:sz w:val="18"/>
                      <w:szCs w:val="18"/>
                    </w:rPr>
                    <w:t xml:space="preserve"> relacionadas en ese mismo bloque. No se computa ninguna función que no figure en esa relación, que es la única del pliego sobre esta interfaz.</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Declaración del licitador sobre esa relación numerada, presentada en el sobre de criterios evaluables mediante fórmulas, acompañada de la documentación técnica del fabricante o del propio licitador que identifique, función por función, la versión y el módulo que la soporta o, cuando se comprometa a desarrollarla, el hito del plan de implantación en que se entregará. Cuando este pliego incorpore la cláusula [ADM-9], la exactitud de la declaración se comprobará además conforme al trámite de su apartado 5. El alcance comprometido se incorpora al contrato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B</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Plazo ofertado de puesta en producción de la interfaz</w:t>
                  </w:r>
                  <w:r>
                    <w:rPr>
                      <w:rFonts w:ascii="Calibri" w:cs="Calibri" w:eastAsia="Calibri" w:hAnsi="Calibri"/>
                      <w:b w:val="false"/>
                      <w:bCs w:val="false"/>
                      <w:sz w:val="18"/>
                      <w:szCs w:val="18"/>
                    </w:rPr>
                    <w:t xml:space="preserve">, en meses por debajo del máximo de </w:t>
                  </w:r>
                  <w:r>
                    <w:rPr>
                      <w:rFonts w:ascii="Calibri" w:cs="Calibri" w:eastAsia="Calibri" w:hAnsi="Calibri"/>
                      <w:b/>
                      <w:bCs/>
                      <w:sz w:val="18"/>
                      <w:szCs w:val="18"/>
                    </w:rPr>
                    <w:t xml:space="preserve">[X; se recomienda 12] meses</w:t>
                  </w:r>
                  <w:r>
                    <w:rPr>
                      <w:rFonts w:ascii="Calibri" w:cs="Calibri" w:eastAsia="Calibri" w:hAnsi="Calibri"/>
                      <w:b w:val="false"/>
                      <w:bCs w:val="false"/>
                      <w:sz w:val="18"/>
                      <w:szCs w:val="18"/>
                    </w:rPr>
                    <w:t xml:space="preserve"> fijado en el pliego de prescripciones técnicas, con </w:t>
                  </w:r>
                  <w:r>
                    <w:rPr>
                      <w:rFonts w:ascii="Calibri" w:cs="Calibri" w:eastAsia="Calibri" w:hAnsi="Calibri"/>
                      <w:b/>
                      <w:bCs/>
                      <w:sz w:val="18"/>
                      <w:szCs w:val="18"/>
                    </w:rPr>
                    <w:t xml:space="preserve">suelo en [X; se recomienda 6] meses</w:t>
                  </w:r>
                  <w:r>
                    <w:rPr>
                      <w:rFonts w:ascii="Calibri" w:cs="Calibri" w:eastAsia="Calibri" w:hAnsi="Calibri"/>
                      <w:b w:val="false"/>
                      <w:bCs w:val="false"/>
                      <w:sz w:val="18"/>
                      <w:szCs w:val="18"/>
                    </w:rPr>
                    <w:t xml:space="preserve">: por debajo de ese suelo no se atribuye puntuación adicional.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Oferta técnica; el plazo ofertado se incorpora al contrato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Tratamiento del caso de uso municipal publicado.</w:t>
                  </w:r>
                  <w:r>
                    <w:rPr>
                      <w:rFonts w:ascii="Calibri" w:cs="Calibri" w:eastAsia="Calibri" w:hAnsi="Calibri"/>
                      <w:b w:val="false"/>
                      <w:bCs w:val="false"/>
                      <w:sz w:val="18"/>
                      <w:szCs w:val="18"/>
                    </w:rPr>
                    <w:t xml:space="preserve"> Descripción, en la memoria técnica presentada en plazo, de cómo la solución ofertada resuelve las tareas del caso de uso único publicado en este pliego, valorada conforme a la rúbrica del Anexo [ ] de este pliego. </w:t>
                  </w:r>
                  <w:r>
                    <w:rPr>
                      <w:rFonts w:ascii="Calibri" w:cs="Calibri" w:eastAsia="Calibri" w:hAnsi="Calibri"/>
                      <w:b/>
                      <w:bCs/>
                      <w:sz w:val="18"/>
                      <w:szCs w:val="18"/>
                    </w:rPr>
                    <w:t xml:space="preserve">Se valora lo descrito por escrito, no el desempeño en sala.</w:t>
                  </w:r>
                  <w:r>
                    <w:rPr>
                      <w:rFonts w:ascii="Calibri" w:cs="Calibri" w:eastAsia="Calibri" w:hAnsi="Calibri"/>
                      <w:b w:val="false"/>
                      <w:bCs w:val="false"/>
                      <w:sz w:val="18"/>
                      <w:szCs w:val="18"/>
                    </w:rPr>
                    <w:t xml:space="preserve"> La demostración funcional de la cláusula [ADM-9] confirma o retira estos puntos; no puede añadir ninguno.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técnica; rúbrica del Anexo [ ] de este pliego, y acta de la sesión de comprobación de la cláusula [ADM-9]</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Plan de gobernanza de la inteligencia artificial aplicado a este contrato</w:t>
                  </w:r>
                  <w:r>
                    <w:rPr>
                      <w:rFonts w:ascii="Calibri" w:cs="Calibri" w:eastAsia="Calibri" w:hAnsi="Calibri"/>
                      <w:b w:val="false"/>
                      <w:bCs w:val="false"/>
                      <w:sz w:val="18"/>
                      <w:szCs w:val="18"/>
                    </w:rPr>
                    <w:t xml:space="preserve">: supervisión humana sobre las operaciones que afecten a derechos, gestión de riesgos sobre los datos municipales tratados, registro y trazabilidad, e información periódica al Ayuntamiento y al órgano interventor. No se valora la tenencia de certificación alguna ni el cumplimiento del Reglamento (UE) 2024/1689 en su redacción vigente, que es obligación legal exigida en el pliego de prescripciones técnicas.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técnica; rúbrica del Anexo [ ] de este pliego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F</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Precio unitario ponderado del Cuadro de Precios Unitarios.</w:t>
                  </w:r>
                  <w:r>
                    <w:rPr>
                      <w:rFonts w:ascii="Calibri" w:cs="Calibri" w:eastAsia="Calibri" w:hAnsi="Calibri"/>
                      <w:b w:val="false"/>
                      <w:bCs w:val="false"/>
                      <w:sz w:val="18"/>
                      <w:szCs w:val="18"/>
                    </w:rPr>
                    <w:t xml:space="preserve"> Precio/hora ofertado por cada uno de los </w:t>
                  </w:r>
                  <w:r>
                    <w:rPr>
                      <w:rFonts w:ascii="Calibri" w:cs="Calibri" w:eastAsia="Calibri" w:hAnsi="Calibri"/>
                      <w:b/>
                      <w:bCs/>
                      <w:sz w:val="18"/>
                      <w:szCs w:val="18"/>
                    </w:rPr>
                    <w:t xml:space="preserve">[X; se recomienda 5]</w:t>
                  </w:r>
                  <w:r>
                    <w:rPr>
                      <w:rFonts w:ascii="Calibri" w:cs="Calibri" w:eastAsia="Calibri" w:hAnsi="Calibri"/>
                      <w:b w:val="false"/>
                      <w:bCs w:val="false"/>
                      <w:sz w:val="18"/>
                      <w:szCs w:val="18"/>
                    </w:rPr>
                    <w:t xml:space="preserve"> perfiles profesionales de la relación cerrada del Anexo [ ] de este pliego, ponderados según la cesta de consumo publicada.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Cuadro de Precios Unitarios del Anexo [ ] de este pliego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H</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Procesos automatizados adicionales</w:t>
                  </w:r>
                  <w:r>
                    <w:rPr>
                      <w:rFonts w:ascii="Calibri" w:cs="Calibri" w:eastAsia="Calibri" w:hAnsi="Calibri"/>
                      <w:b w:val="false"/>
                      <w:bCs w:val="false"/>
                      <w:sz w:val="18"/>
                      <w:szCs w:val="18"/>
                    </w:rPr>
                    <w:t xml:space="preserve">, sobre la relación cerrada y numerada de procesos del </w:t>
                  </w:r>
                  <w:r>
                    <w:rPr>
                      <w:rFonts w:ascii="Calibri" w:cs="Calibri" w:eastAsia="Calibri" w:hAnsi="Calibri"/>
                      <w:b/>
                      <w:bCs/>
                      <w:sz w:val="18"/>
                      <w:szCs w:val="18"/>
                    </w:rPr>
                    <w:t xml:space="preserve">Apéndice técnico 1 · Procesos automatizables</w:t>
                  </w:r>
                  <w:r>
                    <w:rPr>
                      <w:rFonts w:ascii="Calibri" w:cs="Calibri" w:eastAsia="Calibri" w:hAnsi="Calibri"/>
                      <w:b w:val="false"/>
                      <w:bCs w:val="false"/>
                      <w:sz w:val="18"/>
                      <w:szCs w:val="18"/>
                    </w:rPr>
                    <w:t xml:space="preserve"> del pliego de prescripciones técnicas, contando únicamente los que excedan del mínimo obligatorio allí fijado.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Declaración del licitador sobre esa relación numerada, presentada en el sobre de criterios evaluables mediante fórmulas, acompañada de la documentación técnica del fabricante o del propio licitador que identifique, proceso por proceso, la versión y el módulo que lo soporta o, cuando se comprometa a desarrollarlo, el hito del plan de implantación en que se entregará. Cuando este pliego incorpore la cláusula [ADM-9], la exactitud de la declaración se comprobará además conforme al trámite de su apartado 5. Los procesos comprometidos se incorporan al contrato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TOTAL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100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80"/>
            </w:pPr>
          </w:p>
        </w:tc>
      </w:tr>
    </w:tbl>
    <w:p>
      <w:pPr>
        <w:spacing w:after="220"/>
      </w:pPr>
    </w:p>
    <w:p>
      <w:pPr>
        <w:spacing w:after="140" w:line="276"/>
      </w:pPr>
      <w:r>
        <w:rPr>
          <w:rFonts w:ascii="Calibri" w:cs="Calibri" w:eastAsia="Calibri" w:hAnsi="Calibri"/>
          <w:sz w:val="21"/>
          <w:szCs w:val="21"/>
        </w:rPr>
        <w:t xml:space="preserve">Reparto resultante, que es el que la hoja de comprobación de ADM-7.5 verifica: criterios evaluables mediante fórmula, </w:t>
      </w:r>
      <w:r>
        <w:rPr>
          <w:rFonts w:ascii="Calibri" w:cs="Calibri" w:eastAsia="Calibri" w:hAnsi="Calibri"/>
          <w:b/>
          <w:bCs/>
          <w:sz w:val="21"/>
          <w:szCs w:val="21"/>
        </w:rPr>
        <w:t xml:space="preserve">76 puntos (76 %)</w:t>
      </w:r>
      <w:r>
        <w:rPr>
          <w:rFonts w:ascii="Calibri" w:cs="Calibri" w:eastAsia="Calibri" w:hAnsi="Calibri"/>
          <w:sz w:val="21"/>
          <w:szCs w:val="21"/>
        </w:rPr>
        <w:t xml:space="preserve">; criterios sujetos a juicio de valor, </w:t>
      </w:r>
      <w:r>
        <w:rPr>
          <w:rFonts w:ascii="Calibri" w:cs="Calibri" w:eastAsia="Calibri" w:hAnsi="Calibri"/>
          <w:b/>
          <w:bCs/>
          <w:sz w:val="21"/>
          <w:szCs w:val="21"/>
        </w:rPr>
        <w:t xml:space="preserve">24 puntos (24 %)</w:t>
      </w:r>
      <w:r>
        <w:rPr>
          <w:rFonts w:ascii="Calibri" w:cs="Calibri" w:eastAsia="Calibri" w:hAnsi="Calibri"/>
          <w:sz w:val="21"/>
          <w:szCs w:val="21"/>
        </w:rPr>
        <w:t xml:space="preserve">, luego no procede el comité de expertos del art. 146.2.a) LCSP y el baremo cabe en el procedimiento abierto simplificado si el valor estimado lo permite. Bloque «Innovación y tecnología» (A, B, E y H): </w:t>
      </w:r>
      <w:r>
        <w:rPr>
          <w:rFonts w:ascii="Calibri" w:cs="Calibri" w:eastAsia="Calibri" w:hAnsi="Calibri"/>
          <w:b/>
          <w:bCs/>
          <w:sz w:val="21"/>
          <w:szCs w:val="21"/>
        </w:rPr>
        <w:t xml:space="preserve">22 puntos (22 %)</w:t>
      </w:r>
      <w:r>
        <w:rPr>
          <w:rFonts w:ascii="Calibri" w:cs="Calibri" w:eastAsia="Calibri" w:hAnsi="Calibri"/>
          <w:sz w:val="21"/>
          <w:szCs w:val="21"/>
        </w:rPr>
        <w:t xml:space="preserve">. Criterios relacionados con la calidad —todos salvo </w:t>
      </w:r>
      <w:r>
        <w:rPr>
          <w:rFonts w:ascii="Calibri" w:cs="Calibri" w:eastAsia="Calibri" w:hAnsi="Calibri"/>
          <w:b/>
          <w:bCs/>
          <w:sz w:val="21"/>
          <w:szCs w:val="21"/>
        </w:rPr>
        <w:t xml:space="preserve">P</w:t>
      </w:r>
      <w:r>
        <w:rPr>
          <w:rFonts w:ascii="Calibri" w:cs="Calibri" w:eastAsia="Calibri" w:hAnsi="Calibri"/>
          <w:sz w:val="21"/>
          <w:szCs w:val="21"/>
        </w:rPr>
        <w:t xml:space="preserve"> y </w:t>
      </w:r>
      <w:r>
        <w:rPr>
          <w:rFonts w:ascii="Calibri" w:cs="Calibri" w:eastAsia="Calibri" w:hAnsi="Calibri"/>
          <w:b/>
          <w:bCs/>
          <w:sz w:val="21"/>
          <w:szCs w:val="21"/>
        </w:rPr>
        <w:t xml:space="preserve">F</w:t>
      </w:r>
      <w:r>
        <w:rPr>
          <w:rFonts w:ascii="Calibri" w:cs="Calibri" w:eastAsia="Calibri" w:hAnsi="Calibri"/>
          <w:sz w:val="21"/>
          <w:szCs w:val="21"/>
        </w:rPr>
        <w:t xml:space="preserve">, que son criterios de precio—: </w:t>
      </w:r>
      <w:r>
        <w:rPr>
          <w:rFonts w:ascii="Calibri" w:cs="Calibri" w:eastAsia="Calibri" w:hAnsi="Calibri"/>
          <w:b/>
          <w:bCs/>
          <w:sz w:val="21"/>
          <w:szCs w:val="21"/>
        </w:rPr>
        <w:t xml:space="preserve">55 puntos (55 %)</w:t>
      </w:r>
      <w:r>
        <w:rPr>
          <w:rFonts w:ascii="Calibri" w:cs="Calibri" w:eastAsia="Calibri" w:hAnsi="Calibri"/>
          <w:sz w:val="21"/>
          <w:szCs w:val="21"/>
        </w:rPr>
        <w:t xml:space="preserve">, con lo que se cumple el 51 por ciento del art. 145.4 LCSP tanto si el contrato se califica de prestación de carácter intelectual como si no.</w:t>
      </w:r>
    </w:p>
    <w:p>
      <w:pPr>
        <w:spacing w:after="140" w:line="276"/>
      </w:pPr>
      <w:r>
        <w:rPr>
          <w:rFonts w:ascii="Calibri" w:cs="Calibri" w:eastAsia="Calibri" w:hAnsi="Calibri"/>
          <w:b/>
          <w:bCs/>
          <w:sz w:val="21"/>
          <w:szCs w:val="21"/>
        </w:rPr>
        <w:t xml:space="preserve">Cuatro advertencias que acompañan siempre a esta tabla:</w:t>
      </w:r>
    </w:p>
    <w:p>
      <w:pPr>
        <w:pStyle w:val="ListParagraph"/>
        <w:numPr>
          <w:ilvl w:val="0"/>
          <w:numId w:val="1"/>
        </w:numPr>
        <w:spacing w:after="70" w:line="268"/>
      </w:pPr>
      <w:r>
        <w:rPr>
          <w:rFonts w:ascii="Calibri" w:cs="Calibri" w:eastAsia="Calibri" w:hAnsi="Calibri"/>
          <w:b/>
          <w:bCs/>
          <w:sz w:val="21"/>
          <w:szCs w:val="21"/>
        </w:rPr>
        <w:t xml:space="preserve">Ofertas anormalmente bajas: 45 de los 100 puntos son precio (P 40 + F 5), y sin ellas el baremo queda indefenso.</w:t>
      </w:r>
      <w:r>
        <w:rPr>
          <w:rFonts w:ascii="Calibri" w:cs="Calibri" w:eastAsia="Calibri" w:hAnsi="Calibri"/>
          <w:sz w:val="21"/>
          <w:szCs w:val="21"/>
        </w:rPr>
        <w:t xml:space="preserve"> El apartado 7 de ADM-7.1 obliga a publicar los parámetros objetivos, a resolver el trámite del art. 149 LCSP antes de puntuar y a excluir la oferta rechazada de la referencia de cálculo. </w:t>
      </w:r>
      <w:r>
        <w:rPr>
          <w:rFonts w:ascii="Calibri" w:cs="Calibri" w:eastAsia="Calibri" w:hAnsi="Calibri"/>
          <w:b/>
          <w:bCs/>
          <w:sz w:val="21"/>
          <w:szCs w:val="21"/>
        </w:rPr>
        <w:t xml:space="preserve">El desarrollo completo —con las tres reglas de redacción y la advertencia sobre los parámetros supletorios— está en el Anexo XVII, apartado 5, y es el que se copia al pliego.</w:t>
      </w:r>
      <w:r>
        <w:rPr>
          <w:rFonts w:ascii="Calibri" w:cs="Calibri" w:eastAsia="Calibri" w:hAnsi="Calibri"/>
          <w:sz w:val="21"/>
          <w:szCs w:val="21"/>
        </w:rPr>
        <w:t xml:space="preserve"> No se redacta este baremo sin pasar por él: es el único punto en que una fórmula bien construida puede adjudicar a una oferta inviable.</w:t>
      </w:r>
    </w:p>
    <w:p>
      <w:pPr>
        <w:pStyle w:val="ListParagraph"/>
        <w:numPr>
          <w:ilvl w:val="0"/>
          <w:numId w:val="1"/>
        </w:numPr>
        <w:spacing w:after="70" w:line="268"/>
      </w:pPr>
      <w:r>
        <w:rPr>
          <w:rFonts w:ascii="Calibri" w:cs="Calibri" w:eastAsia="Calibri" w:hAnsi="Calibri"/>
          <w:b/>
          <w:bCs/>
          <w:sz w:val="21"/>
          <w:szCs w:val="21"/>
        </w:rPr>
        <w:t xml:space="preserve">Incompatibilidad con las esencialidades del bloque B.2 de ADM-6·v3.</w:t>
      </w:r>
      <w:r>
        <w:rPr>
          <w:rFonts w:ascii="Calibri" w:cs="Calibri" w:eastAsia="Calibri" w:hAnsi="Calibri"/>
          <w:sz w:val="21"/>
          <w:szCs w:val="21"/>
        </w:rPr>
        <w:t xml:space="preserve"> Si se marcan los criterios </w:t>
      </w:r>
      <w:r>
        <w:rPr>
          <w:rFonts w:ascii="Calibri" w:cs="Calibri" w:eastAsia="Calibri" w:hAnsi="Calibri"/>
          <w:b/>
          <w:bCs/>
          <w:sz w:val="21"/>
          <w:szCs w:val="21"/>
        </w:rPr>
        <w:t xml:space="preserve">A</w:t>
      </w:r>
      <w:r>
        <w:rPr>
          <w:rFonts w:ascii="Calibri" w:cs="Calibri" w:eastAsia="Calibri" w:hAnsi="Calibri"/>
          <w:sz w:val="21"/>
          <w:szCs w:val="21"/>
        </w:rPr>
        <w:t xml:space="preserve"> o </w:t>
      </w:r>
      <w:r>
        <w:rPr>
          <w:rFonts w:ascii="Calibri" w:cs="Calibri" w:eastAsia="Calibri" w:hAnsi="Calibri"/>
          <w:b/>
          <w:bCs/>
          <w:sz w:val="21"/>
          <w:szCs w:val="21"/>
        </w:rPr>
        <w:t xml:space="preserve">B</w:t>
      </w:r>
      <w:r>
        <w:rPr>
          <w:rFonts w:ascii="Calibri" w:cs="Calibri" w:eastAsia="Calibri" w:hAnsi="Calibri"/>
          <w:sz w:val="21"/>
          <w:szCs w:val="21"/>
        </w:rPr>
        <w:t xml:space="preserve">, no se marcan las letras e) y g) del bloque B de la cláusula ADM-6·v3 sobre el alcance o el plazo </w:t>
      </w:r>
      <w:r>
        <w:rPr>
          <w:rFonts w:ascii="Calibri" w:cs="Calibri" w:eastAsia="Calibri" w:hAnsi="Calibri"/>
          <w:b/>
          <w:bCs/>
          <w:sz w:val="21"/>
          <w:szCs w:val="21"/>
        </w:rPr>
        <w:t xml:space="preserve">ofertados</w:t>
      </w:r>
      <w:r>
        <w:rPr>
          <w:rFonts w:ascii="Calibri" w:cs="Calibri" w:eastAsia="Calibri" w:hAnsi="Calibri"/>
          <w:sz w:val="21"/>
          <w:szCs w:val="21"/>
        </w:rPr>
        <w:t xml:space="preserve">: acumular sobre el mismo elemento un premio en el baremo y una causa de resolución es lo que la propia ADM-6·v3 declara incompatible. La esencialidad, si se conserva, se acota al </w:t>
      </w:r>
      <w:r>
        <w:rPr>
          <w:rFonts w:ascii="Calibri" w:cs="Calibri" w:eastAsia="Calibri" w:hAnsi="Calibri"/>
          <w:b/>
          <w:bCs/>
          <w:sz w:val="21"/>
          <w:szCs w:val="21"/>
        </w:rPr>
        <w:t xml:space="preserve">mínimo fijado en el pliego de prescripciones técnicas</w:t>
      </w:r>
      <w:r>
        <w:rPr>
          <w:rFonts w:ascii="Calibri" w:cs="Calibri" w:eastAsia="Calibri" w:hAnsi="Calibri"/>
          <w:sz w:val="21"/>
          <w:szCs w:val="21"/>
        </w:rPr>
        <w:t xml:space="preserve">, nunca al exceso ofertado.</w:t>
      </w:r>
    </w:p>
    <w:p>
      <w:pPr>
        <w:pStyle w:val="ListParagraph"/>
        <w:numPr>
          <w:ilvl w:val="0"/>
          <w:numId w:val="1"/>
        </w:numPr>
        <w:spacing w:after="70" w:line="268"/>
      </w:pPr>
      <w:r>
        <w:rPr>
          <w:rFonts w:ascii="Calibri" w:cs="Calibri" w:eastAsia="Calibri" w:hAnsi="Calibri"/>
          <w:b/>
          <w:bCs/>
          <w:sz w:val="21"/>
          <w:szCs w:val="21"/>
        </w:rPr>
        <w:t xml:space="preserve">Los criterios B, C1 y A reflejan indirectamente la disponibilidad previa</w:t>
      </w:r>
      <w:r>
        <w:rPr>
          <w:rFonts w:ascii="Calibri" w:cs="Calibri" w:eastAsia="Calibri" w:hAnsi="Calibri"/>
          <w:sz w:val="21"/>
          <w:szCs w:val="21"/>
        </w:rPr>
        <w:t xml:space="preserve">, y conviene decirlo por escrito en lugar de negarlo. En el criterio </w:t>
      </w:r>
      <w:r>
        <w:rPr>
          <w:rFonts w:ascii="Calibri" w:cs="Calibri" w:eastAsia="Calibri" w:hAnsi="Calibri"/>
          <w:b/>
          <w:bCs/>
          <w:sz w:val="21"/>
          <w:szCs w:val="21"/>
        </w:rPr>
        <w:t xml:space="preserve">B</w:t>
      </w:r>
      <w:r>
        <w:rPr>
          <w:rFonts w:ascii="Calibri" w:cs="Calibri" w:eastAsia="Calibri" w:hAnsi="Calibri"/>
          <w:sz w:val="21"/>
          <w:szCs w:val="21"/>
        </w:rPr>
        <w:t xml:space="preserve">, quien ya tiene la interfaz puede ofertar el plazo mínimo; por eso lleva </w:t>
      </w:r>
      <w:r>
        <w:rPr>
          <w:rFonts w:ascii="Calibri" w:cs="Calibri" w:eastAsia="Calibri" w:hAnsi="Calibri"/>
          <w:b/>
          <w:bCs/>
          <w:sz w:val="21"/>
          <w:szCs w:val="21"/>
        </w:rPr>
        <w:t xml:space="preserve">suelo</w:t>
      </w:r>
      <w:r>
        <w:rPr>
          <w:rFonts w:ascii="Calibri" w:cs="Calibri" w:eastAsia="Calibri" w:hAnsi="Calibri"/>
          <w:sz w:val="21"/>
          <w:szCs w:val="21"/>
        </w:rPr>
        <w:t xml:space="preserve"> —por debajo de </w:t>
      </w:r>
      <w:r>
        <w:rPr>
          <w:rFonts w:ascii="Calibri" w:cs="Calibri" w:eastAsia="Calibri" w:hAnsi="Calibri"/>
          <w:b/>
          <w:bCs/>
          <w:sz w:val="21"/>
          <w:szCs w:val="21"/>
        </w:rPr>
        <w:t xml:space="preserve">[X; se recomienda 6] meses</w:t>
      </w:r>
      <w:r>
        <w:rPr>
          <w:rFonts w:ascii="Calibri" w:cs="Calibri" w:eastAsia="Calibri" w:hAnsi="Calibri"/>
          <w:sz w:val="21"/>
          <w:szCs w:val="21"/>
        </w:rPr>
        <w:t xml:space="preserve"> no se puntúa más— y </w:t>
      </w:r>
      <w:r>
        <w:rPr>
          <w:rFonts w:ascii="Calibri" w:cs="Calibri" w:eastAsia="Calibri" w:hAnsi="Calibri"/>
          <w:b/>
          <w:bCs/>
          <w:sz w:val="21"/>
          <w:szCs w:val="21"/>
        </w:rPr>
        <w:t xml:space="preserve">peso bajo</w:t>
      </w:r>
      <w:r>
        <w:rPr>
          <w:rFonts w:ascii="Calibri" w:cs="Calibri" w:eastAsia="Calibri" w:hAnsi="Calibri"/>
          <w:sz w:val="21"/>
          <w:szCs w:val="21"/>
        </w:rPr>
        <w:t xml:space="preserve"> (5 sobre 100). En los criterios </w:t>
      </w:r>
      <w:r>
        <w:rPr>
          <w:rFonts w:ascii="Calibri" w:cs="Calibri" w:eastAsia="Calibri" w:hAnsi="Calibri"/>
          <w:b/>
          <w:bCs/>
          <w:sz w:val="21"/>
          <w:szCs w:val="21"/>
        </w:rPr>
        <w:t xml:space="preserve">C1</w:t>
      </w:r>
      <w:r>
        <w:rPr>
          <w:rFonts w:ascii="Calibri" w:cs="Calibri" w:eastAsia="Calibri" w:hAnsi="Calibri"/>
          <w:sz w:val="21"/>
          <w:szCs w:val="21"/>
        </w:rPr>
        <w:t xml:space="preserve"> y </w:t>
      </w:r>
      <w:r>
        <w:rPr>
          <w:rFonts w:ascii="Calibri" w:cs="Calibri" w:eastAsia="Calibri" w:hAnsi="Calibri"/>
          <w:b/>
          <w:bCs/>
          <w:sz w:val="21"/>
          <w:szCs w:val="21"/>
        </w:rPr>
        <w:t xml:space="preserve">A</w:t>
      </w:r>
      <w:r>
        <w:rPr>
          <w:rFonts w:ascii="Calibri" w:cs="Calibri" w:eastAsia="Calibri" w:hAnsi="Calibri"/>
          <w:sz w:val="21"/>
          <w:szCs w:val="21"/>
        </w:rPr>
        <w:t xml:space="preserve">, quien ya trae la funcionalidad hecha la compromete sin asumir coste de desarrollo; la acotación aquí es distinta y opera en el enunciado del propio criterio: se valora </w:t>
      </w:r>
      <w:r>
        <w:rPr>
          <w:rFonts w:ascii="Calibri" w:cs="Calibri" w:eastAsia="Calibri" w:hAnsi="Calibri"/>
          <w:b/>
          <w:bCs/>
          <w:sz w:val="21"/>
          <w:szCs w:val="21"/>
        </w:rPr>
        <w:t xml:space="preserve">cobertura comprometida dentro del plazo del contrato</w:t>
      </w:r>
      <w:r>
        <w:rPr>
          <w:rFonts w:ascii="Calibri" w:cs="Calibri" w:eastAsia="Calibri" w:hAnsi="Calibri"/>
          <w:sz w:val="21"/>
          <w:szCs w:val="21"/>
        </w:rPr>
        <w:t xml:space="preserve">, no cobertura disponible el día de ofertar, de modo que el licitador que se obligue a desarrollarla puntúa igual, y el compromiso se incorpora al contrato y se penaliza si no se cumple. En los tres casos lo valorado es una cualidad de la prestación —qué hará el sistema y cuándo estará disponible para el Ayuntamiento—, no una característica de la empresa, que es el terreno del artículo 40.b) LCSP. Esta motivación se reproduce en la casilla 5 de las fichas de los criterios B, C1 y A del Anexo IV.</w:t>
      </w:r>
    </w:p>
    <w:p>
      <w:pPr>
        <w:pStyle w:val="ListParagraph"/>
        <w:numPr>
          <w:ilvl w:val="0"/>
          <w:numId w:val="1"/>
        </w:numPr>
        <w:spacing w:after="70" w:line="268"/>
      </w:pPr>
      <w:r>
        <w:rPr>
          <w:rFonts w:ascii="Calibri" w:cs="Calibri" w:eastAsia="Calibri" w:hAnsi="Calibri"/>
          <w:b/>
          <w:bCs/>
          <w:sz w:val="21"/>
          <w:szCs w:val="21"/>
        </w:rPr>
        <w:t xml:space="preserve">Criterios A y H como mejoras.</w:t>
      </w:r>
      <w:r>
        <w:rPr>
          <w:rFonts w:ascii="Calibri" w:cs="Calibri" w:eastAsia="Calibri" w:hAnsi="Calibri"/>
          <w:sz w:val="21"/>
          <w:szCs w:val="21"/>
        </w:rPr>
        <w:t xml:space="preserve"> Ambos valoran prestaciones adicionales sobre una relación cerrada y numerada publicada en el pliego de prescripciones técnicas y </w:t>
      </w:r>
      <w:r>
        <w:rPr>
          <w:rFonts w:ascii="Calibri" w:cs="Calibri" w:eastAsia="Calibri" w:hAnsi="Calibri"/>
          <w:b/>
          <w:bCs/>
          <w:sz w:val="21"/>
          <w:szCs w:val="21"/>
        </w:rPr>
        <w:t xml:space="preserve">se valoran por fórmula</w:t>
      </w:r>
      <w:r>
        <w:rPr>
          <w:rFonts w:ascii="Calibri" w:cs="Calibri" w:eastAsia="Calibri" w:hAnsi="Calibri"/>
          <w:sz w:val="21"/>
          <w:szCs w:val="21"/>
        </w:rPr>
        <w:t xml:space="preserve">. Si el órgano de contratación decidiera valorarlos mediante juicio de valor, les sería aplicable el tope del 2,5 por ciento del art. 145.7 LCSP.</w:t>
      </w:r>
    </w:p>
    <w:p>
      <w:pPr>
        <w:spacing w:after="140" w:line="276"/>
      </w:pPr>
      <w:r>
        <w:rPr>
          <w:rFonts w:ascii="Calibri" w:cs="Calibri" w:eastAsia="Calibri" w:hAnsi="Calibri"/>
          <w:b/>
          <w:bCs/>
          <w:sz w:val="21"/>
          <w:szCs w:val="21"/>
        </w:rPr>
        <w:t xml:space="preserve">ADM-7.3 · Variante B: procedimiento abierto simplificado (artículo 159.1 LCSP).</w:t>
      </w:r>
    </w:p>
    <w:p>
      <w:pPr>
        <w:spacing w:after="140" w:line="276"/>
      </w:pPr>
      <w:r>
        <w:rPr>
          <w:rFonts w:ascii="Calibri" w:cs="Calibri" w:eastAsia="Calibri" w:hAnsi="Calibri"/>
          <w:sz w:val="21"/>
          <w:szCs w:val="21"/>
        </w:rPr>
        <w:t xml:space="preserve">Aplicable cuando el valor estimado no supere 100.000 euros en contratos de servicios y suministros (2.000.000 de euros en obras) y concurran los demás requisitos del artículo 159.1. </w:t>
      </w:r>
      <w:r>
        <w:rPr>
          <w:rFonts w:ascii="Calibri" w:cs="Calibri" w:eastAsia="Calibri" w:hAnsi="Calibri"/>
          <w:b/>
          <w:bCs/>
          <w:sz w:val="21"/>
          <w:szCs w:val="21"/>
        </w:rPr>
        <w:t xml:space="preserve">Con el valor estimado del contrato de ejemplo (504.000 euros) esta variante no es utilizable</w:t>
      </w:r>
      <w:r>
        <w:rPr>
          <w:rFonts w:ascii="Calibri" w:cs="Calibri" w:eastAsia="Calibri" w:hAnsi="Calibri"/>
          <w:sz w:val="21"/>
          <w:szCs w:val="21"/>
        </w:rPr>
        <w:t xml:space="preserve">: se ofrece para contratos situados por debajo del umbral del artículo 159.1.a). El límite que decide el diseño del baremo es el del artículo 159.1.b): </w:t>
      </w:r>
      <w:r>
        <w:rPr>
          <w:rFonts w:ascii="Calibri" w:cs="Calibri" w:eastAsia="Calibri" w:hAnsi="Calibri"/>
          <w:b/>
          <w:bCs/>
          <w:sz w:val="21"/>
          <w:szCs w:val="21"/>
        </w:rPr>
        <w:t xml:space="preserve">la ponderación de los criterios sujetos a juicio de valor no puede superar el 25 por ciento del total, o el 45 por ciento si el contrato tiene por objeto prestaciones de carácter intelectual</w:t>
      </w:r>
      <w:r>
        <w:rPr>
          <w:rFonts w:ascii="Calibri" w:cs="Calibri" w:eastAsia="Calibri" w:hAnsi="Calibri"/>
          <w:sz w:val="21"/>
          <w:szCs w:val="21"/>
        </w:rPr>
        <w:t xml:space="preserve">.</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[n+1]. Criterios de adjudicación (procedimiento abierto simplificado).</w:t>
            </w:r>
          </w:p>
          <w:p>
            <w:pPr>
              <w:spacing w:after="100" w:line="264"/>
            </w:pPr>
            <w:r>
              <w:rPr>
                <w:rFonts w:ascii="Georgia" w:cs="Georgia" w:eastAsia="Georgia" w:hAnsi="Georgia"/>
                <w:sz w:val="20"/>
                <w:szCs w:val="20"/>
              </w:rPr>
              <w:t xml:space="preserve">Se aplica el baremo de la variante A con las siguientes reglas imperativas:</w:t>
            </w:r>
          </w:p>
          <w:p>
            <w:pPr>
              <w:pStyle w:val="ListParagraph"/>
              <w:numPr>
                <w:ilvl w:val="0"/>
                <w:numId w:val="2"/>
              </w:numPr>
              <w:spacing w:after="60" w:line="264"/>
            </w:pPr>
            <w:r>
              <w:rPr>
                <w:rFonts w:ascii="Georgia" w:cs="Georgia" w:eastAsia="Georgia" w:hAnsi="Georgia"/>
                <w:sz w:val="20"/>
                <w:szCs w:val="20"/>
              </w:rPr>
              <w:t xml:space="preserve">La suma de los criterios sujetos a juicio de valor no superará el </w:t>
            </w:r>
            <w:r>
              <w:rPr>
                <w:rFonts w:ascii="Georgia" w:cs="Georgia" w:eastAsia="Georgia" w:hAnsi="Georgia"/>
                <w:b/>
                <w:bCs/>
                <w:sz w:val="20"/>
                <w:szCs w:val="20"/>
              </w:rPr>
              <w:t xml:space="preserve">25 por ciento</w:t>
            </w:r>
            <w:r>
              <w:rPr>
                <w:rFonts w:ascii="Georgia" w:cs="Georgia" w:eastAsia="Georgia" w:hAnsi="Georgia"/>
                <w:sz w:val="20"/>
                <w:szCs w:val="20"/>
              </w:rPr>
              <w:t xml:space="preserve"> de la puntuación total, o el </w:t>
            </w:r>
            <w:r>
              <w:rPr>
                <w:rFonts w:ascii="Georgia" w:cs="Georgia" w:eastAsia="Georgia" w:hAnsi="Georgia"/>
                <w:b/>
                <w:bCs/>
                <w:sz w:val="20"/>
                <w:szCs w:val="20"/>
              </w:rPr>
              <w:t xml:space="preserve">45 por ciento</w:t>
            </w:r>
            <w:r>
              <w:rPr>
                <w:rFonts w:ascii="Georgia" w:cs="Georgia" w:eastAsia="Georgia" w:hAnsi="Georgia"/>
                <w:sz w:val="20"/>
                <w:szCs w:val="20"/>
              </w:rPr>
              <w:t xml:space="preserve"> cuando el expediente motive que el objeto del contrato son prestaciones de carácter intelectual (artículo 159.1.b LCSP).</w:t>
            </w:r>
          </w:p>
          <w:p>
            <w:pPr>
              <w:pStyle w:val="ListParagraph"/>
              <w:numPr>
                <w:ilvl w:val="0"/>
                <w:numId w:val="2"/>
              </w:numPr>
              <w:spacing w:after="60" w:line="264"/>
            </w:pPr>
            <w:r>
              <w:rPr>
                <w:rFonts w:ascii="Georgia" w:cs="Georgia" w:eastAsia="Georgia" w:hAnsi="Georgia"/>
                <w:sz w:val="20"/>
                <w:szCs w:val="20"/>
              </w:rPr>
              <w:t xml:space="preserve">El baremo de la variante A, con </w:t>
            </w:r>
            <w:r>
              <w:rPr>
                <w:rFonts w:ascii="Georgia" w:cs="Georgia" w:eastAsia="Georgia" w:hAnsi="Georgia"/>
                <w:b/>
                <w:bCs/>
                <w:sz w:val="20"/>
                <w:szCs w:val="20"/>
              </w:rPr>
              <w:t xml:space="preserve">24 puntos</w:t>
            </w:r>
            <w:r>
              <w:rPr>
                <w:rFonts w:ascii="Georgia" w:cs="Georgia" w:eastAsia="Georgia" w:hAnsi="Georgia"/>
                <w:sz w:val="20"/>
                <w:szCs w:val="20"/>
              </w:rPr>
              <w:t xml:space="preserve"> sujetos a juicio de valor, cabe en esta variante sin modificación alguna. Si el órgano de contratación altera las ponderaciones y el resultado supera el 25 por ciento, la reducción se practicará </w:t>
            </w:r>
            <w:r>
              <w:rPr>
                <w:rFonts w:ascii="Georgia" w:cs="Georgia" w:eastAsia="Georgia" w:hAnsi="Georgia"/>
                <w:b/>
                <w:bCs/>
                <w:sz w:val="20"/>
                <w:szCs w:val="20"/>
              </w:rPr>
              <w:t xml:space="preserve">antes de la publicación del anuncio</w:t>
            </w:r>
            <w:r>
              <w:rPr>
                <w:rFonts w:ascii="Georgia" w:cs="Georgia" w:eastAsia="Georgia" w:hAnsi="Georgia"/>
                <w:sz w:val="20"/>
                <w:szCs w:val="20"/>
              </w:rPr>
              <w:t xml:space="preserve"> y se documentará en la memoria de criterios, sin que quepa alteración alguna una vez publicados los pliegos.</w:t>
            </w:r>
          </w:p>
          <w:p>
            <w:pPr>
              <w:pStyle w:val="ListParagraph"/>
              <w:numPr>
                <w:ilvl w:val="0"/>
                <w:numId w:val="2"/>
              </w:numPr>
              <w:spacing w:after="60" w:line="264"/>
            </w:pPr>
            <w:r>
              <w:rPr>
                <w:rFonts w:ascii="Georgia" w:cs="Georgia" w:eastAsia="Georgia" w:hAnsi="Georgia"/>
                <w:sz w:val="20"/>
                <w:szCs w:val="20"/>
              </w:rPr>
              <w:t xml:space="preserve">No se exigirá la verificación mediante demostración funcional de la cláusula [ADM-9] cuando su celebración impida cumplir los plazos del artículo 159.</w:t>
            </w:r>
          </w:p>
        </w:tc>
      </w:tr>
    </w:tbl>
    <w:p>
      <w:pPr>
        <w:spacing w:after="220"/>
      </w:pPr>
    </w:p>
    <w:p>
      <w:pPr>
        <w:spacing w:after="140" w:line="276"/>
      </w:pPr>
      <w:r>
        <w:rPr>
          <w:rFonts w:ascii="Calibri" w:cs="Calibri" w:eastAsia="Calibri" w:hAnsi="Calibri"/>
          <w:b/>
          <w:bCs/>
          <w:sz w:val="21"/>
          <w:szCs w:val="21"/>
        </w:rPr>
        <w:t xml:space="preserve">ADM-7.4 · Variante C: procedimiento abierto simplificado abreviado (artículo 159.6 LCSP).</w:t>
      </w:r>
    </w:p>
    <w:p>
      <w:pPr>
        <w:spacing w:after="140" w:line="276"/>
      </w:pPr>
      <w:r>
        <w:rPr>
          <w:rFonts w:ascii="Calibri" w:cs="Calibri" w:eastAsia="Calibri" w:hAnsi="Calibri"/>
          <w:sz w:val="21"/>
          <w:szCs w:val="21"/>
        </w:rPr>
        <w:t xml:space="preserve">Aplicable cuando el valor estimado sea inferior a 60.000 euros en servicios y suministros (80.000 euros en obras). El artículo 159.6.c) obliga a evaluar la oferta, en todo caso, con arreglo a criterios cuantificables mediante la mera aplicación de fórmulas: </w:t>
      </w:r>
      <w:r>
        <w:rPr>
          <w:rFonts w:ascii="Calibri" w:cs="Calibri" w:eastAsia="Calibri" w:hAnsi="Calibri"/>
          <w:b/>
          <w:bCs/>
          <w:sz w:val="21"/>
          <w:szCs w:val="21"/>
        </w:rPr>
        <w:t xml:space="preserve">no cabe ningún criterio de juicio de valor</w:t>
      </w:r>
      <w:r>
        <w:rPr>
          <w:rFonts w:ascii="Calibri" w:cs="Calibri" w:eastAsia="Calibri" w:hAnsi="Calibri"/>
          <w:sz w:val="21"/>
          <w:szCs w:val="21"/>
        </w:rPr>
        <w:t xml:space="preserve">.</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[n+1]. Criterios de adjudicación (procedimiento abierto simplificado abreviado).</w:t>
            </w:r>
          </w:p>
          <w:p>
            <w:pPr>
              <w:pStyle w:val="ListParagraph"/>
              <w:numPr>
                <w:ilvl w:val="0"/>
                <w:numId w:val="2"/>
              </w:numPr>
              <w:spacing w:after="60" w:line="264"/>
            </w:pPr>
            <w:r>
              <w:rPr>
                <w:rFonts w:ascii="Georgia" w:cs="Georgia" w:eastAsia="Georgia" w:hAnsi="Georgia"/>
                <w:sz w:val="20"/>
                <w:szCs w:val="20"/>
              </w:rPr>
              <w:t xml:space="preserve">La totalidad de los criterios de adjudicación es evaluable mediante la mera aplicación de fórmulas. No se incorpora ningún criterio sujeto a juicio de valor (artículo 159.6.c LCSP).</w:t>
            </w:r>
          </w:p>
          <w:p>
            <w:pPr>
              <w:pStyle w:val="ListParagraph"/>
              <w:numPr>
                <w:ilvl w:val="0"/>
                <w:numId w:val="2"/>
              </w:numPr>
              <w:spacing w:after="60" w:line="264"/>
            </w:pPr>
            <w:r>
              <w:rPr>
                <w:rFonts w:ascii="Georgia" w:cs="Georgia" w:eastAsia="Georgia" w:hAnsi="Georgia"/>
                <w:sz w:val="20"/>
                <w:szCs w:val="20"/>
              </w:rPr>
              <w:t xml:space="preserve">Se suprimen los criterios </w:t>
            </w:r>
            <w:r>
              <w:rPr>
                <w:rFonts w:ascii="Georgia" w:cs="Georgia" w:eastAsia="Georgia" w:hAnsi="Georgia"/>
                <w:b/>
                <w:bCs/>
                <w:sz w:val="20"/>
                <w:szCs w:val="20"/>
              </w:rPr>
              <w:t xml:space="preserve">C2, C4, D y E</w:t>
            </w:r>
            <w:r>
              <w:rPr>
                <w:rFonts w:ascii="Georgia" w:cs="Georgia" w:eastAsia="Georgia" w:hAnsi="Georgia"/>
                <w:sz w:val="20"/>
                <w:szCs w:val="20"/>
              </w:rPr>
              <w:t xml:space="preserve"> —los cuatro sujetos a juicio de valor— y, con ellos, toda remisión a rúbricas. Baremo recomendado por defecto: </w:t>
            </w:r>
            <w:r>
              <w:rPr>
                <w:rFonts w:ascii="Georgia" w:cs="Georgia" w:eastAsia="Georgia" w:hAnsi="Georgia"/>
                <w:b/>
                <w:bCs/>
                <w:sz w:val="20"/>
                <w:szCs w:val="20"/>
              </w:rPr>
              <w:t xml:space="preserve">P 45 · C1 20 · C3 10 · A 12 · B 8 · F 5</w:t>
            </w:r>
            <w:r>
              <w:rPr>
                <w:rFonts w:ascii="Georgia" w:cs="Georgia" w:eastAsia="Georgia" w:hAnsi="Georgia"/>
                <w:sz w:val="20"/>
                <w:szCs w:val="20"/>
              </w:rPr>
              <w:t xml:space="preserve">. Si el pliego de prescripciones técnicas incorpora la relación cerrada y numerada de procesos automatizables, el criterio </w:t>
            </w:r>
            <w:r>
              <w:rPr>
                <w:rFonts w:ascii="Georgia" w:cs="Georgia" w:eastAsia="Georgia" w:hAnsi="Georgia"/>
                <w:b/>
                <w:bCs/>
                <w:sz w:val="20"/>
                <w:szCs w:val="20"/>
              </w:rPr>
              <w:t xml:space="preserve">H</w:t>
            </w:r>
            <w:r>
              <w:rPr>
                <w:rFonts w:ascii="Georgia" w:cs="Georgia" w:eastAsia="Georgia" w:hAnsi="Georgia"/>
                <w:sz w:val="20"/>
                <w:szCs w:val="20"/>
              </w:rPr>
              <w:t xml:space="preserve"> puede conservarse, detrayendo sus puntos de C1.</w:t>
            </w:r>
          </w:p>
          <w:p>
            <w:pPr>
              <w:pStyle w:val="ListParagraph"/>
              <w:numPr>
                <w:ilvl w:val="0"/>
                <w:numId w:val="2"/>
              </w:numPr>
              <w:spacing w:after="60" w:line="264"/>
            </w:pPr>
            <w:r>
              <w:rPr>
                <w:rFonts w:ascii="Georgia" w:cs="Georgia" w:eastAsia="Georgia" w:hAnsi="Georgia"/>
                <w:sz w:val="20"/>
                <w:szCs w:val="20"/>
              </w:rPr>
              <w:t xml:space="preserve">No se aplica la cláusula [ADM-9]; los criterios C1, A y H conservan su medio de comprobación documental.</w:t>
            </w:r>
          </w:p>
        </w:tc>
      </w:tr>
    </w:tbl>
    <w:p>
      <w:pPr>
        <w:spacing w:after="220"/>
      </w:pPr>
    </w:p>
    <w:p>
      <w:pPr>
        <w:spacing w:after="140" w:line="276"/>
      </w:pPr>
      <w:r>
        <w:rPr>
          <w:rFonts w:ascii="Calibri" w:cs="Calibri" w:eastAsia="Calibri" w:hAnsi="Calibri"/>
          <w:b/>
          <w:bCs/>
          <w:sz w:val="21"/>
          <w:szCs w:val="21"/>
        </w:rPr>
        <w:t xml:space="preserve">Comprobación previa a elegir esta variante.</w:t>
      </w:r>
      <w:r>
        <w:rPr>
          <w:rFonts w:ascii="Calibri" w:cs="Calibri" w:eastAsia="Calibri" w:hAnsi="Calibri"/>
          <w:sz w:val="21"/>
          <w:szCs w:val="21"/>
        </w:rPr>
        <w:t xml:space="preserve"> Criterios relacionados con la calidad: </w:t>
      </w:r>
      <w:r>
        <w:rPr>
          <w:rFonts w:ascii="Calibri" w:cs="Calibri" w:eastAsia="Calibri" w:hAnsi="Calibri"/>
          <w:b/>
          <w:bCs/>
          <w:sz w:val="21"/>
          <w:szCs w:val="21"/>
        </w:rPr>
        <w:t xml:space="preserve">50 por ciento</w:t>
      </w:r>
      <w:r>
        <w:rPr>
          <w:rFonts w:ascii="Calibri" w:cs="Calibri" w:eastAsia="Calibri" w:hAnsi="Calibri"/>
          <w:sz w:val="21"/>
          <w:szCs w:val="21"/>
        </w:rPr>
        <w:t xml:space="preserve"> (todos salvo P y F). Esta variante </w:t>
      </w:r>
      <w:r>
        <w:rPr>
          <w:rFonts w:ascii="Calibri" w:cs="Calibri" w:eastAsia="Calibri" w:hAnsi="Calibri"/>
          <w:b/>
          <w:bCs/>
          <w:sz w:val="21"/>
          <w:szCs w:val="21"/>
        </w:rPr>
        <w:t xml:space="preserve">no es utilizable si el expediente ha motivado el carácter intelectual de la prestación</w:t>
      </w:r>
      <w:r>
        <w:rPr>
          <w:rFonts w:ascii="Calibri" w:cs="Calibri" w:eastAsia="Calibri" w:hAnsi="Calibri"/>
          <w:sz w:val="21"/>
          <w:szCs w:val="21"/>
        </w:rPr>
        <w:t xml:space="preserve">, tanto porque no alcanzaría el 51 por ciento del art. 145.4 LCSP como porque el propio art. 159.6 la excluye.</w:t>
      </w:r>
    </w:p>
    <w:p>
      <w:pPr>
        <w:spacing w:after="140" w:line="276"/>
      </w:pPr>
      <w:r>
        <w:rPr>
          <w:rFonts w:ascii="Calibri" w:cs="Calibri" w:eastAsia="Calibri" w:hAnsi="Calibri"/>
          <w:b/>
          <w:bCs/>
          <w:sz w:val="21"/>
          <w:szCs w:val="21"/>
        </w:rPr>
        <w:t xml:space="preserve">ADM-7.5 · Hoja de comprobación del baremo.</w:t>
      </w:r>
      <w:r>
        <w:rPr>
          <w:rFonts w:ascii="Calibri" w:cs="Calibri" w:eastAsia="Calibri" w:hAnsi="Calibri"/>
          <w:sz w:val="21"/>
          <w:szCs w:val="21"/>
        </w:rPr>
        <w:t xml:space="preserve"> </w:t>
      </w:r>
      <w:r>
        <w:rPr>
          <w:rFonts w:ascii="Calibri" w:cs="Calibri" w:eastAsia="Calibri" w:hAnsi="Calibri"/>
          <w:b/>
          <w:bCs/>
          <w:sz w:val="21"/>
          <w:szCs w:val="21"/>
        </w:rPr>
        <w:t xml:space="preserve">No se copia al pliego</w:t>
      </w:r>
      <w:r>
        <w:rPr>
          <w:rFonts w:ascii="Calibri" w:cs="Calibri" w:eastAsia="Calibri" w:hAnsi="Calibri"/>
          <w:sz w:val="21"/>
          <w:szCs w:val="21"/>
        </w:rPr>
        <w:t xml:space="preserve">: se cumplimenta antes de aprobar el expediente y se incorpora a él, junto con la memoria de criterios. Es la misma lista que el Anexo IV.2 de este catálogo reproduce como hoja operativa; las dos deben coincidir fila por fila, y si divergen se corrige el Anexo IV.</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Comprobación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Cálculo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Resultado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Aviso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Suma de todos los criterios del contrato, precio incluido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Σ puntos = ___</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100?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no suma 100, el baremo está incompleto o duplicado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Puntuación que valora la prestación principal del contrato (precio + criterios funcionales)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___ / 100 = ___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[X; se recomienda 70] %?</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si es inferior: el baremo no valora aquello que se contrata (arts. 145.5.b y 145.6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Bloque «Innovación y tecnología»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___ / 100 = ___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[X; se recomienda 25] %? ¿≤ 40 % en todo caso?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si supera el 40 %, que es límite absoluto y no se salva con motivación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Suma de criterios sujetos a 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___ / 100 = ___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¿&lt; suma de criterios por fórmula?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si es mayor: comité de expertos del art. 146.2.a) LCSP </w:t>
            </w:r>
            <w:r>
              <w:rPr>
                <w:rFonts w:ascii="Calibri" w:cs="Calibri" w:eastAsia="Calibri" w:hAnsi="Calibri"/>
                <w:b/>
                <w:bCs/>
                <w:sz w:val="18"/>
                <w:szCs w:val="18"/>
              </w:rPr>
              <w:t xml:space="preserve">preceptivo</w:t>
            </w:r>
            <w:r>
              <w:rPr>
                <w:rFonts w:ascii="Calibri" w:cs="Calibri" w:eastAsia="Calibri" w:hAnsi="Calibri"/>
                <w:b w:val="false"/>
                <w:bCs w:val="false"/>
                <w:sz w:val="18"/>
                <w:szCs w:val="18"/>
              </w:rPr>
              <w:t xml:space="preserve">, identificado y publicado antes de la apertura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el procedimiento es abierto simplificado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 = ___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25 %? (45 % si prestación intelectual motivada)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procedimiento indebido (art. 159.1.b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el procedimiento es abreviado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 = ___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0 %?</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procedimiento indebido (art. 159.6.c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Mejoras valoradas por 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___ / 100 = ___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2,5 %?</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(art. 145.7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el objeto son prestaciones de carácter intelectual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criterios de calidad = ___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51 %?</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(art. 145.4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Criterios que valoran el cumplimiento de un mínimo ya impuesto por el pliego técnico, por el Anexo V o por una condición especial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listar: ___</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¿ninguno?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doble cómputo. Reformular como incremento sobre el mínimo o suprimir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Criterios que valoran certificaciones de empresa, experiencia previa o disponibilidad de medios anterior a la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listar: ___</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¿ninguno?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art. 40.b LCSP, causa de anulabilidad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Criterios que valoran una capacidad cuya cláusula técnica está marcada NO APLICA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listar: ___</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¿ninguno?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se puntúa lo que el pliego no exige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Criterios sin medio de comprobación efectiva o sin ficha del Anexo IV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listar: ___</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¿ninguno?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se suprime el criterio (art. 145.5.c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Capacidades que figuran a la vez como criterio del baremo y como obligación esencial del bloque B.2 de ADM-6·v3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listar: ___</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¿ninguna?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acumula sobre el mismo elemento un premio y una pena de máxima intensidad. Se acota la esencialidad al mínimo del pliego técnico o se suprime el criterio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Cómputo de los criterios de calidad de la fila 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listar los excluidos: ___</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ha excluido </w:t>
            </w:r>
            <w:r>
              <w:rPr>
                <w:rFonts w:ascii="Calibri" w:cs="Calibri" w:eastAsia="Calibri" w:hAnsi="Calibri"/>
                <w:b/>
                <w:bCs/>
                <w:sz w:val="18"/>
                <w:szCs w:val="18"/>
              </w:rPr>
              <w:t xml:space="preserve">todo</w:t>
            </w:r>
            <w:r>
              <w:rPr>
                <w:rFonts w:ascii="Calibri" w:cs="Calibri" w:eastAsia="Calibri" w:hAnsi="Calibri"/>
                <w:b w:val="false"/>
                <w:bCs w:val="false"/>
                <w:sz w:val="18"/>
                <w:szCs w:val="18"/>
              </w:rPr>
              <w:t xml:space="preserve"> criterio de precio, incluidos los precios unitarios?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si no: contar el criterio de precios unitarios como criterio de calidad infla artificialmente el porcentaje del art. 145.4 LCSP</w:t>
            </w:r>
          </w:p>
        </w:tc>
      </w:tr>
    </w:tbl>
    <w:p>
      <w:pPr>
        <w:spacing w:after="20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PCAP, cuadro-resumen (letra correspondiente a criterios de adjudicación) y cláusula de criterios de adjudicación. La hoja de comprobación de ADM-7.5 </w:t>
      </w:r>
      <w:r>
        <w:rPr>
          <w:rFonts w:ascii="Calibri" w:cs="Calibri" w:eastAsia="Calibri" w:hAnsi="Calibri"/>
          <w:b/>
          <w:bCs/>
          <w:sz w:val="21"/>
          <w:szCs w:val="21"/>
        </w:rPr>
        <w:t xml:space="preserve">no se publica como parte del pliego</w:t>
      </w:r>
      <w:r>
        <w:rPr>
          <w:rFonts w:ascii="Calibri" w:cs="Calibri" w:eastAsia="Calibri" w:hAnsi="Calibri"/>
          <w:sz w:val="21"/>
          <w:szCs w:val="21"/>
        </w:rPr>
        <w:t xml:space="preserve">: se incorpora al expediente, junto con la memoria de criterios. Las rúbricas con descriptores por tramos de los criterios de juicio de valor sí se publican, como anexo del PCAP.</w:t>
      </w:r>
    </w:p>
    <w:p>
      <w:pPr>
        <w:spacing w:after="140" w:line="276"/>
      </w:pPr>
      <w:r>
        <w:rPr>
          <w:rFonts w:ascii="Calibri" w:cs="Calibri" w:eastAsia="Calibri" w:hAnsi="Calibri"/>
          <w:b/>
          <w:bCs/>
          <w:sz w:val="21"/>
          <w:szCs w:val="21"/>
        </w:rPr>
        <w:t xml:space="preserve">Sobre los efectos de la anulación de un criterio.</w:t>
      </w:r>
      <w:r>
        <w:rPr>
          <w:rFonts w:ascii="Calibri" w:cs="Calibri" w:eastAsia="Calibri" w:hAnsi="Calibri"/>
          <w:sz w:val="21"/>
          <w:szCs w:val="21"/>
        </w:rPr>
        <w:t xml:space="preserve"> El apartado 6 del texto de pliego se limita a prohibir el reescalado y la redistribución de ponderaciones una vez publicado el anuncio. </w:t>
      </w:r>
      <w:r>
        <w:rPr>
          <w:rFonts w:ascii="Calibri" w:cs="Calibri" w:eastAsia="Calibri" w:hAnsi="Calibri"/>
          <w:b/>
          <w:bCs/>
          <w:sz w:val="21"/>
          <w:szCs w:val="21"/>
        </w:rPr>
        <w:t xml:space="preserve">No se incorpora al PCAP ninguna previsión sobre los efectos que la anulación de un criterio produce sobre los demás</w:t>
      </w:r>
      <w:r>
        <w:rPr>
          <w:rFonts w:ascii="Calibri" w:cs="Calibri" w:eastAsia="Calibri" w:hAnsi="Calibri"/>
          <w:sz w:val="21"/>
          <w:szCs w:val="21"/>
        </w:rPr>
        <w:t xml:space="preserve">: si un criterio es anulado, la consecuencia la determina el órgano que lo anule, y el pliego no la anticipa. Si el órgano de contratación quisiera incorporar alguna previsión al respecto, ésta requiere </w:t>
      </w:r>
      <w:r>
        <w:rPr>
          <w:rFonts w:ascii="Calibri" w:cs="Calibri" w:eastAsia="Calibri" w:hAnsi="Calibri"/>
          <w:b/>
          <w:bCs/>
          <w:sz w:val="21"/>
          <w:szCs w:val="21"/>
        </w:rPr>
        <w:t xml:space="preserve">informe previo, expreso y favorable</w:t>
      </w:r>
      <w:r>
        <w:rPr>
          <w:rFonts w:ascii="Calibri" w:cs="Calibri" w:eastAsia="Calibri" w:hAnsi="Calibri"/>
          <w:sz w:val="21"/>
          <w:szCs w:val="21"/>
        </w:rPr>
        <w:t xml:space="preserve"> del órgano al que corresponda el informe jurídico preceptivo, conforme a la Parte I, §7.8.b.3.</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sz w:val="21"/>
          <w:szCs w:val="21"/>
        </w:rPr>
        <w:t xml:space="preserve">Art. 145 LCSP (adjudicación a la mejor relación calidad-precio y requisitos de todo criterio: vinculación al objeto, objetividad, prohibición de libertad de decisión ilimitada y comprobabilidad efectiva, art. 145.5); art. 146.2 LCSP (preponderancia de las fórmulas y comité de expertos); art. 145.4 y 145.7 LCSP (51 por ciento de calidad en prestaciones intelectuales; tope del 2,5 por ciento de las mejoras por juicio de valor); art. 159.1.b) y 159.6.c) LCSP (topes de juicio de valor por procedimiento); art. 40.b) LCSP, que declara anulables las cláusulas que otorguen «de forma directa o indirecta, ventajas a las empresas que hayan contratado previamente con cualquier Administración»; art. 116.4.c) y e) LCSP (justificación en el expediente de los criterios elegidos y relación directa, clara y proporcional con el objeto); y </w:t>
      </w:r>
      <w:r>
        <w:rPr>
          <w:rFonts w:ascii="Calibri" w:cs="Calibri" w:eastAsia="Calibri" w:hAnsi="Calibri"/>
          <w:b/>
          <w:bCs/>
          <w:sz w:val="21"/>
          <w:szCs w:val="21"/>
        </w:rPr>
        <w:t xml:space="preserve">art. 149 LCSP</w:t>
      </w:r>
      <w:r>
        <w:rPr>
          <w:rFonts w:ascii="Calibri" w:cs="Calibri" w:eastAsia="Calibri" w:hAnsi="Calibri"/>
          <w:sz w:val="21"/>
          <w:szCs w:val="21"/>
        </w:rPr>
        <w:t xml:space="preserve"> (parámetros objetivos de identificación de la oferta anormalmente baja y trámite contradictorio previo a la valoración), del que nace el apartado 7 del texto de pliego y cuyo desarrollo está en el Anexo XVII, apartado 5.</w:t>
      </w:r>
    </w:p>
    <w:p>
      <w:pPr>
        <w:spacing w:after="140" w:line="276"/>
      </w:pPr>
      <w:r>
        <w:rPr>
          <w:rFonts w:ascii="Calibri" w:cs="Calibri" w:eastAsia="Calibri" w:hAnsi="Calibri"/>
          <w:sz w:val="21"/>
          <w:szCs w:val="21"/>
        </w:rPr>
        <w:t xml:space="preserve">Doctrina, citada como doctrina general trasladada por analogía: la frontera entre solvencia y adjudicación está fijada en la STJUE de 24 de enero de 2008, </w:t>
      </w:r>
      <w:r>
        <w:rPr>
          <w:rFonts w:ascii="Calibri" w:cs="Calibri" w:eastAsia="Calibri" w:hAnsi="Calibri"/>
          <w:i/>
          <w:iCs/>
          <w:sz w:val="21"/>
          <w:szCs w:val="21"/>
        </w:rPr>
        <w:t xml:space="preserve">Lianakis</w:t>
      </w:r>
      <w:r>
        <w:rPr>
          <w:rFonts w:ascii="Calibri" w:cs="Calibri" w:eastAsia="Calibri" w:hAnsi="Calibri"/>
          <w:sz w:val="21"/>
          <w:szCs w:val="21"/>
        </w:rPr>
        <w:t xml:space="preserve">, asunto C-532/06, apartados 30 y 31 —donde se excluyen como criterios de adjudicación los que versan sobre la aptitud del licitador— (&lt;https://eur-lex.europa.eu/legal-content/ES/TXT/HTML/?uri=CELEX:62006CJ0532&gt;), con la matización de la STJUE de 26 de marzo de 2015, </w:t>
      </w:r>
      <w:r>
        <w:rPr>
          <w:rFonts w:ascii="Calibri" w:cs="Calibri" w:eastAsia="Calibri" w:hAnsi="Calibri"/>
          <w:i/>
          <w:iCs/>
          <w:sz w:val="21"/>
          <w:szCs w:val="21"/>
        </w:rPr>
        <w:t xml:space="preserve">Ambisig</w:t>
      </w:r>
      <w:r>
        <w:rPr>
          <w:rFonts w:ascii="Calibri" w:cs="Calibri" w:eastAsia="Calibri" w:hAnsi="Calibri"/>
          <w:sz w:val="21"/>
          <w:szCs w:val="21"/>
        </w:rPr>
        <w:t xml:space="preserve">, asunto C-601/13, que sí admite valorar el equipo concreto propuesto para ejecutar el contrato (&lt;https://eur-lex.europa.eu/legal-content/ES/TXT/HTML/?uri=CELEX:62013CJ0601&gt;). Adviértase que en </w:t>
      </w:r>
      <w:r>
        <w:rPr>
          <w:rFonts w:ascii="Calibri" w:cs="Calibri" w:eastAsia="Calibri" w:hAnsi="Calibri"/>
          <w:i/>
          <w:iCs/>
          <w:sz w:val="21"/>
          <w:szCs w:val="21"/>
        </w:rPr>
        <w:t xml:space="preserve">Lianakis</w:t>
      </w:r>
      <w:r>
        <w:rPr>
          <w:rFonts w:ascii="Calibri" w:cs="Calibri" w:eastAsia="Calibri" w:hAnsi="Calibri"/>
          <w:sz w:val="21"/>
          <w:szCs w:val="21"/>
        </w:rPr>
        <w:t xml:space="preserve"> el fallo formal versa sobre la fijación </w:t>
      </w:r>
      <w:r>
        <w:rPr>
          <w:rFonts w:ascii="Calibri" w:cs="Calibri" w:eastAsia="Calibri" w:hAnsi="Calibri"/>
          <w:i/>
          <w:iCs/>
          <w:sz w:val="21"/>
          <w:szCs w:val="21"/>
        </w:rPr>
        <w:t xml:space="preserve">a posteriori</w:t>
      </w:r>
      <w:r>
        <w:rPr>
          <w:rFonts w:ascii="Calibri" w:cs="Calibri" w:eastAsia="Calibri" w:hAnsi="Calibri"/>
          <w:sz w:val="21"/>
          <w:szCs w:val="21"/>
        </w:rPr>
        <w:t xml:space="preserve"> de subcriterios; lo que se traslada es la ratio de esos apartados, no el fallo.</w:t>
      </w:r>
    </w:p>
    <w:p>
      <w:pPr>
        <w:spacing w:after="140" w:line="276"/>
      </w:pPr>
      <w:r>
        <w:rPr>
          <w:rFonts w:ascii="Calibri" w:cs="Calibri" w:eastAsia="Calibri" w:hAnsi="Calibri"/>
          <w:b/>
          <w:bCs/>
          <w:sz w:val="21"/>
          <w:szCs w:val="21"/>
        </w:rPr>
        <w:t xml:space="preserve">No consta</w:t>
      </w:r>
      <w:r>
        <w:rPr>
          <w:rFonts w:ascii="Calibri" w:cs="Calibri" w:eastAsia="Calibri" w:hAnsi="Calibri"/>
          <w:sz w:val="21"/>
          <w:szCs w:val="21"/>
        </w:rPr>
        <w:t xml:space="preserve">, a fecha de corte de 1 de septiembre de 2026 y tras búsqueda en los repositorios del Tribunal Administrativo Central de Recursos Contractuales, del Tribunal Administrativo de Contratación Pública de la Comunidad de Madrid, del OARC/KEAO y de las juntas consultivas de contratación, ninguna resolución sobre criterios de adjudicación referidos a interfaces de acceso programático para agentes de inteligencia artificial, a la certificación ISO/IEC 42001 como criterio ni a compromisos de evolución tecnológica. El baremo no puede ampararse en precedente favorable alguno; se construye sobre el estándar general del art. 145.5 y sobre la comprobabilidad de cada criterio.</w:t>
      </w:r>
    </w:p>
    <w:p>
      <w:pPr>
        <w:pStyle w:val="Heading3"/>
        <w:keepNext/>
        <w:spacing w:after="140" w:before="320"/>
      </w:pPr>
      <w:r>
        <w:rPr>
          <w:rFonts w:ascii="Georgia" w:cs="Georgia" w:eastAsia="Georgia" w:hAnsi="Georgia"/>
          <w:b/>
          <w:bCs/>
          <w:color w:val="2F5496"/>
          <w:sz w:val="22"/>
          <w:szCs w:val="22"/>
        </w:rPr>
        <w:t xml:space="preserve">4. Cómo se acredita</w:t>
      </w:r>
    </w:p>
    <w:p>
      <w:pPr>
        <w:spacing w:after="140" w:line="276"/>
      </w:pPr>
      <w:r>
        <w:rPr>
          <w:rFonts w:ascii="Calibri" w:cs="Calibri" w:eastAsia="Calibri" w:hAnsi="Calibri"/>
          <w:sz w:val="21"/>
          <w:szCs w:val="21"/>
        </w:rPr>
        <w:t xml:space="preserve">Cada criterio evaluable mediante fórmula se acredita por el documento tasado que figura en la columna «medio de comprobación efectiva» del propio baremo: oferta económica, Cuadro de Precios Unitarios del Anexo X.3, o declaración del licitador sobre una relación </w:t>
      </w:r>
      <w:r>
        <w:rPr>
          <w:rFonts w:ascii="Calibri" w:cs="Calibri" w:eastAsia="Calibri" w:hAnsi="Calibri"/>
          <w:b/>
          <w:bCs/>
          <w:sz w:val="21"/>
          <w:szCs w:val="21"/>
        </w:rPr>
        <w:t xml:space="preserve">cerrada y numerada</w:t>
      </w:r>
      <w:r>
        <w:rPr>
          <w:rFonts w:ascii="Calibri" w:cs="Calibri" w:eastAsia="Calibri" w:hAnsi="Calibri"/>
          <w:sz w:val="21"/>
          <w:szCs w:val="21"/>
        </w:rPr>
        <w:t xml:space="preserve"> publicada en el PPT o en el Anexo V. Los criterios sujetos a juicio de valor se acreditan por la memoria técnica presentada en plazo, y se valoran exclusivamente conforme a la rúbrica publicada, con descriptores por tramos y evidencia observable por nivel. El informe de valoración expresará, para cada licitador y subcriterio, la evidencia concreta que justifica el nivel asignado.</w:t>
      </w:r>
    </w:p>
    <w:p>
      <w:pPr>
        <w:spacing w:after="140" w:line="276"/>
      </w:pPr>
      <w:r>
        <w:rPr>
          <w:rFonts w:ascii="Calibri" w:cs="Calibri" w:eastAsia="Calibri" w:hAnsi="Calibri"/>
          <w:sz w:val="21"/>
          <w:szCs w:val="21"/>
        </w:rPr>
        <w:t xml:space="preserve">No se admite ninguna acreditación por catálogo comercial, folleto, referencia de clientes ni «capacidad general de la empresa».</w:t>
      </w:r>
    </w:p>
    <w:p>
      <w:pPr>
        <w:pStyle w:val="Heading3"/>
        <w:keepNext/>
        <w:spacing w:after="140" w:before="320"/>
      </w:pPr>
      <w:r>
        <w:rPr>
          <w:rFonts w:ascii="Georgia" w:cs="Georgia" w:eastAsia="Georgia" w:hAnsi="Georgia"/>
          <w:b/>
          <w:bCs/>
          <w:color w:val="2F5496"/>
          <w:sz w:val="22"/>
          <w:szCs w:val="22"/>
        </w:rPr>
        <w:t xml:space="preserve">5. Cómo se verifica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Cuándo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 qué documento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Redactor del PCAP y 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 preparar el expediente, antes del informe jurídico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Ficha del Anexo IV por criterio + hoja de comprobación del baremo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al que corresponda el informe jurídico preceptivo (Asesoría Jurídica en municipios de gran población; Secretaría en el régimen común)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jurídico previo a la aprobación del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Hoja de comprobación cumplimentada, con las catorce filas resueltas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interventor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Fiscalización previa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de criterios y hoja de comprobación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Mesa de contratación o comité de expertos del art. 146.2.a)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la valoración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Rúbricas publicadas y actas</w:t>
            </w:r>
          </w:p>
        </w:tc>
      </w:tr>
    </w:tbl>
    <w:p>
      <w:pPr>
        <w:spacing w:after="200"/>
      </w:pPr>
    </w:p>
    <w:p>
      <w:pPr>
        <w:spacing w:after="140" w:line="276"/>
      </w:pPr>
      <w:r>
        <w:rPr>
          <w:rFonts w:ascii="Calibri" w:cs="Calibri" w:eastAsia="Calibri" w:hAnsi="Calibri"/>
          <w:b/>
          <w:bCs/>
          <w:sz w:val="21"/>
          <w:szCs w:val="21"/>
        </w:rPr>
        <w:t xml:space="preserve">Carga estimada.</w:t>
      </w:r>
      <w:r>
        <w:rPr>
          <w:rFonts w:ascii="Calibri" w:cs="Calibri" w:eastAsia="Calibri" w:hAnsi="Calibri"/>
          <w:sz w:val="21"/>
          <w:szCs w:val="21"/>
        </w:rPr>
        <w:t xml:space="preserve"> Entre 2 y 4 horas por expediente para cumplimentar la ficha de cada criterio y la hoja de comprobación; entre 1 y 2 horas adicionales de informe jurídico. No genera carga recurrente en fase de ejecución. Cuando se active el comité de expertos, añádanse el trámite de designación y publicación previa y entre 4 y 8 horas por licitador de valoración documentada.</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spacing w:after="140" w:line="276"/>
      </w:pPr>
      <w:r>
        <w:rPr>
          <w:rFonts w:ascii="Calibri" w:cs="Calibri" w:eastAsia="Calibri" w:hAnsi="Calibri"/>
          <w:sz w:val="21"/>
          <w:szCs w:val="21"/>
        </w:rPr>
        <w:t xml:space="preserve">No es una obligación del contratista, sino una regla de construcción del pliego: </w:t>
      </w:r>
      <w:r>
        <w:rPr>
          <w:rFonts w:ascii="Calibri" w:cs="Calibri" w:eastAsia="Calibri" w:hAnsi="Calibri"/>
          <w:b/>
          <w:bCs/>
          <w:sz w:val="21"/>
          <w:szCs w:val="21"/>
        </w:rPr>
        <w:t xml:space="preserve">no genera penalidad ni esencialidad</w:t>
      </w:r>
      <w:r>
        <w:rPr>
          <w:rFonts w:ascii="Calibri" w:cs="Calibri" w:eastAsia="Calibri" w:hAnsi="Calibri"/>
          <w:sz w:val="21"/>
          <w:szCs w:val="21"/>
        </w:rPr>
        <w:t xml:space="preserve">. Su incumplimiento por el órgano de contratación produce un vicio del propio pliego o de la adjudicación —anulabilidad por el art. 40.b) LCSP en el caso de la regla de tenencia previa; nulidad de la adjudicación por omisión del comité de expertos preceptivo; procedimiento indebido si se superan los topes del art. 159—. Un baremo valorado por juicio de valor después de conocidas las ofertas evaluables por fórmula no se retrotrae: obliga a repetir la licitación entera.</w:t>
      </w:r>
    </w:p>
    <w:p>
      <w:pPr>
        <w:spacing w:after="140" w:line="276"/>
      </w:pPr>
      <w:r>
        <w:rPr>
          <w:rFonts w:ascii="Calibri" w:cs="Calibri" w:eastAsia="Calibri" w:hAnsi="Calibri"/>
          <w:b/>
          <w:bCs/>
          <w:sz w:val="21"/>
          <w:szCs w:val="21"/>
        </w:rPr>
        <w:t xml:space="preserve">Obligación esencial: NO</w:t>
      </w:r>
      <w:r>
        <w:rPr>
          <w:rFonts w:ascii="Calibri" w:cs="Calibri" w:eastAsia="Calibri" w:hAnsi="Calibri"/>
          <w:sz w:val="21"/>
          <w:szCs w:val="21"/>
        </w:rPr>
        <w:t xml:space="preserve"> (no es obligación contractual del adjudicatario).</w:t>
      </w: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b/>
          <w:bCs/>
          <w:sz w:val="21"/>
          <w:szCs w:val="21"/>
        </w:rPr>
        <w:t xml:space="preserve">Contratos menores</w:t>
      </w:r>
      <w:r>
        <w:rPr>
          <w:rFonts w:ascii="Calibri" w:cs="Calibri" w:eastAsia="Calibri" w:hAnsi="Calibri"/>
          <w:sz w:val="21"/>
          <w:szCs w:val="21"/>
        </w:rPr>
        <w:t xml:space="preserve"> (art. 118 LCSP): no hay baremo. Las exigencias de este catálogo que se quieran trasladar a un contrato menor sólo pueden ir como prescripción técnica o como condición del encargo, nunca como criterio.</w:t>
      </w:r>
    </w:p>
    <w:p>
      <w:pPr>
        <w:pStyle w:val="ListParagraph"/>
        <w:numPr>
          <w:ilvl w:val="0"/>
          <w:numId w:val="1"/>
        </w:numPr>
        <w:spacing w:after="70" w:line="268"/>
      </w:pPr>
      <w:r>
        <w:rPr>
          <w:rFonts w:ascii="Calibri" w:cs="Calibri" w:eastAsia="Calibri" w:hAnsi="Calibri"/>
          <w:b/>
          <w:bCs/>
          <w:sz w:val="21"/>
          <w:szCs w:val="21"/>
        </w:rPr>
        <w:t xml:space="preserve">Contratos basados en un acuerdo marco o adjudicados a través de una central de compras</w:t>
      </w:r>
      <w:r>
        <w:rPr>
          <w:rFonts w:ascii="Calibri" w:cs="Calibri" w:eastAsia="Calibri" w:hAnsi="Calibri"/>
          <w:sz w:val="21"/>
          <w:szCs w:val="21"/>
        </w:rPr>
        <w:t xml:space="preserve"> en los que el órgano municipal no puede alterar los criterios: el baremo no se aplica; lo aplicable es la selección del lote o del proveedor conforme a las reglas del acuerdo marco, y las exigencias de este catálogo sólo caben en la medida en que el acuerdo marco lo permita.</w:t>
      </w:r>
    </w:p>
    <w:p>
      <w:pPr>
        <w:pStyle w:val="ListParagraph"/>
        <w:numPr>
          <w:ilvl w:val="0"/>
          <w:numId w:val="1"/>
        </w:numPr>
        <w:spacing w:after="70" w:line="268"/>
      </w:pPr>
      <w:r>
        <w:rPr>
          <w:rFonts w:ascii="Calibri" w:cs="Calibri" w:eastAsia="Calibri" w:hAnsi="Calibri"/>
          <w:b/>
          <w:bCs/>
          <w:sz w:val="21"/>
          <w:szCs w:val="21"/>
        </w:rPr>
        <w:t xml:space="preserve">Prórrogas de contratos vigentes</w:t>
      </w:r>
      <w:r>
        <w:rPr>
          <w:rFonts w:ascii="Calibri" w:cs="Calibri" w:eastAsia="Calibri" w:hAnsi="Calibri"/>
          <w:sz w:val="21"/>
          <w:szCs w:val="21"/>
        </w:rPr>
        <w:t xml:space="preserve">: no hay adjudicación y, por tanto, no hay criterios que fijar.</w:t>
      </w:r>
    </w:p>
    <w:p>
      <w:pPr>
        <w:pStyle w:val="ListParagraph"/>
        <w:numPr>
          <w:ilvl w:val="0"/>
          <w:numId w:val="1"/>
        </w:numPr>
        <w:spacing w:after="70" w:line="268"/>
      </w:pPr>
      <w:r>
        <w:rPr>
          <w:rFonts w:ascii="Calibri" w:cs="Calibri" w:eastAsia="Calibri" w:hAnsi="Calibri"/>
          <w:b/>
          <w:bCs/>
          <w:sz w:val="21"/>
          <w:szCs w:val="21"/>
        </w:rPr>
        <w:t xml:space="preserve">Procedimiento negociado sin publicidad</w:t>
      </w:r>
      <w:r>
        <w:rPr>
          <w:rFonts w:ascii="Calibri" w:cs="Calibri" w:eastAsia="Calibri" w:hAnsi="Calibri"/>
          <w:sz w:val="21"/>
          <w:szCs w:val="21"/>
        </w:rPr>
        <w:t xml:space="preserve"> por exclusividad: hay que revisar antes si la exclusividad se ha construido con exigencias de este catálogo, lo que invertiría el sentido de la regla de separación.</w:t>
      </w:r>
    </w:p>
    <w:p>
      <w:pPr>
        <w:spacing w:after="140" w:line="276"/>
      </w:pPr>
      <w:r>
        <w:rPr>
          <w:rFonts w:ascii="Calibri" w:cs="Calibri" w:eastAsia="Calibri" w:hAnsi="Calibri"/>
          <w:b/>
          <w:bCs/>
          <w:sz w:val="21"/>
          <w:szCs w:val="21"/>
        </w:rPr>
        <w:t xml:space="preserve">Si esta cláusula se marca NO APLICA, arrastra:</w:t>
      </w:r>
      <w:r>
        <w:rPr>
          <w:rFonts w:ascii="Calibri" w:cs="Calibri" w:eastAsia="Calibri" w:hAnsi="Calibri"/>
          <w:sz w:val="21"/>
          <w:szCs w:val="21"/>
        </w:rPr>
        <w:t xml:space="preserve"> la Ficha de Aplicabilidad debe marcar también como NO APLICA la cláusula ADM-9·v3, el Anexo IV y todas las remisiones a rúbricas de juicio de valor de los anexos del PCAP.</w:t>
      </w:r>
    </w:p>
    <w:p>
      <w:pPr>
        <w:pStyle w:val="Heading3"/>
        <w:keepNext/>
        <w:spacing w:after="140" w:before="320"/>
      </w:pPr>
      <w:r>
        <w:rPr>
          <w:rFonts w:ascii="Georgia" w:cs="Georgia" w:eastAsia="Georgia" w:hAnsi="Georgia"/>
          <w:b/>
          <w:bCs/>
          <w:color w:val="2F5496"/>
          <w:sz w:val="22"/>
          <w:szCs w:val="22"/>
        </w:rPr>
        <w:t xml:space="preserve">Nota al redactor · Los tres defectos de construcción que esta cláusula corrige</w:t>
      </w:r>
    </w:p>
    <w:p>
      <w:pPr>
        <w:spacing w:after="140" w:line="276"/>
      </w:pPr>
      <w:r>
        <w:rPr>
          <w:rFonts w:ascii="Calibri" w:cs="Calibri" w:eastAsia="Calibri" w:hAnsi="Calibri"/>
          <w:sz w:val="21"/>
          <w:szCs w:val="21"/>
        </w:rPr>
        <w:t xml:space="preserve">Es la cláusula con más riesgo de todo el catálogo. Los tres defectos del modelo anterior se corrigen a la vez, y los tres son de construcción, no de motivación:</w:t>
      </w:r>
    </w:p>
    <w:p>
      <w:pPr>
        <w:pStyle w:val="ListParagraph"/>
        <w:numPr>
          <w:ilvl w:val="0"/>
          <w:numId w:val="2"/>
        </w:numPr>
        <w:spacing w:after="70" w:line="268"/>
      </w:pPr>
      <w:r>
        <w:rPr>
          <w:rFonts w:ascii="Calibri" w:cs="Calibri" w:eastAsia="Calibri" w:hAnsi="Calibri"/>
          <w:b/>
          <w:bCs/>
          <w:sz w:val="21"/>
          <w:szCs w:val="21"/>
        </w:rPr>
        <w:t xml:space="preserve">El baremo anterior sumaba 100 puntos y ninguno valoraba la prestación.</w:t>
      </w:r>
      <w:r>
        <w:rPr>
          <w:rFonts w:ascii="Calibri" w:cs="Calibri" w:eastAsia="Calibri" w:hAnsi="Calibri"/>
          <w:sz w:val="21"/>
          <w:szCs w:val="21"/>
        </w:rPr>
        <w:t xml:space="preserve"> Adjudicar un sistema de gestión de subvenciones sin puntuar la gestión de subvenciones no se motiva: se anula, por el art. 145.5.b) y por el art. 145.6 LCSP. El bloque de innovación es </w:t>
      </w:r>
      <w:r>
        <w:rPr>
          <w:rFonts w:ascii="Calibri" w:cs="Calibri" w:eastAsia="Calibri" w:hAnsi="Calibri"/>
          <w:b/>
          <w:bCs/>
          <w:sz w:val="21"/>
          <w:szCs w:val="21"/>
        </w:rPr>
        <w:t xml:space="preserve">un bloque dentro del baremo del contrato</w:t>
      </w:r>
      <w:r>
        <w:rPr>
          <w:rFonts w:ascii="Calibri" w:cs="Calibri" w:eastAsia="Calibri" w:hAnsi="Calibri"/>
          <w:sz w:val="21"/>
          <w:szCs w:val="21"/>
        </w:rPr>
        <w:t xml:space="preserve">, nunca el baremo entero. ADM-7.2 entrega el ejemplo completo trabajado, con el precio y los criterios funcionales dentro.</w:t>
      </w:r>
    </w:p>
    <w:p>
      <w:pPr>
        <w:pStyle w:val="ListParagraph"/>
        <w:numPr>
          <w:ilvl w:val="0"/>
          <w:numId w:val="2"/>
        </w:numPr>
        <w:spacing w:after="70" w:line="268"/>
      </w:pPr>
      <w:r>
        <w:rPr>
          <w:rFonts w:ascii="Calibri" w:cs="Calibri" w:eastAsia="Calibri" w:hAnsi="Calibri"/>
          <w:b/>
          <w:bCs/>
          <w:sz w:val="21"/>
          <w:szCs w:val="21"/>
        </w:rPr>
        <w:t xml:space="preserve">Doble cómputo.</w:t>
      </w:r>
      <w:r>
        <w:rPr>
          <w:rFonts w:ascii="Calibri" w:cs="Calibri" w:eastAsia="Calibri" w:hAnsi="Calibri"/>
          <w:sz w:val="21"/>
          <w:szCs w:val="21"/>
        </w:rPr>
        <w:t xml:space="preserve"> No puede puntuarse el cumplimiento de lo que el pliego ya impone. La regla de separación prohíbe expresamente las </w:t>
      </w:r>
      <w:r>
        <w:rPr>
          <w:rFonts w:ascii="Calibri" w:cs="Calibri" w:eastAsia="Calibri" w:hAnsi="Calibri"/>
          <w:b/>
          <w:bCs/>
          <w:sz w:val="21"/>
          <w:szCs w:val="21"/>
        </w:rPr>
        <w:t xml:space="preserve">tres</w:t>
      </w:r>
      <w:r>
        <w:rPr>
          <w:rFonts w:ascii="Calibri" w:cs="Calibri" w:eastAsia="Calibri" w:hAnsi="Calibri"/>
          <w:sz w:val="21"/>
          <w:szCs w:val="21"/>
        </w:rPr>
        <w:t xml:space="preserve"> combinaciones, no sólo la clásica.</w:t>
      </w:r>
    </w:p>
    <w:p>
      <w:pPr>
        <w:pStyle w:val="ListParagraph"/>
        <w:numPr>
          <w:ilvl w:val="0"/>
          <w:numId w:val="2"/>
        </w:numPr>
        <w:spacing w:after="70" w:line="268"/>
      </w:pPr>
      <w:r>
        <w:rPr>
          <w:rFonts w:ascii="Calibri" w:cs="Calibri" w:eastAsia="Calibri" w:hAnsi="Calibri"/>
          <w:b/>
          <w:bCs/>
          <w:sz w:val="21"/>
          <w:szCs w:val="21"/>
        </w:rPr>
        <w:t xml:space="preserve">Encaje procedimental.</w:t>
      </w:r>
      <w:r>
        <w:rPr>
          <w:rFonts w:ascii="Calibri" w:cs="Calibri" w:eastAsia="Calibri" w:hAnsi="Calibri"/>
          <w:sz w:val="21"/>
          <w:szCs w:val="21"/>
        </w:rPr>
        <w:t xml:space="preserve"> El baremo tiene que caber en el procedimiento que el órgano va a tramitar. Se entregan </w:t>
      </w:r>
      <w:r>
        <w:rPr>
          <w:rFonts w:ascii="Calibri" w:cs="Calibri" w:eastAsia="Calibri" w:hAnsi="Calibri"/>
          <w:b/>
          <w:bCs/>
          <w:sz w:val="21"/>
          <w:szCs w:val="21"/>
        </w:rPr>
        <w:t xml:space="preserve">tres variantes</w:t>
      </w:r>
      <w:r>
        <w:rPr>
          <w:rFonts w:ascii="Calibri" w:cs="Calibri" w:eastAsia="Calibri" w:hAnsi="Calibri"/>
          <w:sz w:val="21"/>
          <w:szCs w:val="21"/>
        </w:rPr>
        <w:t xml:space="preserve"> —abierto ordinario, abierto simplificado y abreviado— y una hoja de comprobación que suma el baremo entero, precio incluido, y avisa.</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III.8 · ADM-8·v3 — Propiedad intelectual, algoritmos y lógica de negocio</w:t>
      </w:r>
    </w:p>
    <w:p>
      <w:pPr>
        <w:spacing w:after="140" w:line="276"/>
      </w:pPr>
      <w:r>
        <w:rPr>
          <w:rFonts w:ascii="Calibri" w:cs="Calibri" w:eastAsia="Calibri" w:hAnsi="Calibri"/>
          <w:i/>
          <w:iCs/>
          <w:sz w:val="21"/>
          <w:szCs w:val="21"/>
        </w:rPr>
        <w:t xml:space="preserve">(Sustituye a ADM-8 de v2. Fija tiempo, territorio y modalidades de la cesión, añade la licencia mínima supletoria sobre el producto base y delimita lo que no se exige: el código fuente de ese producto. Los tres defectos que corrige están en la nota al redactor, al final de la cláusula.)</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Propiedad intelectual, algoritmos y lógica de negocio.</w:t>
            </w:r>
          </w:p>
          <w:p>
            <w:pPr>
              <w:pStyle w:val="ListParagraph"/>
              <w:numPr>
                <w:ilvl w:val="0"/>
                <w:numId w:val="2"/>
              </w:numPr>
              <w:spacing w:after="60" w:line="264"/>
            </w:pPr>
            <w:r>
              <w:rPr>
                <w:rFonts w:ascii="Georgia" w:cs="Georgia" w:eastAsia="Georgia" w:hAnsi="Georgia"/>
                <w:b/>
                <w:bCs/>
                <w:sz w:val="20"/>
                <w:szCs w:val="20"/>
              </w:rPr>
              <w:t xml:space="preserve">Objeto de la titularidad municipal.</w:t>
            </w:r>
            <w:r>
              <w:rPr>
                <w:rFonts w:ascii="Georgia" w:cs="Georgia" w:eastAsia="Georgia" w:hAnsi="Georgia"/>
                <w:sz w:val="20"/>
                <w:szCs w:val="20"/>
              </w:rPr>
              <w:t xml:space="preserve"> Corresponderá al Ayuntamiento la titularidad de los desarrollos, configuraciones, parametrizaciones, </w:t>
            </w:r>
            <w:r>
              <w:rPr>
                <w:rFonts w:ascii="Georgia" w:cs="Georgia" w:eastAsia="Georgia" w:hAnsi="Georgia"/>
                <w:i/>
                <w:iCs/>
                <w:sz w:val="20"/>
                <w:szCs w:val="20"/>
              </w:rPr>
              <w:t xml:space="preserve">scripts</w:t>
            </w:r>
            <w:r>
              <w:rPr>
                <w:rFonts w:ascii="Georgia" w:cs="Georgia" w:eastAsia="Georgia" w:hAnsi="Georgia"/>
                <w:sz w:val="20"/>
                <w:szCs w:val="20"/>
              </w:rPr>
              <w:t xml:space="preserve">, flujos, reglas de negocio y algoritmos de cálculo o de decisión diseñados específicamente para el Ayuntamiento, junto con su lógica funcional, su codificación —</w:t>
            </w:r>
            <w:r>
              <w:rPr>
                <w:rFonts w:ascii="Georgia" w:cs="Georgia" w:eastAsia="Georgia" w:hAnsi="Georgia"/>
                <w:b/>
                <w:bCs/>
                <w:sz w:val="20"/>
                <w:szCs w:val="20"/>
              </w:rPr>
              <w:t xml:space="preserve">tanto el programa fuente como el programa objeto</w:t>
            </w:r>
            <w:r>
              <w:rPr>
                <w:rFonts w:ascii="Georgia" w:cs="Georgia" w:eastAsia="Georgia" w:hAnsi="Georgia"/>
                <w:sz w:val="20"/>
                <w:szCs w:val="20"/>
              </w:rPr>
              <w:t xml:space="preserve">, en la terminología del artículo 97.4 del texto refundido de la Ley de Propiedad Intelectual— y su documentación técnica; así como de los </w:t>
            </w:r>
            <w:r>
              <w:rPr>
                <w:rFonts w:ascii="Georgia" w:cs="Georgia" w:eastAsia="Georgia" w:hAnsi="Georgia"/>
                <w:i/>
                <w:iCs/>
                <w:sz w:val="20"/>
                <w:szCs w:val="20"/>
              </w:rPr>
              <w:t xml:space="preserve">prompts</w:t>
            </w:r>
            <w:r>
              <w:rPr>
                <w:rFonts w:ascii="Georgia" w:cs="Georgia" w:eastAsia="Georgia" w:hAnsi="Georgia"/>
                <w:sz w:val="20"/>
                <w:szCs w:val="20"/>
              </w:rPr>
              <w:t xml:space="preserve"> corporativos, bases de conocimiento, modelos ajustados con datos municipales, datos y documentación generados en ejecución del contrato.</w:t>
            </w:r>
          </w:p>
          <w:p>
            <w:pPr>
              <w:pStyle w:val="ListParagraph"/>
              <w:numPr>
                <w:ilvl w:val="0"/>
                <w:numId w:val="2"/>
              </w:numPr>
              <w:spacing w:after="60" w:line="264"/>
            </w:pPr>
            <w:r>
              <w:rPr>
                <w:rFonts w:ascii="Georgia" w:cs="Georgia" w:eastAsia="Georgia" w:hAnsi="Georgia"/>
                <w:b/>
                <w:bCs/>
                <w:sz w:val="20"/>
                <w:szCs w:val="20"/>
              </w:rPr>
              <w:t xml:space="preserve">Extensión de la cesión.</w:t>
            </w:r>
            <w:r>
              <w:rPr>
                <w:rFonts w:ascii="Georgia" w:cs="Georgia" w:eastAsia="Georgia" w:hAnsi="Georgia"/>
                <w:sz w:val="20"/>
                <w:szCs w:val="20"/>
              </w:rPr>
              <w:t xml:space="preserve"> La cesión se entiende otorgada con carácter exclusivo, para </w:t>
            </w:r>
            <w:r>
              <w:rPr>
                <w:rFonts w:ascii="Georgia" w:cs="Georgia" w:eastAsia="Georgia" w:hAnsi="Georgia"/>
                <w:b/>
                <w:bCs/>
                <w:sz w:val="20"/>
                <w:szCs w:val="20"/>
              </w:rPr>
              <w:t xml:space="preserve">todas las modalidades de explotación</w:t>
            </w:r>
            <w:r>
              <w:rPr>
                <w:rFonts w:ascii="Georgia" w:cs="Georgia" w:eastAsia="Georgia" w:hAnsi="Georgia"/>
                <w:sz w:val="20"/>
                <w:szCs w:val="20"/>
              </w:rPr>
              <w:t xml:space="preserve"> —reproducción, distribución, comunicación pública y transformación—, por </w:t>
            </w:r>
            <w:r>
              <w:rPr>
                <w:rFonts w:ascii="Georgia" w:cs="Georgia" w:eastAsia="Georgia" w:hAnsi="Georgia"/>
                <w:b/>
                <w:bCs/>
                <w:sz w:val="20"/>
                <w:szCs w:val="20"/>
              </w:rPr>
              <w:t xml:space="preserve">todo el plazo de protección legal</w:t>
            </w:r>
            <w:r>
              <w:rPr>
                <w:rFonts w:ascii="Georgia" w:cs="Georgia" w:eastAsia="Georgia" w:hAnsi="Georgia"/>
                <w:sz w:val="20"/>
                <w:szCs w:val="20"/>
              </w:rPr>
              <w:t xml:space="preserve">, para </w:t>
            </w:r>
            <w:r>
              <w:rPr>
                <w:rFonts w:ascii="Georgia" w:cs="Georgia" w:eastAsia="Georgia" w:hAnsi="Georgia"/>
                <w:b/>
                <w:bCs/>
                <w:sz w:val="20"/>
                <w:szCs w:val="20"/>
              </w:rPr>
              <w:t xml:space="preserve">todos los países</w:t>
            </w:r>
            <w:r>
              <w:rPr>
                <w:rFonts w:ascii="Georgia" w:cs="Georgia" w:eastAsia="Georgia" w:hAnsi="Georgia"/>
                <w:sz w:val="20"/>
                <w:szCs w:val="20"/>
              </w:rPr>
              <w:t xml:space="preserve">, y con facultad de cesión a terceros y a otras entidades del sector público, en los términos del artículo 308.1, último inciso, de la LCSP y de los artículos 157 y 158 de la Ley 40/2015. Esta mención expresa se realiza a los efectos del artículo 43.2 del texto refundido de la Ley de Propiedad Intelectual.</w:t>
            </w:r>
          </w:p>
          <w:p>
            <w:pPr>
              <w:pStyle w:val="ListParagraph"/>
              <w:numPr>
                <w:ilvl w:val="0"/>
                <w:numId w:val="2"/>
              </w:numPr>
              <w:spacing w:after="60" w:line="264"/>
            </w:pPr>
            <w:r>
              <w:rPr>
                <w:rFonts w:ascii="Georgia" w:cs="Georgia" w:eastAsia="Georgia" w:hAnsi="Georgia"/>
                <w:b/>
                <w:bCs/>
                <w:sz w:val="20"/>
                <w:szCs w:val="20"/>
              </w:rPr>
              <w:t xml:space="preserve">Límites legales de la cesión.</w:t>
            </w:r>
            <w:r>
              <w:rPr>
                <w:rFonts w:ascii="Georgia" w:cs="Georgia" w:eastAsia="Georgia" w:hAnsi="Georgia"/>
                <w:sz w:val="20"/>
                <w:szCs w:val="20"/>
              </w:rPr>
              <w:t xml:space="preserve"> El alcance, contenido e interpretación de esta cesión se ajustarán en todo caso a la legislación específica de propiedad intelectual e industrial. La cesión </w:t>
            </w:r>
            <w:r>
              <w:rPr>
                <w:rFonts w:ascii="Georgia" w:cs="Georgia" w:eastAsia="Georgia" w:hAnsi="Georgia"/>
                <w:b/>
                <w:bCs/>
                <w:sz w:val="20"/>
                <w:szCs w:val="20"/>
              </w:rPr>
              <w:t xml:space="preserve">no alcanza a los derechos morales de autor</w:t>
            </w:r>
            <w:r>
              <w:rPr>
                <w:rFonts w:ascii="Georgia" w:cs="Georgia" w:eastAsia="Georgia" w:hAnsi="Georgia"/>
                <w:sz w:val="20"/>
                <w:szCs w:val="20"/>
              </w:rPr>
              <w:t xml:space="preserve">, que son irrenunciables e inalienables. No se excluye contractualmente el límite del artículo 100.1 del texto refundido de la Ley de Propiedad Intelectual: el Ayuntamiento, como usuario legítimo, queda facultado para la reproducción y transformación necesarias para el uso de la solución, incluida la corrección de errores.</w:t>
            </w:r>
          </w:p>
          <w:p>
            <w:pPr>
              <w:pStyle w:val="ListParagraph"/>
              <w:numPr>
                <w:ilvl w:val="0"/>
                <w:numId w:val="2"/>
              </w:numPr>
              <w:spacing w:after="60" w:line="264"/>
            </w:pPr>
            <w:r>
              <w:rPr>
                <w:rFonts w:ascii="Georgia" w:cs="Georgia" w:eastAsia="Georgia" w:hAnsi="Georgia"/>
                <w:b/>
                <w:bCs/>
                <w:sz w:val="20"/>
                <w:szCs w:val="20"/>
              </w:rPr>
              <w:t xml:space="preserve">Delimitación negativa.</w:t>
            </w:r>
            <w:r>
              <w:rPr>
                <w:rFonts w:ascii="Georgia" w:cs="Georgia" w:eastAsia="Georgia" w:hAnsi="Georgia"/>
                <w:sz w:val="20"/>
                <w:szCs w:val="20"/>
              </w:rPr>
              <w:t xml:space="preserve"> La titularidad municipal </w:t>
            </w:r>
            <w:r>
              <w:rPr>
                <w:rFonts w:ascii="Georgia" w:cs="Georgia" w:eastAsia="Georgia" w:hAnsi="Georgia"/>
                <w:b/>
                <w:bCs/>
                <w:sz w:val="20"/>
                <w:szCs w:val="20"/>
              </w:rPr>
              <w:t xml:space="preserve">no alcanza</w:t>
            </w:r>
            <w:r>
              <w:rPr>
                <w:rFonts w:ascii="Georgia" w:cs="Georgia" w:eastAsia="Georgia" w:hAnsi="Georgia"/>
                <w:sz w:val="20"/>
                <w:szCs w:val="20"/>
              </w:rPr>
              <w:t xml:space="preserve"> al producto base, estándar o de mercado del adjudicatario, ni a los componentes de terceros integrados en la solución. </w:t>
            </w:r>
            <w:r>
              <w:rPr>
                <w:rFonts w:ascii="Georgia" w:cs="Georgia" w:eastAsia="Georgia" w:hAnsi="Georgia"/>
                <w:b/>
                <w:bCs/>
                <w:sz w:val="20"/>
                <w:szCs w:val="20"/>
              </w:rPr>
              <w:t xml:space="preserve">No se exige la entrega del código fuente de dicho producto base ni de dichos componentes</w:t>
            </w:r>
            <w:r>
              <w:rPr>
                <w:rFonts w:ascii="Georgia" w:cs="Georgia" w:eastAsia="Georgia" w:hAnsi="Georgia"/>
                <w:sz w:val="20"/>
                <w:szCs w:val="20"/>
              </w:rPr>
              <w:t xml:space="preserve">, cuya propiedad intelectual queda expresamente salvaguardada, salvo que el producto haya sido desarrollado a medida para el Ayuntamiento o esté sujeto a licencia de fuentes abiertas.</w:t>
            </w:r>
          </w:p>
          <w:p>
            <w:pPr>
              <w:pStyle w:val="ListParagraph"/>
              <w:numPr>
                <w:ilvl w:val="0"/>
                <w:numId w:val="2"/>
              </w:numPr>
              <w:spacing w:after="60" w:line="264"/>
            </w:pPr>
            <w:r>
              <w:rPr>
                <w:rFonts w:ascii="Georgia" w:cs="Georgia" w:eastAsia="Georgia" w:hAnsi="Georgia"/>
                <w:b/>
                <w:bCs/>
                <w:sz w:val="20"/>
                <w:szCs w:val="20"/>
              </w:rPr>
              <w:t xml:space="preserve">Licencia mínima supletoria sobre el producto base.</w:t>
            </w:r>
            <w:r>
              <w:rPr>
                <w:rFonts w:ascii="Georgia" w:cs="Georgia" w:eastAsia="Georgia" w:hAnsi="Georgia"/>
                <w:sz w:val="20"/>
                <w:szCs w:val="20"/>
              </w:rPr>
              <w:t xml:space="preserve"> Respecto del producto base, estándar o de mercado, y como mínimo aunque este pliego no disponga otra cosa, el Ayuntamiento ostentará una licencia de uso no exclusiva para todos los fines propios de sus competencias, para el número de personas usuarias, instalaciones o unidades de consumo que este pliego fije en su cuadro de características, durante la vigencia del contrato, sus prórrogas y el período de reversión. Respecto de los componentes de terceros integrados en la solución, la obligación del adjudicatario se limita a mantener vigentes, con cargo al precio del contrato, las licencias necesarias para el uso de la solución por el Ayuntamiento en ese mismo alcance, y a identificarlas en el Inventario de Componentes. La facultad de poner la aplicación a disposición de otras entidades del sector público a los efectos de los artículos 157 y 158 de la Ley 40/2015 se refiere exclusivamente a los elementos de titularidad municipal conforme al apartado 1; cuando el Ayuntamiento pretenda extenderla al producto base, deberá pactarlo expresamente con el licenciante y consignarlo en el cuadro de características.</w:t>
            </w:r>
          </w:p>
          <w:p>
            <w:pPr>
              <w:pStyle w:val="ListParagraph"/>
              <w:numPr>
                <w:ilvl w:val="0"/>
                <w:numId w:val="2"/>
              </w:numPr>
              <w:spacing w:after="60" w:line="264"/>
            </w:pPr>
            <w:r>
              <w:rPr>
                <w:rFonts w:ascii="Georgia" w:cs="Georgia" w:eastAsia="Georgia" w:hAnsi="Georgia"/>
                <w:b/>
                <w:bCs/>
                <w:sz w:val="20"/>
                <w:szCs w:val="20"/>
              </w:rPr>
              <w:t xml:space="preserve">Delimitación documentada.</w:t>
            </w:r>
            <w:r>
              <w:rPr>
                <w:rFonts w:ascii="Georgia" w:cs="Georgia" w:eastAsia="Georgia" w:hAnsi="Georgia"/>
                <w:sz w:val="20"/>
                <w:szCs w:val="20"/>
              </w:rPr>
              <w:t xml:space="preserve"> La separación entre lo que es titularidad municipal y lo que es producto base se acredita mediante el </w:t>
            </w:r>
            <w:r>
              <w:rPr>
                <w:rFonts w:ascii="Georgia" w:cs="Georgia" w:eastAsia="Georgia" w:hAnsi="Georgia"/>
                <w:b/>
                <w:bCs/>
                <w:sz w:val="20"/>
                <w:szCs w:val="20"/>
              </w:rPr>
              <w:t xml:space="preserve">Inventario de Componentes</w:t>
            </w:r>
            <w:r>
              <w:rPr>
                <w:rFonts w:ascii="Georgia" w:cs="Georgia" w:eastAsia="Georgia" w:hAnsi="Georgia"/>
                <w:sz w:val="20"/>
                <w:szCs w:val="20"/>
              </w:rPr>
              <w:t xml:space="preserve"> exigido en la cláusula [DT-8] del pliego de prescripciones técnicas, mantenido desde el inicio de la ejecución y actualizado con cada versión puesta en producción. En defecto de Inventario, la delimitación se entenderá efectuada a favor del Ayuntamiento respecto de todo elemento que el adjudicatario no acredite documentalmente como preexistente al contrato.</w:t>
            </w:r>
          </w:p>
          <w:p>
            <w:pPr>
              <w:pStyle w:val="ListParagraph"/>
              <w:numPr>
                <w:ilvl w:val="0"/>
                <w:numId w:val="2"/>
              </w:numPr>
              <w:spacing w:after="60" w:line="264"/>
            </w:pPr>
            <w:r>
              <w:rPr>
                <w:rFonts w:ascii="Georgia" w:cs="Georgia" w:eastAsia="Georgia" w:hAnsi="Georgia"/>
                <w:b/>
                <w:bCs/>
                <w:sz w:val="20"/>
                <w:szCs w:val="20"/>
              </w:rPr>
              <w:t xml:space="preserve">Auditoría en actuación administrativa automatizada.</w:t>
            </w:r>
            <w:r>
              <w:rPr>
                <w:rFonts w:ascii="Georgia" w:cs="Georgia" w:eastAsia="Georgia" w:hAnsi="Georgia"/>
                <w:sz w:val="20"/>
                <w:szCs w:val="20"/>
              </w:rPr>
              <w:t xml:space="preserve"> Cuando el Ayuntamiento acuerde una actuación administrativa automatizada al amparo del artículo 41 de la Ley 40/2015, el adjudicatario garantizará al Ayuntamiento y a los auditores que este designe, sujetos a idéntico deber de confidencialidad, el acceso a la lógica, la parametrización y el código fuente de los componentes desarrollados específicamente para el Ayuntamiento, con la exclusiva finalidad de auditoría y sin facultad alguna de explotación comercial.</w:t>
            </w:r>
          </w:p>
          <w:p>
            <w:pPr>
              <w:pStyle w:val="ListParagraph"/>
              <w:numPr>
                <w:ilvl w:val="0"/>
                <w:numId w:val="2"/>
              </w:numPr>
              <w:spacing w:after="60" w:line="264"/>
            </w:pPr>
            <w:r>
              <w:rPr>
                <w:rFonts w:ascii="Georgia" w:cs="Georgia" w:eastAsia="Georgia" w:hAnsi="Georgia"/>
                <w:b/>
                <w:bCs/>
                <w:sz w:val="20"/>
                <w:szCs w:val="20"/>
              </w:rPr>
              <w:t xml:space="preserve">Coherencia con el pliego técnico.</w:t>
            </w:r>
            <w:r>
              <w:rPr>
                <w:rFonts w:ascii="Georgia" w:cs="Georgia" w:eastAsia="Georgia" w:hAnsi="Georgia"/>
                <w:sz w:val="20"/>
                <w:szCs w:val="20"/>
              </w:rPr>
              <w:t xml:space="preserve"> Esta cláusula se corresponde con el apartado 7 de la cláusula [DT-1] del pliego de prescripciones técnicas y debe interpretarse conjuntamente con ella y con la cláusula [DT-8] de reversibilidad.</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PCAP, cláusula de propiedad intelectual e industrial, y cuadro-resumen (casilla de cesión de derechos). Su espejo técnico va en DT-1·v3.7 del PPT, con la remisión recíproca del apartado 8, para que un licitador que sólo examine el pliego técnico no interprete la titularidad con un alcance distinto.</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sz w:val="21"/>
          <w:szCs w:val="21"/>
        </w:rPr>
        <w:t xml:space="preserve">Art. 308.1 LCSP: la cesión de la propiedad intelectual en los contratos de servicios que tengan por objeto el desarrollo y puesta a disposición de productos protegidos opera «salvo que se disponga otra cosa en los pliegos», es decir, como </w:t>
      </w:r>
      <w:r>
        <w:rPr>
          <w:rFonts w:ascii="Calibri" w:cs="Calibri" w:eastAsia="Calibri" w:hAnsi="Calibri"/>
          <w:b/>
          <w:bCs/>
          <w:sz w:val="21"/>
          <w:szCs w:val="21"/>
        </w:rPr>
        <w:t xml:space="preserve">regla dispositiva</w:t>
      </w:r>
      <w:r>
        <w:rPr>
          <w:rFonts w:ascii="Calibri" w:cs="Calibri" w:eastAsia="Calibri" w:hAnsi="Calibri"/>
          <w:sz w:val="21"/>
          <w:szCs w:val="21"/>
        </w:rPr>
        <w:t xml:space="preserve"> que el pliego puede modular; y el mismo precepto habilita al órgano de contratación a autorizar siempre el uso del producto a otras entidades del sector público. Arts. 43.2, 97.4, 99 y 100 del texto refundido de la Ley de Propiedad Intelectual (RDLeg 1/1996). Arts. 157 y 158 de la Ley 40/2015, que obligan a poner las aplicaciones a disposición de cualquier Administración que lo solicite, pero </w:t>
      </w:r>
      <w:r>
        <w:rPr>
          <w:rFonts w:ascii="Calibri" w:cs="Calibri" w:eastAsia="Calibri" w:hAnsi="Calibri"/>
          <w:b/>
          <w:bCs/>
          <w:sz w:val="21"/>
          <w:szCs w:val="21"/>
        </w:rPr>
        <w:t xml:space="preserve">sólo respecto de aquellas de cuyos derechos se sea titular</w:t>
      </w:r>
      <w:r>
        <w:rPr>
          <w:rFonts w:ascii="Calibri" w:cs="Calibri" w:eastAsia="Calibri" w:hAnsi="Calibri"/>
          <w:sz w:val="21"/>
          <w:szCs w:val="21"/>
        </w:rPr>
        <w:t xml:space="preserve">. Art. 41.2 de la Ley 40/2015 para el apartado 7.</w:t>
      </w:r>
    </w:p>
    <w:p>
      <w:pPr>
        <w:spacing w:after="140" w:line="276"/>
      </w:pPr>
      <w:r>
        <w:rPr>
          <w:rFonts w:ascii="Calibri" w:cs="Calibri" w:eastAsia="Calibri" w:hAnsi="Calibri"/>
          <w:sz w:val="21"/>
          <w:szCs w:val="21"/>
        </w:rPr>
        <w:t xml:space="preserve">Encaje de tipo contractual: la adquisición de programas de ordenador es contrato de </w:t>
      </w:r>
      <w:r>
        <w:rPr>
          <w:rFonts w:ascii="Calibri" w:cs="Calibri" w:eastAsia="Calibri" w:hAnsi="Calibri"/>
          <w:b/>
          <w:bCs/>
          <w:sz w:val="21"/>
          <w:szCs w:val="21"/>
        </w:rPr>
        <w:t xml:space="preserve">suministro</w:t>
      </w:r>
      <w:r>
        <w:rPr>
          <w:rFonts w:ascii="Calibri" w:cs="Calibri" w:eastAsia="Calibri" w:hAnsi="Calibri"/>
          <w:sz w:val="21"/>
          <w:szCs w:val="21"/>
        </w:rPr>
        <w:t xml:space="preserve">, salvo que se trate de programas confeccionados a medida, en cuyo caso es contrato de servicios (Junta Consultiva de Contratación Pública del Estado, expediente 58/18, sobre interpretación del artículo 9 LCSP: &lt;https://www.hacienda.gob.es/DGPatrimonio/junta%20consultiva/informes/informes2019/2018-58interpretaci%C3%B3nart%C3%ADculo9lcsp.pdf&gt;). </w:t>
      </w:r>
      <w:r>
        <w:rPr>
          <w:rFonts w:ascii="Calibri" w:cs="Calibri" w:eastAsia="Calibri" w:hAnsi="Calibri"/>
          <w:b/>
          <w:bCs/>
          <w:sz w:val="21"/>
          <w:szCs w:val="21"/>
        </w:rPr>
        <w:t xml:space="preserve">Consecuencia práctica:</w:t>
      </w:r>
      <w:r>
        <w:rPr>
          <w:rFonts w:ascii="Calibri" w:cs="Calibri" w:eastAsia="Calibri" w:hAnsi="Calibri"/>
          <w:sz w:val="21"/>
          <w:szCs w:val="21"/>
        </w:rPr>
        <w:t xml:space="preserve"> el art. 308.1 LCSP no ampara exigencias de titularidad ni de entrega de código en un contrato de suministro de producto de mercado. En esos contratos, esta cláusula se aplica únicamente en sus apartados 4 y 5.</w:t>
      </w:r>
    </w:p>
    <w:p>
      <w:pPr>
        <w:spacing w:after="140" w:line="276"/>
      </w:pPr>
      <w:r>
        <w:rPr>
          <w:rFonts w:ascii="Calibri" w:cs="Calibri" w:eastAsia="Calibri" w:hAnsi="Calibri"/>
          <w:sz w:val="21"/>
          <w:szCs w:val="21"/>
        </w:rPr>
        <w:t xml:space="preserve">Doctrina, trasladada por analogía: el Tribunal Administrativo Central de Recursos Contractuales, en su Resolución 823/2019, de 11 de julio de 2019, recursos 565/2019 y 568/2019 (Colegio de Arquitectos de Cataluña y CSCAE contra pliegos de AENA, expediente DIN-113/2019), </w:t>
      </w:r>
      <w:r>
        <w:rPr>
          <w:rFonts w:ascii="Calibri" w:cs="Calibri" w:eastAsia="Calibri" w:hAnsi="Calibri"/>
          <w:b/>
          <w:bCs/>
          <w:sz w:val="21"/>
          <w:szCs w:val="21"/>
        </w:rPr>
        <w:t xml:space="preserve">desestimó</w:t>
      </w:r>
      <w:r>
        <w:rPr>
          <w:rFonts w:ascii="Calibri" w:cs="Calibri" w:eastAsia="Calibri" w:hAnsi="Calibri"/>
          <w:sz w:val="21"/>
          <w:szCs w:val="21"/>
        </w:rPr>
        <w:t xml:space="preserve"> el recurso contra una cláusula de cesión plena de propiedad intelectual y declaró que «la cesión de los derechos de propiedad intelectual e industrial es, además de una clausula [sic] habitual y normal en esta clase de contratos e incluso obligada en los contratos de servicios que tengan por objeto el desarrollo de productos protegidos por un derecho de propiedad intelectual o industrial (art. 308 LCSP), salvo pacto expreso en contrario» (&lt;https://www.hacienda.gob.es/TACRC/Resoluciones/A%C3%B1o%202019/Recursos%200565%20y%200568-2019%20(Res%20823)%2011-07-2019%20corregida.pdf&gt;). </w:t>
      </w:r>
      <w:r>
        <w:rPr>
          <w:rFonts w:ascii="Calibri" w:cs="Calibri" w:eastAsia="Calibri" w:hAnsi="Calibri"/>
          <w:b/>
          <w:bCs/>
          <w:sz w:val="21"/>
          <w:szCs w:val="21"/>
        </w:rPr>
        <w:t xml:space="preserve">Se dicta bajo la Ley 31/2007, de sectores especiales (LCSE)</w:t>
      </w:r>
      <w:r>
        <w:rPr>
          <w:rFonts w:ascii="Calibri" w:cs="Calibri" w:eastAsia="Calibri" w:hAnsi="Calibri"/>
          <w:sz w:val="21"/>
          <w:szCs w:val="21"/>
        </w:rPr>
        <w:t xml:space="preserve">, y su parte dispositiva se apoya en los artículos 106.4 y 106.5 de esa ley: la traslación a un contrato administrativo sujeto a la LCSP es de materia y de régimen, y así debe hacerse constar. Lo que salvó aquella cláusula fue exactamente lo que aquí se reproduce: la remisión expresa a la legislación específica de propiedad intelectual y el respeto de los derechos morales.</w:t>
      </w:r>
    </w:p>
    <w:p>
      <w:pPr>
        <w:spacing w:after="140" w:line="276"/>
      </w:pPr>
      <w:r>
        <w:rPr>
          <w:rFonts w:ascii="Calibri" w:cs="Calibri" w:eastAsia="Calibri" w:hAnsi="Calibri"/>
          <w:sz w:val="21"/>
          <w:szCs w:val="21"/>
        </w:rPr>
        <w:t xml:space="preserve">Argumento de concurrencia a favor, para la memoria: la reversibilidad y la no dependencia abren mercado en lugar de cerrarlo. Comunicación de la Comisión COM(2013) 455 final, «Contra la dependencia de un proveedor: construir sistemas de TIC abiertos mediante una mejor utilización de normas en la contratación pública» (&lt;https://eur-lex.europa.eu/legal-content/ES/TXT/HTML/?uri=CELEX:52013DC0455&gt;).</w:t>
      </w:r>
    </w:p>
    <w:p>
      <w:pPr>
        <w:pStyle w:val="Heading3"/>
        <w:keepNext/>
        <w:spacing w:after="140" w:before="320"/>
      </w:pPr>
      <w:r>
        <w:rPr>
          <w:rFonts w:ascii="Georgia" w:cs="Georgia" w:eastAsia="Georgia" w:hAnsi="Georgia"/>
          <w:b/>
          <w:bCs/>
          <w:color w:val="2F5496"/>
          <w:sz w:val="22"/>
          <w:szCs w:val="22"/>
        </w:rPr>
        <w:t xml:space="preserve">4. Cómo se acredita</w:t>
      </w:r>
    </w:p>
    <w:p>
      <w:pPr>
        <w:spacing w:after="140" w:line="276"/>
      </w:pPr>
      <w:r>
        <w:rPr>
          <w:rFonts w:ascii="Calibri" w:cs="Calibri" w:eastAsia="Calibri" w:hAnsi="Calibri"/>
          <w:sz w:val="21"/>
          <w:szCs w:val="21"/>
        </w:rPr>
        <w:t xml:space="preserve">Medios tasados: (a) declaración responsable del licitador de aceptación de la cesión en los términos de esta cláusula, en el modelo del Anexo VII; (b) </w:t>
      </w:r>
      <w:r>
        <w:rPr>
          <w:rFonts w:ascii="Calibri" w:cs="Calibri" w:eastAsia="Calibri" w:hAnsi="Calibri"/>
          <w:b/>
          <w:bCs/>
          <w:sz w:val="21"/>
          <w:szCs w:val="21"/>
        </w:rPr>
        <w:t xml:space="preserve">Inventario de Componentes</w:t>
      </w:r>
      <w:r>
        <w:rPr>
          <w:rFonts w:ascii="Calibri" w:cs="Calibri" w:eastAsia="Calibri" w:hAnsi="Calibri"/>
          <w:sz w:val="21"/>
          <w:szCs w:val="21"/>
        </w:rPr>
        <w:t xml:space="preserve"> entregado en el plazo fijado en DT-8·v3 y actualizado con cada versión puesta en producción; (c) certificación del adjudicatario, cuando integre componentes de terceros, de que dispone de las licencias que amparan la licencia mínima supletoria del apartado 5, con identificación del licenciante y del alcance; (d) acta de entrega del repositorio del contrato en cada hito.</w:t>
      </w:r>
    </w:p>
    <w:p>
      <w:pPr>
        <w:pStyle w:val="Heading3"/>
        <w:keepNext/>
        <w:spacing w:after="140" w:before="320"/>
      </w:pPr>
      <w:r>
        <w:rPr>
          <w:rFonts w:ascii="Georgia" w:cs="Georgia" w:eastAsia="Georgia" w:hAnsi="Georgia"/>
          <w:b/>
          <w:bCs/>
          <w:color w:val="2F5496"/>
          <w:sz w:val="22"/>
          <w:szCs w:val="22"/>
        </w:rPr>
        <w:t xml:space="preserve">5. Cómo se verifica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Cuándo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 qué documento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(art. 62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los </w:t>
            </w:r>
            <w:r>
              <w:rPr>
                <w:rFonts w:ascii="Calibri" w:cs="Calibri" w:eastAsia="Calibri" w:hAnsi="Calibri"/>
                <w:b/>
                <w:bCs/>
                <w:sz w:val="18"/>
                <w:szCs w:val="18"/>
              </w:rPr>
              <w:t xml:space="preserve">[X; se recomienda 3] meses</w:t>
            </w:r>
            <w:r>
              <w:rPr>
                <w:rFonts w:ascii="Calibri" w:cs="Calibri" w:eastAsia="Calibri" w:hAnsi="Calibri"/>
                <w:b w:val="false"/>
                <w:bCs w:val="false"/>
                <w:sz w:val="18"/>
                <w:szCs w:val="18"/>
              </w:rPr>
              <w:t xml:space="preserve"> del inicio y con cada versión mayor puesta en producción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Inventario de Componentes, cotejado con el repositorio del contrato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municipal de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Anualmente, en la Comisión de Seguimiento de ADM-4·v3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la Comisión, con constancia del inventario vigente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la finalización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reversión (DT-8·v3), que certifica que lo entregado coincide con el inventario</w:t>
            </w:r>
          </w:p>
        </w:tc>
      </w:tr>
    </w:tbl>
    <w:p>
      <w:pPr>
        <w:spacing w:after="200"/>
      </w:pPr>
    </w:p>
    <w:p>
      <w:pPr>
        <w:spacing w:after="140" w:line="276"/>
      </w:pPr>
      <w:r>
        <w:rPr>
          <w:rFonts w:ascii="Calibri" w:cs="Calibri" w:eastAsia="Calibri" w:hAnsi="Calibri"/>
          <w:b/>
          <w:bCs/>
          <w:sz w:val="21"/>
          <w:szCs w:val="21"/>
        </w:rPr>
        <w:t xml:space="preserve">Carga estimada.</w:t>
      </w:r>
      <w:r>
        <w:rPr>
          <w:rFonts w:ascii="Calibri" w:cs="Calibri" w:eastAsia="Calibri" w:hAnsi="Calibri"/>
          <w:sz w:val="21"/>
          <w:szCs w:val="21"/>
        </w:rPr>
        <w:t xml:space="preserve"> 2 horas al año de cotejo del Inventario de Componentes, más 4 a 6 horas concentradas en el momento de la reversión. Si el contrato no tiene desarrollo específico, la carga es cero y la cláusula debe marcarse NO APLICA en sus apartados 1 a 3.</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pStyle w:val="ListParagraph"/>
        <w:numPr>
          <w:ilvl w:val="0"/>
          <w:numId w:val="1"/>
        </w:numPr>
        <w:spacing w:after="70" w:line="268"/>
      </w:pPr>
      <w:r>
        <w:rPr>
          <w:rFonts w:ascii="Calibri" w:cs="Calibri" w:eastAsia="Calibri" w:hAnsi="Calibri"/>
          <w:b/>
          <w:bCs/>
          <w:sz w:val="21"/>
          <w:szCs w:val="21"/>
        </w:rPr>
        <w:t xml:space="preserve">Falta de entrega o falta de actualización del Inventario de Componentes:</w:t>
      </w:r>
      <w:r>
        <w:rPr>
          <w:rFonts w:ascii="Calibri" w:cs="Calibri" w:eastAsia="Calibri" w:hAnsi="Calibri"/>
          <w:sz w:val="21"/>
          <w:szCs w:val="21"/>
        </w:rPr>
        <w:t xml:space="preserve"> infracción </w:t>
      </w:r>
      <w:r>
        <w:rPr>
          <w:rFonts w:ascii="Calibri" w:cs="Calibri" w:eastAsia="Calibri" w:hAnsi="Calibri"/>
          <w:b/>
          <w:bCs/>
          <w:sz w:val="21"/>
          <w:szCs w:val="21"/>
        </w:rPr>
        <w:t xml:space="preserve">grave</w:t>
      </w:r>
      <w:r>
        <w:rPr>
          <w:rFonts w:ascii="Calibri" w:cs="Calibri" w:eastAsia="Calibri" w:hAnsi="Calibri"/>
          <w:sz w:val="21"/>
          <w:szCs w:val="21"/>
        </w:rPr>
        <w:t xml:space="preserve"> del cuadro de penalidades de ADM-5·v3, con la penalidad allí tipificada, dentro de los límites del art. 192.1 LCSP (10 por ciento del precio del contrato, IVA excluido, por cada penalidad; 50 por ciento del total).</w:t>
      </w:r>
    </w:p>
    <w:p>
      <w:pPr>
        <w:pStyle w:val="ListParagraph"/>
        <w:numPr>
          <w:ilvl w:val="0"/>
          <w:numId w:val="1"/>
        </w:numPr>
        <w:spacing w:after="70" w:line="268"/>
      </w:pPr>
      <w:r>
        <w:rPr>
          <w:rFonts w:ascii="Calibri" w:cs="Calibri" w:eastAsia="Calibri" w:hAnsi="Calibri"/>
          <w:b/>
          <w:bCs/>
          <w:sz w:val="21"/>
          <w:szCs w:val="21"/>
        </w:rPr>
        <w:t xml:space="preserve">Negativa a entregar el código fuente y objeto de los desarrollos específicos, o entrega incompleta o no ejecutable:</w:t>
      </w:r>
      <w:r>
        <w:rPr>
          <w:rFonts w:ascii="Calibri" w:cs="Calibri" w:eastAsia="Calibri" w:hAnsi="Calibri"/>
          <w:sz w:val="21"/>
          <w:szCs w:val="21"/>
        </w:rPr>
        <w:t xml:space="preserve"> infracción </w:t>
      </w:r>
      <w:r>
        <w:rPr>
          <w:rFonts w:ascii="Calibri" w:cs="Calibri" w:eastAsia="Calibri" w:hAnsi="Calibri"/>
          <w:b/>
          <w:bCs/>
          <w:sz w:val="21"/>
          <w:szCs w:val="21"/>
        </w:rPr>
        <w:t xml:space="preserve">muy grave</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b/>
          <w:bCs/>
          <w:sz w:val="21"/>
          <w:szCs w:val="21"/>
        </w:rPr>
        <w:t xml:space="preserve">Obligación esencial: SÍ</w:t>
      </w:r>
      <w:r>
        <w:rPr>
          <w:rFonts w:ascii="Calibri" w:cs="Calibri" w:eastAsia="Calibri" w:hAnsi="Calibri"/>
          <w:sz w:val="21"/>
          <w:szCs w:val="21"/>
        </w:rPr>
        <w:t xml:space="preserve">, exclusivamente respecto de la entrega íntegra del material de titularidad municipal en la reversión, por remisión a la lista cerrada de ADM-6·v3, bloque B. El resto de los apartados de esta cláusula no tiene carácter esencial.</w:t>
      </w: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b/>
          <w:bCs/>
          <w:sz w:val="21"/>
          <w:szCs w:val="21"/>
        </w:rPr>
        <w:t xml:space="preserve">Contratos de suministro de software estándar de mercado</w:t>
      </w:r>
      <w:r>
        <w:rPr>
          <w:rFonts w:ascii="Calibri" w:cs="Calibri" w:eastAsia="Calibri" w:hAnsi="Calibri"/>
          <w:sz w:val="21"/>
          <w:szCs w:val="21"/>
        </w:rPr>
        <w:t xml:space="preserve"> sin desarrollo específico: se aplican únicamente los apartados 4 y 5. Exigir titularidad sobre el producto en un contrato de suministro carece de base en el art. 308.1 LCSP.</w:t>
      </w:r>
    </w:p>
    <w:p>
      <w:pPr>
        <w:pStyle w:val="ListParagraph"/>
        <w:numPr>
          <w:ilvl w:val="0"/>
          <w:numId w:val="1"/>
        </w:numPr>
        <w:spacing w:after="70" w:line="268"/>
      </w:pPr>
      <w:r>
        <w:rPr>
          <w:rFonts w:ascii="Calibri" w:cs="Calibri" w:eastAsia="Calibri" w:hAnsi="Calibri"/>
          <w:b/>
          <w:bCs/>
          <w:sz w:val="21"/>
          <w:szCs w:val="21"/>
        </w:rPr>
        <w:t xml:space="preserve">Contratos de servicios sin generación de obra protegida</w:t>
      </w:r>
      <w:r>
        <w:rPr>
          <w:rFonts w:ascii="Calibri" w:cs="Calibri" w:eastAsia="Calibri" w:hAnsi="Calibri"/>
          <w:sz w:val="21"/>
          <w:szCs w:val="21"/>
        </w:rPr>
        <w:t xml:space="preserve"> (por ejemplo, soporte de usuario u operación sin desarrollo): NO APLICA.</w:t>
      </w:r>
    </w:p>
    <w:p>
      <w:pPr>
        <w:pStyle w:val="ListParagraph"/>
        <w:numPr>
          <w:ilvl w:val="0"/>
          <w:numId w:val="1"/>
        </w:numPr>
        <w:spacing w:after="70" w:line="268"/>
      </w:pPr>
      <w:r>
        <w:rPr>
          <w:rFonts w:ascii="Calibri" w:cs="Calibri" w:eastAsia="Calibri" w:hAnsi="Calibri"/>
          <w:b/>
          <w:bCs/>
          <w:sz w:val="21"/>
          <w:szCs w:val="21"/>
        </w:rPr>
        <w:t xml:space="preserve">Servicios en modalidad de software como servicio sin desarrollo específico ni parametrización sustantiva</w:t>
      </w:r>
      <w:r>
        <w:rPr>
          <w:rFonts w:ascii="Calibri" w:cs="Calibri" w:eastAsia="Calibri" w:hAnsi="Calibri"/>
          <w:sz w:val="21"/>
          <w:szCs w:val="21"/>
        </w:rPr>
        <w:t xml:space="preserve">: se aplican los apartados 4 y 5, y el apartado 1 sólo respecto de datos, </w:t>
      </w:r>
      <w:r>
        <w:rPr>
          <w:rFonts w:ascii="Calibri" w:cs="Calibri" w:eastAsia="Calibri" w:hAnsi="Calibri"/>
          <w:i/>
          <w:iCs/>
          <w:sz w:val="21"/>
          <w:szCs w:val="21"/>
        </w:rPr>
        <w:t xml:space="preserve">prompts</w:t>
      </w:r>
      <w:r>
        <w:rPr>
          <w:rFonts w:ascii="Calibri" w:cs="Calibri" w:eastAsia="Calibri" w:hAnsi="Calibri"/>
          <w:sz w:val="21"/>
          <w:szCs w:val="21"/>
        </w:rPr>
        <w:t xml:space="preserve"> corporativos y bases de conocimiento municipales.</w:t>
      </w:r>
    </w:p>
    <w:p>
      <w:pPr>
        <w:pStyle w:val="ListParagraph"/>
        <w:numPr>
          <w:ilvl w:val="0"/>
          <w:numId w:val="1"/>
        </w:numPr>
        <w:spacing w:after="70" w:line="268"/>
      </w:pPr>
      <w:r>
        <w:rPr>
          <w:rFonts w:ascii="Calibri" w:cs="Calibri" w:eastAsia="Calibri" w:hAnsi="Calibri"/>
          <w:sz w:val="21"/>
          <w:szCs w:val="21"/>
        </w:rPr>
        <w:t xml:space="preserve">El apartado 5 no se incorpora con alcance transferible cuando el estudio de mercado del expediente acredite que ningún licenciante del sector lo concede.</w:t>
      </w:r>
    </w:p>
    <w:p>
      <w:pPr>
        <w:spacing w:after="140" w:line="276"/>
      </w:pPr>
      <w:r>
        <w:rPr>
          <w:rFonts w:ascii="Calibri" w:cs="Calibri" w:eastAsia="Calibri" w:hAnsi="Calibri"/>
          <w:b/>
          <w:bCs/>
          <w:sz w:val="21"/>
          <w:szCs w:val="21"/>
        </w:rPr>
        <w:t xml:space="preserve">Si esta cláusula se marca NO APLICA, arrastra:</w:t>
      </w:r>
      <w:r>
        <w:rPr>
          <w:rFonts w:ascii="Calibri" w:cs="Calibri" w:eastAsia="Calibri" w:hAnsi="Calibri"/>
          <w:sz w:val="21"/>
          <w:szCs w:val="21"/>
        </w:rPr>
        <w:t xml:space="preserve"> el apartado 7 de DT-1·v3, la referencia al Inventario de Componentes en DT-8·v3, las dos filas correspondientes del cuadro de penalidades de ADM-5·v3 y la mención de ADM-8 en la lista de esencialidades de ADM-6·v3.</w:t>
      </w:r>
    </w:p>
    <w:p>
      <w:pPr>
        <w:pStyle w:val="Heading3"/>
        <w:keepNext/>
        <w:spacing w:after="140" w:before="320"/>
      </w:pPr>
      <w:r>
        <w:rPr>
          <w:rFonts w:ascii="Georgia" w:cs="Georgia" w:eastAsia="Georgia" w:hAnsi="Georgia"/>
          <w:b/>
          <w:bCs/>
          <w:color w:val="2F5496"/>
          <w:sz w:val="22"/>
          <w:szCs w:val="22"/>
        </w:rPr>
        <w:t xml:space="preserve">Nota al redactor · Los tres defectos que la propuesta de modificaciones no vio</w:t>
      </w:r>
    </w:p>
    <w:p>
      <w:pPr>
        <w:spacing w:after="140" w:line="276"/>
      </w:pPr>
      <w:r>
        <w:rPr>
          <w:rFonts w:ascii="Calibri" w:cs="Calibri" w:eastAsia="Calibri" w:hAnsi="Calibri"/>
          <w:sz w:val="21"/>
          <w:szCs w:val="21"/>
        </w:rPr>
        <w:t xml:space="preserve">Esta cláusula incorpora las modificaciones 3 y 4 del documento de propuesta de modificaciones —las modificaciones 1 y 2, sobre la reversibilidad y su definición, se integran en DT-8·v3 y en las definiciones de la Parte I— y corrige tres defectos que ese documento no advirtió:</w:t>
      </w:r>
    </w:p>
    <w:p>
      <w:pPr>
        <w:pStyle w:val="ListParagraph"/>
        <w:numPr>
          <w:ilvl w:val="0"/>
          <w:numId w:val="1"/>
        </w:numPr>
        <w:spacing w:after="70" w:line="268"/>
      </w:pPr>
      <w:r>
        <w:rPr>
          <w:rFonts w:ascii="Calibri" w:cs="Calibri" w:eastAsia="Calibri" w:hAnsi="Calibri"/>
          <w:sz w:val="21"/>
          <w:szCs w:val="21"/>
        </w:rPr>
        <w:t xml:space="preserve">Una cesión sin mención de tiempo, ámbito territorial y modalidades de explotación </w:t>
      </w:r>
      <w:r>
        <w:rPr>
          <w:rFonts w:ascii="Calibri" w:cs="Calibri" w:eastAsia="Calibri" w:hAnsi="Calibri"/>
          <w:b/>
          <w:bCs/>
          <w:sz w:val="21"/>
          <w:szCs w:val="21"/>
        </w:rPr>
        <w:t xml:space="preserve">caduca</w:t>
      </w:r>
      <w:r>
        <w:rPr>
          <w:rFonts w:ascii="Calibri" w:cs="Calibri" w:eastAsia="Calibri" w:hAnsi="Calibri"/>
          <w:sz w:val="21"/>
          <w:szCs w:val="21"/>
        </w:rPr>
        <w:t xml:space="preserve">. El art. 43.2 TRLPI es literal: «La falta de mención del tiempo limita la transmisión a cinco años y la del ámbito territorial al país en el que se realice la cesión. Si no se expresan específicamente y de modo concreto las modalidades de explotación de la obra, la cesión quedará limitada a aquella que se deduzca necesariamente del propio contrato». El Ayuntamiento cree tener la titularidad a perpetuidad y jurídicamente la pierde al quinto año.</w:t>
      </w:r>
    </w:p>
    <w:p>
      <w:pPr>
        <w:pStyle w:val="ListParagraph"/>
        <w:numPr>
          <w:ilvl w:val="0"/>
          <w:numId w:val="1"/>
        </w:numPr>
        <w:spacing w:after="70" w:line="268"/>
      </w:pPr>
      <w:r>
        <w:rPr>
          <w:rFonts w:ascii="Calibri" w:cs="Calibri" w:eastAsia="Calibri" w:hAnsi="Calibri"/>
          <w:sz w:val="21"/>
          <w:szCs w:val="21"/>
        </w:rPr>
        <w:t xml:space="preserve">Sin </w:t>
      </w:r>
      <w:r>
        <w:rPr>
          <w:rFonts w:ascii="Calibri" w:cs="Calibri" w:eastAsia="Calibri" w:hAnsi="Calibri"/>
          <w:b/>
          <w:bCs/>
          <w:sz w:val="21"/>
          <w:szCs w:val="21"/>
        </w:rPr>
        <w:t xml:space="preserve">licencia mínima supletoria dimensionada</w:t>
      </w:r>
      <w:r>
        <w:rPr>
          <w:rFonts w:ascii="Calibri" w:cs="Calibri" w:eastAsia="Calibri" w:hAnsi="Calibri"/>
          <w:sz w:val="21"/>
          <w:szCs w:val="21"/>
        </w:rPr>
        <w:t xml:space="preserve"> sobre el producto base, el Ayuntamiento no tiene garantizado su propio uso durante la vigencia, las prórrogas y la reversión. La puesta a disposición de otra Administración conforme al art. 157.1 de la Ley 40/2015 alcanza a los elementos de titularidad municipal; extenderla al producto base exige pacto expreso con el licenciante y reflejo en el cuadro de características. El art. 99 TRLPI presume una cesión de uso no exclusiva e intransferible: el pliego no puede convertir esa licencia en transferible por silencio.</w:t>
      </w:r>
    </w:p>
    <w:p>
      <w:pPr>
        <w:pStyle w:val="ListParagraph"/>
        <w:numPr>
          <w:ilvl w:val="0"/>
          <w:numId w:val="1"/>
        </w:numPr>
        <w:spacing w:after="70" w:line="268"/>
      </w:pPr>
      <w:r>
        <w:rPr>
          <w:rFonts w:ascii="Calibri" w:cs="Calibri" w:eastAsia="Calibri" w:hAnsi="Calibri"/>
          <w:sz w:val="21"/>
          <w:szCs w:val="21"/>
        </w:rPr>
        <w:t xml:space="preserve">El texto propuesto dejaba abierta una remisión de contenido indeterminado («los derechos de uso que el pliego determine»). Se sustituye por un mínimo que opera </w:t>
      </w:r>
      <w:r>
        <w:rPr>
          <w:rFonts w:ascii="Calibri" w:cs="Calibri" w:eastAsia="Calibri" w:hAnsi="Calibri"/>
          <w:b/>
          <w:bCs/>
          <w:sz w:val="21"/>
          <w:szCs w:val="21"/>
        </w:rPr>
        <w:t xml:space="preserve">aunque el pliego calle</w:t>
      </w:r>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Y delimita lo que </w:t>
      </w:r>
      <w:r>
        <w:rPr>
          <w:rFonts w:ascii="Calibri" w:cs="Calibri" w:eastAsia="Calibri" w:hAnsi="Calibri"/>
          <w:b/>
          <w:bCs/>
          <w:sz w:val="21"/>
          <w:szCs w:val="21"/>
        </w:rPr>
        <w:t xml:space="preserve">no</w:t>
      </w:r>
      <w:r>
        <w:rPr>
          <w:rFonts w:ascii="Calibri" w:cs="Calibri" w:eastAsia="Calibri" w:hAnsi="Calibri"/>
          <w:sz w:val="21"/>
          <w:szCs w:val="21"/>
        </w:rPr>
        <w:t xml:space="preserve"> se exige: el código fuente del producto base o estándar del adjudicatario. Esa exigencia, leída literalmente en la versión anterior, no la acepta ningún fabricante de software de mercado y disuade de licitar a proveedores solventes.</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III.9 · ADM-9·v3 — Verificación mediante demostración funcional</w:t>
      </w:r>
    </w:p>
    <w:p>
      <w:pPr>
        <w:spacing w:after="140" w:line="276"/>
      </w:pPr>
      <w:r>
        <w:rPr>
          <w:rFonts w:ascii="Calibri" w:cs="Calibri" w:eastAsia="Calibri" w:hAnsi="Calibri"/>
          <w:i/>
          <w:iCs/>
          <w:sz w:val="21"/>
          <w:szCs w:val="21"/>
        </w:rPr>
        <w:t xml:space="preserve">(Sustituye a ADM-9 de v2. La demostración deja de ser criterio de adjudicación y pasa a ser medio de comprobación efectiva del art. 145.5.c) LCSP, con el único efecto de confirmar o retirar puntos ya asignados por escrito. El fundamento de esa degradación y su encaje con la disposición adicional 15.ª.2 LCSP están en la nota al redactor, al final de la cláusula.)</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Verificación mediante demostración funcional.</w:t>
            </w:r>
          </w:p>
          <w:p>
            <w:pPr>
              <w:pStyle w:val="ListParagraph"/>
              <w:numPr>
                <w:ilvl w:val="0"/>
                <w:numId w:val="2"/>
              </w:numPr>
              <w:spacing w:after="60" w:line="264"/>
            </w:pPr>
            <w:r>
              <w:rPr>
                <w:rFonts w:ascii="Georgia" w:cs="Georgia" w:eastAsia="Georgia" w:hAnsi="Georgia"/>
                <w:b/>
                <w:bCs/>
                <w:sz w:val="20"/>
                <w:szCs w:val="20"/>
              </w:rPr>
              <w:t xml:space="preserve">Naturaleza y función.</w:t>
            </w:r>
            <w:r>
              <w:rPr>
                <w:rFonts w:ascii="Georgia" w:cs="Georgia" w:eastAsia="Georgia" w:hAnsi="Georgia"/>
                <w:sz w:val="20"/>
                <w:szCs w:val="20"/>
              </w:rPr>
              <w:t xml:space="preserve"> La demostración funcional es un medio de comprobación efectiva de la exactitud de la información facilitada por los licitadores, conforme al artículo 145.5.c) de la LCSP. </w:t>
            </w:r>
            <w:r>
              <w:rPr>
                <w:rFonts w:ascii="Georgia" w:cs="Georgia" w:eastAsia="Georgia" w:hAnsi="Georgia"/>
                <w:b/>
                <w:bCs/>
                <w:sz w:val="20"/>
                <w:szCs w:val="20"/>
              </w:rPr>
              <w:t xml:space="preserve">No constituye criterio de adjudicación y no atribuye puntuación alguna.</w:t>
            </w:r>
            <w:r>
              <w:rPr>
                <w:rFonts w:ascii="Georgia" w:cs="Georgia" w:eastAsia="Georgia" w:hAnsi="Georgia"/>
                <w:sz w:val="20"/>
                <w:szCs w:val="20"/>
              </w:rPr>
              <w:t xml:space="preserve"> Su único efecto es confirmar o retirar la puntuación previamente asignada a las declaraciones contenidas por escrito en la oferta.</w:t>
            </w:r>
          </w:p>
          <w:p>
            <w:pPr>
              <w:pStyle w:val="ListParagraph"/>
              <w:numPr>
                <w:ilvl w:val="0"/>
                <w:numId w:val="2"/>
              </w:numPr>
              <w:spacing w:after="60" w:line="264"/>
            </w:pPr>
            <w:r>
              <w:rPr>
                <w:rFonts w:ascii="Georgia" w:cs="Georgia" w:eastAsia="Georgia" w:hAnsi="Georgia"/>
                <w:b/>
                <w:bCs/>
                <w:sz w:val="20"/>
                <w:szCs w:val="20"/>
              </w:rPr>
              <w:t xml:space="preserve">Objeto acotado.</w:t>
            </w:r>
            <w:r>
              <w:rPr>
                <w:rFonts w:ascii="Georgia" w:cs="Georgia" w:eastAsia="Georgia" w:hAnsi="Georgia"/>
                <w:sz w:val="20"/>
                <w:szCs w:val="20"/>
              </w:rPr>
              <w:t xml:space="preserve"> Únicamente se verificarán los elementos que figuren en la </w:t>
            </w:r>
            <w:r>
              <w:rPr>
                <w:rFonts w:ascii="Georgia" w:cs="Georgia" w:eastAsia="Georgia" w:hAnsi="Georgia"/>
                <w:b/>
                <w:bCs/>
                <w:sz w:val="20"/>
                <w:szCs w:val="20"/>
              </w:rPr>
              <w:t xml:space="preserve">relación cerrada y numerada</w:t>
            </w:r>
            <w:r>
              <w:rPr>
                <w:rFonts w:ascii="Georgia" w:cs="Georgia" w:eastAsia="Georgia" w:hAnsi="Georgia"/>
                <w:sz w:val="20"/>
                <w:szCs w:val="20"/>
              </w:rPr>
              <w:t xml:space="preserve"> publicada en el Anexo [ ] de este pliego, y sólo en la medida en que el licitador los haya descrito por escrito en su oferta, presentada en plazo. Las capacidades mostradas durante la sesión que no consten descritas en la oferta </w:t>
            </w:r>
            <w:r>
              <w:rPr>
                <w:rFonts w:ascii="Georgia" w:cs="Georgia" w:eastAsia="Georgia" w:hAnsi="Georgia"/>
                <w:b/>
                <w:bCs/>
                <w:sz w:val="20"/>
                <w:szCs w:val="20"/>
              </w:rPr>
              <w:t xml:space="preserve">no se valorarán en ningún caso</w:t>
            </w:r>
            <w:r>
              <w:rPr>
                <w:rFonts w:ascii="Georgia" w:cs="Georgia" w:eastAsia="Georgia" w:hAnsi="Georgia"/>
                <w:sz w:val="20"/>
                <w:szCs w:val="20"/>
              </w:rPr>
              <w:t xml:space="preserve">. Las capacidades descritas en la oferta y no acreditadas por el medio previsto para el tipo de criterio se puntuarán con cero en el subcriterio correspondiente.</w:t>
            </w:r>
          </w:p>
          <w:p>
            <w:pPr>
              <w:spacing w:after="100" w:line="264"/>
            </w:pPr>
            <w:r>
              <w:rPr>
                <w:rFonts w:ascii="Georgia" w:cs="Georgia" w:eastAsia="Georgia" w:hAnsi="Georgia"/>
                <w:b/>
                <w:bCs/>
                <w:sz w:val="20"/>
                <w:szCs w:val="20"/>
              </w:rPr>
              <w:t xml:space="preserve">Sobre en que se presenta cada declaración.</w:t>
            </w:r>
            <w:r>
              <w:rPr>
                <w:rFonts w:ascii="Georgia" w:cs="Georgia" w:eastAsia="Georgia" w:hAnsi="Georgia"/>
                <w:sz w:val="20"/>
                <w:szCs w:val="20"/>
              </w:rPr>
              <w:t xml:space="preserve"> Cada declaración del licitador se presenta en el sobre que corresponde al criterio al que sirve, sin excepción. Las que sirven a criterios sujetos a juicio de valor se presentan en el sobre de criterios sujetos a juicio de valor. Las que sirven a criterios evaluables mediante la mera aplicación de fórmulas —matriz de requisitos funcionales, relación de funciones expuestas por la interfaz y relación de procesos automatizados— </w:t>
            </w:r>
            <w:r>
              <w:rPr>
                <w:rFonts w:ascii="Georgia" w:cs="Georgia" w:eastAsia="Georgia" w:hAnsi="Georgia"/>
                <w:b/>
                <w:bCs/>
                <w:sz w:val="20"/>
                <w:szCs w:val="20"/>
              </w:rPr>
              <w:t xml:space="preserve">se presentan en el sobre de criterios evaluables mediante fórmulas</w:t>
            </w:r>
            <w:r>
              <w:rPr>
                <w:rFonts w:ascii="Georgia" w:cs="Georgia" w:eastAsia="Georgia" w:hAnsi="Georgia"/>
                <w:sz w:val="20"/>
                <w:szCs w:val="20"/>
              </w:rPr>
              <w:t xml:space="preserve">, junto con el resto de la proposición sometida a ese régimen (artículos 26 y 30.2 del Real Decreto 817/2009, de 8 de mayo, y artículo 146.2 de la LCSP).</w:t>
            </w:r>
          </w:p>
          <w:p>
            <w:pPr>
              <w:spacing w:after="100" w:line="264"/>
            </w:pPr>
            <w:r>
              <w:rPr>
                <w:rFonts w:ascii="Georgia" w:cs="Georgia" w:eastAsia="Georgia" w:hAnsi="Georgia"/>
                <w:b/>
                <w:bCs/>
                <w:sz w:val="20"/>
                <w:szCs w:val="20"/>
              </w:rPr>
              <w:t xml:space="preserve">Objeto de la sesión.</w:t>
            </w:r>
            <w:r>
              <w:rPr>
                <w:rFonts w:ascii="Georgia" w:cs="Georgia" w:eastAsia="Georgia" w:hAnsi="Georgia"/>
                <w:sz w:val="20"/>
                <w:szCs w:val="20"/>
              </w:rPr>
              <w:t xml:space="preserve"> La sesión regulada en el apartado 5 versa </w:t>
            </w:r>
            <w:r>
              <w:rPr>
                <w:rFonts w:ascii="Georgia" w:cs="Georgia" w:eastAsia="Georgia" w:hAnsi="Georgia"/>
                <w:b/>
                <w:bCs/>
                <w:sz w:val="20"/>
                <w:szCs w:val="20"/>
              </w:rPr>
              <w:t xml:space="preserve">exclusivamente sobre los elementos de la relación cerrada que sirven a criterios sujetos a juicio de valor</w:t>
            </w:r>
            <w:r>
              <w:rPr>
                <w:rFonts w:ascii="Georgia" w:cs="Georgia" w:eastAsia="Georgia" w:hAnsi="Georgia"/>
                <w:sz w:val="20"/>
                <w:szCs w:val="20"/>
              </w:rPr>
              <w:t xml:space="preserve">. La exactitud de las declaraciones que sirven a criterios evaluables mediante fórmulas no se comprueba en esa sesión, sino mediante la comprobación documental anterior a la clasificación prevista en el apartado 5.</w:t>
            </w:r>
          </w:p>
          <w:p>
            <w:pPr>
              <w:pStyle w:val="ListParagraph"/>
              <w:numPr>
                <w:ilvl w:val="0"/>
                <w:numId w:val="2"/>
              </w:numPr>
              <w:spacing w:after="60" w:line="264"/>
            </w:pPr>
            <w:r>
              <w:rPr>
                <w:rFonts w:ascii="Georgia" w:cs="Georgia" w:eastAsia="Georgia" w:hAnsi="Georgia"/>
                <w:b/>
                <w:bCs/>
                <w:sz w:val="20"/>
                <w:szCs w:val="20"/>
              </w:rPr>
              <w:t xml:space="preserve">La demostración no integra la oferta.</w:t>
            </w:r>
            <w:r>
              <w:rPr>
                <w:rFonts w:ascii="Georgia" w:cs="Georgia" w:eastAsia="Georgia" w:hAnsi="Georgia"/>
                <w:sz w:val="20"/>
                <w:szCs w:val="20"/>
              </w:rPr>
              <w:t xml:space="preserve"> No se admitirá, ni se hará constar en acta a efectos de valoración, manifestación oral alguna que amplíe, aclare, rectifique o complete la oferta escrita. La oferta es, a todos los efectos, el documento presentado dentro del plazo de presentación.</w:t>
            </w:r>
          </w:p>
          <w:p>
            <w:pPr>
              <w:pStyle w:val="ListParagraph"/>
              <w:numPr>
                <w:ilvl w:val="0"/>
                <w:numId w:val="2"/>
              </w:numPr>
              <w:spacing w:after="60" w:line="264"/>
            </w:pPr>
            <w:r>
              <w:rPr>
                <w:rFonts w:ascii="Georgia" w:cs="Georgia" w:eastAsia="Georgia" w:hAnsi="Georgia"/>
                <w:b/>
                <w:bCs/>
                <w:sz w:val="20"/>
                <w:szCs w:val="20"/>
              </w:rPr>
              <w:t xml:space="preserve">Prohibición de valorar la disponibilidad previa.</w:t>
            </w:r>
            <w:r>
              <w:rPr>
                <w:rFonts w:ascii="Georgia" w:cs="Georgia" w:eastAsia="Georgia" w:hAnsi="Georgia"/>
                <w:sz w:val="20"/>
                <w:szCs w:val="20"/>
              </w:rPr>
              <w:t xml:space="preserve"> No se asignará puntuación alguna por la disponibilidad de la solución, de sus módulos o de sus integraciones a la fecha de finalización del plazo de presentación de ofertas, ni por el resultado de la demostración considerado en sí mismo.</w:t>
            </w:r>
          </w:p>
          <w:p>
            <w:pPr>
              <w:pStyle w:val="ListParagraph"/>
              <w:numPr>
                <w:ilvl w:val="0"/>
                <w:numId w:val="2"/>
              </w:numPr>
              <w:spacing w:after="60" w:line="264"/>
            </w:pPr>
            <w:r>
              <w:rPr>
                <w:rFonts w:ascii="Georgia" w:cs="Georgia" w:eastAsia="Georgia" w:hAnsi="Georgia"/>
                <w:b/>
                <w:bCs/>
                <w:sz w:val="20"/>
                <w:szCs w:val="20"/>
              </w:rPr>
              <w:t xml:space="preserve">Momento.</w:t>
            </w:r>
            <w:r>
              <w:rPr>
                <w:rFonts w:ascii="Georgia" w:cs="Georgia" w:eastAsia="Georgia" w:hAnsi="Georgia"/>
                <w:sz w:val="20"/>
                <w:szCs w:val="20"/>
              </w:rPr>
              <w:t xml:space="preserve"> La demostración se celebrará una vez abierto el sobre de criterios sujetos a juicio de valor y, en todo caso, </w:t>
            </w:r>
            <w:r>
              <w:rPr>
                <w:rFonts w:ascii="Georgia" w:cs="Georgia" w:eastAsia="Georgia" w:hAnsi="Georgia"/>
                <w:b/>
                <w:bCs/>
                <w:sz w:val="20"/>
                <w:szCs w:val="20"/>
              </w:rPr>
              <w:t xml:space="preserve">antes de la apertura del sobre que contenga los criterios evaluables mediante la mera aplicación de fórmulas</w:t>
            </w:r>
            <w:r>
              <w:rPr>
                <w:rFonts w:ascii="Georgia" w:cs="Georgia" w:eastAsia="Georgia" w:hAnsi="Georgia"/>
                <w:sz w:val="20"/>
                <w:szCs w:val="20"/>
              </w:rPr>
              <w:t xml:space="preserve">, dejándose constancia documental de la valoración con carácter previo a dicha apertura (artículos 139.2 y 146.2 de la LCSP y artículos 26, 27.2 y 30.2 del Real Decreto 817/2009, de 8 de mayo). El calendario y el orden de intervención se determinarán por sorteo ante la mesa de contratación y se comunicarán a todos los licitadores con una antelación mínima de </w:t>
            </w:r>
            <w:r>
              <w:rPr>
                <w:rFonts w:ascii="Georgia" w:cs="Georgia" w:eastAsia="Georgia" w:hAnsi="Georgia"/>
                <w:b/>
                <w:bCs/>
                <w:sz w:val="20"/>
                <w:szCs w:val="20"/>
              </w:rPr>
              <w:t xml:space="preserve">[X; se recomienda 5] días hábiles</w:t>
            </w:r>
            <w:r>
              <w:rPr>
                <w:rFonts w:ascii="Georgia" w:cs="Georgia" w:eastAsia="Georgia" w:hAnsi="Georgia"/>
                <w:sz w:val="20"/>
                <w:szCs w:val="20"/>
              </w:rPr>
              <w:t xml:space="preserve">. Este momento no podrá alterarse una vez publicados los pliegos.</w:t>
            </w:r>
          </w:p>
          <w:p>
            <w:pPr>
              <w:spacing w:after="100" w:line="264"/>
            </w:pPr>
            <w:r>
              <w:rPr>
                <w:rFonts w:ascii="Georgia" w:cs="Georgia" w:eastAsia="Georgia" w:hAnsi="Georgia"/>
                <w:b/>
                <w:bCs/>
                <w:sz w:val="20"/>
                <w:szCs w:val="20"/>
              </w:rPr>
              <w:t xml:space="preserve">Comprobación de las declaraciones que sirven a criterios evaluables mediante fórmulas.</w:t>
            </w:r>
            <w:r>
              <w:rPr>
                <w:rFonts w:ascii="Georgia" w:cs="Georgia" w:eastAsia="Georgia" w:hAnsi="Georgia"/>
                <w:sz w:val="20"/>
                <w:szCs w:val="20"/>
              </w:rPr>
              <w:t xml:space="preserve"> Abierto el sobre de criterios evaluables mediante fórmulas, y con anterioridad a la clasificación de las ofertas, la mesa de contratación comprobará por medios documentales la exactitud de las declaraciones que sirvan de base a esos criterios, respecto de todas las ofertas admitidas, sobre la relación cerrada del Anexo [ ]. Apreciada una duda, se requerirá al licitador de que se trate, por plazo no inferior a </w:t>
            </w:r>
            <w:r>
              <w:rPr>
                <w:rFonts w:ascii="Georgia" w:cs="Georgia" w:eastAsia="Georgia" w:hAnsi="Georgia"/>
                <w:b/>
                <w:bCs/>
                <w:sz w:val="20"/>
                <w:szCs w:val="20"/>
              </w:rPr>
              <w:t xml:space="preserve">[X; se recomienda 5] días hábiles</w:t>
            </w:r>
            <w:r>
              <w:rPr>
                <w:rFonts w:ascii="Georgia" w:cs="Georgia" w:eastAsia="Georgia" w:hAnsi="Georgia"/>
                <w:sz w:val="20"/>
                <w:szCs w:val="20"/>
              </w:rPr>
              <w:t xml:space="preserve">, para que aporte la documentación técnica que la resuelva, sin que la respuesta pueda ampliar ni modificar la oferta. Si la comprobación acredita que una declaración no es exacta, la puntuación se calculará aplicando la fórmula publicada sobre los elementos efectivamente acreditados. Esta comprobación no atribuye puntuación adicional y no puede fundar por sí sola la exclusión.</w:t>
            </w:r>
          </w:p>
          <w:p>
            <w:pPr>
              <w:pStyle w:val="ListParagraph"/>
              <w:numPr>
                <w:ilvl w:val="0"/>
                <w:numId w:val="2"/>
              </w:numPr>
              <w:spacing w:after="60" w:line="264"/>
            </w:pPr>
            <w:r>
              <w:rPr>
                <w:rFonts w:ascii="Georgia" w:cs="Georgia" w:eastAsia="Georgia" w:hAnsi="Georgia"/>
                <w:b/>
                <w:bCs/>
                <w:sz w:val="20"/>
                <w:szCs w:val="20"/>
              </w:rPr>
              <w:t xml:space="preserve">Igualdad de condiciones.</w:t>
            </w:r>
            <w:r>
              <w:rPr>
                <w:rFonts w:ascii="Georgia" w:cs="Georgia" w:eastAsia="Georgia" w:hAnsi="Georgia"/>
                <w:sz w:val="20"/>
                <w:szCs w:val="20"/>
              </w:rPr>
              <w:t xml:space="preserve"> La sesión se regirá por el guion único publicado en el Anexo [ ], con la relación cerrada de elementos a verificar. Todos los licitadores dispondrán de idéntica duración máxima, del mismo entorno de referencia y de los mismos evaluadores. Cada sesión se celebrará sin presencia de los restantes licitadores y sin que se facilite información alguna sobre las demás ofertas. Ante una incidencia técnica no imputable al licitador se admitirá una única repetición, dejando constancia en acta.</w:t>
            </w:r>
          </w:p>
          <w:p>
            <w:pPr>
              <w:pStyle w:val="ListParagraph"/>
              <w:numPr>
                <w:ilvl w:val="0"/>
                <w:numId w:val="2"/>
              </w:numPr>
              <w:spacing w:after="60" w:line="264"/>
            </w:pPr>
            <w:r>
              <w:rPr>
                <w:rFonts w:ascii="Georgia" w:cs="Georgia" w:eastAsia="Georgia" w:hAnsi="Georgia"/>
                <w:b/>
                <w:bCs/>
                <w:sz w:val="20"/>
                <w:szCs w:val="20"/>
              </w:rPr>
              <w:t xml:space="preserve">Proporcionalidad y coste.</w:t>
            </w:r>
            <w:r>
              <w:rPr>
                <w:rFonts w:ascii="Georgia" w:cs="Georgia" w:eastAsia="Georgia" w:hAnsi="Georgia"/>
                <w:sz w:val="20"/>
                <w:szCs w:val="20"/>
              </w:rPr>
              <w:t xml:space="preserve"> La demostración se realizará </w:t>
            </w:r>
            <w:r>
              <w:rPr>
                <w:rFonts w:ascii="Georgia" w:cs="Georgia" w:eastAsia="Georgia" w:hAnsi="Georgia"/>
                <w:b/>
                <w:bCs/>
                <w:sz w:val="20"/>
                <w:szCs w:val="20"/>
              </w:rPr>
              <w:t xml:space="preserve">por videoconferencia sobre el entorno del propio licitador</w:t>
            </w:r>
            <w:r>
              <w:rPr>
                <w:rFonts w:ascii="Georgia" w:cs="Georgia" w:eastAsia="Georgia" w:hAnsi="Georgia"/>
                <w:sz w:val="20"/>
                <w:szCs w:val="20"/>
              </w:rPr>
              <w:t xml:space="preserve">, con una duración máxima de </w:t>
            </w:r>
            <w:r>
              <w:rPr>
                <w:rFonts w:ascii="Georgia" w:cs="Georgia" w:eastAsia="Georgia" w:hAnsi="Georgia"/>
                <w:b/>
                <w:bCs/>
                <w:sz w:val="20"/>
                <w:szCs w:val="20"/>
              </w:rPr>
              <w:t xml:space="preserve">[X; se recomienda 90] minutos</w:t>
            </w:r>
            <w:r>
              <w:rPr>
                <w:rFonts w:ascii="Georgia" w:cs="Georgia" w:eastAsia="Georgia" w:hAnsi="Georgia"/>
                <w:sz w:val="20"/>
                <w:szCs w:val="20"/>
              </w:rPr>
              <w:t xml:space="preserve">, salvo que el expediente motive expresamente la necesidad de presencialidad. No se exigirá al licitador despliegue, instalación ni integración alguna en los sistemas municipales, ni entrega de bienes, ni asunción de gastos de desplazamiento de personal municipal. Se emplearán datos ficticios o anonimizados facilitados por el Ayuntamiento. La incomparecencia no determina la exclusión: los elementos declarados y no acreditados se puntúan con cero.</w:t>
            </w:r>
          </w:p>
          <w:p>
            <w:pPr>
              <w:pStyle w:val="ListParagraph"/>
              <w:numPr>
                <w:ilvl w:val="0"/>
                <w:numId w:val="2"/>
              </w:numPr>
              <w:spacing w:after="60" w:line="264"/>
            </w:pPr>
            <w:r>
              <w:rPr>
                <w:rFonts w:ascii="Georgia" w:cs="Georgia" w:eastAsia="Georgia" w:hAnsi="Georgia"/>
                <w:b/>
                <w:bCs/>
                <w:sz w:val="20"/>
                <w:szCs w:val="20"/>
              </w:rPr>
              <w:t xml:space="preserve">Documentación.</w:t>
            </w:r>
            <w:r>
              <w:rPr>
                <w:rFonts w:ascii="Georgia" w:cs="Georgia" w:eastAsia="Georgia" w:hAnsi="Georgia"/>
                <w:sz w:val="20"/>
                <w:szCs w:val="20"/>
              </w:rPr>
              <w:t xml:space="preserve"> De cada sesión se levantará </w:t>
            </w:r>
            <w:r>
              <w:rPr>
                <w:rFonts w:ascii="Georgia" w:cs="Georgia" w:eastAsia="Georgia" w:hAnsi="Georgia"/>
                <w:b/>
                <w:bCs/>
                <w:sz w:val="20"/>
                <w:szCs w:val="20"/>
              </w:rPr>
              <w:t xml:space="preserve">acta escrita detallada</w:t>
            </w:r>
            <w:r>
              <w:rPr>
                <w:rFonts w:ascii="Georgia" w:cs="Georgia" w:eastAsia="Georgia" w:hAnsi="Georgia"/>
                <w:sz w:val="20"/>
                <w:szCs w:val="20"/>
              </w:rPr>
              <w:t xml:space="preserve">, en la que se hará constar, en el mismo acto, para cada elemento de la relación cerrada: si consta descrito en la oferta, si ha sido acreditado, y la evidencia observada. Podrá realizarse además grabación sonora o audiovisual cuando el pliego lo prevea; en tal caso se anunciará en el propio pliego y la grabación se conservará hasta que la adjudicación sea firme, a disposición del órgano competente para resolver el recurso especial. El acceso de los demás licitadores al acta y, en su caso, a la grabación se rige por el artículo 133 de la LCSP.</w:t>
            </w:r>
          </w:p>
          <w:p>
            <w:pPr>
              <w:pStyle w:val="ListParagraph"/>
              <w:numPr>
                <w:ilvl w:val="0"/>
                <w:numId w:val="2"/>
              </w:numPr>
              <w:spacing w:after="60" w:line="264"/>
            </w:pPr>
            <w:r>
              <w:rPr>
                <w:rFonts w:ascii="Georgia" w:cs="Georgia" w:eastAsia="Georgia" w:hAnsi="Georgia"/>
                <w:b/>
                <w:bCs/>
                <w:sz w:val="20"/>
                <w:szCs w:val="20"/>
              </w:rPr>
              <w:t xml:space="preserve">Deslinde respecto de la solvencia y de las prescripciones técnicas mínimas.</w:t>
            </w:r>
            <w:r>
              <w:rPr>
                <w:rFonts w:ascii="Georgia" w:cs="Georgia" w:eastAsia="Georgia" w:hAnsi="Georgia"/>
                <w:sz w:val="20"/>
                <w:szCs w:val="20"/>
              </w:rPr>
              <w:t xml:space="preserve"> La demostración no acredita la solvencia técnica ni sustituye los medios de acreditación de los artículos 89 y 90 de la LCSP, y su resultado </w:t>
            </w:r>
            <w:r>
              <w:rPr>
                <w:rFonts w:ascii="Georgia" w:cs="Georgia" w:eastAsia="Georgia" w:hAnsi="Georgia"/>
                <w:b/>
                <w:bCs/>
                <w:sz w:val="20"/>
                <w:szCs w:val="20"/>
              </w:rPr>
              <w:t xml:space="preserve">no podrá fundar por sí solo la exclusión del licitador</w:t>
            </w:r>
            <w:r>
              <w:rPr>
                <w:rFonts w:ascii="Georgia" w:cs="Georgia" w:eastAsia="Georgia" w:hAnsi="Georgia"/>
                <w:sz w:val="20"/>
                <w:szCs w:val="20"/>
              </w:rPr>
              <w:t xml:space="preserve">. Si el órgano de contratación pretende que una comprobación pueda determinar la inadmisión de la oferta por incumplimiento de prescripciones técnicas mínimas, deberá configurarlo así de forma expresa y separada en este pliego, referirlo a esos mínimos, y resolverlo en el momento de la calificación de la documentación, antes de la apertura de los sobres de criterios.</w:t>
            </w:r>
          </w:p>
          <w:p>
            <w:pPr>
              <w:pStyle w:val="ListParagraph"/>
              <w:numPr>
                <w:ilvl w:val="0"/>
                <w:numId w:val="2"/>
              </w:numPr>
              <w:spacing w:after="60" w:line="264"/>
            </w:pPr>
            <w:r>
              <w:rPr>
                <w:rFonts w:ascii="Georgia" w:cs="Georgia" w:eastAsia="Georgia" w:hAnsi="Georgia"/>
                <w:b/>
                <w:bCs/>
                <w:sz w:val="20"/>
                <w:szCs w:val="20"/>
              </w:rPr>
              <w:t xml:space="preserve">Ámbito de aplicación.</w:t>
            </w:r>
            <w:r>
              <w:rPr>
                <w:rFonts w:ascii="Georgia" w:cs="Georgia" w:eastAsia="Georgia" w:hAnsi="Georgia"/>
                <w:sz w:val="20"/>
                <w:szCs w:val="20"/>
              </w:rPr>
              <w:t xml:space="preserve"> Esta cláusula se aplicará únicamente cuando el valor estimado del contrato supere </w:t>
            </w:r>
            <w:r>
              <w:rPr>
                <w:rFonts w:ascii="Georgia" w:cs="Georgia" w:eastAsia="Georgia" w:hAnsi="Georgia"/>
                <w:b/>
                <w:bCs/>
                <w:sz w:val="20"/>
                <w:szCs w:val="20"/>
              </w:rPr>
              <w:t xml:space="preserve">[X; se recomienda 200.000] euros</w:t>
            </w:r>
            <w:r>
              <w:rPr>
                <w:rFonts w:ascii="Georgia" w:cs="Georgia" w:eastAsia="Georgia" w:hAnsi="Georgia"/>
                <w:sz w:val="20"/>
                <w:szCs w:val="20"/>
              </w:rPr>
              <w:t xml:space="preserve"> y el expediente justifique la necesidad de comprobación. </w:t>
            </w:r>
            <w:r>
              <w:rPr>
                <w:rFonts w:ascii="Georgia" w:cs="Georgia" w:eastAsia="Georgia" w:hAnsi="Georgia"/>
                <w:b/>
                <w:bCs/>
                <w:sz w:val="20"/>
                <w:szCs w:val="20"/>
              </w:rPr>
              <w:t xml:space="preserve">No será de aplicación</w:t>
            </w:r>
            <w:r>
              <w:rPr>
                <w:rFonts w:ascii="Georgia" w:cs="Georgia" w:eastAsia="Georgia" w:hAnsi="Georgia"/>
                <w:sz w:val="20"/>
                <w:szCs w:val="20"/>
              </w:rPr>
              <w:t xml:space="preserve"> en la tramitación del artículo 159.6 de la LCSP, ni cuando el objeto del contrato sea el desarrollo a medida de una solución que no preexiste, ni cuando su celebración impida cumplir los plazos del artículo 159 de la LCSP.</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PCAP, cláusula de valoración de las ofertas, inmediatamente después de la cláusula de criterios de adjudicación. El guion, la relación cerrada de elementos verificables y el modelo de acta van a un </w:t>
      </w:r>
      <w:r>
        <w:rPr>
          <w:rFonts w:ascii="Calibri" w:cs="Calibri" w:eastAsia="Calibri" w:hAnsi="Calibri"/>
          <w:b/>
          <w:bCs/>
          <w:sz w:val="21"/>
          <w:szCs w:val="21"/>
        </w:rPr>
        <w:t xml:space="preserve">anexo del propio PCAP</w:t>
      </w:r>
      <w:r>
        <w:rPr>
          <w:rFonts w:ascii="Calibri" w:cs="Calibri" w:eastAsia="Calibri" w:hAnsi="Calibri"/>
          <w:sz w:val="21"/>
          <w:szCs w:val="21"/>
        </w:rPr>
        <w:t xml:space="preserve">, cuyo número lo fija el redactor del expediente y no este catálogo; el guion, la relación cerrada y la rúbrica genéricos, con el modelo de acta de la sesión, están en el </w:t>
      </w:r>
      <w:r>
        <w:rPr>
          <w:rFonts w:ascii="Calibri" w:cs="Calibri" w:eastAsia="Calibri" w:hAnsi="Calibri"/>
          <w:b/>
          <w:bCs/>
          <w:sz w:val="21"/>
          <w:szCs w:val="21"/>
        </w:rPr>
        <w:t xml:space="preserve">Anexo XX</w:t>
      </w:r>
      <w:r>
        <w:rPr>
          <w:rFonts w:ascii="Calibri" w:cs="Calibri" w:eastAsia="Calibri" w:hAnsi="Calibri"/>
          <w:sz w:val="21"/>
          <w:szCs w:val="21"/>
        </w:rPr>
        <w:t xml:space="preserve"> de este catálogo. En el PPT no se reproduce: la comprobación de ofertas es materia administrativa (regla de ubicación de la Parte I, §7.1).</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sz w:val="21"/>
          <w:szCs w:val="21"/>
        </w:rPr>
        <w:t xml:space="preserve">Art. 145.5.c) LCSP, que exige que los criterios vayan acompañados de «especificaciones que permitan comprobar de manera efectiva la información facilitada por los licitadores» y que, «en caso de duda», se compruebe efectivamente dicha exactitud. Es este precepto —y no el art. 139, que regula las proposiciones— el que legitima una demostración. Art. 145.5.b) LCSP, que prohíbe conferir al órgano una libertad de decisión ilimitada, y que obliga a la rúbrica con descriptores. Arts. 26, 27.2 y 30.2 del RD 817/2009 y art. 146.2 LCSP, para el orden imperativo de valoración. Disposición adicional 15.ª.2 LCSP, para la documentación de la comunicación oral. Arts. 159.1.b) y 159.6.c) LCSP, para el ámbito.</w:t>
      </w:r>
    </w:p>
    <w:p>
      <w:pPr>
        <w:spacing w:after="140" w:line="276"/>
      </w:pPr>
      <w:r>
        <w:rPr>
          <w:rFonts w:ascii="Calibri" w:cs="Calibri" w:eastAsia="Calibri" w:hAnsi="Calibri"/>
          <w:b/>
          <w:bCs/>
          <w:sz w:val="21"/>
          <w:szCs w:val="21"/>
        </w:rPr>
        <w:t xml:space="preserve">La objeción del artículo 146.2 LCSP, y por qué la solución adoptada no contamina la valoración subjetiva.</w:t>
      </w:r>
      <w:r>
        <w:rPr>
          <w:rFonts w:ascii="Calibri" w:cs="Calibri" w:eastAsia="Calibri" w:hAnsi="Calibri"/>
          <w:sz w:val="21"/>
          <w:szCs w:val="21"/>
        </w:rPr>
        <w:t xml:space="preserve"> La objeción hay que enunciarla entera antes de contestarla, porque es la primera que un licitador formulará y la primera que un secretario opondrá. El artículo 26 del Real Decreto 817/2009 exige que la documentación relativa a los criterios cuya ponderación depende de un juicio de valor se presente «en sobre independiente del resto de la proposición, con objeto de evitar el conocimiento de esta última antes de que se haya efectuado la valoración de aquéllos», y el artículo 146.2 de la LCSP ordena valorar primero lo subjetivo y documentarlo antes de conocer lo automático. Una regla que obligase a introducir en el sobre de juicio de valor las declaraciones que alimentan criterios evaluables por fórmula haría exactamente lo contrario: quien valora los criterios subjetivos conocería, antes de cerrar su valoración, una parte de la puntuación automática de cada licitador. El orden del artículo 146.2 es imperativo y su infracción se produce en el trámite de la mesa, donde el vicio no se retrotrae: obliga a repetir la licitación.</w:t>
      </w:r>
    </w:p>
    <w:p>
      <w:pPr>
        <w:spacing w:after="140" w:line="276"/>
      </w:pPr>
      <w:r>
        <w:rPr>
          <w:rFonts w:ascii="Calibri" w:cs="Calibri" w:eastAsia="Calibri" w:hAnsi="Calibri"/>
          <w:sz w:val="21"/>
          <w:szCs w:val="21"/>
        </w:rPr>
        <w:t xml:space="preserve">Por eso esta cláusula </w:t>
      </w:r>
      <w:r>
        <w:rPr>
          <w:rFonts w:ascii="Calibri" w:cs="Calibri" w:eastAsia="Calibri" w:hAnsi="Calibri"/>
          <w:b/>
          <w:bCs/>
          <w:sz w:val="21"/>
          <w:szCs w:val="21"/>
        </w:rPr>
        <w:t xml:space="preserve">no traslada ninguna declaración de sobre</w:t>
      </w:r>
      <w:r>
        <w:rPr>
          <w:rFonts w:ascii="Calibri" w:cs="Calibri" w:eastAsia="Calibri" w:hAnsi="Calibri"/>
          <w:sz w:val="21"/>
          <w:szCs w:val="21"/>
        </w:rPr>
        <w:t xml:space="preserve">. Cada declaración viaja en el sobre del criterio al que sirve (apartado 2), lo que deja intacta la separación del artículo 26 y el orden del artículo 146.2. La sesión previa a la apertura del sobre de fórmulas sólo versa sobre lo que ya obra en el sobre de juicio de valor. La exactitud de lo declarado para los criterios evaluables mediante fórmulas se comprueba después de abierto ese sobre, pero antes de clasificar las ofertas, respecto de todas las ofertas admitidas y por medios documentales, conforme al apartado 5. Así se preservan a la vez el orden de valoración y la igualdad de trato.</w:t>
      </w:r>
    </w:p>
    <w:p>
      <w:pPr>
        <w:spacing w:after="140" w:line="276"/>
      </w:pPr>
      <w:r>
        <w:rPr>
          <w:rFonts w:ascii="Calibri" w:cs="Calibri" w:eastAsia="Calibri" w:hAnsi="Calibri"/>
          <w:sz w:val="21"/>
          <w:szCs w:val="21"/>
        </w:rPr>
        <w:t xml:space="preserve">Doctrina, trasladada por analogía y con la advertencia de que versa sobre muestras y demostraciones de suministros, no sobre software:</w:t>
      </w:r>
    </w:p>
    <w:p>
      <w:pPr>
        <w:pStyle w:val="ListParagraph"/>
        <w:numPr>
          <w:ilvl w:val="0"/>
          <w:numId w:val="1"/>
        </w:numPr>
        <w:spacing w:after="70" w:line="268"/>
      </w:pPr>
      <w:r>
        <w:rPr>
          <w:rFonts w:ascii="Calibri" w:cs="Calibri" w:eastAsia="Calibri" w:hAnsi="Calibri"/>
          <w:b/>
          <w:bCs/>
          <w:sz w:val="21"/>
          <w:szCs w:val="21"/>
        </w:rPr>
        <w:t xml:space="preserve">TACRC, Resolución 62/2023, de 2 de febrero de 2023, recurso 1634/2022 C</w:t>
      </w:r>
      <w:r>
        <w:rPr>
          <w:rFonts w:ascii="Calibri" w:cs="Calibri" w:eastAsia="Calibri" w:hAnsi="Calibri"/>
          <w:sz w:val="21"/>
          <w:szCs w:val="21"/>
        </w:rPr>
        <w:t xml:space="preserve"> (NIPRO MEDICAL SPAIN, S.L.U., contra el Servei de Salut de les Illes Balears), </w:t>
      </w:r>
      <w:r>
        <w:rPr>
          <w:rFonts w:ascii="Calibri" w:cs="Calibri" w:eastAsia="Calibri" w:hAnsi="Calibri"/>
          <w:b/>
          <w:bCs/>
          <w:sz w:val="21"/>
          <w:szCs w:val="21"/>
        </w:rPr>
        <w:t xml:space="preserve">estimatoria</w:t>
      </w:r>
      <w:r>
        <w:rPr>
          <w:rFonts w:ascii="Calibri" w:cs="Calibri" w:eastAsia="Calibri" w:hAnsi="Calibri"/>
          <w:sz w:val="21"/>
          <w:szCs w:val="21"/>
        </w:rPr>
        <w:t xml:space="preserve">. Es el único pronunciamiento localizado que aborda de frente las demostraciones de producto. Declara que «aunque la realización de demostraciones con carácter previo a la apertura de los sobres no suponga ninguna ilegalidad, sí que lleva razón el recurrente cuando denuncia que en las mismas no se pusieron de manifiesto los defectos que, casi un mes después, han motivado la exclusión», y aprecia como vicio que «en los pliegos no aparece claramente especificados los motivos de su exigencia, ni las consecuencias o efectos de la demostración». Es exactamente el defecto que los apartados 1, 2, 8 y 9 de esta cláusula corrigen. </w:t>
      </w:r>
      <w:r>
        <w:rPr>
          <w:rFonts w:ascii="Calibri" w:cs="Calibri" w:eastAsia="Calibri" w:hAnsi="Calibri"/>
          <w:b/>
          <w:bCs/>
          <w:sz w:val="21"/>
          <w:szCs w:val="21"/>
        </w:rPr>
        <w:t xml:space="preserve">Se cita a partir de una reproducción secundaria</w:t>
      </w:r>
      <w:r>
        <w:rPr>
          <w:rFonts w:ascii="Calibri" w:cs="Calibri" w:eastAsia="Calibri" w:hAnsi="Calibri"/>
          <w:sz w:val="21"/>
          <w:szCs w:val="21"/>
        </w:rPr>
        <w:t xml:space="preserve">: el texto íntegro está en &lt;https://www.acobur.es/recursos-especiales-36562-resolucion-n-622023-del-tribunal-administrativo-central-de-recursos-contractuales-de-02-de-febrero-de-2023recurso-n-16342022-c&gt;, y el PDF oficial no ha sido localizable en el repositorio del Ministerio de Hacienda a fecha de corte de 1 de septiembre de 2026. Se cita con esa limitación expresa.</w:t>
      </w:r>
    </w:p>
    <w:p>
      <w:pPr>
        <w:pStyle w:val="ListParagraph"/>
        <w:numPr>
          <w:ilvl w:val="0"/>
          <w:numId w:val="1"/>
        </w:numPr>
        <w:spacing w:after="70" w:line="268"/>
      </w:pPr>
      <w:r>
        <w:rPr>
          <w:rFonts w:ascii="Calibri" w:cs="Calibri" w:eastAsia="Calibri" w:hAnsi="Calibri"/>
          <w:b/>
          <w:bCs/>
          <w:sz w:val="21"/>
          <w:szCs w:val="21"/>
        </w:rPr>
        <w:t xml:space="preserve">OARC/KEAO, Resolución 181/2018</w:t>
      </w:r>
      <w:r>
        <w:rPr>
          <w:rFonts w:ascii="Calibri" w:cs="Calibri" w:eastAsia="Calibri" w:hAnsi="Calibri"/>
          <w:sz w:val="21"/>
          <w:szCs w:val="21"/>
        </w:rPr>
        <w:t xml:space="preserve">, epígrafe 3.4.6: exigir a todos los licitadores un elemento material costoso «tampoco parece una medida proporcionada, cuando existen medidas menos gravosas […] que permitirían preparar las proposiciones sin tener que realizar un desembolso económico que puede suponer una barrera a la libre competencia». </w:t>
      </w:r>
      <w:r>
        <w:rPr>
          <w:rFonts w:ascii="Calibri" w:cs="Calibri" w:eastAsia="Calibri" w:hAnsi="Calibri"/>
          <w:b/>
          <w:bCs/>
          <w:sz w:val="21"/>
          <w:szCs w:val="21"/>
        </w:rPr>
        <w:t xml:space="preserve">Resolución conocida únicamente a través del compendio oficial de doctrina 2018-2023 del propio órgano</w:t>
      </w:r>
      <w:r>
        <w:rPr>
          <w:rFonts w:ascii="Calibri" w:cs="Calibri" w:eastAsia="Calibri" w:hAnsi="Calibri"/>
          <w:sz w:val="21"/>
          <w:szCs w:val="21"/>
        </w:rPr>
        <w:t xml:space="preserve"> (&lt;https://www.euskadi.eus/contenidos/informacion/kpecpe_oarc_memorias_doctrina/eu_def/adjuntos/Doktrina-2018-2023.pdf&gt;); no ha sido posible localizar su número de recurso ni su fecha, y se cita con esa limitación expresa. De ahí el apartado 7.</w:t>
      </w:r>
    </w:p>
    <w:p>
      <w:pPr>
        <w:pStyle w:val="ListParagraph"/>
        <w:numPr>
          <w:ilvl w:val="0"/>
          <w:numId w:val="1"/>
        </w:numPr>
        <w:spacing w:after="70" w:line="268"/>
      </w:pPr>
      <w:r>
        <w:rPr>
          <w:rFonts w:ascii="Calibri" w:cs="Calibri" w:eastAsia="Calibri" w:hAnsi="Calibri"/>
          <w:b/>
          <w:bCs/>
          <w:sz w:val="21"/>
          <w:szCs w:val="21"/>
        </w:rPr>
        <w:t xml:space="preserve">OARC/KEAO, Resolución 069/2023</w:t>
      </w:r>
      <w:r>
        <w:rPr>
          <w:rFonts w:ascii="Calibri" w:cs="Calibri" w:eastAsia="Calibri" w:hAnsi="Calibri"/>
          <w:sz w:val="21"/>
          <w:szCs w:val="21"/>
        </w:rPr>
        <w:t xml:space="preserve">, epígrafe 6.5.18 del mismo compendio y con la misma limitación —número de recurso y fecha no localizados—: lo que se muestra forma parte de la oferta y no es subsanable, porque «tal subsanación supondría modificar el contenido de la proposición, lo que es inadmisible en los procedimientos abiertos por contrario al principio de igualdad de trato». El propio OARC apoya este criterio en su Resolución 34/2020 y en la STJUE C-599/10. De ahí los apartados 2 y 3.</w:t>
      </w:r>
    </w:p>
    <w:p>
      <w:pPr>
        <w:pStyle w:val="ListParagraph"/>
        <w:numPr>
          <w:ilvl w:val="0"/>
          <w:numId w:val="1"/>
        </w:numPr>
        <w:spacing w:after="70" w:line="268"/>
      </w:pPr>
      <w:r>
        <w:rPr>
          <w:rFonts w:ascii="Calibri" w:cs="Calibri" w:eastAsia="Calibri" w:hAnsi="Calibri"/>
          <w:b/>
          <w:bCs/>
          <w:sz w:val="21"/>
          <w:szCs w:val="21"/>
        </w:rPr>
        <w:t xml:space="preserve">TACP de la Comunidad de Madrid, Resolución 115/2025, de 20 de marzo de 2025, recurso 080/2025</w:t>
      </w:r>
      <w:r>
        <w:rPr>
          <w:rFonts w:ascii="Calibri" w:cs="Calibri" w:eastAsia="Calibri" w:hAnsi="Calibri"/>
          <w:sz w:val="21"/>
          <w:szCs w:val="21"/>
        </w:rPr>
        <w:t xml:space="preserve"> (&lt;https://www.comunidad.madrid/tacp/resolucion/1152025&gt;), </w:t>
      </w:r>
      <w:r>
        <w:rPr>
          <w:rFonts w:ascii="Calibri" w:cs="Calibri" w:eastAsia="Calibri" w:hAnsi="Calibri"/>
          <w:b/>
          <w:bCs/>
          <w:sz w:val="21"/>
          <w:szCs w:val="21"/>
        </w:rPr>
        <w:t xml:space="preserve">desestimatoria</w:t>
      </w:r>
      <w:r>
        <w:rPr>
          <w:rFonts w:ascii="Calibri" w:cs="Calibri" w:eastAsia="Calibri" w:hAnsi="Calibri"/>
          <w:sz w:val="21"/>
          <w:szCs w:val="21"/>
        </w:rPr>
        <w:t xml:space="preserve">. </w:t>
      </w:r>
      <w:r>
        <w:rPr>
          <w:rFonts w:ascii="Calibri" w:cs="Calibri" w:eastAsia="Calibri" w:hAnsi="Calibri"/>
          <w:b/>
          <w:bCs/>
          <w:sz w:val="21"/>
          <w:szCs w:val="21"/>
        </w:rPr>
        <w:t xml:space="preserve">No contiene pronunciamiento que valide la prueba de un producto por el personal que va a utilizarlo</w:t>
      </w:r>
      <w:r>
        <w:rPr>
          <w:rFonts w:ascii="Calibri" w:cs="Calibri" w:eastAsia="Calibri" w:hAnsi="Calibri"/>
          <w:sz w:val="21"/>
          <w:szCs w:val="21"/>
        </w:rPr>
        <w:t xml:space="preserve">: esa consideración figura en las alegaciones del órgano de contratación, no en el razonamiento del Tribunal, que resuelve por discrecionalidad técnica sin pronunciarse sobre el método de prueba. Lo que aporta es el recordatorio, tomado por el propio Tribunal de la STS 813/2017, de que la discrecionalidad técnica «no ampara cualquier decisión que pretenda fundarse en ella».</w:t>
      </w:r>
    </w:p>
    <w:p>
      <w:pPr>
        <w:spacing w:after="140" w:line="276"/>
      </w:pPr>
      <w:r>
        <w:rPr>
          <w:rFonts w:ascii="Calibri" w:cs="Calibri" w:eastAsia="Calibri" w:hAnsi="Calibri"/>
          <w:b/>
          <w:bCs/>
          <w:sz w:val="21"/>
          <w:szCs w:val="21"/>
        </w:rPr>
        <w:t xml:space="preserve">No consta</w:t>
      </w:r>
      <w:r>
        <w:rPr>
          <w:rFonts w:ascii="Calibri" w:cs="Calibri" w:eastAsia="Calibri" w:hAnsi="Calibri"/>
          <w:sz w:val="21"/>
          <w:szCs w:val="21"/>
        </w:rPr>
        <w:t xml:space="preserve">, a fecha de corte de 1 de septiembre de 2026 y tras búsqueda en los repositorios del Tribunal Administrativo Central de Recursos Contractuales, del Tribunal Administrativo de Contratación Pública de la Comunidad de Madrid, del OARC/KEAO, del Tribunal Administrativo de Contratos Públicos de Aragón y de las juntas consultivas de contratación, resolución alguna sobre demostraciones de software o de sistemas de inteligencia artificial en licitación.</w:t>
      </w:r>
    </w:p>
    <w:p>
      <w:pPr>
        <w:pStyle w:val="Heading3"/>
        <w:keepNext/>
        <w:spacing w:after="140" w:before="320"/>
      </w:pPr>
      <w:r>
        <w:rPr>
          <w:rFonts w:ascii="Georgia" w:cs="Georgia" w:eastAsia="Georgia" w:hAnsi="Georgia"/>
          <w:b/>
          <w:bCs/>
          <w:color w:val="2F5496"/>
          <w:sz w:val="22"/>
          <w:szCs w:val="22"/>
        </w:rPr>
        <w:t xml:space="preserve">4. Cómo se acredita</w:t>
      </w:r>
    </w:p>
    <w:p>
      <w:pPr>
        <w:spacing w:after="140" w:line="276"/>
      </w:pPr>
      <w:r>
        <w:rPr>
          <w:rFonts w:ascii="Calibri" w:cs="Calibri" w:eastAsia="Calibri" w:hAnsi="Calibri"/>
          <w:sz w:val="21"/>
          <w:szCs w:val="21"/>
        </w:rPr>
        <w:t xml:space="preserve">Lo que se acredita no es la demostración, sino lo declarado por escrito. Medios tasados: memoria técnica presentada en plazo, con la matriz de elementos declarados del anexo del PCAP cumplimentada —modelo en el Anexo XX de este catálogo—; y acta de la sesión, que consigna elemento por elemento «declarado / acreditado / no acreditado / evidencia observada». </w:t>
      </w:r>
      <w:r>
        <w:rPr>
          <w:rFonts w:ascii="Calibri" w:cs="Calibri" w:eastAsia="Calibri" w:hAnsi="Calibri"/>
          <w:b/>
          <w:bCs/>
          <w:sz w:val="21"/>
          <w:szCs w:val="21"/>
        </w:rPr>
        <w:t xml:space="preserve">La matriz se cumplimenta y se presenta desdoblada por sobres</w:t>
      </w:r>
      <w:r>
        <w:rPr>
          <w:rFonts w:ascii="Calibri" w:cs="Calibri" w:eastAsia="Calibri" w:hAnsi="Calibri"/>
          <w:sz w:val="21"/>
          <w:szCs w:val="21"/>
        </w:rPr>
        <w:t xml:space="preserve">: los elementos que sirven a criterios sujetos a juicio de valor, en el sobre de juicio de valor; los que sirven a criterios evaluables mediante fórmulas, en el sobre de fórmulas (apartado 2). No se admite documentación adicional aportada durante la sesión ni con posterioridad para acreditar los criterios sujetos a juicio de valor. Queda a salvo la documentación técnica requerida en la comprobación de los criterios evaluables mediante fórmulas del apartado 5, que únicamente podrá resolver una duda sin ampliar ni modificar la oferta.</w:t>
      </w:r>
    </w:p>
    <w:p>
      <w:pPr>
        <w:pStyle w:val="Heading3"/>
        <w:keepNext/>
        <w:spacing w:after="140" w:before="320"/>
      </w:pPr>
      <w:r>
        <w:rPr>
          <w:rFonts w:ascii="Georgia" w:cs="Georgia" w:eastAsia="Georgia" w:hAnsi="Georgia"/>
          <w:b/>
          <w:bCs/>
          <w:color w:val="2F5496"/>
          <w:sz w:val="22"/>
          <w:szCs w:val="22"/>
        </w:rPr>
        <w:t xml:space="preserve">5. Cómo se verifica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Cuándo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 qué documento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Mesa de contratación, o comité de expertos del art. 146.2.a) cuando proceda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Tras la apertura del sobre de juicio de valor y antes de la apertura del sobre de fórmulas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escrita detallada por licitador, con la matriz de elementos que sirven a criterios de juicio de valor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Secretario de la mesa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el mismo acto de cada sesión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firmada, con constancia de las observaciones y defectos apreciados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Antes de la apertura del sobre de fórmulas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valoración con la evidencia por subcriterio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Mesa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Abierto el sobre de criterios evaluables mediante fórmulas y antes de clasificar las ofertas, respecto de todas las ofertas admitidas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Comprobación documental de la relación cerrada de elementos que sirven a criterios evaluables mediante fórmulas y, en caso de duda, requerimiento de documentación técnica conforme al trámite del apartado 5</w:t>
            </w:r>
          </w:p>
        </w:tc>
      </w:tr>
    </w:tbl>
    <w:p>
      <w:pPr>
        <w:spacing w:after="200"/>
      </w:pPr>
    </w:p>
    <w:p>
      <w:pPr>
        <w:spacing w:after="140" w:line="276"/>
      </w:pPr>
      <w:r>
        <w:rPr>
          <w:rFonts w:ascii="Calibri" w:cs="Calibri" w:eastAsia="Calibri" w:hAnsi="Calibri"/>
          <w:b/>
          <w:bCs/>
          <w:sz w:val="21"/>
          <w:szCs w:val="21"/>
        </w:rPr>
        <w:t xml:space="preserve">Carga estimada.</w:t>
      </w:r>
      <w:r>
        <w:rPr>
          <w:rFonts w:ascii="Calibri" w:cs="Calibri" w:eastAsia="Calibri" w:hAnsi="Calibri"/>
          <w:sz w:val="21"/>
          <w:szCs w:val="21"/>
        </w:rPr>
        <w:t xml:space="preserve"> Entre 3 y 4 horas por licitador (preparación del entorno de datos ficticios, sesión de 90 minutos y acta), más 4 horas de preparación única del guion y del juego de datos, y </w:t>
      </w:r>
      <w:r>
        <w:rPr>
          <w:rFonts w:ascii="Calibri" w:cs="Calibri" w:eastAsia="Calibri" w:hAnsi="Calibri"/>
          <w:b/>
          <w:bCs/>
          <w:sz w:val="21"/>
          <w:szCs w:val="21"/>
        </w:rPr>
        <w:t xml:space="preserve">[X; se recomienda 1] hora por oferta admitida</w:t>
      </w:r>
      <w:r>
        <w:rPr>
          <w:rFonts w:ascii="Calibri" w:cs="Calibri" w:eastAsia="Calibri" w:hAnsi="Calibri"/>
          <w:sz w:val="21"/>
          <w:szCs w:val="21"/>
        </w:rPr>
        <w:t xml:space="preserve"> para la comprobación documental. Con cinco licitadores y sin requerimientos adicionales, entre 24 y 29 horas por expediente. A esa carga se añade el tiempo de los requerimientos que resulten necesarios. </w:t>
      </w:r>
      <w:r>
        <w:rPr>
          <w:rFonts w:ascii="Calibri" w:cs="Calibri" w:eastAsia="Calibri" w:hAnsi="Calibri"/>
          <w:b/>
          <w:bCs/>
          <w:sz w:val="21"/>
          <w:szCs w:val="21"/>
        </w:rPr>
        <w:t xml:space="preserve">Es la cláusula más cara del catálogo en horas municipales</w:t>
      </w:r>
      <w:r>
        <w:rPr>
          <w:rFonts w:ascii="Calibri" w:cs="Calibri" w:eastAsia="Calibri" w:hAnsi="Calibri"/>
          <w:sz w:val="21"/>
          <w:szCs w:val="21"/>
        </w:rPr>
        <w:t xml:space="preserve">: si el expediente no puede asumir esa carga, se marca NO APLICA y no pasa nada, porque no reparte puntos.</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spacing w:after="140" w:line="276"/>
      </w:pPr>
      <w:r>
        <w:rPr>
          <w:rFonts w:ascii="Calibri" w:cs="Calibri" w:eastAsia="Calibri" w:hAnsi="Calibri"/>
          <w:sz w:val="21"/>
          <w:szCs w:val="21"/>
        </w:rPr>
        <w:t xml:space="preserve">No genera obligación contractual del adjudicatario y, por tanto, </w:t>
      </w:r>
      <w:r>
        <w:rPr>
          <w:rFonts w:ascii="Calibri" w:cs="Calibri" w:eastAsia="Calibri" w:hAnsi="Calibri"/>
          <w:b/>
          <w:bCs/>
          <w:sz w:val="21"/>
          <w:szCs w:val="21"/>
        </w:rPr>
        <w:t xml:space="preserve">no genera penalidad ni causa de resolución</w:t>
      </w:r>
      <w:r>
        <w:rPr>
          <w:rFonts w:ascii="Calibri" w:cs="Calibri" w:eastAsia="Calibri" w:hAnsi="Calibri"/>
          <w:sz w:val="21"/>
          <w:szCs w:val="21"/>
        </w:rPr>
        <w:t xml:space="preserve">. Se suprime expresamente del cuadro de penalidades de ADM-5·v3 y de la lista de esencialidades de ADM-6·v3 cualquier referencia a «falta de la demostración exigida»: es una conducta de la fase de licitación, no de ejecución del contrato, y su único efecto es la puntuación de cero en los elementos declarados y no acreditados.</w:t>
      </w:r>
    </w:p>
    <w:p>
      <w:pPr>
        <w:spacing w:after="140" w:line="276"/>
      </w:pPr>
      <w:r>
        <w:rPr>
          <w:rFonts w:ascii="Calibri" w:cs="Calibri" w:eastAsia="Calibri" w:hAnsi="Calibri"/>
          <w:b/>
          <w:bCs/>
          <w:sz w:val="21"/>
          <w:szCs w:val="21"/>
        </w:rPr>
        <w:t xml:space="preserve">Obligación esencial: NO.</w:t>
      </w: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sz w:val="21"/>
          <w:szCs w:val="21"/>
        </w:rPr>
        <w:t xml:space="preserve">Procedimiento abierto simplificado abreviado (art. 159.6 LCSP): nunca.</w:t>
      </w:r>
    </w:p>
    <w:p>
      <w:pPr>
        <w:pStyle w:val="ListParagraph"/>
        <w:numPr>
          <w:ilvl w:val="0"/>
          <w:numId w:val="1"/>
        </w:numPr>
        <w:spacing w:after="70" w:line="268"/>
      </w:pPr>
      <w:r>
        <w:rPr>
          <w:rFonts w:ascii="Calibri" w:cs="Calibri" w:eastAsia="Calibri" w:hAnsi="Calibri"/>
          <w:sz w:val="21"/>
          <w:szCs w:val="21"/>
        </w:rPr>
        <w:t xml:space="preserve">Procedimiento abierto simplificado, cuando su celebración impida cumplir los plazos del art. 159 LCSP.</w:t>
      </w:r>
    </w:p>
    <w:p>
      <w:pPr>
        <w:pStyle w:val="ListParagraph"/>
        <w:numPr>
          <w:ilvl w:val="0"/>
          <w:numId w:val="1"/>
        </w:numPr>
        <w:spacing w:after="70" w:line="268"/>
      </w:pPr>
      <w:r>
        <w:rPr>
          <w:rFonts w:ascii="Calibri" w:cs="Calibri" w:eastAsia="Calibri" w:hAnsi="Calibri"/>
          <w:sz w:val="21"/>
          <w:szCs w:val="21"/>
        </w:rPr>
        <w:t xml:space="preserve">Contratos cuyo objeto sea el desarrollo a medida de una solución que no preexiste: no hay nada que verificar y exigirlo equivaldría a requerir un producto ya hecho.</w:t>
      </w:r>
    </w:p>
    <w:p>
      <w:pPr>
        <w:pStyle w:val="ListParagraph"/>
        <w:numPr>
          <w:ilvl w:val="0"/>
          <w:numId w:val="1"/>
        </w:numPr>
        <w:spacing w:after="70" w:line="268"/>
      </w:pPr>
      <w:r>
        <w:rPr>
          <w:rFonts w:ascii="Calibri" w:cs="Calibri" w:eastAsia="Calibri" w:hAnsi="Calibri"/>
          <w:sz w:val="21"/>
          <w:szCs w:val="21"/>
        </w:rPr>
        <w:t xml:space="preserve">Contratos con valor estimado igual o inferior a [X; se recomienda 200.000] euros.</w:t>
      </w:r>
    </w:p>
    <w:p>
      <w:pPr>
        <w:pStyle w:val="ListParagraph"/>
        <w:numPr>
          <w:ilvl w:val="0"/>
          <w:numId w:val="1"/>
        </w:numPr>
        <w:spacing w:after="70" w:line="268"/>
      </w:pPr>
      <w:r>
        <w:rPr>
          <w:rFonts w:ascii="Calibri" w:cs="Calibri" w:eastAsia="Calibri" w:hAnsi="Calibri"/>
          <w:sz w:val="21"/>
          <w:szCs w:val="21"/>
        </w:rPr>
        <w:t xml:space="preserve">Contratos menores, basados en acuerdo marco y prórrogas.</w:t>
      </w:r>
    </w:p>
    <w:p>
      <w:pPr>
        <w:spacing w:after="140" w:line="276"/>
      </w:pPr>
      <w:r>
        <w:rPr>
          <w:rFonts w:ascii="Calibri" w:cs="Calibri" w:eastAsia="Calibri" w:hAnsi="Calibri"/>
          <w:b/>
          <w:bCs/>
          <w:sz w:val="21"/>
          <w:szCs w:val="21"/>
        </w:rPr>
        <w:t xml:space="preserve">Si esta cláusula se marca NO APLICA, arrastra:</w:t>
      </w:r>
      <w:r>
        <w:rPr>
          <w:rFonts w:ascii="Calibri" w:cs="Calibri" w:eastAsia="Calibri" w:hAnsi="Calibri"/>
          <w:sz w:val="21"/>
          <w:szCs w:val="21"/>
        </w:rPr>
        <w:t xml:space="preserve"> el anexo del PCAP que contiene el guion y la relación cerrada de elementos verificables, la frase «Cuando este pliego incorpore la cláusula [ADM-9]» y su remisión al trámite del apartado 5 en la columna de medios de comprobación del baremo de ADM-7·v3, la comprobación adicional regulada en el apartado 5 y la nota del criterio D sobre confirmación o retirada de puntos. </w:t>
      </w:r>
      <w:r>
        <w:rPr>
          <w:rFonts w:ascii="Calibri" w:cs="Calibri" w:eastAsia="Calibri" w:hAnsi="Calibri"/>
          <w:b/>
          <w:bCs/>
          <w:sz w:val="21"/>
          <w:szCs w:val="21"/>
        </w:rPr>
        <w:t xml:space="preserve">La supresión de esta mención no deja los criterios sin medio de comprobación: subsiste el medio documental que la propia fila del baremo establece.</w:t>
      </w:r>
      <w:r>
        <w:rPr>
          <w:rFonts w:ascii="Calibri" w:cs="Calibri" w:eastAsia="Calibri" w:hAnsi="Calibri"/>
          <w:sz w:val="21"/>
          <w:szCs w:val="21"/>
        </w:rPr>
        <w:t xml:space="preserve"> No arrastra la regla de presentación por sobres del apartado 2, que no es propia de esta cláusula: cada declaración se presenta en el sobre del criterio al que sirve por aplicación del artículo 26 del Real Decreto 817/2009 y del artículo 146.2 de la LCSP, se aplique o no esta cláusula.</w:t>
      </w:r>
    </w:p>
    <w:p>
      <w:pPr>
        <w:pStyle w:val="Heading3"/>
        <w:keepNext/>
        <w:spacing w:after="140" w:before="320"/>
      </w:pPr>
      <w:r>
        <w:rPr>
          <w:rFonts w:ascii="Georgia" w:cs="Georgia" w:eastAsia="Georgia" w:hAnsi="Georgia"/>
          <w:b/>
          <w:bCs/>
          <w:color w:val="2F5496"/>
          <w:sz w:val="22"/>
          <w:szCs w:val="22"/>
        </w:rPr>
        <w:t xml:space="preserve">Nota al redactor · Por qué la degradación de la cláusula es la solución, y no una renuncia</w:t>
      </w:r>
    </w:p>
    <w:p>
      <w:pPr>
        <w:spacing w:after="140" w:line="276"/>
      </w:pPr>
      <w:r>
        <w:rPr>
          <w:rFonts w:ascii="Calibri" w:cs="Calibri" w:eastAsia="Calibri" w:hAnsi="Calibri"/>
          <w:sz w:val="21"/>
          <w:szCs w:val="21"/>
        </w:rPr>
        <w:t xml:space="preserve">El reproche del que parte esta cláusula es certero y conviene enunciarlo entero: exigir un sistema en funcionamiento a la fecha de licitación —aunque sea sobre datos ficticios— es puntuar otra vez la tenencia previa, sólo que en otra casilla. Quien no tiene producto operativo no puede «resolver el caso» y pierde los puntos, exactamente igual que si se le hubiesen restado por no tener la tecnología.</w:t>
      </w:r>
    </w:p>
    <w:p>
      <w:pPr>
        <w:spacing w:after="140" w:line="276"/>
      </w:pPr>
      <w:r>
        <w:rPr>
          <w:rFonts w:ascii="Calibri" w:cs="Calibri" w:eastAsia="Calibri" w:hAnsi="Calibri"/>
          <w:sz w:val="21"/>
          <w:szCs w:val="21"/>
        </w:rPr>
        <w:t xml:space="preserve">La solución adoptada consiste en </w:t>
      </w:r>
      <w:r>
        <w:rPr>
          <w:rFonts w:ascii="Calibri" w:cs="Calibri" w:eastAsia="Calibri" w:hAnsi="Calibri"/>
          <w:b/>
          <w:bCs/>
          <w:sz w:val="21"/>
          <w:szCs w:val="21"/>
        </w:rPr>
        <w:t xml:space="preserve">degradar la cláusula</w:t>
      </w:r>
      <w:r>
        <w:rPr>
          <w:rFonts w:ascii="Calibri" w:cs="Calibri" w:eastAsia="Calibri" w:hAnsi="Calibri"/>
          <w:sz w:val="21"/>
          <w:szCs w:val="21"/>
        </w:rPr>
        <w:t xml:space="preserve">. La demostración deja de ser criterio de adjudicación y deja de repartir puntos. Pasa a ser un </w:t>
      </w:r>
      <w:r>
        <w:rPr>
          <w:rFonts w:ascii="Calibri" w:cs="Calibri" w:eastAsia="Calibri" w:hAnsi="Calibri"/>
          <w:b/>
          <w:bCs/>
          <w:sz w:val="21"/>
          <w:szCs w:val="21"/>
        </w:rPr>
        <w:t xml:space="preserve">medio de comprobación efectiva de la exactitud de la información escrita</w:t>
      </w:r>
      <w:r>
        <w:rPr>
          <w:rFonts w:ascii="Calibri" w:cs="Calibri" w:eastAsia="Calibri" w:hAnsi="Calibri"/>
          <w:sz w:val="21"/>
          <w:szCs w:val="21"/>
        </w:rPr>
        <w:t xml:space="preserve"> que el licitador ya ha presentado en su oferta (art. 145.5.c LCSP), con un único efecto posible: </w:t>
      </w:r>
      <w:r>
        <w:rPr>
          <w:rFonts w:ascii="Calibri" w:cs="Calibri" w:eastAsia="Calibri" w:hAnsi="Calibri"/>
          <w:b/>
          <w:bCs/>
          <w:sz w:val="21"/>
          <w:szCs w:val="21"/>
        </w:rPr>
        <w:t xml:space="preserve">confirmar o retirar</w:t>
      </w:r>
      <w:r>
        <w:rPr>
          <w:rFonts w:ascii="Calibri" w:cs="Calibri" w:eastAsia="Calibri" w:hAnsi="Calibri"/>
          <w:sz w:val="21"/>
          <w:szCs w:val="21"/>
        </w:rPr>
        <w:t xml:space="preserve"> los puntos ya asignados a lo declarado por escrito. No puede añadir ni un punto. Con ello:</w:t>
      </w:r>
    </w:p>
    <w:p>
      <w:pPr>
        <w:pStyle w:val="ListParagraph"/>
        <w:numPr>
          <w:ilvl w:val="0"/>
          <w:numId w:val="1"/>
        </w:numPr>
        <w:spacing w:after="70" w:line="268"/>
      </w:pPr>
      <w:r>
        <w:rPr>
          <w:rFonts w:ascii="Calibri" w:cs="Calibri" w:eastAsia="Calibri" w:hAnsi="Calibri"/>
          <w:sz w:val="21"/>
          <w:szCs w:val="21"/>
        </w:rPr>
        <w:t xml:space="preserve">Quien no declara una capacidad no tiene nada que demostrar y no pierde nada, porque no había ganado nada por ella.</w:t>
      </w:r>
    </w:p>
    <w:p>
      <w:pPr>
        <w:pStyle w:val="ListParagraph"/>
        <w:numPr>
          <w:ilvl w:val="0"/>
          <w:numId w:val="1"/>
        </w:numPr>
        <w:spacing w:after="70" w:line="268"/>
      </w:pPr>
      <w:r>
        <w:rPr>
          <w:rFonts w:ascii="Calibri" w:cs="Calibri" w:eastAsia="Calibri" w:hAnsi="Calibri"/>
          <w:sz w:val="21"/>
          <w:szCs w:val="21"/>
        </w:rPr>
        <w:t xml:space="preserve">Quien la declara y no la acredita pierde los puntos de esa declaración, que es la consecuencia natural de haber declarado algo inexacto, no una penalización por no tener producto.</w:t>
      </w:r>
    </w:p>
    <w:p>
      <w:pPr>
        <w:pStyle w:val="ListParagraph"/>
        <w:numPr>
          <w:ilvl w:val="0"/>
          <w:numId w:val="1"/>
        </w:numPr>
        <w:spacing w:after="70" w:line="268"/>
      </w:pPr>
      <w:r>
        <w:rPr>
          <w:rFonts w:ascii="Calibri" w:cs="Calibri" w:eastAsia="Calibri" w:hAnsi="Calibri"/>
          <w:sz w:val="21"/>
          <w:szCs w:val="21"/>
        </w:rPr>
        <w:t xml:space="preserve">La ventaja del contratista incumbente desaparece del baremo, porque los criterios que puntúan —alcance comprometido, plazo ofertado, procesos comprometidos— son </w:t>
      </w:r>
      <w:r>
        <w:rPr>
          <w:rFonts w:ascii="Calibri" w:cs="Calibri" w:eastAsia="Calibri" w:hAnsi="Calibri"/>
          <w:b/>
          <w:bCs/>
          <w:sz w:val="21"/>
          <w:szCs w:val="21"/>
        </w:rPr>
        <w:t xml:space="preserve">compromisos</w:t>
      </w:r>
      <w:r>
        <w:rPr>
          <w:rFonts w:ascii="Calibri" w:cs="Calibri" w:eastAsia="Calibri" w:hAnsi="Calibri"/>
          <w:sz w:val="21"/>
          <w:szCs w:val="21"/>
        </w:rPr>
        <w:t xml:space="preserve">, no tenencias, y un compromiso no se demuestra: se contrae por escrito y se cumple en ejecución.</w:t>
      </w:r>
    </w:p>
    <w:p>
      <w:pPr>
        <w:spacing w:after="140" w:line="276"/>
      </w:pPr>
      <w:r>
        <w:rPr>
          <w:rFonts w:ascii="Calibri" w:cs="Calibri" w:eastAsia="Calibri" w:hAnsi="Calibri"/>
          <w:sz w:val="21"/>
          <w:szCs w:val="21"/>
        </w:rPr>
        <w:t xml:space="preserve">El coste de resolverlo así es que el órgano de contratación pierde la posibilidad de premiar al licitador que llega con el producto hecho. Ese premio es el terreno propio de la causa de anulabilidad del art. 40.b) LCSP, que declara anulables las cláusulas que otorguen ventajas a las empresas que hayan contratado previamente con cualquier Administración.</w:t>
      </w:r>
    </w:p>
    <w:p>
      <w:pPr>
        <w:spacing w:after="140" w:line="276"/>
      </w:pPr>
      <w:r>
        <w:rPr>
          <w:rFonts w:ascii="Calibri" w:cs="Calibri" w:eastAsia="Calibri" w:hAnsi="Calibri"/>
          <w:b/>
          <w:bCs/>
          <w:sz w:val="21"/>
          <w:szCs w:val="21"/>
        </w:rPr>
        <w:t xml:space="preserve">Encaje con la disposición adicional 15.ª.2 LCSP.</w:t>
      </w:r>
      <w:r>
        <w:rPr>
          <w:rFonts w:ascii="Calibri" w:cs="Calibri" w:eastAsia="Calibri" w:hAnsi="Calibri"/>
          <w:sz w:val="21"/>
          <w:szCs w:val="21"/>
        </w:rPr>
        <w:t xml:space="preserve"> La disposición admite la comunicación oral únicamente «para comunicaciones distintas de las relativas a los elementos esenciales de un procedimiento de contratación», y enumera entre esos elementos esenciales </w:t>
      </w:r>
      <w:r>
        <w:rPr>
          <w:rFonts w:ascii="Calibri" w:cs="Calibri" w:eastAsia="Calibri" w:hAnsi="Calibri"/>
          <w:b/>
          <w:bCs/>
          <w:sz w:val="21"/>
          <w:szCs w:val="21"/>
        </w:rPr>
        <w:t xml:space="preserve">las ofertas</w:t>
      </w:r>
      <w:r>
        <w:rPr>
          <w:rFonts w:ascii="Calibri" w:cs="Calibri" w:eastAsia="Calibri" w:hAnsi="Calibri"/>
          <w:sz w:val="21"/>
          <w:szCs w:val="21"/>
        </w:rPr>
        <w:t xml:space="preserve">. Una sesión oral que repartiera puntos versaría sobre la oferta y quedaría fuera de la cobertura de la norma. Con la configuración que aquí se adopta, la demostración no es una comunicación sobre la oferta: </w:t>
      </w:r>
      <w:r>
        <w:rPr>
          <w:rFonts w:ascii="Calibri" w:cs="Calibri" w:eastAsia="Calibri" w:hAnsi="Calibri"/>
          <w:b/>
          <w:bCs/>
          <w:sz w:val="21"/>
          <w:szCs w:val="21"/>
        </w:rPr>
        <w:t xml:space="preserve">nada de lo que en ella se diga modifica, amplía, aclara, completa ni integra la oferta</w:t>
      </w:r>
      <w:r>
        <w:rPr>
          <w:rFonts w:ascii="Calibri" w:cs="Calibri" w:eastAsia="Calibri" w:hAnsi="Calibri"/>
          <w:sz w:val="21"/>
          <w:szCs w:val="21"/>
        </w:rPr>
        <w:t xml:space="preserve">, que es exclusivamente el documento escrito presentado en plazo. Es un acto de comprobación, y su resultado se documenta por escrito. La disposición adicional 15.ª.2 </w:t>
      </w:r>
      <w:r>
        <w:rPr>
          <w:rFonts w:ascii="Calibri" w:cs="Calibri" w:eastAsia="Calibri" w:hAnsi="Calibri"/>
          <w:b/>
          <w:bCs/>
          <w:sz w:val="21"/>
          <w:szCs w:val="21"/>
        </w:rPr>
        <w:t xml:space="preserve">no impone grabación audiovisual</w:t>
      </w:r>
      <w:r>
        <w:rPr>
          <w:rFonts w:ascii="Calibri" w:cs="Calibri" w:eastAsia="Calibri" w:hAnsi="Calibri"/>
          <w:sz w:val="21"/>
          <w:szCs w:val="21"/>
        </w:rPr>
        <w:t xml:space="preserve">: exige que las comunicaciones orales que puedan incidir sustancialmente en la evaluación estén documentadas «a través de los medios adecuados, tales como los archivos o resúmenes escritos o sonoros de los principales elementos de la comunicación». </w:t>
      </w:r>
      <w:r>
        <w:rPr>
          <w:rFonts w:ascii="Calibri" w:cs="Calibri" w:eastAsia="Calibri" w:hAnsi="Calibri"/>
          <w:b/>
          <w:bCs/>
          <w:sz w:val="21"/>
          <w:szCs w:val="21"/>
        </w:rPr>
        <w:t xml:space="preserve">Acta escrita detallada basta.</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III.10 · ADM-10·v3 — Plan Anual de Evolución Tecnológica</w:t>
      </w:r>
    </w:p>
    <w:p>
      <w:pPr>
        <w:spacing w:after="140" w:line="276"/>
      </w:pPr>
      <w:r>
        <w:rPr>
          <w:rFonts w:ascii="Calibri" w:cs="Calibri" w:eastAsia="Calibri" w:hAnsi="Calibri"/>
          <w:i/>
          <w:iCs/>
          <w:sz w:val="21"/>
          <w:szCs w:val="21"/>
        </w:rPr>
        <w:t xml:space="preserve">(Sustituye a ADM-10 de v2. Cláusula degradada: deja de ser fuente autónoma de obligaciones esenciales y pasa a ser el instrumento de seguimiento del catálogo del ejercicio. </w:t>
      </w:r>
      <w:r>
        <w:rPr>
          <w:rFonts w:ascii="Calibri" w:cs="Calibri" w:eastAsia="Calibri" w:hAnsi="Calibri"/>
          <w:i/>
          <w:iCs/>
          <w:sz w:val="21"/>
          <w:szCs w:val="21"/>
        </w:rPr>
        <w:t xml:space="preserve">Es la sede única del Plan Anual</w:t>
      </w:r>
      <w:r>
        <w:rPr>
          <w:rFonts w:ascii="Calibri" w:cs="Calibri" w:eastAsia="Calibri" w:hAnsi="Calibri"/>
          <w:i/>
          <w:iCs/>
          <w:sz w:val="21"/>
          <w:szCs w:val="21"/>
        </w:rPr>
        <w:t xml:space="preserve">: la cláusula ADM-3·v3 conserva los plazos de adaptación y la bolsa de servicios evolutivos, y no regula el Plan. La justificación está en la nota al redactor, al final de la cláusula.)</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Plan Anual de Evolución Tecnológica.</w:t>
            </w:r>
          </w:p>
          <w:p>
            <w:pPr>
              <w:pStyle w:val="ListParagraph"/>
              <w:numPr>
                <w:ilvl w:val="0"/>
                <w:numId w:val="2"/>
              </w:numPr>
              <w:spacing w:after="60" w:line="264"/>
            </w:pPr>
            <w:r>
              <w:rPr>
                <w:rFonts w:ascii="Georgia" w:cs="Georgia" w:eastAsia="Georgia" w:hAnsi="Georgia"/>
                <w:b/>
                <w:bCs/>
                <w:sz w:val="20"/>
                <w:szCs w:val="20"/>
              </w:rPr>
              <w:t xml:space="preserve">Objeto y naturaleza.</w:t>
            </w:r>
            <w:r>
              <w:rPr>
                <w:rFonts w:ascii="Georgia" w:cs="Georgia" w:eastAsia="Georgia" w:hAnsi="Georgia"/>
                <w:sz w:val="20"/>
                <w:szCs w:val="20"/>
              </w:rPr>
              <w:t xml:space="preserve"> El adjudicatario presentará y mantendrá actualizado un Plan Anual de Evolución Tecnológica, cuyo alcance se agota en las exigencias del </w:t>
            </w:r>
            <w:r>
              <w:rPr>
                <w:rFonts w:ascii="Georgia" w:cs="Georgia" w:eastAsia="Georgia" w:hAnsi="Georgia"/>
                <w:b/>
                <w:bCs/>
                <w:sz w:val="20"/>
                <w:szCs w:val="20"/>
              </w:rPr>
              <w:t xml:space="preserve">Anexo de Exigencias Tecnológicas Determinadas</w:t>
            </w:r>
            <w:r>
              <w:rPr>
                <w:rFonts w:ascii="Georgia" w:cs="Georgia" w:eastAsia="Georgia" w:hAnsi="Georgia"/>
                <w:sz w:val="20"/>
                <w:szCs w:val="20"/>
              </w:rPr>
              <w:t xml:space="preserve"> incorporado a este contrato y en las obligaciones de mantenimiento y soporte del pliego de prescripciones técnicas. El Plan es un instrumento de seguimiento: </w:t>
            </w:r>
            <w:r>
              <w:rPr>
                <w:rFonts w:ascii="Georgia" w:cs="Georgia" w:eastAsia="Georgia" w:hAnsi="Georgia"/>
                <w:b/>
                <w:bCs/>
                <w:sz w:val="20"/>
                <w:szCs w:val="20"/>
              </w:rPr>
              <w:t xml:space="preserve">no crea obligaciones distintas de las contenidas en dicho Anexo y en el pliego de prescripciones técnicas</w:t>
            </w:r>
            <w:r>
              <w:rPr>
                <w:rFonts w:ascii="Georgia" w:cs="Georgia" w:eastAsia="Georgia" w:hAnsi="Georgia"/>
                <w:sz w:val="20"/>
                <w:szCs w:val="20"/>
              </w:rPr>
              <w:t xml:space="preserve">, ni amplía el objeto del contrato.</w:t>
            </w:r>
          </w:p>
          <w:p>
            <w:pPr>
              <w:pStyle w:val="ListParagraph"/>
              <w:numPr>
                <w:ilvl w:val="0"/>
                <w:numId w:val="2"/>
              </w:numPr>
              <w:spacing w:after="60" w:line="264"/>
            </w:pPr>
            <w:r>
              <w:rPr>
                <w:rFonts w:ascii="Georgia" w:cs="Georgia" w:eastAsia="Georgia" w:hAnsi="Georgia"/>
                <w:b/>
                <w:bCs/>
                <w:sz w:val="20"/>
                <w:szCs w:val="20"/>
              </w:rPr>
              <w:t xml:space="preserve">Contenido.</w:t>
            </w:r>
            <w:r>
              <w:rPr>
                <w:rFonts w:ascii="Georgia" w:cs="Georgia" w:eastAsia="Georgia" w:hAnsi="Georgia"/>
                <w:sz w:val="20"/>
                <w:szCs w:val="20"/>
              </w:rPr>
              <w:t xml:space="preserve"> El Plan contendrá, y sólo:</w:t>
            </w:r>
          </w:p>
          <w:p>
            <w:pPr>
              <w:spacing w:after="100" w:line="264"/>
            </w:pPr>
            <w:r>
              <w:rPr>
                <w:rFonts w:ascii="Georgia" w:cs="Georgia" w:eastAsia="Georgia" w:hAnsi="Georgia"/>
                <w:sz w:val="20"/>
                <w:szCs w:val="20"/>
              </w:rPr>
              <w:t xml:space="preserve">a) el calendario de implantación de cada una de las exigencias del Anexo de Exigencias Tecnológicas incorporado a este contrato, con la fecha comprometida para cada una;</w:t>
            </w:r>
          </w:p>
          <w:p>
            <w:pPr>
              <w:spacing w:after="100" w:line="264"/>
            </w:pPr>
            <w:r>
              <w:rPr>
                <w:rFonts w:ascii="Georgia" w:cs="Georgia" w:eastAsia="Georgia" w:hAnsi="Georgia"/>
                <w:sz w:val="20"/>
                <w:szCs w:val="20"/>
              </w:rPr>
              <w:t xml:space="preserve">b) el compromiso de poner a disposición del Ayuntamiento, sin coste adicional durante la vigencia del contrato y de sus prórrogas, </w:t>
            </w:r>
            <w:r>
              <w:rPr>
                <w:rFonts w:ascii="Georgia" w:cs="Georgia" w:eastAsia="Georgia" w:hAnsi="Georgia"/>
                <w:b/>
                <w:bCs/>
                <w:sz w:val="20"/>
                <w:szCs w:val="20"/>
              </w:rPr>
              <w:t xml:space="preserve">las versiones sucesoras del producto contratado</w:t>
            </w:r>
            <w:r>
              <w:rPr>
                <w:rFonts w:ascii="Georgia" w:cs="Georgia" w:eastAsia="Georgia" w:hAnsi="Georgia"/>
                <w:sz w:val="20"/>
                <w:szCs w:val="20"/>
              </w:rPr>
              <w:t xml:space="preserve">. Se entenderá por versión sucesora, con independencia de su denominación comercial, aquella que presente continuidad funcional con el producto contratado, lo sustituya en el catálogo del fabricante, o cuente con una ruta de migración ofrecida por el propio fabricante;</w:t>
            </w:r>
          </w:p>
          <w:p>
            <w:pPr>
              <w:spacing w:after="100" w:line="264"/>
            </w:pPr>
            <w:r>
              <w:rPr>
                <w:rFonts w:ascii="Georgia" w:cs="Georgia" w:eastAsia="Georgia" w:hAnsi="Georgia"/>
                <w:sz w:val="20"/>
                <w:szCs w:val="20"/>
              </w:rPr>
              <w:t xml:space="preserve">c) la relación de versiones del producto y de sus componentes en soporte a la fecha del Plan, con la fecha de fin de soporte declarada por el fabricante para cada una;</w:t>
            </w:r>
          </w:p>
          <w:p>
            <w:pPr>
              <w:spacing w:after="100" w:line="264"/>
            </w:pPr>
            <w:r>
              <w:rPr>
                <w:rFonts w:ascii="Georgia" w:cs="Georgia" w:eastAsia="Georgia" w:hAnsi="Georgia"/>
                <w:sz w:val="20"/>
                <w:szCs w:val="20"/>
              </w:rPr>
              <w:t xml:space="preserve">d) los hitos que el adjudicatario propone someter a </w:t>
            </w:r>
            <w:r>
              <w:rPr>
                <w:rFonts w:ascii="Georgia" w:cs="Georgia" w:eastAsia="Georgia" w:hAnsi="Georgia"/>
                <w:b/>
                <w:bCs/>
                <w:sz w:val="20"/>
                <w:szCs w:val="20"/>
              </w:rPr>
              <w:t xml:space="preserve">aprobación expresa</w:t>
            </w:r>
            <w:r>
              <w:rPr>
                <w:rFonts w:ascii="Georgia" w:cs="Georgia" w:eastAsia="Georgia" w:hAnsi="Georgia"/>
                <w:sz w:val="20"/>
                <w:szCs w:val="20"/>
              </w:rPr>
              <w:t xml:space="preserve"> del órgano de contratación, con la fecha cierta propuesta para cada uno;</w:t>
            </w:r>
          </w:p>
          <w:p>
            <w:pPr>
              <w:spacing w:after="100" w:line="264"/>
            </w:pPr>
            <w:r>
              <w:rPr>
                <w:rFonts w:ascii="Georgia" w:cs="Georgia" w:eastAsia="Georgia" w:hAnsi="Georgia"/>
                <w:sz w:val="20"/>
                <w:szCs w:val="20"/>
              </w:rPr>
              <w:t xml:space="preserve">e) los indicadores objetivos de seguimiento, con su método de medición y su fuente;</w:t>
            </w:r>
          </w:p>
          <w:p>
            <w:pPr>
              <w:spacing w:after="100" w:line="264"/>
            </w:pPr>
            <w:r>
              <w:rPr>
                <w:rFonts w:ascii="Georgia" w:cs="Georgia" w:eastAsia="Georgia" w:hAnsi="Georgia"/>
                <w:sz w:val="20"/>
                <w:szCs w:val="20"/>
              </w:rPr>
              <w:t xml:space="preserve">f) cuando este contrato incorpore la bolsa de servicios evolutivos de la cláusula [ADM-3], el estado de consumo de la bolsa en el ejercicio, desglosado por perfil profesional del Cuadro de Precios Unitarios y por clase de petición de servicio, y el saldo no consumido.</w:t>
            </w:r>
          </w:p>
          <w:p>
            <w:pPr>
              <w:pStyle w:val="ListParagraph"/>
              <w:numPr>
                <w:ilvl w:val="0"/>
                <w:numId w:val="2"/>
              </w:numPr>
              <w:spacing w:after="60" w:line="264"/>
            </w:pPr>
            <w:r>
              <w:rPr>
                <w:rFonts w:ascii="Georgia" w:cs="Georgia" w:eastAsia="Georgia" w:hAnsi="Georgia"/>
                <w:b/>
                <w:bCs/>
                <w:sz w:val="20"/>
                <w:szCs w:val="20"/>
              </w:rPr>
              <w:t xml:space="preserve">Presentación y aprobación.</w:t>
            </w:r>
            <w:r>
              <w:rPr>
                <w:rFonts w:ascii="Georgia" w:cs="Georgia" w:eastAsia="Georgia" w:hAnsi="Georgia"/>
                <w:sz w:val="20"/>
                <w:szCs w:val="20"/>
              </w:rPr>
              <w:t xml:space="preserve"> El primer Plan se presentará en el plazo de </w:t>
            </w:r>
            <w:r>
              <w:rPr>
                <w:rFonts w:ascii="Georgia" w:cs="Georgia" w:eastAsia="Georgia" w:hAnsi="Georgia"/>
                <w:b/>
                <w:bCs/>
                <w:sz w:val="20"/>
                <w:szCs w:val="20"/>
              </w:rPr>
              <w:t xml:space="preserve">[X; se recomienda 60] días naturales</w:t>
            </w:r>
            <w:r>
              <w:rPr>
                <w:rFonts w:ascii="Georgia" w:cs="Georgia" w:eastAsia="Georgia" w:hAnsi="Georgia"/>
                <w:sz w:val="20"/>
                <w:szCs w:val="20"/>
              </w:rPr>
              <w:t xml:space="preserve"> desde la formalización del contrato, y se actualizará dentro de los </w:t>
            </w:r>
            <w:r>
              <w:rPr>
                <w:rFonts w:ascii="Georgia" w:cs="Georgia" w:eastAsia="Georgia" w:hAnsi="Georgia"/>
                <w:b/>
                <w:bCs/>
                <w:sz w:val="20"/>
                <w:szCs w:val="20"/>
              </w:rPr>
              <w:t xml:space="preserve">[X; se recomienda 60] días naturales</w:t>
            </w:r>
            <w:r>
              <w:rPr>
                <w:rFonts w:ascii="Georgia" w:cs="Georgia" w:eastAsia="Georgia" w:hAnsi="Georgia"/>
                <w:sz w:val="20"/>
                <w:szCs w:val="20"/>
              </w:rPr>
              <w:t xml:space="preserve"> siguientes al inicio de cada anualidad. El órgano de contratación, previo informe del responsable del contrato, aprobará expresamente </w:t>
            </w:r>
            <w:r>
              <w:rPr>
                <w:rFonts w:ascii="Georgia" w:cs="Georgia" w:eastAsia="Georgia" w:hAnsi="Georgia"/>
                <w:b/>
                <w:bCs/>
                <w:sz w:val="20"/>
                <w:szCs w:val="20"/>
              </w:rPr>
              <w:t xml:space="preserve">los hitos del apartado 2.d)</w:t>
            </w:r>
            <w:r>
              <w:rPr>
                <w:rFonts w:ascii="Georgia" w:cs="Georgia" w:eastAsia="Georgia" w:hAnsi="Georgia"/>
                <w:sz w:val="20"/>
                <w:szCs w:val="20"/>
              </w:rPr>
              <w:t xml:space="preserve"> que asuma, con su fecha cierta, mediante acta de la Comisión de Seguimiento. </w:t>
            </w:r>
            <w:r>
              <w:rPr>
                <w:rFonts w:ascii="Georgia" w:cs="Georgia" w:eastAsia="Georgia" w:hAnsi="Georgia"/>
                <w:b/>
                <w:bCs/>
                <w:sz w:val="20"/>
                <w:szCs w:val="20"/>
              </w:rPr>
              <w:t xml:space="preserve">Sólo los hitos así aprobados, con fecha cierta en acta, adquieren carácter esencial</w:t>
            </w:r>
            <w:r>
              <w:rPr>
                <w:rFonts w:ascii="Georgia" w:cs="Georgia" w:eastAsia="Georgia" w:hAnsi="Georgia"/>
                <w:sz w:val="20"/>
                <w:szCs w:val="20"/>
              </w:rPr>
              <w:t xml:space="preserve">, en los términos de la cláusula [ADM-6], bloque B. El resto del contenido del Plan no tiene carácter esencial.</w:t>
            </w:r>
          </w:p>
          <w:p>
            <w:pPr>
              <w:pStyle w:val="ListParagraph"/>
              <w:numPr>
                <w:ilvl w:val="0"/>
                <w:numId w:val="2"/>
              </w:numPr>
              <w:spacing w:after="60" w:line="264"/>
            </w:pPr>
            <w:r>
              <w:rPr>
                <w:rFonts w:ascii="Georgia" w:cs="Georgia" w:eastAsia="Georgia" w:hAnsi="Georgia"/>
                <w:b/>
                <w:bCs/>
                <w:sz w:val="20"/>
                <w:szCs w:val="20"/>
              </w:rPr>
              <w:t xml:space="preserve">Comunicación de versiones sucesoras.</w:t>
            </w:r>
            <w:r>
              <w:rPr>
                <w:rFonts w:ascii="Georgia" w:cs="Georgia" w:eastAsia="Georgia" w:hAnsi="Georgia"/>
                <w:sz w:val="20"/>
                <w:szCs w:val="20"/>
              </w:rPr>
              <w:t xml:space="preserve"> El adjudicatario comunicará al Ayuntamiento la publicación de cada versión sucesora en el plazo de </w:t>
            </w:r>
            <w:r>
              <w:rPr>
                <w:rFonts w:ascii="Georgia" w:cs="Georgia" w:eastAsia="Georgia" w:hAnsi="Georgia"/>
                <w:b/>
                <w:bCs/>
                <w:sz w:val="20"/>
                <w:szCs w:val="20"/>
              </w:rPr>
              <w:t xml:space="preserve">[X; se recomienda 30] días naturales</w:t>
            </w:r>
            <w:r>
              <w:rPr>
                <w:rFonts w:ascii="Georgia" w:cs="Georgia" w:eastAsia="Georgia" w:hAnsi="Georgia"/>
                <w:sz w:val="20"/>
                <w:szCs w:val="20"/>
              </w:rPr>
              <w:t xml:space="preserve"> desde su disponibilidad general, acompañando la documentación del fabricante que acredite cualquiera de los tres criterios del apartado 2.b).</w:t>
            </w:r>
          </w:p>
          <w:p>
            <w:pPr>
              <w:pStyle w:val="ListParagraph"/>
              <w:numPr>
                <w:ilvl w:val="0"/>
                <w:numId w:val="2"/>
              </w:numPr>
              <w:spacing w:after="60" w:line="264"/>
            </w:pPr>
            <w:r>
              <w:rPr>
                <w:rFonts w:ascii="Georgia" w:cs="Georgia" w:eastAsia="Georgia" w:hAnsi="Georgia"/>
                <w:b/>
                <w:bCs/>
                <w:sz w:val="20"/>
                <w:szCs w:val="20"/>
              </w:rPr>
              <w:t xml:space="preserve">Límite.</w:t>
            </w:r>
            <w:r>
              <w:rPr>
                <w:rFonts w:ascii="Georgia" w:cs="Georgia" w:eastAsia="Georgia" w:hAnsi="Georgia"/>
                <w:sz w:val="20"/>
                <w:szCs w:val="20"/>
              </w:rPr>
              <w:t xml:space="preserve"> Ninguna previsión de este Plan podrá invocarse para exigir al adjudicatario prestaciones no comprendidas en el Anexo de Exigencias Tecnológicas incorporado a este contrato. Lo que exceda de dicho Anexo se tramitará, en su caso, por la vía de los artículos 203 y 204 de la LCSP o en la licitación siguiente.</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PCAP, cláusula de condiciones especiales de ejecución, </w:t>
      </w:r>
      <w:r>
        <w:rPr>
          <w:rFonts w:ascii="Calibri" w:cs="Calibri" w:eastAsia="Calibri" w:hAnsi="Calibri"/>
          <w:b/>
          <w:bCs/>
          <w:sz w:val="21"/>
          <w:szCs w:val="21"/>
        </w:rPr>
        <w:t xml:space="preserve">y en el anuncio de licitación</w:t>
      </w:r>
      <w:r>
        <w:rPr>
          <w:rFonts w:ascii="Calibri" w:cs="Calibri" w:eastAsia="Calibri" w:hAnsi="Calibri"/>
          <w:sz w:val="21"/>
          <w:szCs w:val="21"/>
        </w:rPr>
        <w:t xml:space="preserve"> (art. 202.1 LCSP: las condiciones especiales de ejecución se indican en el anuncio y en los pliegos, y su omisión en el anuncio es un defecto que no se subsana después). El modelo de Plan Anual es el </w:t>
      </w:r>
      <w:r>
        <w:rPr>
          <w:rFonts w:ascii="Calibri" w:cs="Calibri" w:eastAsia="Calibri" w:hAnsi="Calibri"/>
          <w:b/>
          <w:bCs/>
          <w:sz w:val="21"/>
          <w:szCs w:val="21"/>
        </w:rPr>
        <w:t xml:space="preserve">Anexo XIV</w:t>
      </w:r>
      <w:r>
        <w:rPr>
          <w:rFonts w:ascii="Calibri" w:cs="Calibri" w:eastAsia="Calibri" w:hAnsi="Calibri"/>
          <w:sz w:val="21"/>
          <w:szCs w:val="21"/>
        </w:rPr>
        <w:t xml:space="preserve"> de este catálogo, y se incorpora como anexo del PCAP. La aprobación expresa de hitos se documenta en el acta de la Comisión de Seguimiento de ADM-4·v3.</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sz w:val="21"/>
          <w:szCs w:val="21"/>
        </w:rPr>
        <w:t xml:space="preserve">Art. 62 LCSP (responsable del contrato y supervisión de la ejecución) y art. 202 LCSP en relación con el Anexo de Exigencias Tecnológicas, cuando el contrato lo incorpore. La exigencia de que sólo los hitos aprobados y con fecha cierta puedan ser esenciales deriva del art. 211.1.f).2.º LCSP, que obliga a que las obligaciones esenciales figuren «enumeradas de manera precisa, clara e inequívoca en los pliegos […] no siendo admisibles cláusulas de tipo general». Calificar como esencial «el cumplimiento de un plan» redactado por el propio adjudicatario es el supuesto de manual de cláusula de tipo general.</w:t>
      </w:r>
    </w:p>
    <w:p>
      <w:pPr>
        <w:pStyle w:val="Heading3"/>
        <w:keepNext/>
        <w:spacing w:after="140" w:before="320"/>
      </w:pPr>
      <w:r>
        <w:rPr>
          <w:rFonts w:ascii="Georgia" w:cs="Georgia" w:eastAsia="Georgia" w:hAnsi="Georgia"/>
          <w:b/>
          <w:bCs/>
          <w:color w:val="2F5496"/>
          <w:sz w:val="22"/>
          <w:szCs w:val="22"/>
        </w:rPr>
        <w:t xml:space="preserve">4. Cómo se acredita</w:t>
      </w:r>
    </w:p>
    <w:p>
      <w:pPr>
        <w:spacing w:after="140" w:line="276"/>
      </w:pPr>
      <w:r>
        <w:rPr>
          <w:rFonts w:ascii="Calibri" w:cs="Calibri" w:eastAsia="Calibri" w:hAnsi="Calibri"/>
          <w:sz w:val="21"/>
          <w:szCs w:val="21"/>
        </w:rPr>
        <w:t xml:space="preserve">Medios tasados: (a) el propio Plan, presentado en plazo y en el modelo del Anexo XIV; (b) acta de la Comisión de Seguimiento que aprueba los hitos; (c) certificado o nota técnica del fabricante que acredite la condición de versión sucesora conforme a cualquiera de los tres criterios; (d) acta de despliegue en el entorno de preproducción. La ausencia de estos medios no se suple por apreciación discrecional del Ayuntamiento.</w:t>
      </w:r>
    </w:p>
    <w:p>
      <w:pPr>
        <w:pStyle w:val="Heading3"/>
        <w:keepNext/>
        <w:spacing w:after="140" w:before="320"/>
      </w:pPr>
      <w:r>
        <w:rPr>
          <w:rFonts w:ascii="Georgia" w:cs="Georgia" w:eastAsia="Georgia" w:hAnsi="Georgia"/>
          <w:b/>
          <w:bCs/>
          <w:color w:val="2F5496"/>
          <w:sz w:val="22"/>
          <w:szCs w:val="22"/>
        </w:rPr>
        <w:t xml:space="preserve">5. Cómo se verifica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Cuándo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 qué documento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 recibir cada Plan, dentro de los </w:t>
            </w:r>
            <w:r>
              <w:rPr>
                <w:rFonts w:ascii="Calibri" w:cs="Calibri" w:eastAsia="Calibri" w:hAnsi="Calibri"/>
                <w:b/>
                <w:bCs/>
                <w:sz w:val="18"/>
                <w:szCs w:val="18"/>
              </w:rPr>
              <w:t xml:space="preserve">[X; se recomienda 30] días</w:t>
            </w:r>
            <w:r>
              <w:rPr>
                <w:rFonts w:ascii="Calibri" w:cs="Calibri" w:eastAsia="Calibri" w:hAnsi="Calibri"/>
                <w:b w:val="false"/>
                <w:bCs w:val="false"/>
                <w:sz w:val="18"/>
                <w:szCs w:val="18"/>
              </w:rPr>
              <w:t xml:space="preserve"> siguientes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conformidad o de reparos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Comisión de Seguimiento (ADM-4·v3)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vez al 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con la aprobación expresa de hitos y sus fechas ciertas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 recibir cada comunicación de versión sucesora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Anotación en el expediente, con la documentación del fabricante</w:t>
            </w:r>
          </w:p>
        </w:tc>
      </w:tr>
    </w:tbl>
    <w:p>
      <w:pPr>
        <w:spacing w:after="200"/>
      </w:pPr>
    </w:p>
    <w:p>
      <w:pPr>
        <w:spacing w:after="140" w:line="276"/>
      </w:pPr>
      <w:r>
        <w:rPr>
          <w:rFonts w:ascii="Calibri" w:cs="Calibri" w:eastAsia="Calibri" w:hAnsi="Calibri"/>
          <w:b/>
          <w:bCs/>
          <w:sz w:val="21"/>
          <w:szCs w:val="21"/>
        </w:rPr>
        <w:t xml:space="preserve">Carga estimada.</w:t>
      </w:r>
      <w:r>
        <w:rPr>
          <w:rFonts w:ascii="Calibri" w:cs="Calibri" w:eastAsia="Calibri" w:hAnsi="Calibri"/>
          <w:sz w:val="21"/>
          <w:szCs w:val="21"/>
        </w:rPr>
        <w:t xml:space="preserve"> 3 horas al año de revisión del Plan y 2 horas de sesión de la Comisión. Entre 1 y 2 horas por cada comunicación de versión sucesora. Total orientativo: 6 a 8 horas al año por contrato.</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pStyle w:val="ListParagraph"/>
        <w:numPr>
          <w:ilvl w:val="0"/>
          <w:numId w:val="1"/>
        </w:numPr>
        <w:spacing w:after="70" w:line="268"/>
      </w:pPr>
      <w:r>
        <w:rPr>
          <w:rFonts w:ascii="Calibri" w:cs="Calibri" w:eastAsia="Calibri" w:hAnsi="Calibri"/>
          <w:b/>
          <w:bCs/>
          <w:sz w:val="21"/>
          <w:szCs w:val="21"/>
        </w:rPr>
        <w:t xml:space="preserve">Falta de presentación del Plan en plazo:</w:t>
      </w:r>
      <w:r>
        <w:rPr>
          <w:rFonts w:ascii="Calibri" w:cs="Calibri" w:eastAsia="Calibri" w:hAnsi="Calibri"/>
          <w:sz w:val="21"/>
          <w:szCs w:val="21"/>
        </w:rPr>
        <w:t xml:space="preserve"> infracción </w:t>
      </w:r>
      <w:r>
        <w:rPr>
          <w:rFonts w:ascii="Calibri" w:cs="Calibri" w:eastAsia="Calibri" w:hAnsi="Calibri"/>
          <w:b/>
          <w:bCs/>
          <w:sz w:val="21"/>
          <w:szCs w:val="21"/>
        </w:rPr>
        <w:t xml:space="preserve">leve</w:t>
      </w:r>
      <w:r>
        <w:rPr>
          <w:rFonts w:ascii="Calibri" w:cs="Calibri" w:eastAsia="Calibri" w:hAnsi="Calibri"/>
          <w:sz w:val="21"/>
          <w:szCs w:val="21"/>
        </w:rPr>
        <w:t xml:space="preserve"> la primera vez; </w:t>
      </w:r>
      <w:r>
        <w:rPr>
          <w:rFonts w:ascii="Calibri" w:cs="Calibri" w:eastAsia="Calibri" w:hAnsi="Calibri"/>
          <w:b/>
          <w:bCs/>
          <w:sz w:val="21"/>
          <w:szCs w:val="21"/>
        </w:rPr>
        <w:t xml:space="preserve">grave</w:t>
      </w:r>
      <w:r>
        <w:rPr>
          <w:rFonts w:ascii="Calibri" w:cs="Calibri" w:eastAsia="Calibri" w:hAnsi="Calibri"/>
          <w:sz w:val="21"/>
          <w:szCs w:val="21"/>
        </w:rPr>
        <w:t xml:space="preserve"> si persiste transcurrido un mes desde requerimiento.</w:t>
      </w:r>
    </w:p>
    <w:p>
      <w:pPr>
        <w:pStyle w:val="ListParagraph"/>
        <w:numPr>
          <w:ilvl w:val="0"/>
          <w:numId w:val="1"/>
        </w:numPr>
        <w:spacing w:after="70" w:line="268"/>
      </w:pPr>
      <w:r>
        <w:rPr>
          <w:rFonts w:ascii="Calibri" w:cs="Calibri" w:eastAsia="Calibri" w:hAnsi="Calibri"/>
          <w:b/>
          <w:bCs/>
          <w:sz w:val="21"/>
          <w:szCs w:val="21"/>
        </w:rPr>
        <w:t xml:space="preserve">Falta de comunicación de una versión sucesora en el plazo del apartado 4:</w:t>
      </w:r>
      <w:r>
        <w:rPr>
          <w:rFonts w:ascii="Calibri" w:cs="Calibri" w:eastAsia="Calibri" w:hAnsi="Calibri"/>
          <w:sz w:val="21"/>
          <w:szCs w:val="21"/>
        </w:rPr>
        <w:t xml:space="preserve"> infracción </w:t>
      </w:r>
      <w:r>
        <w:rPr>
          <w:rFonts w:ascii="Calibri" w:cs="Calibri" w:eastAsia="Calibri" w:hAnsi="Calibri"/>
          <w:b/>
          <w:bCs/>
          <w:sz w:val="21"/>
          <w:szCs w:val="21"/>
        </w:rPr>
        <w:t xml:space="preserve">grave</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b/>
          <w:bCs/>
          <w:sz w:val="21"/>
          <w:szCs w:val="21"/>
        </w:rPr>
        <w:t xml:space="preserve">Incumplimiento de un hito expresamente aprobado con fecha cierta en acta:</w:t>
      </w:r>
      <w:r>
        <w:rPr>
          <w:rFonts w:ascii="Calibri" w:cs="Calibri" w:eastAsia="Calibri" w:hAnsi="Calibri"/>
          <w:sz w:val="21"/>
          <w:szCs w:val="21"/>
        </w:rPr>
        <w:t xml:space="preserve"> infracción </w:t>
      </w:r>
      <w:r>
        <w:rPr>
          <w:rFonts w:ascii="Calibri" w:cs="Calibri" w:eastAsia="Calibri" w:hAnsi="Calibri"/>
          <w:b/>
          <w:bCs/>
          <w:sz w:val="21"/>
          <w:szCs w:val="21"/>
        </w:rPr>
        <w:t xml:space="preserve">muy grave</w:t>
      </w:r>
      <w:r>
        <w:rPr>
          <w:rFonts w:ascii="Calibri" w:cs="Calibri" w:eastAsia="Calibri" w:hAnsi="Calibri"/>
          <w:sz w:val="21"/>
          <w:szCs w:val="21"/>
        </w:rPr>
        <w:t xml:space="preserve">, y </w:t>
      </w:r>
      <w:r>
        <w:rPr>
          <w:rFonts w:ascii="Calibri" w:cs="Calibri" w:eastAsia="Calibri" w:hAnsi="Calibri"/>
          <w:b/>
          <w:bCs/>
          <w:sz w:val="21"/>
          <w:szCs w:val="21"/>
        </w:rPr>
        <w:t xml:space="preserve">obligación esencial: SÍ</w:t>
      </w:r>
      <w:r>
        <w:rPr>
          <w:rFonts w:ascii="Calibri" w:cs="Calibri" w:eastAsia="Calibri" w:hAnsi="Calibri"/>
          <w:sz w:val="21"/>
          <w:szCs w:val="21"/>
        </w:rPr>
        <w:t xml:space="preserve">, por remisión a ADM-6·v3, bloque B.</w:t>
      </w:r>
    </w:p>
    <w:p>
      <w:pPr>
        <w:pStyle w:val="ListParagraph"/>
        <w:numPr>
          <w:ilvl w:val="0"/>
          <w:numId w:val="1"/>
        </w:numPr>
        <w:spacing w:after="70" w:line="268"/>
      </w:pPr>
      <w:r>
        <w:rPr>
          <w:rFonts w:ascii="Calibri" w:cs="Calibri" w:eastAsia="Calibri" w:hAnsi="Calibri"/>
          <w:b/>
          <w:bCs/>
          <w:sz w:val="21"/>
          <w:szCs w:val="21"/>
        </w:rPr>
        <w:t xml:space="preserve">Falta de presentación del Plan durante dos ejercicios consecutivos:</w:t>
      </w:r>
      <w:r>
        <w:rPr>
          <w:rFonts w:ascii="Calibri" w:cs="Calibri" w:eastAsia="Calibri" w:hAnsi="Calibri"/>
          <w:sz w:val="21"/>
          <w:szCs w:val="21"/>
        </w:rPr>
        <w:t xml:space="preserve"> </w:t>
      </w:r>
      <w:r>
        <w:rPr>
          <w:rFonts w:ascii="Calibri" w:cs="Calibri" w:eastAsia="Calibri" w:hAnsi="Calibri"/>
          <w:b/>
          <w:bCs/>
          <w:sz w:val="21"/>
          <w:szCs w:val="21"/>
        </w:rPr>
        <w:t xml:space="preserve">obligación esencial: SÍ</w:t>
      </w:r>
      <w:r>
        <w:rPr>
          <w:rFonts w:ascii="Calibri" w:cs="Calibri" w:eastAsia="Calibri" w:hAnsi="Calibri"/>
          <w:sz w:val="21"/>
          <w:szCs w:val="21"/>
        </w:rPr>
        <w:t xml:space="preserve">, por remisión a ADM-6·v3, bloque B.</w:t>
      </w:r>
    </w:p>
    <w:p>
      <w:pPr>
        <w:spacing w:after="140" w:line="276"/>
      </w:pPr>
      <w:r>
        <w:rPr>
          <w:rFonts w:ascii="Calibri" w:cs="Calibri" w:eastAsia="Calibri" w:hAnsi="Calibri"/>
          <w:sz w:val="21"/>
          <w:szCs w:val="21"/>
        </w:rPr>
        <w:t xml:space="preserve">En lo demás, </w:t>
      </w:r>
      <w:r>
        <w:rPr>
          <w:rFonts w:ascii="Calibri" w:cs="Calibri" w:eastAsia="Calibri" w:hAnsi="Calibri"/>
          <w:b/>
          <w:bCs/>
          <w:sz w:val="21"/>
          <w:szCs w:val="21"/>
        </w:rPr>
        <w:t xml:space="preserve">obligación esencial: NO</w:t>
      </w:r>
      <w:r>
        <w:rPr>
          <w:rFonts w:ascii="Calibri" w:cs="Calibri" w:eastAsia="Calibri" w:hAnsi="Calibri"/>
          <w:sz w:val="21"/>
          <w:szCs w:val="21"/>
        </w:rPr>
        <w:t xml:space="preserve">.</w:t>
      </w:r>
    </w:p>
    <w:p>
      <w:pPr>
        <w:spacing w:after="140" w:line="276"/>
      </w:pPr>
      <w:r>
        <w:rPr>
          <w:rFonts w:ascii="Calibri" w:cs="Calibri" w:eastAsia="Calibri" w:hAnsi="Calibri"/>
          <w:b/>
          <w:bCs/>
          <w:sz w:val="21"/>
          <w:szCs w:val="21"/>
        </w:rPr>
        <w:t xml:space="preserve">Sobre la objeción de responsabilidad por hecho ajeno</w:t>
      </w:r>
      <w:r>
        <w:rPr>
          <w:rFonts w:ascii="Calibri" w:cs="Calibri" w:eastAsia="Calibri" w:hAnsi="Calibri"/>
          <w:sz w:val="21"/>
          <w:szCs w:val="21"/>
        </w:rPr>
        <w:t xml:space="preserve"> (se conserva en este epígrafe porque condiciona la redacción del apartado 2.b) y no debe leerse separada de él). Se alegará que anudar consecuencias a que el fabricante publique una versión sucesora, o a que declare el fin de soporte, es configurar una responsabilidad objetiva por la conducta de un tercero. La objeción se desactiva en la propia redacción: la obligación del adjudicatario </w:t>
      </w:r>
      <w:r>
        <w:rPr>
          <w:rFonts w:ascii="Calibri" w:cs="Calibri" w:eastAsia="Calibri" w:hAnsi="Calibri"/>
          <w:b/>
          <w:bCs/>
          <w:sz w:val="21"/>
          <w:szCs w:val="21"/>
        </w:rPr>
        <w:t xml:space="preserve">no es que exista una versión sucesora</w:t>
      </w:r>
      <w:r>
        <w:rPr>
          <w:rFonts w:ascii="Calibri" w:cs="Calibri" w:eastAsia="Calibri" w:hAnsi="Calibri"/>
          <w:sz w:val="21"/>
          <w:szCs w:val="21"/>
        </w:rPr>
        <w:t xml:space="preserve">, sino que, </w:t>
      </w:r>
      <w:r>
        <w:rPr>
          <w:rFonts w:ascii="Calibri" w:cs="Calibri" w:eastAsia="Calibri" w:hAnsi="Calibri"/>
          <w:b/>
          <w:bCs/>
          <w:sz w:val="21"/>
          <w:szCs w:val="21"/>
        </w:rPr>
        <w:t xml:space="preserve">publicada por el fabricante, la comunique y la ponga a disposición del Ayuntamiento</w:t>
      </w:r>
      <w:r>
        <w:rPr>
          <w:rFonts w:ascii="Calibri" w:cs="Calibri" w:eastAsia="Calibri" w:hAnsi="Calibri"/>
          <w:sz w:val="21"/>
          <w:szCs w:val="21"/>
        </w:rPr>
        <w:t xml:space="preserve">. Eso es una conducta suya, íntegramente bajo su control, y su incumplimiento es culpable. Si el fabricante no publica versión alguna, no hay obligación que incumplir ni consecuencia que imponer. La redacción del apartado 2.b) debe conservarse literalmente por esta razón, y no admite la variante «mantener la solución actualizada al estado del arte», que sí traslada al contratista un hecho ajeno.</w:t>
      </w: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sz w:val="21"/>
          <w:szCs w:val="21"/>
        </w:rPr>
        <w:t xml:space="preserve">Contratos que no incorporen el Anexo de Exigencias Tecnológicas Determinadas: sin catálogo, el Plan carece de alcance y se marca NO APLICA.</w:t>
      </w:r>
    </w:p>
    <w:p>
      <w:pPr>
        <w:pStyle w:val="ListParagraph"/>
        <w:numPr>
          <w:ilvl w:val="0"/>
          <w:numId w:val="1"/>
        </w:numPr>
        <w:spacing w:after="70" w:line="268"/>
      </w:pPr>
      <w:r>
        <w:rPr>
          <w:rFonts w:ascii="Calibri" w:cs="Calibri" w:eastAsia="Calibri" w:hAnsi="Calibri"/>
          <w:sz w:val="21"/>
          <w:szCs w:val="21"/>
        </w:rPr>
        <w:t xml:space="preserve">Contratos de duración igual o inferior a </w:t>
      </w:r>
      <w:r>
        <w:rPr>
          <w:rFonts w:ascii="Calibri" w:cs="Calibri" w:eastAsia="Calibri" w:hAnsi="Calibri"/>
          <w:b/>
          <w:bCs/>
          <w:sz w:val="21"/>
          <w:szCs w:val="21"/>
        </w:rPr>
        <w:t xml:space="preserve">[X; se recomienda 12] meses</w:t>
      </w:r>
      <w:r>
        <w:rPr>
          <w:rFonts w:ascii="Calibri" w:cs="Calibri" w:eastAsia="Calibri" w:hAnsi="Calibri"/>
          <w:sz w:val="21"/>
          <w:szCs w:val="21"/>
        </w:rPr>
        <w:t xml:space="preserve"> sin prórroga: no hay anualidad que planificar.</w:t>
      </w:r>
    </w:p>
    <w:p>
      <w:pPr>
        <w:pStyle w:val="ListParagraph"/>
        <w:numPr>
          <w:ilvl w:val="0"/>
          <w:numId w:val="1"/>
        </w:numPr>
        <w:spacing w:after="70" w:line="268"/>
      </w:pPr>
      <w:r>
        <w:rPr>
          <w:rFonts w:ascii="Calibri" w:cs="Calibri" w:eastAsia="Calibri" w:hAnsi="Calibri"/>
          <w:sz w:val="21"/>
          <w:szCs w:val="21"/>
        </w:rPr>
        <w:t xml:space="preserve">Contratos de suministro de bienes sin componente de mantenimiento evolutivo.</w:t>
      </w:r>
    </w:p>
    <w:p>
      <w:pPr>
        <w:pStyle w:val="ListParagraph"/>
        <w:numPr>
          <w:ilvl w:val="0"/>
          <w:numId w:val="1"/>
        </w:numPr>
        <w:spacing w:after="70" w:line="268"/>
      </w:pPr>
      <w:r>
        <w:rPr>
          <w:rFonts w:ascii="Calibri" w:cs="Calibri" w:eastAsia="Calibri" w:hAnsi="Calibri"/>
          <w:sz w:val="21"/>
          <w:szCs w:val="21"/>
        </w:rPr>
        <w:t xml:space="preserve">Contratos menores, basados en acuerdo marco y prórrogas de contratos vigentes en los que no quepa introducir obligaciones nuevas.</w:t>
      </w:r>
    </w:p>
    <w:p>
      <w:pPr>
        <w:spacing w:after="140" w:line="276"/>
      </w:pPr>
      <w:r>
        <w:rPr>
          <w:rFonts w:ascii="Calibri" w:cs="Calibri" w:eastAsia="Calibri" w:hAnsi="Calibri"/>
          <w:b/>
          <w:bCs/>
          <w:sz w:val="21"/>
          <w:szCs w:val="21"/>
        </w:rPr>
        <w:t xml:space="preserve">Si esta cláusula se marca NO APLICA, arrastra:</w:t>
      </w:r>
      <w:r>
        <w:rPr>
          <w:rFonts w:ascii="Calibri" w:cs="Calibri" w:eastAsia="Calibri" w:hAnsi="Calibri"/>
          <w:sz w:val="21"/>
          <w:szCs w:val="21"/>
        </w:rPr>
        <w:t xml:space="preserve"> el modelo de Plan Anual del Anexo XIV, el apartado correspondiente del Anexo VII (declaración responsable), la fila correspondiente del cuadro de penalidades de ADM-5·v3 y los dos guiones correspondientes del bloque B de ADM-6·v3. </w:t>
      </w:r>
      <w:r>
        <w:rPr>
          <w:rFonts w:ascii="Calibri" w:cs="Calibri" w:eastAsia="Calibri" w:hAnsi="Calibri"/>
          <w:b/>
          <w:bCs/>
          <w:sz w:val="21"/>
          <w:szCs w:val="21"/>
        </w:rPr>
        <w:t xml:space="preserve">No arrastra ningún criterio del baremo</w:t>
      </w:r>
      <w:r>
        <w:rPr>
          <w:rFonts w:ascii="Calibri" w:cs="Calibri" w:eastAsia="Calibri" w:hAnsi="Calibri"/>
          <w:sz w:val="21"/>
          <w:szCs w:val="21"/>
        </w:rPr>
        <w:t xml:space="preserve">: ninguno de los criterios de ADM-7·v3 mide su cumplimiento a través del Plan.</w:t>
      </w:r>
    </w:p>
    <w:p>
      <w:pPr>
        <w:pStyle w:val="Heading3"/>
        <w:keepNext/>
        <w:spacing w:after="140" w:before="320"/>
      </w:pPr>
      <w:r>
        <w:rPr>
          <w:rFonts w:ascii="Georgia" w:cs="Georgia" w:eastAsia="Georgia" w:hAnsi="Georgia"/>
          <w:b/>
          <w:bCs/>
          <w:color w:val="2F5496"/>
          <w:sz w:val="22"/>
          <w:szCs w:val="22"/>
        </w:rPr>
        <w:t xml:space="preserve">Nota al redactor · Por qué la cláusula se degrada y qué desaparece de ella</w:t>
      </w:r>
    </w:p>
    <w:p>
      <w:pPr>
        <w:spacing w:after="140" w:line="276"/>
      </w:pPr>
      <w:r>
        <w:rPr>
          <w:rFonts w:ascii="Calibri" w:cs="Calibri" w:eastAsia="Calibri" w:hAnsi="Calibri"/>
          <w:sz w:val="21"/>
          <w:szCs w:val="21"/>
        </w:rPr>
        <w:t xml:space="preserve">Deja de ser fuente autónoma de obligaciones esenciales y se convierte en un instrumento de seguimiento anclado al catálogo del ejercicio (Anexo V). Desaparece del articulado todo vocabulario carente de definición normalizada: no es verificable en un procedimiento contradictorio y, sin verificabilidad, no sostiene ni un criterio, ni una penalidad, ni una resolución. Incorpora la modificación 7 del documento de propuestas —versiones sucesoras— con su definición triple, que sí es comprobable con documentación del propio fabricante.</w:t>
      </w:r>
    </w:p>
    <w:p>
      <w:pPr>
        <w:spacing w:after="140" w:line="276"/>
      </w:pPr>
      <w:r>
        <w:rPr>
          <w:rFonts w:ascii="Calibri" w:cs="Calibri" w:eastAsia="Calibri" w:hAnsi="Calibri"/>
          <w:b/>
          <w:bCs/>
          <w:sz w:val="21"/>
          <w:szCs w:val="21"/>
        </w:rPr>
        <w:t xml:space="preserve">Es además la sede única del Plan Anual de Evolución Tecnológica.</w:t>
      </w:r>
      <w:r>
        <w:rPr>
          <w:rFonts w:ascii="Calibri" w:cs="Calibri" w:eastAsia="Calibri" w:hAnsi="Calibri"/>
          <w:sz w:val="21"/>
          <w:szCs w:val="21"/>
        </w:rPr>
        <w:t xml:space="preserve"> La versión anterior lo regulaba a la vez aquí y en ADM-3·v3, con dos nombres, dos plazos y dos contenidos, mientras el resto del documento lo citaba con un solo nombre. ADM-3·v3 queda con los plazos de adaptación y la bolsa de servicios evolutivos; el Plan vive aquí, con un único plazo: </w:t>
      </w:r>
      <w:r>
        <w:rPr>
          <w:rFonts w:ascii="Calibri" w:cs="Calibri" w:eastAsia="Calibri" w:hAnsi="Calibri"/>
          <w:b/>
          <w:bCs/>
          <w:sz w:val="21"/>
          <w:szCs w:val="21"/>
        </w:rPr>
        <w:t xml:space="preserve">60 días naturales desde la formalización</w:t>
      </w:r>
      <w:r>
        <w:rPr>
          <w:rFonts w:ascii="Calibri" w:cs="Calibri" w:eastAsia="Calibri" w:hAnsi="Calibri"/>
          <w:sz w:val="21"/>
          <w:szCs w:val="21"/>
        </w:rPr>
        <w:t xml:space="preserve"> para el primero y </w:t>
      </w:r>
      <w:r>
        <w:rPr>
          <w:rFonts w:ascii="Calibri" w:cs="Calibri" w:eastAsia="Calibri" w:hAnsi="Calibri"/>
          <w:b/>
          <w:bCs/>
          <w:sz w:val="21"/>
          <w:szCs w:val="21"/>
        </w:rPr>
        <w:t xml:space="preserve">60 días naturales desde el inicio de cada anualidad</w:t>
      </w:r>
      <w:r>
        <w:rPr>
          <w:rFonts w:ascii="Calibri" w:cs="Calibri" w:eastAsia="Calibri" w:hAnsi="Calibri"/>
          <w:sz w:val="21"/>
          <w:szCs w:val="21"/>
        </w:rPr>
        <w:t xml:space="preserve"> para las actualizaciones.</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III.11 · ADM-11·v3 — Depósito de código y continuidad ante insolvencia</w:t>
      </w:r>
    </w:p>
    <w:p>
      <w:pPr>
        <w:spacing w:after="140" w:line="276"/>
      </w:pPr>
      <w:r>
        <w:rPr>
          <w:rFonts w:ascii="Calibri" w:cs="Calibri" w:eastAsia="Calibri" w:hAnsi="Calibri"/>
          <w:i/>
          <w:iCs/>
          <w:sz w:val="21"/>
          <w:szCs w:val="21"/>
        </w:rPr>
        <w:t xml:space="preserve">(Cláusula nueva. </w:t>
      </w:r>
      <w:r>
        <w:rPr>
          <w:rFonts w:ascii="Calibri" w:cs="Calibri" w:eastAsia="Calibri" w:hAnsi="Calibri"/>
          <w:i/>
          <w:iCs/>
          <w:sz w:val="21"/>
          <w:szCs w:val="21"/>
        </w:rPr>
        <w:t xml:space="preserve">NO APLICA por defecto</w:t>
      </w:r>
      <w:r>
        <w:rPr>
          <w:rFonts w:ascii="Calibri" w:cs="Calibri" w:eastAsia="Calibri" w:hAnsi="Calibri"/>
          <w:i/>
          <w:iCs/>
          <w:sz w:val="21"/>
          <w:szCs w:val="21"/>
        </w:rPr>
        <w:t xml:space="preserve">: sólo se incorpora si concurren las cuatro circunstancias acumulativas de su apartado 1. Es previsión de nueva planta, sin doctrina que la respalde; la advertencia que debe reproducirse en la memoria justificativa y las dos cautelas que condicionan su redacción están en la nota al redactor, al final de la cláusula.)</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Depósito de código y continuidad del servicio.</w:t>
            </w:r>
          </w:p>
          <w:p>
            <w:pPr>
              <w:pStyle w:val="ListParagraph"/>
              <w:numPr>
                <w:ilvl w:val="0"/>
                <w:numId w:val="2"/>
              </w:numPr>
              <w:spacing w:after="60" w:line="264"/>
            </w:pPr>
            <w:r>
              <w:rPr>
                <w:rFonts w:ascii="Georgia" w:cs="Georgia" w:eastAsia="Georgia" w:hAnsi="Georgia"/>
                <w:b/>
                <w:bCs/>
                <w:sz w:val="20"/>
                <w:szCs w:val="20"/>
              </w:rPr>
              <w:t xml:space="preserve">Ámbito.</w:t>
            </w:r>
            <w:r>
              <w:rPr>
                <w:rFonts w:ascii="Georgia" w:cs="Georgia" w:eastAsia="Georgia" w:hAnsi="Georgia"/>
                <w:sz w:val="20"/>
                <w:szCs w:val="20"/>
              </w:rPr>
              <w:t xml:space="preserve"> Esta cláusula sólo se incorpora cuando concurran </w:t>
            </w:r>
            <w:r>
              <w:rPr>
                <w:rFonts w:ascii="Georgia" w:cs="Georgia" w:eastAsia="Georgia" w:hAnsi="Georgia"/>
                <w:b/>
                <w:bCs/>
                <w:sz w:val="20"/>
                <w:szCs w:val="20"/>
              </w:rPr>
              <w:t xml:space="preserve">todas</w:t>
            </w:r>
            <w:r>
              <w:rPr>
                <w:rFonts w:ascii="Georgia" w:cs="Georgia" w:eastAsia="Georgia" w:hAnsi="Georgia"/>
                <w:sz w:val="20"/>
                <w:szCs w:val="20"/>
              </w:rPr>
              <w:t xml:space="preserve"> las circunstancias siguientes, acreditadas en la memoria justificativa del expediente:</w:t>
            </w:r>
          </w:p>
          <w:p>
            <w:pPr>
              <w:spacing w:after="100" w:line="264"/>
            </w:pPr>
            <w:r>
              <w:rPr>
                <w:rFonts w:ascii="Georgia" w:cs="Georgia" w:eastAsia="Georgia" w:hAnsi="Georgia"/>
                <w:sz w:val="20"/>
                <w:szCs w:val="20"/>
              </w:rPr>
              <w:t xml:space="preserve">a) que el sistema soportado tenga categoría </w:t>
            </w:r>
            <w:r>
              <w:rPr>
                <w:rFonts w:ascii="Georgia" w:cs="Georgia" w:eastAsia="Georgia" w:hAnsi="Georgia"/>
                <w:b/>
                <w:bCs/>
                <w:sz w:val="20"/>
                <w:szCs w:val="20"/>
              </w:rPr>
              <w:t xml:space="preserve">ALTA en la dimensión de disponibilidad</w:t>
            </w:r>
            <w:r>
              <w:rPr>
                <w:rFonts w:ascii="Georgia" w:cs="Georgia" w:eastAsia="Georgia" w:hAnsi="Georgia"/>
                <w:sz w:val="20"/>
                <w:szCs w:val="20"/>
              </w:rPr>
              <w:t xml:space="preserve"> conforme al anexo I del Real Decreto 311/2022;</w:t>
            </w:r>
          </w:p>
          <w:p>
            <w:pPr>
              <w:spacing w:after="100" w:line="264"/>
            </w:pPr>
            <w:r>
              <w:rPr>
                <w:rFonts w:ascii="Georgia" w:cs="Georgia" w:eastAsia="Georgia" w:hAnsi="Georgia"/>
                <w:sz w:val="20"/>
                <w:szCs w:val="20"/>
              </w:rPr>
              <w:t xml:space="preserve">b) que el valor estimado del contrato supere </w:t>
            </w:r>
            <w:r>
              <w:rPr>
                <w:rFonts w:ascii="Georgia" w:cs="Georgia" w:eastAsia="Georgia" w:hAnsi="Georgia"/>
                <w:b/>
                <w:bCs/>
                <w:sz w:val="20"/>
                <w:szCs w:val="20"/>
              </w:rPr>
              <w:t xml:space="preserve">[X; se recomienda 300.000] euros</w:t>
            </w:r>
            <w:r>
              <w:rPr>
                <w:rFonts w:ascii="Georgia" w:cs="Georgia" w:eastAsia="Georgia" w:hAnsi="Georgia"/>
                <w:sz w:val="20"/>
                <w:szCs w:val="20"/>
              </w:rPr>
              <w:t xml:space="preserve">;</w:t>
            </w:r>
          </w:p>
          <w:p>
            <w:pPr>
              <w:spacing w:after="100" w:line="264"/>
            </w:pPr>
            <w:r>
              <w:rPr>
                <w:rFonts w:ascii="Georgia" w:cs="Georgia" w:eastAsia="Georgia" w:hAnsi="Georgia"/>
                <w:sz w:val="20"/>
                <w:szCs w:val="20"/>
              </w:rPr>
              <w:t xml:space="preserve">c) que el objeto del contrato soporte alguno de los siguientes servicios: padrón, gestión tributaria, recaudación, contabilidad y patrimonio, gestión de expedientes o sede electrónica;</w:t>
            </w:r>
          </w:p>
          <w:p>
            <w:pPr>
              <w:spacing w:after="100" w:line="264"/>
            </w:pPr>
            <w:r>
              <w:rPr>
                <w:rFonts w:ascii="Georgia" w:cs="Georgia" w:eastAsia="Georgia" w:hAnsi="Georgia"/>
                <w:sz w:val="20"/>
                <w:szCs w:val="20"/>
              </w:rPr>
              <w:t xml:space="preserve">d) que el estudio de mercado del expediente acredite que </w:t>
            </w:r>
            <w:r>
              <w:rPr>
                <w:rFonts w:ascii="Georgia" w:cs="Georgia" w:eastAsia="Georgia" w:hAnsi="Georgia"/>
                <w:b/>
                <w:bCs/>
                <w:sz w:val="20"/>
                <w:szCs w:val="20"/>
              </w:rPr>
              <w:t xml:space="preserve">no existe en el mercado una solución alternativa que permita sustituir la contratada en un plazo inferior a [X; se recomienda 6] meses</w:t>
            </w:r>
            <w:r>
              <w:rPr>
                <w:rFonts w:ascii="Georgia" w:cs="Georgia" w:eastAsia="Georgia" w:hAnsi="Georgia"/>
                <w:sz w:val="20"/>
                <w:szCs w:val="20"/>
              </w:rPr>
              <w:t xml:space="preserve"> sin interrupción del servicio.</w:t>
            </w:r>
          </w:p>
          <w:p>
            <w:pPr>
              <w:spacing w:after="100" w:line="264"/>
            </w:pPr>
            <w:r>
              <w:rPr>
                <w:rFonts w:ascii="Georgia" w:cs="Georgia" w:eastAsia="Georgia" w:hAnsi="Georgia"/>
                <w:sz w:val="20"/>
                <w:szCs w:val="20"/>
              </w:rPr>
              <w:t xml:space="preserve">En defecto de cualquiera de ellas, esta cláusula se marcará como NO APLICA.</w:t>
            </w:r>
          </w:p>
          <w:p>
            <w:pPr>
              <w:pStyle w:val="ListParagraph"/>
              <w:numPr>
                <w:ilvl w:val="0"/>
                <w:numId w:val="2"/>
              </w:numPr>
              <w:spacing w:after="60" w:line="264"/>
            </w:pPr>
            <w:r>
              <w:rPr>
                <w:rFonts w:ascii="Georgia" w:cs="Georgia" w:eastAsia="Georgia" w:hAnsi="Georgia"/>
                <w:b/>
                <w:bCs/>
                <w:sz w:val="20"/>
                <w:szCs w:val="20"/>
              </w:rPr>
              <w:t xml:space="preserve">Contenido del depósito.</w:t>
            </w:r>
            <w:r>
              <w:rPr>
                <w:rFonts w:ascii="Georgia" w:cs="Georgia" w:eastAsia="Georgia" w:hAnsi="Georgia"/>
                <w:sz w:val="20"/>
                <w:szCs w:val="20"/>
              </w:rPr>
              <w:t xml:space="preserve"> El depósito comprenderá: el código fuente de la solución y de los desarrollos específicos; sus dependencias y </w:t>
            </w:r>
            <w:r>
              <w:rPr>
                <w:rFonts w:ascii="Georgia" w:cs="Georgia" w:eastAsia="Georgia" w:hAnsi="Georgia"/>
                <w:i/>
                <w:iCs/>
                <w:sz w:val="20"/>
                <w:szCs w:val="20"/>
              </w:rPr>
              <w:t xml:space="preserve">scripts</w:t>
            </w:r>
            <w:r>
              <w:rPr>
                <w:rFonts w:ascii="Georgia" w:cs="Georgia" w:eastAsia="Georgia" w:hAnsi="Georgia"/>
                <w:sz w:val="20"/>
                <w:szCs w:val="20"/>
              </w:rPr>
              <w:t xml:space="preserve"> de construcción; la infraestructura como código; el esquema de la base de datos y sus </w:t>
            </w:r>
            <w:r>
              <w:rPr>
                <w:rFonts w:ascii="Georgia" w:cs="Georgia" w:eastAsia="Georgia" w:hAnsi="Georgia"/>
                <w:i/>
                <w:iCs/>
                <w:sz w:val="20"/>
                <w:szCs w:val="20"/>
              </w:rPr>
              <w:t xml:space="preserve">scripts</w:t>
            </w:r>
            <w:r>
              <w:rPr>
                <w:rFonts w:ascii="Georgia" w:cs="Georgia" w:eastAsia="Georgia" w:hAnsi="Georgia"/>
                <w:sz w:val="20"/>
                <w:szCs w:val="20"/>
              </w:rPr>
              <w:t xml:space="preserve"> de migración; la documentación de construcción y despliegue; el procedimiento de gestión de credenciales —</w:t>
            </w:r>
            <w:r>
              <w:rPr>
                <w:rFonts w:ascii="Georgia" w:cs="Georgia" w:eastAsia="Georgia" w:hAnsi="Georgia"/>
                <w:b/>
                <w:bCs/>
                <w:sz w:val="20"/>
                <w:szCs w:val="20"/>
              </w:rPr>
              <w:t xml:space="preserve">nunca las credenciales</w:t>
            </w:r>
            <w:r>
              <w:rPr>
                <w:rFonts w:ascii="Georgia" w:cs="Georgia" w:eastAsia="Georgia" w:hAnsi="Georgia"/>
                <w:sz w:val="20"/>
                <w:szCs w:val="20"/>
              </w:rPr>
              <w:t xml:space="preserve">—; y las licencias de los componentes de terceros, con confirmación expresa de que amparan el escenario de continuidad previsto en esta cláusula.</w:t>
            </w:r>
          </w:p>
          <w:p>
            <w:pPr>
              <w:pStyle w:val="ListParagraph"/>
              <w:numPr>
                <w:ilvl w:val="0"/>
                <w:numId w:val="2"/>
              </w:numPr>
              <w:spacing w:after="60" w:line="264"/>
            </w:pPr>
            <w:r>
              <w:rPr>
                <w:rFonts w:ascii="Georgia" w:cs="Georgia" w:eastAsia="Georgia" w:hAnsi="Georgia"/>
                <w:b/>
                <w:bCs/>
                <w:sz w:val="20"/>
                <w:szCs w:val="20"/>
              </w:rPr>
              <w:t xml:space="preserve">Vías de cumplimiento.</w:t>
            </w:r>
            <w:r>
              <w:rPr>
                <w:rFonts w:ascii="Georgia" w:cs="Georgia" w:eastAsia="Georgia" w:hAnsi="Georgia"/>
                <w:sz w:val="20"/>
                <w:szCs w:val="20"/>
              </w:rPr>
              <w:t xml:space="preserve"> El adjudicatario acreditará el cumplimiento de esta cláusula por </w:t>
            </w:r>
            <w:r>
              <w:rPr>
                <w:rFonts w:ascii="Georgia" w:cs="Georgia" w:eastAsia="Georgia" w:hAnsi="Georgia"/>
                <w:b/>
                <w:bCs/>
                <w:sz w:val="20"/>
                <w:szCs w:val="20"/>
              </w:rPr>
              <w:t xml:space="preserve">cualquiera</w:t>
            </w:r>
            <w:r>
              <w:rPr>
                <w:rFonts w:ascii="Georgia" w:cs="Georgia" w:eastAsia="Georgia" w:hAnsi="Georgia"/>
                <w:sz w:val="20"/>
                <w:szCs w:val="20"/>
              </w:rPr>
              <w:t xml:space="preserve"> de las tres vías siguientes, a su elección, sin que ninguna de ellas se considere preferente:</w:t>
            </w:r>
          </w:p>
          <w:p>
            <w:pPr>
              <w:spacing w:after="100" w:line="264"/>
            </w:pPr>
            <w:r>
              <w:rPr>
                <w:rFonts w:ascii="Georgia" w:cs="Georgia" w:eastAsia="Georgia" w:hAnsi="Georgia"/>
                <w:sz w:val="20"/>
                <w:szCs w:val="20"/>
              </w:rPr>
              <w:t xml:space="preserve">a) </w:t>
            </w:r>
            <w:r>
              <w:rPr>
                <w:rFonts w:ascii="Georgia" w:cs="Georgia" w:eastAsia="Georgia" w:hAnsi="Georgia"/>
                <w:b/>
                <w:bCs/>
                <w:sz w:val="20"/>
                <w:szCs w:val="20"/>
              </w:rPr>
              <w:t xml:space="preserve">Depósito propio</w:t>
            </w:r>
            <w:r>
              <w:rPr>
                <w:rFonts w:ascii="Georgia" w:cs="Georgia" w:eastAsia="Georgia" w:hAnsi="Georgia"/>
                <w:sz w:val="20"/>
                <w:szCs w:val="20"/>
              </w:rPr>
              <w:t xml:space="preserve">, cuando el adjudicatario sea titular de los derechos sobre la solución: constitución ante notario o entidad depositaria especializada, a favor del Ayuntamiento como beneficiario designado.</w:t>
            </w:r>
          </w:p>
          <w:p>
            <w:pPr>
              <w:spacing w:after="100" w:line="264"/>
            </w:pPr>
            <w:r>
              <w:rPr>
                <w:rFonts w:ascii="Georgia" w:cs="Georgia" w:eastAsia="Georgia" w:hAnsi="Georgia"/>
                <w:sz w:val="20"/>
                <w:szCs w:val="20"/>
              </w:rPr>
              <w:t xml:space="preserve">b) </w:t>
            </w:r>
            <w:r>
              <w:rPr>
                <w:rFonts w:ascii="Georgia" w:cs="Georgia" w:eastAsia="Georgia" w:hAnsi="Georgia"/>
                <w:b/>
                <w:bCs/>
                <w:sz w:val="20"/>
                <w:szCs w:val="20"/>
              </w:rPr>
              <w:t xml:space="preserve">Depósito de tercero</w:t>
            </w:r>
            <w:r>
              <w:rPr>
                <w:rFonts w:ascii="Georgia" w:cs="Georgia" w:eastAsia="Georgia" w:hAnsi="Georgia"/>
                <w:sz w:val="20"/>
                <w:szCs w:val="20"/>
              </w:rPr>
              <w:t xml:space="preserve">, cuando el titular sea el fabricante y este acepte voluntariamente participar: acuerdo tripartito entre fabricante, adjudicatario y Ayuntamiento; o bien acreditación, mediante certificado del depositario, de que existe un depósito ya constituido por el fabricante en el que el Ayuntamiento puede ser designado beneficiario. </w:t>
            </w:r>
            <w:r>
              <w:rPr>
                <w:rFonts w:ascii="Georgia" w:cs="Georgia" w:eastAsia="Georgia" w:hAnsi="Georgia"/>
                <w:b/>
                <w:bCs/>
                <w:sz w:val="20"/>
                <w:szCs w:val="20"/>
              </w:rPr>
              <w:t xml:space="preserve">Este pliego no impone obligación alguna al fabricante y no invoca a tal efecto el artículo 75 de la LCSP.</w:t>
            </w:r>
          </w:p>
          <w:p>
            <w:pPr>
              <w:spacing w:after="100" w:line="264"/>
            </w:pPr>
            <w:r>
              <w:rPr>
                <w:rFonts w:ascii="Georgia" w:cs="Georgia" w:eastAsia="Georgia" w:hAnsi="Georgia"/>
                <w:sz w:val="20"/>
                <w:szCs w:val="20"/>
              </w:rPr>
              <w:t xml:space="preserve">c) </w:t>
            </w:r>
            <w:r>
              <w:rPr>
                <w:rFonts w:ascii="Georgia" w:cs="Georgia" w:eastAsia="Georgia" w:hAnsi="Georgia"/>
                <w:b/>
                <w:bCs/>
                <w:sz w:val="20"/>
                <w:szCs w:val="20"/>
              </w:rPr>
              <w:t xml:space="preserve">Plan de continuidad equivalente</w:t>
            </w:r>
            <w:r>
              <w:rPr>
                <w:rFonts w:ascii="Georgia" w:cs="Georgia" w:eastAsia="Georgia" w:hAnsi="Georgia"/>
                <w:sz w:val="20"/>
                <w:szCs w:val="20"/>
              </w:rPr>
              <w:t xml:space="preserve">, cuando el adjudicatario no sea titular de los derechos y el fabricante no participe: acreditación documentada de que el Ayuntamiento podrá continuar operando la solución durante al menos </w:t>
            </w:r>
            <w:r>
              <w:rPr>
                <w:rFonts w:ascii="Georgia" w:cs="Georgia" w:eastAsia="Georgia" w:hAnsi="Georgia"/>
                <w:b/>
                <w:bCs/>
                <w:sz w:val="20"/>
                <w:szCs w:val="20"/>
              </w:rPr>
              <w:t xml:space="preserve">[X; se recomienda 12] meses</w:t>
            </w:r>
            <w:r>
              <w:rPr>
                <w:rFonts w:ascii="Georgia" w:cs="Georgia" w:eastAsia="Georgia" w:hAnsi="Georgia"/>
                <w:sz w:val="20"/>
                <w:szCs w:val="20"/>
              </w:rPr>
              <w:t xml:space="preserve"> sin intervención del adjudicatario ni del fabricante, mediante la combinación de licencias de uso vigentes y desvinculadas del contrato, imagen desplegable del sistema, documentación de operación y un contrato de soporte con un tercero acreditado por el fabricante. El plan se verifica anualmente en los mismos términos del apartado 4.</w:t>
            </w:r>
          </w:p>
          <w:p>
            <w:pPr>
              <w:pStyle w:val="ListParagraph"/>
              <w:numPr>
                <w:ilvl w:val="0"/>
                <w:numId w:val="2"/>
              </w:numPr>
              <w:spacing w:after="60" w:line="264"/>
            </w:pPr>
            <w:r>
              <w:rPr>
                <w:rFonts w:ascii="Georgia" w:cs="Georgia" w:eastAsia="Georgia" w:hAnsi="Georgia"/>
                <w:b/>
                <w:bCs/>
                <w:sz w:val="20"/>
                <w:szCs w:val="20"/>
              </w:rPr>
              <w:t xml:space="preserve">Actualización y verificación técnica.</w:t>
            </w:r>
            <w:r>
              <w:rPr>
                <w:rFonts w:ascii="Georgia" w:cs="Georgia" w:eastAsia="Georgia" w:hAnsi="Georgia"/>
                <w:sz w:val="20"/>
                <w:szCs w:val="20"/>
              </w:rPr>
              <w:t xml:space="preserve"> El depósito o el plan de continuidad equivalente se actualizará con cada versión mayor puesta en producción y, en todo caso, </w:t>
            </w:r>
            <w:r>
              <w:rPr>
                <w:rFonts w:ascii="Georgia" w:cs="Georgia" w:eastAsia="Georgia" w:hAnsi="Georgia"/>
                <w:b/>
                <w:bCs/>
                <w:sz w:val="20"/>
                <w:szCs w:val="20"/>
              </w:rPr>
              <w:t xml:space="preserve">anualmente</w:t>
            </w:r>
            <w:r>
              <w:rPr>
                <w:rFonts w:ascii="Georgia" w:cs="Georgia" w:eastAsia="Georgia" w:hAnsi="Georgia"/>
                <w:sz w:val="20"/>
                <w:szCs w:val="20"/>
              </w:rPr>
              <w:t xml:space="preserve">. En el momento de su constitución y en cada actualización se verificará técnicamente que el material depositado </w:t>
            </w:r>
            <w:r>
              <w:rPr>
                <w:rFonts w:ascii="Georgia" w:cs="Georgia" w:eastAsia="Georgia" w:hAnsi="Georgia"/>
                <w:b/>
                <w:bCs/>
                <w:sz w:val="20"/>
                <w:szCs w:val="20"/>
              </w:rPr>
              <w:t xml:space="preserve">compila y se despliega en un entorno funcional</w:t>
            </w:r>
            <w:r>
              <w:rPr>
                <w:rFonts w:ascii="Georgia" w:cs="Georgia" w:eastAsia="Georgia" w:hAnsi="Georgia"/>
                <w:sz w:val="20"/>
                <w:szCs w:val="20"/>
              </w:rPr>
              <w:t xml:space="preserve">, expidiéndose certificado por el depositario o por un tercero independiente. </w:t>
            </w:r>
            <w:r>
              <w:rPr>
                <w:rFonts w:ascii="Georgia" w:cs="Georgia" w:eastAsia="Georgia" w:hAnsi="Georgia"/>
                <w:b/>
                <w:bCs/>
                <w:sz w:val="20"/>
                <w:szCs w:val="20"/>
              </w:rPr>
              <w:t xml:space="preserve">Un depósito sin certificado de verificación vigente se tendrá por no constituido.</w:t>
            </w:r>
          </w:p>
          <w:p>
            <w:pPr>
              <w:pStyle w:val="ListParagraph"/>
              <w:numPr>
                <w:ilvl w:val="0"/>
                <w:numId w:val="2"/>
              </w:numPr>
              <w:spacing w:after="60" w:line="264"/>
            </w:pPr>
            <w:r>
              <w:rPr>
                <w:rFonts w:ascii="Georgia" w:cs="Georgia" w:eastAsia="Georgia" w:hAnsi="Georgia"/>
                <w:b/>
                <w:bCs/>
                <w:sz w:val="20"/>
                <w:szCs w:val="20"/>
              </w:rPr>
              <w:t xml:space="preserve">Supuestos de liberación.</w:t>
            </w:r>
            <w:r>
              <w:rPr>
                <w:rFonts w:ascii="Georgia" w:cs="Georgia" w:eastAsia="Georgia" w:hAnsi="Georgia"/>
                <w:sz w:val="20"/>
                <w:szCs w:val="20"/>
              </w:rPr>
              <w:t xml:space="preserve"> El Ayuntamiento tendrá derecho a la liberación del depósito, sin necesidad de consentimiento del depositante, en los siguientes supuestos tasados:</w:t>
            </w:r>
          </w:p>
          <w:p>
            <w:pPr>
              <w:spacing w:after="100" w:line="264"/>
            </w:pPr>
            <w:r>
              <w:rPr>
                <w:rFonts w:ascii="Georgia" w:cs="Georgia" w:eastAsia="Georgia" w:hAnsi="Georgia"/>
                <w:sz w:val="20"/>
                <w:szCs w:val="20"/>
              </w:rPr>
              <w:t xml:space="preserve">a) interrupción del soporte o del mantenimiento durante más de </w:t>
            </w:r>
            <w:r>
              <w:rPr>
                <w:rFonts w:ascii="Georgia" w:cs="Georgia" w:eastAsia="Georgia" w:hAnsi="Georgia"/>
                <w:b/>
                <w:bCs/>
                <w:sz w:val="20"/>
                <w:szCs w:val="20"/>
              </w:rPr>
              <w:t xml:space="preserve">[X; se recomienda 30] días naturales</w:t>
            </w:r>
            <w:r>
              <w:rPr>
                <w:rFonts w:ascii="Georgia" w:cs="Georgia" w:eastAsia="Georgia" w:hAnsi="Georgia"/>
                <w:sz w:val="20"/>
                <w:szCs w:val="20"/>
              </w:rPr>
              <w:t xml:space="preserve">, no subsanada tras requerimiento fehaciente y acreditada en acta del responsable del contrato;</w:t>
            </w:r>
          </w:p>
          <w:p>
            <w:pPr>
              <w:spacing w:after="100" w:line="264"/>
            </w:pPr>
            <w:r>
              <w:rPr>
                <w:rFonts w:ascii="Georgia" w:cs="Georgia" w:eastAsia="Georgia" w:hAnsi="Georgia"/>
                <w:sz w:val="20"/>
                <w:szCs w:val="20"/>
              </w:rPr>
              <w:t xml:space="preserve">b) imposición firme, en el plazo de doce meses, de </w:t>
            </w:r>
            <w:r>
              <w:rPr>
                <w:rFonts w:ascii="Georgia" w:cs="Georgia" w:eastAsia="Georgia" w:hAnsi="Georgia"/>
                <w:b/>
                <w:bCs/>
                <w:sz w:val="20"/>
                <w:szCs w:val="20"/>
              </w:rPr>
              <w:t xml:space="preserve">[X; se recomienda 3] penalidades por incumplimientos calificados de graves o muy graves</w:t>
            </w:r>
            <w:r>
              <w:rPr>
                <w:rFonts w:ascii="Georgia" w:cs="Georgia" w:eastAsia="Georgia" w:hAnsi="Georgia"/>
                <w:sz w:val="20"/>
                <w:szCs w:val="20"/>
              </w:rPr>
              <w:t xml:space="preserve"> de los acuerdos de nivel de servicio definidos en el pliego de prescripciones técnicas, </w:t>
            </w:r>
            <w:r>
              <w:rPr>
                <w:rFonts w:ascii="Georgia" w:cs="Georgia" w:eastAsia="Georgia" w:hAnsi="Georgia"/>
                <w:b/>
                <w:bCs/>
                <w:sz w:val="20"/>
                <w:szCs w:val="20"/>
              </w:rPr>
              <w:t xml:space="preserve">cuando además concurra riesgo acreditado para la continuidad del servicio, apreciado en informe motivado del responsable del contrato</w:t>
            </w:r>
            <w:r>
              <w:rPr>
                <w:rFonts w:ascii="Georgia" w:cs="Georgia" w:eastAsia="Georgia" w:hAnsi="Georgia"/>
                <w:sz w:val="20"/>
                <w:szCs w:val="20"/>
              </w:rPr>
              <w:t xml:space="preserve">;</w:t>
            </w:r>
          </w:p>
          <w:p>
            <w:pPr>
              <w:spacing w:after="100" w:line="264"/>
            </w:pPr>
            <w:r>
              <w:rPr>
                <w:rFonts w:ascii="Georgia" w:cs="Georgia" w:eastAsia="Georgia" w:hAnsi="Georgia"/>
                <w:sz w:val="20"/>
                <w:szCs w:val="20"/>
              </w:rPr>
              <w:t xml:space="preserve">c) cese efectivo de actividad o desaparición del titular;</w:t>
            </w:r>
          </w:p>
          <w:p>
            <w:pPr>
              <w:spacing w:after="100" w:line="264"/>
            </w:pPr>
            <w:r>
              <w:rPr>
                <w:rFonts w:ascii="Georgia" w:cs="Georgia" w:eastAsia="Georgia" w:hAnsi="Georgia"/>
                <w:sz w:val="20"/>
                <w:szCs w:val="20"/>
              </w:rPr>
              <w:t xml:space="preserve">d) resolución del contrato por cualquier causa, incluida la prevista en el artículo 211.1.b) de la LCSP;</w:t>
            </w:r>
          </w:p>
          <w:p>
            <w:pPr>
              <w:spacing w:after="100" w:line="264"/>
            </w:pPr>
            <w:r>
              <w:rPr>
                <w:rFonts w:ascii="Georgia" w:cs="Georgia" w:eastAsia="Georgia" w:hAnsi="Georgia"/>
                <w:sz w:val="20"/>
                <w:szCs w:val="20"/>
              </w:rPr>
              <w:t xml:space="preserve">e) falta de puesta a disposición de una versión sucesora en los términos de la cláusula [ADM-2], apartado 6, incluida su regla de exoneración cuando el fabricante deniegue el acceso al adjudicatario que no es titular de los derechos.</w:t>
            </w:r>
          </w:p>
          <w:p>
            <w:pPr>
              <w:spacing w:after="100" w:line="264"/>
            </w:pPr>
            <w:r>
              <w:rPr>
                <w:rFonts w:ascii="Georgia" w:cs="Georgia" w:eastAsia="Georgia" w:hAnsi="Georgia"/>
                <w:b/>
                <w:bCs/>
                <w:sz w:val="20"/>
                <w:szCs w:val="20"/>
              </w:rPr>
              <w:t xml:space="preserve">En caso de concurso del titular</w:t>
            </w:r>
            <w:r>
              <w:rPr>
                <w:rFonts w:ascii="Georgia" w:cs="Georgia" w:eastAsia="Georgia" w:hAnsi="Georgia"/>
                <w:sz w:val="20"/>
                <w:szCs w:val="20"/>
              </w:rPr>
              <w:t xml:space="preserve">, la liberación operará por la vía de la resolución del contrato conforme a la legislación de contratos del sector público, a la que remite el artículo 190 del texto refundido de la Ley Concursal, y en los términos que permita la legislación concursal. </w:t>
            </w:r>
            <w:r>
              <w:rPr>
                <w:rFonts w:ascii="Georgia" w:cs="Georgia" w:eastAsia="Georgia" w:hAnsi="Georgia"/>
                <w:b/>
                <w:bCs/>
                <w:sz w:val="20"/>
                <w:szCs w:val="20"/>
              </w:rPr>
              <w:t xml:space="preserve">En ningún caso la sola declaración de concurso operará como causa automática de liberación.</w:t>
            </w:r>
          </w:p>
          <w:p>
            <w:pPr>
              <w:pStyle w:val="ListParagraph"/>
              <w:numPr>
                <w:ilvl w:val="0"/>
                <w:numId w:val="2"/>
              </w:numPr>
              <w:spacing w:after="60" w:line="264"/>
            </w:pPr>
            <w:r>
              <w:rPr>
                <w:rFonts w:ascii="Georgia" w:cs="Georgia" w:eastAsia="Georgia" w:hAnsi="Georgia"/>
                <w:b/>
                <w:bCs/>
                <w:sz w:val="20"/>
                <w:szCs w:val="20"/>
              </w:rPr>
              <w:t xml:space="preserve">Procedimiento de liberación.</w:t>
            </w:r>
            <w:r>
              <w:rPr>
                <w:rFonts w:ascii="Georgia" w:cs="Georgia" w:eastAsia="Georgia" w:hAnsi="Georgia"/>
                <w:sz w:val="20"/>
                <w:szCs w:val="20"/>
              </w:rPr>
              <w:t xml:space="preserve"> La liberación requerirá, en todo caso: propuesta motivada del responsable del contrato con la acreditación del supuesto; audiencia al adjudicatario por plazo no inferior a </w:t>
            </w:r>
            <w:r>
              <w:rPr>
                <w:rFonts w:ascii="Georgia" w:cs="Georgia" w:eastAsia="Georgia" w:hAnsi="Georgia"/>
                <w:b/>
                <w:bCs/>
                <w:sz w:val="20"/>
                <w:szCs w:val="20"/>
              </w:rPr>
              <w:t xml:space="preserve">[X; se recomienda 10] días hábiles</w:t>
            </w:r>
            <w:r>
              <w:rPr>
                <w:rFonts w:ascii="Georgia" w:cs="Georgia" w:eastAsia="Georgia" w:hAnsi="Georgia"/>
                <w:sz w:val="20"/>
                <w:szCs w:val="20"/>
              </w:rPr>
              <w:t xml:space="preserve">; y resolución motivada del órgano de contratación, que se notificará al depositario. La liberación no podrá acordarse por decisión unilateral de un servicio municipal.</w:t>
            </w:r>
          </w:p>
          <w:p>
            <w:pPr>
              <w:pStyle w:val="ListParagraph"/>
              <w:numPr>
                <w:ilvl w:val="0"/>
                <w:numId w:val="2"/>
              </w:numPr>
              <w:spacing w:after="60" w:line="264"/>
            </w:pPr>
            <w:r>
              <w:rPr>
                <w:rFonts w:ascii="Georgia" w:cs="Georgia" w:eastAsia="Georgia" w:hAnsi="Georgia"/>
                <w:b/>
                <w:bCs/>
                <w:sz w:val="20"/>
                <w:szCs w:val="20"/>
              </w:rPr>
              <w:t xml:space="preserve">Licencia condicionada.</w:t>
            </w:r>
            <w:r>
              <w:rPr>
                <w:rFonts w:ascii="Georgia" w:cs="Georgia" w:eastAsia="Georgia" w:hAnsi="Georgia"/>
                <w:sz w:val="20"/>
                <w:szCs w:val="20"/>
              </w:rPr>
              <w:t xml:space="preserve"> Con la firma del contrato, el titular otorga al Ayuntamiento una licencia no exclusiva, intransferible salvo a otras entidades del sector público, </w:t>
            </w:r>
            <w:r>
              <w:rPr>
                <w:rFonts w:ascii="Georgia" w:cs="Georgia" w:eastAsia="Georgia" w:hAnsi="Georgia"/>
                <w:b/>
                <w:bCs/>
                <w:sz w:val="20"/>
                <w:szCs w:val="20"/>
              </w:rPr>
              <w:t xml:space="preserve">eficaz únicamente desde la liberación</w:t>
            </w:r>
            <w:r>
              <w:rPr>
                <w:rFonts w:ascii="Georgia" w:cs="Georgia" w:eastAsia="Georgia" w:hAnsi="Georgia"/>
                <w:sz w:val="20"/>
                <w:szCs w:val="20"/>
              </w:rPr>
              <w:t xml:space="preserve"> y limitada a: extraer y recuperar los datos municipales, mantener la solución en funcionamiento y ejecutar la migración a otra solución, por sí o por medio de tercero sujeto a idéntico deber de confidencialidad. La licencia </w:t>
            </w:r>
            <w:r>
              <w:rPr>
                <w:rFonts w:ascii="Georgia" w:cs="Georgia" w:eastAsia="Georgia" w:hAnsi="Georgia"/>
                <w:b/>
                <w:bCs/>
                <w:sz w:val="20"/>
                <w:szCs w:val="20"/>
              </w:rPr>
              <w:t xml:space="preserve">no comprende facultad alguna de explotación comercial, cesión, distribución o comercialización del código</w:t>
            </w:r>
            <w:r>
              <w:rPr>
                <w:rFonts w:ascii="Georgia" w:cs="Georgia" w:eastAsia="Georgia" w:hAnsi="Georgia"/>
                <w:sz w:val="20"/>
                <w:szCs w:val="20"/>
              </w:rPr>
              <w:t xml:space="preserve">, y se extingue al completarse la migración o, a más tardar, transcurridos </w:t>
            </w:r>
            <w:r>
              <w:rPr>
                <w:rFonts w:ascii="Georgia" w:cs="Georgia" w:eastAsia="Georgia" w:hAnsi="Georgia"/>
                <w:b/>
                <w:bCs/>
                <w:sz w:val="20"/>
                <w:szCs w:val="20"/>
              </w:rPr>
              <w:t xml:space="preserve">[X; se recomienda 24] meses</w:t>
            </w:r>
            <w:r>
              <w:rPr>
                <w:rFonts w:ascii="Georgia" w:cs="Georgia" w:eastAsia="Georgia" w:hAnsi="Georgia"/>
                <w:sz w:val="20"/>
                <w:szCs w:val="20"/>
              </w:rPr>
              <w:t xml:space="preserve"> desde la liberación. La entrega material del código no confiere por sí sola derecho a reproducirlo (artículo 99 del texto refundido de la Ley de Propiedad Intelectual).</w:t>
            </w:r>
          </w:p>
          <w:p>
            <w:pPr>
              <w:pStyle w:val="ListParagraph"/>
              <w:numPr>
                <w:ilvl w:val="0"/>
                <w:numId w:val="2"/>
              </w:numPr>
              <w:spacing w:after="60" w:line="264"/>
            </w:pPr>
            <w:r>
              <w:rPr>
                <w:rFonts w:ascii="Georgia" w:cs="Georgia" w:eastAsia="Georgia" w:hAnsi="Georgia"/>
                <w:b/>
                <w:bCs/>
                <w:sz w:val="20"/>
                <w:szCs w:val="20"/>
              </w:rPr>
              <w:t xml:space="preserve">Coste.</w:t>
            </w:r>
            <w:r>
              <w:rPr>
                <w:rFonts w:ascii="Georgia" w:cs="Georgia" w:eastAsia="Georgia" w:hAnsi="Georgia"/>
                <w:sz w:val="20"/>
                <w:szCs w:val="20"/>
              </w:rPr>
              <w:t xml:space="preserve"> El coste de constitución, actualización y verificación del depósito, o el de mantenimiento del plan de continuidad equivalente, se consigna como </w:t>
            </w:r>
            <w:r>
              <w:rPr>
                <w:rFonts w:ascii="Georgia" w:cs="Georgia" w:eastAsia="Georgia" w:hAnsi="Georgia"/>
                <w:b/>
                <w:bCs/>
                <w:sz w:val="20"/>
                <w:szCs w:val="20"/>
              </w:rPr>
              <w:t xml:space="preserve">partida independiente del presupuesto base de licitación</w:t>
            </w:r>
            <w:r>
              <w:rPr>
                <w:rFonts w:ascii="Georgia" w:cs="Georgia" w:eastAsia="Georgia" w:hAnsi="Georgia"/>
                <w:sz w:val="20"/>
                <w:szCs w:val="20"/>
              </w:rPr>
              <w:t xml:space="preserve">, conforme al artículo 100.2 de la LCSP, por importe de </w:t>
            </w:r>
            <w:r>
              <w:rPr>
                <w:rFonts w:ascii="Georgia" w:cs="Georgia" w:eastAsia="Georgia" w:hAnsi="Georgia"/>
                <w:b/>
                <w:bCs/>
                <w:sz w:val="20"/>
                <w:szCs w:val="20"/>
              </w:rPr>
              <w:t xml:space="preserve">[ ] euros anuales</w:t>
            </w:r>
            <w:r>
              <w:rPr>
                <w:rFonts w:ascii="Georgia" w:cs="Georgia" w:eastAsia="Georgia" w:hAnsi="Georgia"/>
                <w:sz w:val="20"/>
                <w:szCs w:val="20"/>
              </w:rPr>
              <w:t xml:space="preserve">, y se entiende incluido en el precio del contrato. </w:t>
            </w:r>
            <w:r>
              <w:rPr>
                <w:rFonts w:ascii="Georgia" w:cs="Georgia" w:eastAsia="Georgia" w:hAnsi="Georgia"/>
                <w:b/>
                <w:bCs/>
                <w:sz w:val="20"/>
                <w:szCs w:val="20"/>
              </w:rPr>
              <w:t xml:space="preserve">No constituye criterio de adjudicación y no se desglosa en la oferta económica.</w:t>
            </w:r>
          </w:p>
          <w:p>
            <w:pPr>
              <w:pStyle w:val="ListParagraph"/>
              <w:numPr>
                <w:ilvl w:val="0"/>
                <w:numId w:val="2"/>
              </w:numPr>
              <w:spacing w:after="60" w:line="264"/>
            </w:pPr>
            <w:r>
              <w:rPr>
                <w:rFonts w:ascii="Georgia" w:cs="Georgia" w:eastAsia="Georgia" w:hAnsi="Georgia"/>
                <w:b/>
                <w:bCs/>
                <w:sz w:val="20"/>
                <w:szCs w:val="20"/>
              </w:rPr>
              <w:t xml:space="preserve">Carácter esencial.</w:t>
            </w:r>
            <w:r>
              <w:rPr>
                <w:rFonts w:ascii="Georgia" w:cs="Georgia" w:eastAsia="Georgia" w:hAnsi="Georgia"/>
                <w:sz w:val="20"/>
                <w:szCs w:val="20"/>
              </w:rPr>
              <w:t xml:space="preserve"> Tienen el carácter de obligación contractual esencial a los efectos del artículo 211.1.f) de la Ley 9/2017, </w:t>
            </w:r>
            <w:r>
              <w:rPr>
                <w:rFonts w:ascii="Georgia" w:cs="Georgia" w:eastAsia="Georgia" w:hAnsi="Georgia"/>
                <w:b/>
                <w:bCs/>
                <w:sz w:val="20"/>
                <w:szCs w:val="20"/>
              </w:rPr>
              <w:t xml:space="preserve">exclusivamente</w:t>
            </w:r>
            <w:r>
              <w:rPr>
                <w:rFonts w:ascii="Georgia" w:cs="Georgia" w:eastAsia="Georgia" w:hAnsi="Georgia"/>
                <w:sz w:val="20"/>
                <w:szCs w:val="20"/>
              </w:rPr>
              <w:t xml:space="preserve">, los incumplimientos relativos a esta cláusula que enumera la cláusula [ADM-6], bloque B. Los demás incumplimientos de esta cláusula generan las penalidades que correspondan conforme a la cláusula [ADM-5].</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PCAP, cláusula de condiciones especiales de ejecución, </w:t>
      </w:r>
      <w:r>
        <w:rPr>
          <w:rFonts w:ascii="Calibri" w:cs="Calibri" w:eastAsia="Calibri" w:hAnsi="Calibri"/>
          <w:b/>
          <w:bCs/>
          <w:sz w:val="21"/>
          <w:szCs w:val="21"/>
        </w:rPr>
        <w:t xml:space="preserve">y en el anuncio de licitación</w:t>
      </w:r>
      <w:r>
        <w:rPr>
          <w:rFonts w:ascii="Calibri" w:cs="Calibri" w:eastAsia="Calibri" w:hAnsi="Calibri"/>
          <w:sz w:val="21"/>
          <w:szCs w:val="21"/>
        </w:rPr>
        <w:t xml:space="preserve"> (art. 202.1 LCSP: las condiciones especiales de ejecución se indican en el anuncio y en los pliegos, y su omisión en el anuncio es un defecto que no se subsana después), y cuadro-resumen (casilla de condiciones especiales de ejecución de carácter esencial). El importe del apartado 8 se traslada al desglose del presupuesto base de licitación.</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sz w:val="21"/>
          <w:szCs w:val="21"/>
        </w:rPr>
        <w:t xml:space="preserve">Art. 34.1 LCSP (libertad de pactos: «podrán incluirse cualesquiera pactos, cláusulas y condiciones, siempre que no sean contrarios al interés público, al ordenamiento jurídico y a los principios de buena administración») y art. 202 LCSP (condiciones especiales de ejecución vinculadas al objeto, anunciadas </w:t>
      </w:r>
      <w:r>
        <w:rPr>
          <w:rFonts w:ascii="Calibri" w:cs="Calibri" w:eastAsia="Calibri" w:hAnsi="Calibri"/>
          <w:i/>
          <w:iCs/>
          <w:sz w:val="21"/>
          <w:szCs w:val="21"/>
        </w:rPr>
        <w:t xml:space="preserve">ex ante</w:t>
      </w:r>
      <w:r>
        <w:rPr>
          <w:rFonts w:ascii="Calibri" w:cs="Calibri" w:eastAsia="Calibri" w:hAnsi="Calibri"/>
          <w:sz w:val="21"/>
          <w:szCs w:val="21"/>
        </w:rPr>
        <w:t xml:space="preserve">). Art. 2.3 del RD 311/2022, que obliga a que los pliegos «contemplarán todos aquellos requisitos necesarios para asegurar la conformidad con el ENS de los sistemas de información en los que se sustenten los servicios prestados por los contratistas», con extensión a la cadena de suministro. Medida </w:t>
      </w:r>
      <w:r>
        <w:rPr>
          <w:rFonts w:ascii="Calibri" w:cs="Calibri" w:eastAsia="Calibri" w:hAnsi="Calibri"/>
          <w:b/>
          <w:bCs/>
          <w:sz w:val="21"/>
          <w:szCs w:val="21"/>
        </w:rPr>
        <w:t xml:space="preserve">[op.cont.4] «Medios alternativos»</w:t>
      </w:r>
      <w:r>
        <w:rPr>
          <w:rFonts w:ascii="Calibri" w:cs="Calibri" w:eastAsia="Calibri" w:hAnsi="Calibri"/>
          <w:sz w:val="21"/>
          <w:szCs w:val="21"/>
        </w:rPr>
        <w:t xml:space="preserve"> del Anexo II del RD 311/2022, exigible en nivel ALTO de disponibilidad, cuyo apartado [op.cont.4.1] cubre expresamente «a) Servicios contratados a terceros» y cuyo [op.cont.4.2] obliga a fijar un tiempo máximo de entrada en funcionamiento de los medios alternativos. Se hace constar con precisión que esa medida exige </w:t>
      </w:r>
      <w:r>
        <w:rPr>
          <w:rFonts w:ascii="Calibri" w:cs="Calibri" w:eastAsia="Calibri" w:hAnsi="Calibri"/>
          <w:b/>
          <w:bCs/>
          <w:sz w:val="21"/>
          <w:szCs w:val="21"/>
        </w:rPr>
        <w:t xml:space="preserve">disponibilidad de medios alternativos</w:t>
      </w:r>
      <w:r>
        <w:rPr>
          <w:rFonts w:ascii="Calibri" w:cs="Calibri" w:eastAsia="Calibri" w:hAnsi="Calibri"/>
          <w:sz w:val="21"/>
          <w:szCs w:val="21"/>
        </w:rPr>
        <w:t xml:space="preserve">, no depósito de código: el depósito es </w:t>
      </w:r>
      <w:r>
        <w:rPr>
          <w:rFonts w:ascii="Calibri" w:cs="Calibri" w:eastAsia="Calibri" w:hAnsi="Calibri"/>
          <w:b/>
          <w:bCs/>
          <w:sz w:val="21"/>
          <w:szCs w:val="21"/>
        </w:rPr>
        <w:t xml:space="preserve">una de las formas</w:t>
      </w:r>
      <w:r>
        <w:rPr>
          <w:rFonts w:ascii="Calibri" w:cs="Calibri" w:eastAsia="Calibri" w:hAnsi="Calibri"/>
          <w:sz w:val="21"/>
          <w:szCs w:val="21"/>
        </w:rPr>
        <w:t xml:space="preserve"> de satisfacerla, y por eso el apartado 3.c) admite otras.</w:t>
      </w:r>
    </w:p>
    <w:p>
      <w:pPr>
        <w:spacing w:after="140" w:line="276"/>
      </w:pPr>
      <w:r>
        <w:rPr>
          <w:rFonts w:ascii="Calibri" w:cs="Calibri" w:eastAsia="Calibri" w:hAnsi="Calibri"/>
          <w:sz w:val="21"/>
          <w:szCs w:val="21"/>
        </w:rPr>
        <w:t xml:space="preserve">Art. 156 del texto refundido de la Ley Concursal: «Se tendrán por no puestas las cláusulas que establezcan la facultad de la otra parte de suspender o de modificar las obligaciones o los efectos del contrato […] por la declaración de concurso». De ahí que el concurso no opere como disparador automático. Art. 190 del mismo texto refundido, que remite los efectos del concurso sobre los contratos administrativos a su legislación especial; y art. 211.1.b) LCSP, que convierte la declaración de concurso en causa de resolución, con la continuación potestativa del art. 212.5 LCSP si median razones de interés público y garantías adicionales.</w:t>
      </w:r>
    </w:p>
    <w:p>
      <w:pPr>
        <w:spacing w:after="140" w:line="276"/>
      </w:pPr>
      <w:r>
        <w:rPr>
          <w:rFonts w:ascii="Calibri" w:cs="Calibri" w:eastAsia="Calibri" w:hAnsi="Calibri"/>
          <w:sz w:val="21"/>
          <w:szCs w:val="21"/>
        </w:rPr>
        <w:t xml:space="preserve">Art. 100.2 LCSP, para la ubicación del coste: el desglose de costes del presupuesto base de licitación es obligación del órgano de contratación, no del licitador.</w:t>
      </w:r>
    </w:p>
    <w:p>
      <w:pPr>
        <w:pStyle w:val="Heading3"/>
        <w:keepNext/>
        <w:spacing w:after="140" w:before="320"/>
      </w:pPr>
      <w:r>
        <w:rPr>
          <w:rFonts w:ascii="Georgia" w:cs="Georgia" w:eastAsia="Georgia" w:hAnsi="Georgia"/>
          <w:b/>
          <w:bCs/>
          <w:color w:val="2F5496"/>
          <w:sz w:val="22"/>
          <w:szCs w:val="22"/>
        </w:rPr>
        <w:t xml:space="preserve">4. Cómo se acredita</w:t>
      </w:r>
    </w:p>
    <w:p>
      <w:pPr>
        <w:spacing w:after="140" w:line="276"/>
      </w:pPr>
      <w:r>
        <w:rPr>
          <w:rFonts w:ascii="Calibri" w:cs="Calibri" w:eastAsia="Calibri" w:hAnsi="Calibri"/>
          <w:sz w:val="21"/>
          <w:szCs w:val="21"/>
        </w:rPr>
        <w:t xml:space="preserve">Medios tasados, según la vía elegida: (a) escritura o contrato de depósito con designación del Ayuntamiento como beneficiario; (b) acuerdo tripartito firmado, o certificado del depositario acreditando el depósito preexistente y la designación de beneficiario; (c) para el plan de continuidad equivalente, certificado de licencias vigentes y desvinculadas del contrato, acta de despliegue de la imagen en entorno funcional, documentación de operación y contrato de soporte con tercero acreditado. En </w:t>
      </w:r>
      <w:r>
        <w:rPr>
          <w:rFonts w:ascii="Calibri" w:cs="Calibri" w:eastAsia="Calibri" w:hAnsi="Calibri"/>
          <w:b/>
          <w:bCs/>
          <w:sz w:val="21"/>
          <w:szCs w:val="21"/>
        </w:rPr>
        <w:t xml:space="preserve">todas</w:t>
      </w:r>
      <w:r>
        <w:rPr>
          <w:rFonts w:ascii="Calibri" w:cs="Calibri" w:eastAsia="Calibri" w:hAnsi="Calibri"/>
          <w:sz w:val="21"/>
          <w:szCs w:val="21"/>
        </w:rPr>
        <w:t xml:space="preserve"> las vías: </w:t>
      </w:r>
      <w:r>
        <w:rPr>
          <w:rFonts w:ascii="Calibri" w:cs="Calibri" w:eastAsia="Calibri" w:hAnsi="Calibri"/>
          <w:b/>
          <w:bCs/>
          <w:sz w:val="21"/>
          <w:szCs w:val="21"/>
        </w:rPr>
        <w:t xml:space="preserve">certificado de verificación técnica vigente</w:t>
      </w:r>
      <w:r>
        <w:rPr>
          <w:rFonts w:ascii="Calibri" w:cs="Calibri" w:eastAsia="Calibri" w:hAnsi="Calibri"/>
          <w:sz w:val="21"/>
          <w:szCs w:val="21"/>
        </w:rPr>
        <w:t xml:space="preserve"> que acredite que el material compila y se despliega.</w:t>
      </w:r>
    </w:p>
    <w:p>
      <w:pPr>
        <w:pStyle w:val="Heading3"/>
        <w:keepNext/>
        <w:spacing w:after="140" w:before="320"/>
      </w:pPr>
      <w:r>
        <w:rPr>
          <w:rFonts w:ascii="Georgia" w:cs="Georgia" w:eastAsia="Georgia" w:hAnsi="Georgia"/>
          <w:b/>
          <w:bCs/>
          <w:color w:val="2F5496"/>
          <w:sz w:val="22"/>
          <w:szCs w:val="22"/>
        </w:rPr>
        <w:t xml:space="preserve">5. Cómo se verifica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Cuándo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 qué documento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municipal de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la formalización y anualmente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Certificado de verificación técnica vigente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 cada versión mayor puesta en producción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actualización del depósito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Comisión de Seguimiento (ADM-4·v3)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vez al 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que consigne la vigencia del certificado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si se produce un supuesto de liberación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Resolución motivada, previa audiencia</w:t>
            </w:r>
          </w:p>
        </w:tc>
      </w:tr>
    </w:tbl>
    <w:p>
      <w:pPr>
        <w:spacing w:after="200"/>
      </w:pPr>
    </w:p>
    <w:p>
      <w:pPr>
        <w:spacing w:after="140" w:line="276"/>
      </w:pPr>
      <w:r>
        <w:rPr>
          <w:rFonts w:ascii="Calibri" w:cs="Calibri" w:eastAsia="Calibri" w:hAnsi="Calibri"/>
          <w:b/>
          <w:bCs/>
          <w:sz w:val="21"/>
          <w:szCs w:val="21"/>
        </w:rPr>
        <w:t xml:space="preserve">Carga estimada.</w:t>
      </w:r>
      <w:r>
        <w:rPr>
          <w:rFonts w:ascii="Calibri" w:cs="Calibri" w:eastAsia="Calibri" w:hAnsi="Calibri"/>
          <w:sz w:val="21"/>
          <w:szCs w:val="21"/>
        </w:rPr>
        <w:t xml:space="preserve"> 2 horas al año de comprobación de la vigencia del certificado, más 1 hora por cada actualización asociada a versión mayor. La verificación técnica la realiza el depositario o un tercero independiente, con cargo al presupuesto del contrato: no consume horas municipales.</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pStyle w:val="ListParagraph"/>
        <w:numPr>
          <w:ilvl w:val="0"/>
          <w:numId w:val="1"/>
        </w:numPr>
        <w:spacing w:after="70" w:line="268"/>
      </w:pPr>
      <w:r>
        <w:rPr>
          <w:rFonts w:ascii="Calibri" w:cs="Calibri" w:eastAsia="Calibri" w:hAnsi="Calibri"/>
          <w:b/>
          <w:bCs/>
          <w:sz w:val="21"/>
          <w:szCs w:val="21"/>
        </w:rPr>
        <w:t xml:space="preserve">Falta de actualización o de verificación del depósito o del plan equivalente:</w:t>
      </w:r>
      <w:r>
        <w:rPr>
          <w:rFonts w:ascii="Calibri" w:cs="Calibri" w:eastAsia="Calibri" w:hAnsi="Calibri"/>
          <w:sz w:val="21"/>
          <w:szCs w:val="21"/>
        </w:rPr>
        <w:t xml:space="preserve"> infracción </w:t>
      </w:r>
      <w:r>
        <w:rPr>
          <w:rFonts w:ascii="Calibri" w:cs="Calibri" w:eastAsia="Calibri" w:hAnsi="Calibri"/>
          <w:b/>
          <w:bCs/>
          <w:sz w:val="21"/>
          <w:szCs w:val="21"/>
        </w:rPr>
        <w:t xml:space="preserve">grave</w:t>
      </w:r>
      <w:r>
        <w:rPr>
          <w:rFonts w:ascii="Calibri" w:cs="Calibri" w:eastAsia="Calibri" w:hAnsi="Calibri"/>
          <w:sz w:val="21"/>
          <w:szCs w:val="21"/>
        </w:rPr>
        <w:t xml:space="preserve"> del cuadro de ADM-5·v3. </w:t>
      </w:r>
      <w:r>
        <w:rPr>
          <w:rFonts w:ascii="Calibri" w:cs="Calibri" w:eastAsia="Calibri" w:hAnsi="Calibri"/>
          <w:b/>
          <w:bCs/>
          <w:sz w:val="21"/>
          <w:szCs w:val="21"/>
        </w:rPr>
        <w:t xml:space="preserve">No es obligación esencial y no figura en la lista cerrada de ADM-6·v3, bloque B</w:t>
      </w:r>
      <w:r>
        <w:rPr>
          <w:rFonts w:ascii="Calibri" w:cs="Calibri" w:eastAsia="Calibri" w:hAnsi="Calibri"/>
          <w:sz w:val="21"/>
          <w:szCs w:val="21"/>
        </w:rPr>
        <w:t xml:space="preserve">: la falta de actualización documental de un depósito vigente no supera el juicio comparativo de perjuicios de ADM-6·v3, apartado 4.d). La regla del apartado 4 de esta cláusula —el depósito sin certificado de verificación vigente se tiene por no constituido— opera en el plano de la acreditación y de la penalidad; </w:t>
      </w:r>
      <w:r>
        <w:rPr>
          <w:rFonts w:ascii="Calibri" w:cs="Calibri" w:eastAsia="Calibri" w:hAnsi="Calibri"/>
          <w:b/>
          <w:bCs/>
          <w:sz w:val="21"/>
          <w:szCs w:val="21"/>
        </w:rPr>
        <w:t xml:space="preserve">no convierte esa falta en negativa a constituir</w:t>
      </w:r>
      <w:r>
        <w:rPr>
          <w:rFonts w:ascii="Calibri" w:cs="Calibri" w:eastAsia="Calibri" w:hAnsi="Calibri"/>
          <w:sz w:val="21"/>
          <w:szCs w:val="21"/>
        </w:rPr>
        <w:t xml:space="preserve"> a los efectos del artículo 211.1.f) de la Ley 9/2017.</w:t>
      </w:r>
    </w:p>
    <w:p>
      <w:pPr>
        <w:pStyle w:val="ListParagraph"/>
        <w:numPr>
          <w:ilvl w:val="0"/>
          <w:numId w:val="1"/>
        </w:numPr>
        <w:spacing w:after="70" w:line="268"/>
      </w:pPr>
      <w:r>
        <w:rPr>
          <w:rFonts w:ascii="Calibri" w:cs="Calibri" w:eastAsia="Calibri" w:hAnsi="Calibri"/>
          <w:b/>
          <w:bCs/>
          <w:sz w:val="21"/>
          <w:szCs w:val="21"/>
        </w:rPr>
        <w:t xml:space="preserve">Negativa a constituir el depósito o el plan de continuidad equivalente por la vía elegida, negativa a liberar el depósito, o entrega de material incompleto o no verificable:</w:t>
      </w:r>
      <w:r>
        <w:rPr>
          <w:rFonts w:ascii="Calibri" w:cs="Calibri" w:eastAsia="Calibri" w:hAnsi="Calibri"/>
          <w:sz w:val="21"/>
          <w:szCs w:val="21"/>
        </w:rPr>
        <w:t xml:space="preserve"> infracción </w:t>
      </w:r>
      <w:r>
        <w:rPr>
          <w:rFonts w:ascii="Calibri" w:cs="Calibri" w:eastAsia="Calibri" w:hAnsi="Calibri"/>
          <w:b/>
          <w:bCs/>
          <w:sz w:val="21"/>
          <w:szCs w:val="21"/>
        </w:rPr>
        <w:t xml:space="preserve">muy grave</w:t>
      </w:r>
      <w:r>
        <w:rPr>
          <w:rFonts w:ascii="Calibri" w:cs="Calibri" w:eastAsia="Calibri" w:hAnsi="Calibri"/>
          <w:sz w:val="21"/>
          <w:szCs w:val="21"/>
        </w:rPr>
        <w:t xml:space="preserve"> (tipo M3 de ADM-5·v3).</w:t>
      </w:r>
    </w:p>
    <w:p>
      <w:pPr>
        <w:pStyle w:val="ListParagraph"/>
        <w:numPr>
          <w:ilvl w:val="0"/>
          <w:numId w:val="1"/>
        </w:numPr>
        <w:spacing w:after="70" w:line="268"/>
      </w:pPr>
      <w:r>
        <w:rPr>
          <w:rFonts w:ascii="Calibri" w:cs="Calibri" w:eastAsia="Calibri" w:hAnsi="Calibri"/>
          <w:b/>
          <w:bCs/>
          <w:sz w:val="21"/>
          <w:szCs w:val="21"/>
        </w:rPr>
        <w:t xml:space="preserve">Obligación esencial: SÍ</w:t>
      </w:r>
      <w:r>
        <w:rPr>
          <w:rFonts w:ascii="Calibri" w:cs="Calibri" w:eastAsia="Calibri" w:hAnsi="Calibri"/>
          <w:sz w:val="21"/>
          <w:szCs w:val="21"/>
        </w:rPr>
        <w:t xml:space="preserve">, exclusivamente respecto de los incumplimientos que enumera </w:t>
      </w:r>
      <w:r>
        <w:rPr>
          <w:rFonts w:ascii="Calibri" w:cs="Calibri" w:eastAsia="Calibri" w:hAnsi="Calibri"/>
          <w:b/>
          <w:bCs/>
          <w:sz w:val="21"/>
          <w:szCs w:val="21"/>
        </w:rPr>
        <w:t xml:space="preserve">ADM-6·v3, bloque B, letra b)</w:t>
      </w:r>
      <w:r>
        <w:rPr>
          <w:rFonts w:ascii="Calibri" w:cs="Calibri" w:eastAsia="Calibri" w:hAnsi="Calibri"/>
          <w:sz w:val="21"/>
          <w:szCs w:val="21"/>
        </w:rPr>
        <w:t xml:space="preserve">, y no respecto de ningún otro apartado de esta cláusula. La enumeración </w:t>
      </w:r>
      <w:r>
        <w:rPr>
          <w:rFonts w:ascii="Calibri" w:cs="Calibri" w:eastAsia="Calibri" w:hAnsi="Calibri"/>
          <w:b/>
          <w:bCs/>
          <w:sz w:val="21"/>
          <w:szCs w:val="21"/>
        </w:rPr>
        <w:t xml:space="preserve">no se reproduce aquí</w:t>
      </w:r>
      <w:r>
        <w:rPr>
          <w:rFonts w:ascii="Calibri" w:cs="Calibri" w:eastAsia="Calibri" w:hAnsi="Calibri"/>
          <w:sz w:val="21"/>
          <w:szCs w:val="21"/>
        </w:rPr>
        <w:t xml:space="preserve">: la lista cerrada vive en ADM-6·v3, que es el texto que va al pliego, y cualquier discrepancia entre ambas sedes se resuelve a favor de aquélla. La resolución se acordará previa audiencia y requerimiento de subsanación, y sólo cuando el perjuicio derivado de ella no sea superior al de mantener el contrato.</w:t>
      </w: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b/>
          <w:bCs/>
          <w:sz w:val="21"/>
          <w:szCs w:val="21"/>
        </w:rPr>
        <w:t xml:space="preserve">Por defecto, NO se aplica.</w:t>
      </w:r>
      <w:r>
        <w:rPr>
          <w:rFonts w:ascii="Calibri" w:cs="Calibri" w:eastAsia="Calibri" w:hAnsi="Calibri"/>
          <w:sz w:val="21"/>
          <w:szCs w:val="21"/>
        </w:rPr>
        <w:t xml:space="preserve"> Sólo se incorpora si concurren las cuatro circunstancias acumulativas del apartado 1, acreditadas en la memoria.</w:t>
      </w:r>
    </w:p>
    <w:p>
      <w:pPr>
        <w:pStyle w:val="ListParagraph"/>
        <w:numPr>
          <w:ilvl w:val="0"/>
          <w:numId w:val="1"/>
        </w:numPr>
        <w:spacing w:after="70" w:line="268"/>
      </w:pPr>
      <w:r>
        <w:rPr>
          <w:rFonts w:ascii="Calibri" w:cs="Calibri" w:eastAsia="Calibri" w:hAnsi="Calibri"/>
          <w:sz w:val="21"/>
          <w:szCs w:val="21"/>
        </w:rPr>
        <w:t xml:space="preserve">Contratos de software como servicio en los que el Ayuntamiento no opera la infraestructura y el depósito no permitiría por sí solo continuar el servicio: en tal caso, la vía procedente es el plan de continuidad equivalente del apartado 3.c), o ninguna.</w:t>
      </w:r>
    </w:p>
    <w:p>
      <w:pPr>
        <w:pStyle w:val="ListParagraph"/>
        <w:numPr>
          <w:ilvl w:val="0"/>
          <w:numId w:val="1"/>
        </w:numPr>
        <w:spacing w:after="70" w:line="268"/>
      </w:pPr>
      <w:r>
        <w:rPr>
          <w:rFonts w:ascii="Calibri" w:cs="Calibri" w:eastAsia="Calibri" w:hAnsi="Calibri"/>
          <w:sz w:val="21"/>
          <w:szCs w:val="21"/>
        </w:rPr>
        <w:t xml:space="preserve">Contratos de suministro de producto estándar con múltiples proveedores alternativos en el mercado: el criterio 1.d) no concurre.</w:t>
      </w:r>
    </w:p>
    <w:p>
      <w:pPr>
        <w:pStyle w:val="ListParagraph"/>
        <w:numPr>
          <w:ilvl w:val="0"/>
          <w:numId w:val="1"/>
        </w:numPr>
        <w:spacing w:after="70" w:line="268"/>
      </w:pPr>
      <w:r>
        <w:rPr>
          <w:rFonts w:ascii="Calibri" w:cs="Calibri" w:eastAsia="Calibri" w:hAnsi="Calibri"/>
          <w:sz w:val="21"/>
          <w:szCs w:val="21"/>
        </w:rPr>
        <w:t xml:space="preserve">Contratos menores, basados en acuerdo marco y prórrogas.</w:t>
      </w:r>
    </w:p>
    <w:p>
      <w:pPr>
        <w:spacing w:after="140" w:line="276"/>
      </w:pPr>
      <w:r>
        <w:rPr>
          <w:rFonts w:ascii="Calibri" w:cs="Calibri" w:eastAsia="Calibri" w:hAnsi="Calibri"/>
          <w:b/>
          <w:bCs/>
          <w:sz w:val="21"/>
          <w:szCs w:val="21"/>
        </w:rPr>
        <w:t xml:space="preserve">Si esta cláusula se marca NO APLICA, arrastra:</w:t>
      </w:r>
      <w:r>
        <w:rPr>
          <w:rFonts w:ascii="Calibri" w:cs="Calibri" w:eastAsia="Calibri" w:hAnsi="Calibri"/>
          <w:sz w:val="21"/>
          <w:szCs w:val="21"/>
        </w:rPr>
        <w:t xml:space="preserve"> dos filas del cuadro de penalidades de ADM-5·v3, un guion del bloque B de ADM-6·v3, la partida correspondiente del desglose del presupuesto base de licitación y la mención del depósito en el Anexo VII.</w:t>
      </w:r>
    </w:p>
    <w:p>
      <w:pPr>
        <w:pStyle w:val="Heading3"/>
        <w:keepNext/>
        <w:spacing w:after="140" w:before="320"/>
      </w:pPr>
      <w:r>
        <w:rPr>
          <w:rFonts w:ascii="Georgia" w:cs="Georgia" w:eastAsia="Georgia" w:hAnsi="Georgia"/>
          <w:b/>
          <w:bCs/>
          <w:color w:val="2F5496"/>
          <w:sz w:val="22"/>
          <w:szCs w:val="22"/>
        </w:rPr>
        <w:t xml:space="preserve">Nota al redactor · La advertencia que debe reproducirse en la memoria, y las dos cautelas que condicionan la redacción</w:t>
      </w:r>
    </w:p>
    <w:p>
      <w:pPr>
        <w:spacing w:after="140" w:line="276"/>
      </w:pPr>
      <w:r>
        <w:rPr>
          <w:rFonts w:ascii="Calibri" w:cs="Calibri" w:eastAsia="Calibri" w:hAnsi="Calibri"/>
          <w:b/>
          <w:bCs/>
          <w:sz w:val="21"/>
          <w:szCs w:val="21"/>
        </w:rPr>
        <w:t xml:space="preserve">Advertencia obligatoria, que debe reproducirse en la memoria justificativa del expediente.</w:t>
      </w:r>
      <w:r>
        <w:rPr>
          <w:rFonts w:ascii="Calibri" w:cs="Calibri" w:eastAsia="Calibri" w:hAnsi="Calibri"/>
          <w:sz w:val="21"/>
          <w:szCs w:val="21"/>
        </w:rPr>
        <w:t xml:space="preserve"> El depósito de código fuente no es una figura de uso habitual en la contratación pública española. Tras búsqueda sistemática en los repositorios del Tribunal Administrativo Central de Recursos Contractuales, del Tribunal Administrativo de Contratación Pública de la Comunidad de Madrid, del OARC/KEAO, del Tribunal Administrativo de Contratos Públicos de Aragón y de las juntas consultivas de contratación, a fecha de corte de 1 de septiembre de 2026 </w:t>
      </w:r>
      <w:r>
        <w:rPr>
          <w:rFonts w:ascii="Calibri" w:cs="Calibri" w:eastAsia="Calibri" w:hAnsi="Calibri"/>
          <w:b/>
          <w:bCs/>
          <w:sz w:val="21"/>
          <w:szCs w:val="21"/>
        </w:rPr>
        <w:t xml:space="preserve">no consta resolución, informe ni doctrina alguna sobre ella</w:t>
      </w:r>
      <w:r>
        <w:rPr>
          <w:rFonts w:ascii="Calibri" w:cs="Calibri" w:eastAsia="Calibri" w:hAnsi="Calibri"/>
          <w:sz w:val="21"/>
          <w:szCs w:val="21"/>
        </w:rPr>
        <w:t xml:space="preserve">; la doctrina privada española la describe como apenas utilizada. Se presenta, por tanto, como </w:t>
      </w:r>
      <w:r>
        <w:rPr>
          <w:rFonts w:ascii="Calibri" w:cs="Calibri" w:eastAsia="Calibri" w:hAnsi="Calibri"/>
          <w:b/>
          <w:bCs/>
          <w:sz w:val="21"/>
          <w:szCs w:val="21"/>
        </w:rPr>
        <w:t xml:space="preserve">previsión de nueva planta bien fundada</w:t>
      </w:r>
      <w:r>
        <w:rPr>
          <w:rFonts w:ascii="Calibri" w:cs="Calibri" w:eastAsia="Calibri" w:hAnsi="Calibri"/>
          <w:sz w:val="21"/>
          <w:szCs w:val="21"/>
        </w:rPr>
        <w:t xml:space="preserve"> —sobre la libertad de pactos del art. 34.1 LCSP, las condiciones especiales de ejecución del art. 202 LCSP y la medida [op.cont.4] «Medios alternativos» del Anexo II del RD 311/2022—, </w:t>
      </w:r>
      <w:r>
        <w:rPr>
          <w:rFonts w:ascii="Calibri" w:cs="Calibri" w:eastAsia="Calibri" w:hAnsi="Calibri"/>
          <w:b/>
          <w:bCs/>
          <w:sz w:val="21"/>
          <w:szCs w:val="21"/>
        </w:rPr>
        <w:t xml:space="preserve">no como práctica consolidada</w:t>
      </w:r>
      <w:r>
        <w:rPr>
          <w:rFonts w:ascii="Calibri" w:cs="Calibri" w:eastAsia="Calibri" w:hAnsi="Calibri"/>
          <w:sz w:val="21"/>
          <w:szCs w:val="21"/>
        </w:rPr>
        <w:t xml:space="preserve">. Un órgano de control informa sin dificultad una previsión de nueva planta justificada; detecta al instante una práctica supuestamente habitual que no puede contrastar.</w:t>
      </w:r>
    </w:p>
    <w:p>
      <w:pPr>
        <w:spacing w:after="140" w:line="276"/>
      </w:pPr>
      <w:r>
        <w:rPr>
          <w:rFonts w:ascii="Calibri" w:cs="Calibri" w:eastAsia="Calibri" w:hAnsi="Calibri"/>
          <w:sz w:val="21"/>
          <w:szCs w:val="21"/>
        </w:rPr>
        <w:t xml:space="preserve">Dos cautelas más, que condicionan la redacción entera:</w:t>
      </w:r>
    </w:p>
    <w:p>
      <w:pPr>
        <w:pStyle w:val="ListParagraph"/>
        <w:numPr>
          <w:ilvl w:val="0"/>
          <w:numId w:val="1"/>
        </w:numPr>
        <w:spacing w:after="70" w:line="268"/>
      </w:pPr>
      <w:r>
        <w:rPr>
          <w:rFonts w:ascii="Calibri" w:cs="Calibri" w:eastAsia="Calibri" w:hAnsi="Calibri"/>
          <w:b/>
          <w:bCs/>
          <w:sz w:val="21"/>
          <w:szCs w:val="21"/>
        </w:rPr>
        <w:t xml:space="preserve">No se puede obligar a un fabricante tercero a depositar.</w:t>
      </w:r>
      <w:r>
        <w:rPr>
          <w:rFonts w:ascii="Calibri" w:cs="Calibri" w:eastAsia="Calibri" w:hAnsi="Calibri"/>
          <w:sz w:val="21"/>
          <w:szCs w:val="21"/>
        </w:rPr>
        <w:t xml:space="preserve"> El art. 75 LCSP sirve para integrar la solvencia con medios externos; no habilita a imponer obligaciones a un tercero que no es parte del contrato. Una cláusula que exigiera el depósito del fabricante excluiría de facto a todo integrador y sería restricción artificial de la competencia (art. 132.2 LCSP). Por eso el apartado 3 ofrece </w:t>
      </w:r>
      <w:r>
        <w:rPr>
          <w:rFonts w:ascii="Calibri" w:cs="Calibri" w:eastAsia="Calibri" w:hAnsi="Calibri"/>
          <w:b/>
          <w:bCs/>
          <w:sz w:val="21"/>
          <w:szCs w:val="21"/>
        </w:rPr>
        <w:t xml:space="preserve">tres vías alternativas de cumplimiento</w:t>
      </w:r>
      <w:r>
        <w:rPr>
          <w:rFonts w:ascii="Calibri" w:cs="Calibri" w:eastAsia="Calibri" w:hAnsi="Calibri"/>
          <w:sz w:val="21"/>
          <w:szCs w:val="21"/>
        </w:rPr>
        <w:t xml:space="preserve">, todas equivalentes, y ninguna de ellas impone nada al fabricante: o este acepta voluntariamente, o el adjudicatario acredita la continuidad por otro medio.</w:t>
      </w:r>
    </w:p>
    <w:p>
      <w:pPr>
        <w:pStyle w:val="ListParagraph"/>
        <w:numPr>
          <w:ilvl w:val="0"/>
          <w:numId w:val="1"/>
        </w:numPr>
        <w:spacing w:after="70" w:line="268"/>
      </w:pPr>
      <w:r>
        <w:rPr>
          <w:rFonts w:ascii="Calibri" w:cs="Calibri" w:eastAsia="Calibri" w:hAnsi="Calibri"/>
          <w:b/>
          <w:bCs/>
          <w:sz w:val="21"/>
          <w:szCs w:val="21"/>
        </w:rPr>
        <w:t xml:space="preserve">Un ámbito que abarque todo el software municipal hace la proporcionalidad nominal.</w:t>
      </w:r>
      <w:r>
        <w:rPr>
          <w:rFonts w:ascii="Calibri" w:cs="Calibri" w:eastAsia="Calibri" w:hAnsi="Calibri"/>
          <w:sz w:val="21"/>
          <w:szCs w:val="21"/>
        </w:rPr>
        <w:t xml:space="preserve"> Padrón, tributos, recaudación, contabilidad, gestión de expedientes y sede electrónica son, sumados, casi todo lo que un ayuntamiento contrata en materia informática. Por eso los criterios de ámbito del apartado 1 son </w:t>
      </w:r>
      <w:r>
        <w:rPr>
          <w:rFonts w:ascii="Calibri" w:cs="Calibri" w:eastAsia="Calibri" w:hAnsi="Calibri"/>
          <w:b/>
          <w:bCs/>
          <w:sz w:val="21"/>
          <w:szCs w:val="21"/>
        </w:rPr>
        <w:t xml:space="preserve">acumulativos</w:t>
      </w:r>
      <w:r>
        <w:rPr>
          <w:rFonts w:ascii="Calibri" w:cs="Calibri" w:eastAsia="Calibri" w:hAnsi="Calibri"/>
          <w:sz w:val="21"/>
          <w:szCs w:val="21"/>
        </w:rPr>
        <w:t xml:space="preserve">, no alternativos, y la cláusula es </w:t>
      </w:r>
      <w:r>
        <w:rPr>
          <w:rFonts w:ascii="Calibri" w:cs="Calibri" w:eastAsia="Calibri" w:hAnsi="Calibri"/>
          <w:b/>
          <w:bCs/>
          <w:sz w:val="21"/>
          <w:szCs w:val="21"/>
        </w:rPr>
        <w:t xml:space="preserve">NO APLICA por defecto</w:t>
      </w:r>
      <w:r>
        <w:rPr>
          <w:rFonts w:ascii="Calibri" w:cs="Calibri" w:eastAsia="Calibri" w:hAnsi="Calibri"/>
          <w:sz w:val="21"/>
          <w:szCs w:val="21"/>
        </w:rPr>
        <w:t xml:space="preserve">. Un expediente que quiera incorporarla sin que concurra alguna de las cuatro circunstancias no puede reinterpretar el apartado 1: debe motivar en la memoria la rebaja del criterio de que se trate y hacerlo constar en la ficha del Anexo II.</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III.12 · ADM-12·v3 — Acceso de los órganos de control interno a los datos de ejecución</w:t>
      </w:r>
    </w:p>
    <w:p>
      <w:pPr>
        <w:spacing w:after="140" w:line="276"/>
      </w:pPr>
      <w:r>
        <w:rPr>
          <w:rFonts w:ascii="Calibri" w:cs="Calibri" w:eastAsia="Calibri" w:hAnsi="Calibri"/>
          <w:i/>
          <w:iCs/>
          <w:sz w:val="21"/>
          <w:szCs w:val="21"/>
        </w:rPr>
        <w:t xml:space="preserve">(Cláusula nueva. Nace de la única necesidad declarada por escrito por un órgano municipal en todo el expediente. Sustituye la exigencia de «acceso de alcance no inferior al del gestor» por cuatro obligaciones determinadas y verificables. Lo que se corrige respecto del planteamiento anterior está en la nota al redactor, al final de la cláusula.)</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Acceso de los órganos de control interno a los datos de ejecución del contrato.</w:t>
            </w:r>
          </w:p>
          <w:p>
            <w:pPr>
              <w:spacing w:after="100" w:line="264"/>
            </w:pPr>
            <w:r>
              <w:rPr>
                <w:rFonts w:ascii="Georgia" w:cs="Georgia" w:eastAsia="Georgia" w:hAnsi="Georgia"/>
                <w:i/>
                <w:iCs/>
                <w:sz w:val="20"/>
                <w:szCs w:val="20"/>
              </w:rPr>
              <w:t xml:space="preserve">(Condición especial de ejecución, artículo 202.1 de la LCSP. Su carácter de obligación contractual esencial alcanza </w:t>
            </w:r>
            <w:r>
              <w:rPr>
                <w:rFonts w:ascii="Georgia" w:cs="Georgia" w:eastAsia="Georgia" w:hAnsi="Georgia"/>
                <w:i/>
                <w:iCs/>
                <w:sz w:val="20"/>
                <w:szCs w:val="20"/>
              </w:rPr>
              <w:t xml:space="preserve">únicamente</w:t>
            </w:r>
            <w:r>
              <w:rPr>
                <w:rFonts w:ascii="Georgia" w:cs="Georgia" w:eastAsia="Georgia" w:hAnsi="Georgia"/>
                <w:sz w:val="20"/>
                <w:szCs w:val="20"/>
              </w:rPr>
              <w:t xml:space="preserve">* a los incumplimientos que enumera la cláusula [ADM-6], bloque B)*</w:t>
            </w:r>
          </w:p>
          <w:p>
            <w:pPr>
              <w:pStyle w:val="ListParagraph"/>
              <w:numPr>
                <w:ilvl w:val="0"/>
                <w:numId w:val="2"/>
              </w:numPr>
              <w:spacing w:after="60" w:line="264"/>
            </w:pPr>
            <w:r>
              <w:rPr>
                <w:rFonts w:ascii="Georgia" w:cs="Georgia" w:eastAsia="Georgia" w:hAnsi="Georgia"/>
                <w:b/>
                <w:bCs/>
                <w:sz w:val="20"/>
                <w:szCs w:val="20"/>
              </w:rPr>
              <w:t xml:space="preserve">Accesos de control incluidos en el precio.</w:t>
            </w:r>
            <w:r>
              <w:rPr>
                <w:rFonts w:ascii="Georgia" w:cs="Georgia" w:eastAsia="Georgia" w:hAnsi="Georgia"/>
                <w:sz w:val="20"/>
                <w:szCs w:val="20"/>
              </w:rPr>
              <w:t xml:space="preserve"> El adjudicatario habilitará, sin coste adicional alguno y con cargo al precio del contrato, </w:t>
            </w:r>
            <w:r>
              <w:rPr>
                <w:rFonts w:ascii="Georgia" w:cs="Georgia" w:eastAsia="Georgia" w:hAnsi="Georgia"/>
                <w:b/>
                <w:bCs/>
                <w:sz w:val="20"/>
                <w:szCs w:val="20"/>
              </w:rPr>
              <w:t xml:space="preserve">[X; se recomienda 3] accesos nominativos de consulta</w:t>
            </w:r>
            <w:r>
              <w:rPr>
                <w:rFonts w:ascii="Georgia" w:cs="Georgia" w:eastAsia="Georgia" w:hAnsi="Georgia"/>
                <w:sz w:val="20"/>
                <w:szCs w:val="20"/>
              </w:rPr>
              <w:t xml:space="preserve"> para el personal que designen el órgano interventor y el responsable del contrato. Estos accesos permitirán consultar los datos de ejecución del contrato con el detalle funcional que el pliego de prescripciones técnicas defina en su apartado [ ], y estarán operativos en el plazo de </w:t>
            </w:r>
            <w:r>
              <w:rPr>
                <w:rFonts w:ascii="Georgia" w:cs="Georgia" w:eastAsia="Georgia" w:hAnsi="Georgia"/>
                <w:b/>
                <w:bCs/>
                <w:sz w:val="20"/>
                <w:szCs w:val="20"/>
              </w:rPr>
              <w:t xml:space="preserve">[X; se recomienda 30] días naturales</w:t>
            </w:r>
            <w:r>
              <w:rPr>
                <w:rFonts w:ascii="Georgia" w:cs="Georgia" w:eastAsia="Georgia" w:hAnsi="Georgia"/>
                <w:sz w:val="20"/>
                <w:szCs w:val="20"/>
              </w:rPr>
              <w:t xml:space="preserve"> desde la formalización y durante toda la vigencia del contrato y de sus prórrogas. El Ayuntamiento podrá contratar accesos adicionales a los precios unitarios ofertados.</w:t>
            </w:r>
          </w:p>
          <w:p>
            <w:pPr>
              <w:pStyle w:val="ListParagraph"/>
              <w:numPr>
                <w:ilvl w:val="0"/>
                <w:numId w:val="2"/>
              </w:numPr>
              <w:spacing w:after="60" w:line="264"/>
            </w:pPr>
            <w:r>
              <w:rPr>
                <w:rFonts w:ascii="Georgia" w:cs="Georgia" w:eastAsia="Georgia" w:hAnsi="Georgia"/>
                <w:b/>
                <w:bCs/>
                <w:sz w:val="20"/>
                <w:szCs w:val="20"/>
              </w:rPr>
              <w:t xml:space="preserve">Exportación en formato abierto.</w:t>
            </w:r>
            <w:r>
              <w:rPr>
                <w:rFonts w:ascii="Georgia" w:cs="Georgia" w:eastAsia="Georgia" w:hAnsi="Georgia"/>
                <w:sz w:val="20"/>
                <w:szCs w:val="20"/>
              </w:rPr>
              <w:t xml:space="preserve"> El adjudicatario garantizará la extracción de los datos de ejecución del contrato </w:t>
            </w:r>
            <w:r>
              <w:rPr>
                <w:rFonts w:ascii="Georgia" w:cs="Georgia" w:eastAsia="Georgia" w:hAnsi="Georgia"/>
                <w:b/>
                <w:bCs/>
                <w:sz w:val="20"/>
                <w:szCs w:val="20"/>
              </w:rPr>
              <w:t xml:space="preserve">en formato abierto, reutilizable y documentado</w:t>
            </w:r>
            <w:r>
              <w:rPr>
                <w:rFonts w:ascii="Georgia" w:cs="Georgia" w:eastAsia="Georgia" w:hAnsi="Georgia"/>
                <w:sz w:val="20"/>
                <w:szCs w:val="20"/>
              </w:rPr>
              <w:t xml:space="preserve">, conforme al Esquema Nacional de Interoperabilidad, mediante interfaz programática documentada, autenticada y auditable, </w:t>
            </w:r>
            <w:r>
              <w:rPr>
                <w:rFonts w:ascii="Georgia" w:cs="Georgia" w:eastAsia="Georgia" w:hAnsi="Georgia"/>
                <w:b/>
                <w:bCs/>
                <w:sz w:val="20"/>
                <w:szCs w:val="20"/>
              </w:rPr>
              <w:t xml:space="preserve">sin desarrollos a medida y sin coste por consulta</w:t>
            </w:r>
            <w:r>
              <w:rPr>
                <w:rFonts w:ascii="Georgia" w:cs="Georgia" w:eastAsia="Georgia" w:hAnsi="Georgia"/>
                <w:sz w:val="20"/>
                <w:szCs w:val="20"/>
              </w:rPr>
              <w:t xml:space="preserve">. La extracción incluirá, como mínimo, los datos que acrediten la realidad de la prestación, el grado de cumplimiento de los niveles de servicio y los datos económicos asociados a la ejecución.</w:t>
            </w:r>
          </w:p>
          <w:p>
            <w:pPr>
              <w:pStyle w:val="ListParagraph"/>
              <w:numPr>
                <w:ilvl w:val="0"/>
                <w:numId w:val="2"/>
              </w:numPr>
              <w:spacing w:after="60" w:line="264"/>
            </w:pPr>
            <w:r>
              <w:rPr>
                <w:rFonts w:ascii="Georgia" w:cs="Georgia" w:eastAsia="Georgia" w:hAnsi="Georgia"/>
                <w:b/>
                <w:bCs/>
                <w:sz w:val="20"/>
                <w:szCs w:val="20"/>
              </w:rPr>
              <w:t xml:space="preserve">Diccionario de datos.</w:t>
            </w:r>
            <w:r>
              <w:rPr>
                <w:rFonts w:ascii="Georgia" w:cs="Georgia" w:eastAsia="Georgia" w:hAnsi="Georgia"/>
                <w:sz w:val="20"/>
                <w:szCs w:val="20"/>
              </w:rPr>
              <w:t xml:space="preserve"> El adjudicatario entregará, en el plazo de </w:t>
            </w:r>
            <w:r>
              <w:rPr>
                <w:rFonts w:ascii="Georgia" w:cs="Georgia" w:eastAsia="Georgia" w:hAnsi="Georgia"/>
                <w:b/>
                <w:bCs/>
                <w:sz w:val="20"/>
                <w:szCs w:val="20"/>
              </w:rPr>
              <w:t xml:space="preserve">[X; se recomienda 60] días naturales</w:t>
            </w:r>
            <w:r>
              <w:rPr>
                <w:rFonts w:ascii="Georgia" w:cs="Georgia" w:eastAsia="Georgia" w:hAnsi="Georgia"/>
                <w:sz w:val="20"/>
                <w:szCs w:val="20"/>
              </w:rPr>
              <w:t xml:space="preserve"> desde la formalización y actualizado con cada versión mayor puesta en producción, un </w:t>
            </w:r>
            <w:r>
              <w:rPr>
                <w:rFonts w:ascii="Georgia" w:cs="Georgia" w:eastAsia="Georgia" w:hAnsi="Georgia"/>
                <w:b/>
                <w:bCs/>
                <w:sz w:val="20"/>
                <w:szCs w:val="20"/>
              </w:rPr>
              <w:t xml:space="preserve">diccionario de datos</w:t>
            </w:r>
            <w:r>
              <w:rPr>
                <w:rFonts w:ascii="Georgia" w:cs="Georgia" w:eastAsia="Georgia" w:hAnsi="Georgia"/>
                <w:sz w:val="20"/>
                <w:szCs w:val="20"/>
              </w:rPr>
              <w:t xml:space="preserve"> y la documentación técnica suficiente para interpretar la información extraída </w:t>
            </w:r>
            <w:r>
              <w:rPr>
                <w:rFonts w:ascii="Georgia" w:cs="Georgia" w:eastAsia="Georgia" w:hAnsi="Georgia"/>
                <w:b/>
                <w:bCs/>
                <w:sz w:val="20"/>
                <w:szCs w:val="20"/>
              </w:rPr>
              <w:t xml:space="preserve">sin asistencia del adjudicatario</w:t>
            </w:r>
            <w:r>
              <w:rPr>
                <w:rFonts w:ascii="Georgia" w:cs="Georgia" w:eastAsia="Georgia" w:hAnsi="Georgia"/>
                <w:sz w:val="20"/>
                <w:szCs w:val="20"/>
              </w:rPr>
              <w:t xml:space="preserve">: relación de entidades y atributos, tipos, dominios de valores, claves y relaciones, y significado funcional de cada campo relevante para el control.</w:t>
            </w:r>
          </w:p>
          <w:p>
            <w:pPr>
              <w:pStyle w:val="ListParagraph"/>
              <w:numPr>
                <w:ilvl w:val="0"/>
                <w:numId w:val="2"/>
              </w:numPr>
              <w:spacing w:after="60" w:line="264"/>
            </w:pPr>
            <w:r>
              <w:rPr>
                <w:rFonts w:ascii="Georgia" w:cs="Georgia" w:eastAsia="Georgia" w:hAnsi="Georgia"/>
                <w:b/>
                <w:bCs/>
                <w:sz w:val="20"/>
                <w:szCs w:val="20"/>
              </w:rPr>
              <w:t xml:space="preserve">Trazabilidad.</w:t>
            </w:r>
            <w:r>
              <w:rPr>
                <w:rFonts w:ascii="Georgia" w:cs="Georgia" w:eastAsia="Georgia" w:hAnsi="Georgia"/>
                <w:sz w:val="20"/>
                <w:szCs w:val="20"/>
              </w:rPr>
              <w:t xml:space="preserve"> El sistema mantendrá un registro de actividad que permita determinar qué operación se realizó, cuándo, por quién o por qué proceso automatizado, y con qué resultado, exportable en los mismos términos del apartado 2 y conservado durante el plazo que fije el pliego de prescripciones técnicas y, como mínimo, hasta la liquidación del contrato.</w:t>
            </w:r>
          </w:p>
          <w:p>
            <w:pPr>
              <w:pStyle w:val="ListParagraph"/>
              <w:numPr>
                <w:ilvl w:val="0"/>
                <w:numId w:val="2"/>
              </w:numPr>
              <w:spacing w:after="60" w:line="264"/>
            </w:pPr>
            <w:r>
              <w:rPr>
                <w:rFonts w:ascii="Georgia" w:cs="Georgia" w:eastAsia="Georgia" w:hAnsi="Georgia"/>
                <w:b/>
                <w:bCs/>
                <w:sz w:val="20"/>
                <w:szCs w:val="20"/>
              </w:rPr>
              <w:t xml:space="preserve">Previsión expresa a los efectos del artículo 33.4.d) del Real Decreto 424/2017.</w:t>
            </w:r>
            <w:r>
              <w:rPr>
                <w:rFonts w:ascii="Georgia" w:cs="Georgia" w:eastAsia="Georgia" w:hAnsi="Georgia"/>
                <w:sz w:val="20"/>
                <w:szCs w:val="20"/>
              </w:rPr>
              <w:t xml:space="preserve"> Se establece expresamente en este contrato el acceso de la Administración a la información sobre las operaciones realizadas en ejecución del mismo, a los saldos contables generados por éstas y a los costes asociados, a los efectos del artículo 33.4.d) del Real Decreto 424/2017, de 28 de abril.</w:t>
            </w:r>
          </w:p>
          <w:p>
            <w:pPr>
              <w:pStyle w:val="ListParagraph"/>
              <w:numPr>
                <w:ilvl w:val="0"/>
                <w:numId w:val="2"/>
              </w:numPr>
              <w:spacing w:after="60" w:line="264"/>
            </w:pPr>
            <w:r>
              <w:rPr>
                <w:rFonts w:ascii="Georgia" w:cs="Georgia" w:eastAsia="Georgia" w:hAnsi="Georgia"/>
                <w:b/>
                <w:bCs/>
                <w:sz w:val="20"/>
                <w:szCs w:val="20"/>
              </w:rPr>
              <w:t xml:space="preserve">Permanencia y reversión.</w:t>
            </w:r>
            <w:r>
              <w:rPr>
                <w:rFonts w:ascii="Georgia" w:cs="Georgia" w:eastAsia="Georgia" w:hAnsi="Georgia"/>
                <w:sz w:val="20"/>
                <w:szCs w:val="20"/>
              </w:rPr>
              <w:t xml:space="preserve"> Las obligaciones de los apartados 1 a 4 se mantienen durante las prórrogas y, tras la extinción del contrato, hasta la fecha del </w:t>
            </w:r>
            <w:r>
              <w:rPr>
                <w:rFonts w:ascii="Georgia" w:cs="Georgia" w:eastAsia="Georgia" w:hAnsi="Georgia"/>
                <w:b/>
                <w:bCs/>
                <w:sz w:val="20"/>
                <w:szCs w:val="20"/>
              </w:rPr>
              <w:t xml:space="preserve">acta de reversión</w:t>
            </w:r>
            <w:r>
              <w:rPr>
                <w:rFonts w:ascii="Georgia" w:cs="Georgia" w:eastAsia="Georgia" w:hAnsi="Georgia"/>
                <w:sz w:val="20"/>
                <w:szCs w:val="20"/>
              </w:rPr>
              <w:t xml:space="preserve"> prevista en la cláusula [DT-8], apartado 8 —o, en su defecto, hasta el vencimiento del plazo allí establecido para levantarla— o hasta transcurridos </w:t>
            </w:r>
            <w:r>
              <w:rPr>
                <w:rFonts w:ascii="Georgia" w:cs="Georgia" w:eastAsia="Georgia" w:hAnsi="Georgia"/>
                <w:b/>
                <w:bCs/>
                <w:sz w:val="20"/>
                <w:szCs w:val="20"/>
              </w:rPr>
              <w:t xml:space="preserve">[X; se recomienda 3] meses</w:t>
            </w:r>
            <w:r>
              <w:rPr>
                <w:rFonts w:ascii="Georgia" w:cs="Georgia" w:eastAsia="Georgia" w:hAnsi="Georgia"/>
                <w:sz w:val="20"/>
                <w:szCs w:val="20"/>
              </w:rPr>
              <w:t xml:space="preserve"> desde la extinción, </w:t>
            </w:r>
            <w:r>
              <w:rPr>
                <w:rFonts w:ascii="Georgia" w:cs="Georgia" w:eastAsia="Georgia" w:hAnsi="Georgia"/>
                <w:b/>
                <w:bCs/>
                <w:sz w:val="20"/>
                <w:szCs w:val="20"/>
              </w:rPr>
              <w:t xml:space="preserve">lo que ocurra más tarde</w:t>
            </w:r>
            <w:r>
              <w:rPr>
                <w:rFonts w:ascii="Georgia" w:cs="Georgia" w:eastAsia="Georgia" w:hAnsi="Georgia"/>
                <w:sz w:val="20"/>
                <w:szCs w:val="20"/>
              </w:rPr>
              <w:t xml:space="preserve">. El diccionario de datos actualizado forma parte del material objeto de entrega en la reversión.</w:t>
            </w:r>
          </w:p>
          <w:p>
            <w:pPr>
              <w:pStyle w:val="ListParagraph"/>
              <w:numPr>
                <w:ilvl w:val="0"/>
                <w:numId w:val="2"/>
              </w:numPr>
              <w:spacing w:after="60" w:line="264"/>
            </w:pPr>
            <w:r>
              <w:rPr>
                <w:rFonts w:ascii="Georgia" w:cs="Georgia" w:eastAsia="Georgia" w:hAnsi="Georgia"/>
                <w:b/>
                <w:bCs/>
                <w:sz w:val="20"/>
                <w:szCs w:val="20"/>
              </w:rPr>
              <w:t xml:space="preserve">Finalidad y límites.</w:t>
            </w:r>
            <w:r>
              <w:rPr>
                <w:rFonts w:ascii="Georgia" w:cs="Georgia" w:eastAsia="Georgia" w:hAnsi="Georgia"/>
                <w:sz w:val="20"/>
                <w:szCs w:val="20"/>
              </w:rPr>
              <w:t xml:space="preserve"> El acceso se otorga exclusivamente para el ejercicio de las funciones de control interno de los artículos 213 y siguientes del texto refundido de la Ley reguladora de las Haciendas Locales y del Real Decreto 424/2017, y queda sujeto al deber de sigilo del artículo 5.1 de dicho reglamento. No comprende facultad alguna de explotación comercial ni de cesión a terceros. Cuando el tratamiento comprenda datos personales, esta previsión se entiende sin perjuicio y en refuerzo de la obligación del artículo 28.3.h) del Reglamento (UE) 2016/679.</w:t>
            </w:r>
          </w:p>
          <w:p>
            <w:pPr>
              <w:pStyle w:val="ListParagraph"/>
              <w:numPr>
                <w:ilvl w:val="0"/>
                <w:numId w:val="2"/>
              </w:numPr>
              <w:spacing w:after="60" w:line="264"/>
            </w:pPr>
            <w:r>
              <w:rPr>
                <w:rFonts w:ascii="Georgia" w:cs="Georgia" w:eastAsia="Georgia" w:hAnsi="Georgia"/>
                <w:b/>
                <w:bCs/>
                <w:sz w:val="20"/>
                <w:szCs w:val="20"/>
              </w:rPr>
              <w:t xml:space="preserve">Naturaleza y carácter esencial.</w:t>
            </w:r>
            <w:r>
              <w:rPr>
                <w:rFonts w:ascii="Georgia" w:cs="Georgia" w:eastAsia="Georgia" w:hAnsi="Georgia"/>
                <w:sz w:val="20"/>
                <w:szCs w:val="20"/>
              </w:rPr>
              <w:t xml:space="preserve"> Esta condición especial de ejecución se establece al amparo del artículo 202.1 de la LCSP y está vinculada al objeto del contrato en el sentido del artículo 145 de la LCSP, por referirse a la ejecución y a la fase de explotación de su ciclo de vida. Tienen el carácter de obligación contractual esencial a los efectos del artículo 211.1.f) de la Ley 9/2017, </w:t>
            </w:r>
            <w:r>
              <w:rPr>
                <w:rFonts w:ascii="Georgia" w:cs="Georgia" w:eastAsia="Georgia" w:hAnsi="Georgia"/>
                <w:b/>
                <w:bCs/>
                <w:sz w:val="20"/>
                <w:szCs w:val="20"/>
              </w:rPr>
              <w:t xml:space="preserve">exclusivamente</w:t>
            </w:r>
            <w:r>
              <w:rPr>
                <w:rFonts w:ascii="Georgia" w:cs="Georgia" w:eastAsia="Georgia" w:hAnsi="Georgia"/>
                <w:sz w:val="20"/>
                <w:szCs w:val="20"/>
              </w:rPr>
              <w:t xml:space="preserve">, los incumplimientos relativos a esta cláusula que enumera la cláusula [ADM-6], bloque B. Los demás incumplimientos de esta cláusula generan las penalidades que correspondan conforme a la cláusula [ADM-5].</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PCAP, cláusula de condiciones especiales de ejecución, </w:t>
      </w:r>
      <w:r>
        <w:rPr>
          <w:rFonts w:ascii="Calibri" w:cs="Calibri" w:eastAsia="Calibri" w:hAnsi="Calibri"/>
          <w:b/>
          <w:bCs/>
          <w:sz w:val="21"/>
          <w:szCs w:val="21"/>
        </w:rPr>
        <w:t xml:space="preserve">y en el anuncio de licitación</w:t>
      </w:r>
      <w:r>
        <w:rPr>
          <w:rFonts w:ascii="Calibri" w:cs="Calibri" w:eastAsia="Calibri" w:hAnsi="Calibri"/>
          <w:sz w:val="21"/>
          <w:szCs w:val="21"/>
        </w:rPr>
        <w:t xml:space="preserve"> (art. 202.1 LCSP: las condiciones especiales de ejecución se indican en el anuncio y en los pliegos, y su omisión en el anuncio es un defecto que no se subsana después), y cuadro-resumen (casilla de condiciones especiales de ejecución de carácter esencial). El detalle funcional del acceso del apartado 1 y el plazo de conservación del apartado 4 se fijan en el PPT, por remisión.</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b/>
          <w:bCs/>
          <w:sz w:val="21"/>
          <w:szCs w:val="21"/>
        </w:rPr>
        <w:t xml:space="preserve">Bloque principal — control interno.</w:t>
      </w:r>
      <w:r>
        <w:rPr>
          <w:rFonts w:ascii="Calibri" w:cs="Calibri" w:eastAsia="Calibri" w:hAnsi="Calibri"/>
          <w:sz w:val="21"/>
          <w:szCs w:val="21"/>
        </w:rPr>
        <w:t xml:space="preserve"> Art. 214 del texto refundido de la Ley reguladora de las Haciendas Locales (función interventora); art. 220.2 (el control financiero informa «del grado de eficacia y eficiencia en la consecución de los objetivos previstos»); art. 221 (el control de eficacia comprueba «el grado de cumplimiento de los objetivos, así como el análisis del coste de funcionamiento y del rendimiento»); art. 222 (facultad de recabar cuantos antecedentes se consideren necesarios). Art. 3.3 del RD 424/2017 (gestión orientada por eficacia, eficiencia, economía, calidad y transparencia); art. 4.3 (cobertura de control efectivo de al menos el 80 por ciento del presupuesto general consolidado del ejercicio, y del 100 por ciento en tres ejercicios); art. 6.4 (antecedentes y documentos precisos «con independencia del medio que los soporte»); art. 6.7 (los funcionarios actuantes «podrán revisar los sistemas informáticos de gestión que sean precisos»); arts. 20 y 30 (comprobación material de la inversión y acceso para consultas a los sistemas y aplicaciones que contengan información económico-financiera). DA 3.ª.3 LCSP, que extiende la fiscalización a las repercusiones en la estabilidad presupuestaria y la sostenibilidad financiera.</w:t>
      </w:r>
    </w:p>
    <w:p>
      <w:pPr>
        <w:spacing w:after="140" w:line="276"/>
      </w:pPr>
      <w:r>
        <w:rPr>
          <w:rFonts w:ascii="Calibri" w:cs="Calibri" w:eastAsia="Calibri" w:hAnsi="Calibri"/>
          <w:b/>
          <w:bCs/>
          <w:sz w:val="21"/>
          <w:szCs w:val="21"/>
        </w:rPr>
        <w:t xml:space="preserve">Bloque complementario y acotado — art. 33.4.d) del RD 424/2017</w:t>
      </w:r>
      <w:r>
        <w:rPr>
          <w:rFonts w:ascii="Calibri" w:cs="Calibri" w:eastAsia="Calibri" w:hAnsi="Calibri"/>
          <w:sz w:val="21"/>
          <w:szCs w:val="21"/>
        </w:rPr>
        <w:t xml:space="preserve">, exclusivamente para la información sobre operaciones, saldos contables y costes del tercero en actuaciones de auditoría pública, supuesto en el que la potestad frente al contratista sólo existe si el contrato la prevé. Ese es el contenido del apartado 5, y sólo ese.</w:t>
      </w:r>
    </w:p>
    <w:p>
      <w:pPr>
        <w:spacing w:after="140" w:line="276"/>
      </w:pPr>
      <w:r>
        <w:rPr>
          <w:rFonts w:ascii="Calibri" w:cs="Calibri" w:eastAsia="Calibri" w:hAnsi="Calibri"/>
          <w:b/>
          <w:bCs/>
          <w:sz w:val="21"/>
          <w:szCs w:val="21"/>
        </w:rPr>
        <w:t xml:space="preserve">Por qué la necesidad no es artificiosa.</w:t>
      </w:r>
      <w:r>
        <w:rPr>
          <w:rFonts w:ascii="Calibri" w:cs="Calibri" w:eastAsia="Calibri" w:hAnsi="Calibri"/>
          <w:sz w:val="21"/>
          <w:szCs w:val="21"/>
        </w:rPr>
        <w:t xml:space="preserve"> El art. 28.1 LCSP no dice que la necesidad la formule un gestor: dice que la naturaleza y extensión de las necesidades «deben ser determinadas con precisión, dejando constancia de ello en la documentación preparatoria». Quien las determina es el órgano de contratación. Aquí, además, la necesidad está identificada en la segunda dificultad del §M1.1, y con ella la distinción que la hace defendible: una administración no debería exigir a su contratista instrumentos de seguimiento que después no va a usar, pero sí entra de lleno en el ámbito de quien controla poder explotar los datos al mismo rango que el gestor, para cumplir con sus obligaciones legales. Esa distinción es la que sostiene el alcance de esta cláusula. Antes de aplicar el catálogo a un expediente debe recabarse de los servicios competentes el </w:t>
      </w:r>
      <w:r>
        <w:rPr>
          <w:rFonts w:ascii="Calibri" w:cs="Calibri" w:eastAsia="Calibri" w:hAnsi="Calibri"/>
          <w:b/>
          <w:bCs/>
          <w:sz w:val="21"/>
          <w:szCs w:val="21"/>
        </w:rPr>
        <w:t xml:space="preserve">informe firmado y fechado</w:t>
      </w:r>
      <w:r>
        <w:rPr>
          <w:rFonts w:ascii="Calibri" w:cs="Calibri" w:eastAsia="Calibri" w:hAnsi="Calibri"/>
          <w:sz w:val="21"/>
          <w:szCs w:val="21"/>
        </w:rPr>
        <w:t xml:space="preserve"> que corresponda, y es ese informe el que se cita en la memoria justificativa.</w:t>
      </w:r>
    </w:p>
    <w:p>
      <w:pPr>
        <w:spacing w:after="140" w:line="276"/>
      </w:pPr>
      <w:r>
        <w:rPr>
          <w:rFonts w:ascii="Calibri" w:cs="Calibri" w:eastAsia="Calibri" w:hAnsi="Calibri"/>
          <w:b/>
          <w:bCs/>
          <w:sz w:val="21"/>
          <w:szCs w:val="21"/>
        </w:rPr>
        <w:t xml:space="preserve">Relación directa, clara y proporcional (art. 116.4.e LCSP):</w:t>
      </w:r>
      <w:r>
        <w:rPr>
          <w:rFonts w:ascii="Calibri" w:cs="Calibri" w:eastAsia="Calibri" w:hAnsi="Calibri"/>
          <w:sz w:val="21"/>
          <w:szCs w:val="21"/>
        </w:rPr>
        <w:t xml:space="preserve"> directa, porque los datos cuyo acceso se exige son los generados por la propia prestación contratada; clara, porque su contenido queda determinado en la cláusula y su número acotado; proporcional, porque no impone al adjudicatario desarrollo alguno distinto de exponer, en formato reutilizable, información que ya produce y almacena para prestar el servicio.</w:t>
      </w:r>
    </w:p>
    <w:p>
      <w:pPr>
        <w:pStyle w:val="Heading3"/>
        <w:keepNext/>
        <w:spacing w:after="140" w:before="320"/>
      </w:pPr>
      <w:r>
        <w:rPr>
          <w:rFonts w:ascii="Georgia" w:cs="Georgia" w:eastAsia="Georgia" w:hAnsi="Georgia"/>
          <w:b/>
          <w:bCs/>
          <w:color w:val="2F5496"/>
          <w:sz w:val="22"/>
          <w:szCs w:val="22"/>
        </w:rPr>
        <w:t xml:space="preserve">4. Cómo se acredita</w:t>
      </w:r>
    </w:p>
    <w:p>
      <w:pPr>
        <w:spacing w:after="140" w:line="276"/>
      </w:pPr>
      <w:r>
        <w:rPr>
          <w:rFonts w:ascii="Calibri" w:cs="Calibri" w:eastAsia="Calibri" w:hAnsi="Calibri"/>
          <w:sz w:val="21"/>
          <w:szCs w:val="21"/>
        </w:rPr>
        <w:t xml:space="preserve">Medios tasados: (a) acta de habilitación de los accesos, firmada por el responsable del contrato dentro del plazo del apartado 1; (b) documentación de la interfaz de extracción y </w:t>
      </w:r>
      <w:r>
        <w:rPr>
          <w:rFonts w:ascii="Calibri" w:cs="Calibri" w:eastAsia="Calibri" w:hAnsi="Calibri"/>
          <w:b/>
          <w:bCs/>
          <w:sz w:val="21"/>
          <w:szCs w:val="21"/>
        </w:rPr>
        <w:t xml:space="preserve">prueba de extracción efectiva</w:t>
      </w:r>
      <w:r>
        <w:rPr>
          <w:rFonts w:ascii="Calibri" w:cs="Calibri" w:eastAsia="Calibri" w:hAnsi="Calibri"/>
          <w:sz w:val="21"/>
          <w:szCs w:val="21"/>
        </w:rPr>
        <w:t xml:space="preserve"> realizada por personal municipal, documentada en acta; (c) diccionario de datos entregado en el plazo del apartado 3, en formato reutilizable; (d) muestra de registro de actividad exportado. La declaración del adjudicatario de que el acceso «está disponible» no acredita nada: la acreditación es la extracción efectiva.</w:t>
      </w:r>
    </w:p>
    <w:p>
      <w:pPr>
        <w:pStyle w:val="Heading3"/>
        <w:keepNext/>
        <w:spacing w:after="140" w:before="320"/>
      </w:pPr>
      <w:r>
        <w:rPr>
          <w:rFonts w:ascii="Georgia" w:cs="Georgia" w:eastAsia="Georgia" w:hAnsi="Georgia"/>
          <w:b/>
          <w:bCs/>
          <w:color w:val="2F5496"/>
          <w:sz w:val="22"/>
          <w:szCs w:val="22"/>
        </w:rPr>
        <w:t xml:space="preserve">5. Cómo se verifica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Cuándo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 qué documento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los [30; se recomienda 30] días de la formalización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habilitación de accesos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Personal designado por el órgano interventor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vez al 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prueba de extracción efectiva en formato abierto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municipal de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 cada versión mayor puesta en producción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Constancia de entrega del diccionario de datos actualizado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 iniciarse cada prórroga y en la reversión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Constancia de que los accesos siguen operativos</w:t>
            </w:r>
          </w:p>
        </w:tc>
      </w:tr>
    </w:tbl>
    <w:p>
      <w:pPr>
        <w:spacing w:after="200"/>
      </w:pPr>
    </w:p>
    <w:p>
      <w:pPr>
        <w:spacing w:after="140" w:line="276"/>
      </w:pPr>
      <w:r>
        <w:rPr>
          <w:rFonts w:ascii="Calibri" w:cs="Calibri" w:eastAsia="Calibri" w:hAnsi="Calibri"/>
          <w:b/>
          <w:bCs/>
          <w:sz w:val="21"/>
          <w:szCs w:val="21"/>
        </w:rPr>
        <w:t xml:space="preserve">Carga estimada.</w:t>
      </w:r>
      <w:r>
        <w:rPr>
          <w:rFonts w:ascii="Calibri" w:cs="Calibri" w:eastAsia="Calibri" w:hAnsi="Calibri"/>
          <w:sz w:val="21"/>
          <w:szCs w:val="21"/>
        </w:rPr>
        <w:t xml:space="preserve"> 1 hora al año de prueba de extracción y 1 hora de comprobación documental. Es la cláusula más barata de verificar del catálogo, y por eso puede sostenerse como esencial sin incurrir en el reproche de crear obligaciones esenciales que nadie comprueba.</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pStyle w:val="ListParagraph"/>
        <w:numPr>
          <w:ilvl w:val="0"/>
          <w:numId w:val="1"/>
        </w:numPr>
        <w:spacing w:after="70" w:line="268"/>
      </w:pPr>
      <w:r>
        <w:rPr>
          <w:rFonts w:ascii="Calibri" w:cs="Calibri" w:eastAsia="Calibri" w:hAnsi="Calibri"/>
          <w:b/>
          <w:bCs/>
          <w:sz w:val="21"/>
          <w:szCs w:val="21"/>
        </w:rPr>
        <w:t xml:space="preserve">Falta de habilitación de los accesos en plazo, o tarificación de los accesos incluidos en el precio:</w:t>
      </w:r>
      <w:r>
        <w:rPr>
          <w:rFonts w:ascii="Calibri" w:cs="Calibri" w:eastAsia="Calibri" w:hAnsi="Calibri"/>
          <w:sz w:val="21"/>
          <w:szCs w:val="21"/>
        </w:rPr>
        <w:t xml:space="preserve"> infracción </w:t>
      </w:r>
      <w:r>
        <w:rPr>
          <w:rFonts w:ascii="Calibri" w:cs="Calibri" w:eastAsia="Calibri" w:hAnsi="Calibri"/>
          <w:b/>
          <w:bCs/>
          <w:sz w:val="21"/>
          <w:szCs w:val="21"/>
        </w:rPr>
        <w:t xml:space="preserve">grave</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b/>
          <w:bCs/>
          <w:sz w:val="21"/>
          <w:szCs w:val="21"/>
        </w:rPr>
        <w:t xml:space="preserve">Falta de entrega del diccionario de datos, o entrega insuficiente para interpretar los datos sin asistencia del adjudicatario:</w:t>
      </w:r>
      <w:r>
        <w:rPr>
          <w:rFonts w:ascii="Calibri" w:cs="Calibri" w:eastAsia="Calibri" w:hAnsi="Calibri"/>
          <w:sz w:val="21"/>
          <w:szCs w:val="21"/>
        </w:rPr>
        <w:t xml:space="preserve"> infracción </w:t>
      </w:r>
      <w:r>
        <w:rPr>
          <w:rFonts w:ascii="Calibri" w:cs="Calibri" w:eastAsia="Calibri" w:hAnsi="Calibri"/>
          <w:b/>
          <w:bCs/>
          <w:sz w:val="21"/>
          <w:szCs w:val="21"/>
        </w:rPr>
        <w:t xml:space="preserve">grave</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b/>
          <w:bCs/>
          <w:sz w:val="21"/>
          <w:szCs w:val="21"/>
        </w:rPr>
        <w:t xml:space="preserve">Negativa a permitir la extracción en formato abierto, o supresión del acceso durante la vigencia o las prórrogas:</w:t>
      </w:r>
      <w:r>
        <w:rPr>
          <w:rFonts w:ascii="Calibri" w:cs="Calibri" w:eastAsia="Calibri" w:hAnsi="Calibri"/>
          <w:sz w:val="21"/>
          <w:szCs w:val="21"/>
        </w:rPr>
        <w:t xml:space="preserve"> infracción </w:t>
      </w:r>
      <w:r>
        <w:rPr>
          <w:rFonts w:ascii="Calibri" w:cs="Calibri" w:eastAsia="Calibri" w:hAnsi="Calibri"/>
          <w:b/>
          <w:bCs/>
          <w:sz w:val="21"/>
          <w:szCs w:val="21"/>
        </w:rPr>
        <w:t xml:space="preserve">muy grave</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b/>
          <w:bCs/>
          <w:sz w:val="21"/>
          <w:szCs w:val="21"/>
        </w:rPr>
        <w:t xml:space="preserve">Obligación esencial: SÍ</w:t>
      </w:r>
      <w:r>
        <w:rPr>
          <w:rFonts w:ascii="Calibri" w:cs="Calibri" w:eastAsia="Calibri" w:hAnsi="Calibri"/>
          <w:sz w:val="21"/>
          <w:szCs w:val="21"/>
        </w:rPr>
        <w:t xml:space="preserve">, exclusivamente respecto de los incumplimientos que enumera </w:t>
      </w:r>
      <w:r>
        <w:rPr>
          <w:rFonts w:ascii="Calibri" w:cs="Calibri" w:eastAsia="Calibri" w:hAnsi="Calibri"/>
          <w:b/>
          <w:bCs/>
          <w:sz w:val="21"/>
          <w:szCs w:val="21"/>
        </w:rPr>
        <w:t xml:space="preserve">ADM-6·v3, bloque B, letra c)</w:t>
      </w:r>
      <w:r>
        <w:rPr>
          <w:rFonts w:ascii="Calibri" w:cs="Calibri" w:eastAsia="Calibri" w:hAnsi="Calibri"/>
          <w:sz w:val="21"/>
          <w:szCs w:val="21"/>
        </w:rPr>
        <w:t xml:space="preserve">, y no respecto de los demás apartados de esta cláusula, cuyo incumplimiento queda en penalidad conforme al cuadro de ADM-5·v3. La enumeración </w:t>
      </w:r>
      <w:r>
        <w:rPr>
          <w:rFonts w:ascii="Calibri" w:cs="Calibri" w:eastAsia="Calibri" w:hAnsi="Calibri"/>
          <w:b/>
          <w:bCs/>
          <w:sz w:val="21"/>
          <w:szCs w:val="21"/>
        </w:rPr>
        <w:t xml:space="preserve">no se reproduce ni se amplía aquí</w:t>
      </w:r>
      <w:r>
        <w:rPr>
          <w:rFonts w:ascii="Calibri" w:cs="Calibri" w:eastAsia="Calibri" w:hAnsi="Calibri"/>
          <w:sz w:val="21"/>
          <w:szCs w:val="21"/>
        </w:rPr>
        <w:t xml:space="preserve">: la lista cerrada vive en ADM-6·v3, con la cautela de proporcionalidad allí prevista.</w:t>
      </w: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b/>
          <w:bCs/>
          <w:sz w:val="21"/>
          <w:szCs w:val="21"/>
        </w:rPr>
        <w:t xml:space="preserve">Contratos cuya ejecución no se soporte en un sistema de información operado por el adjudicatario</w:t>
      </w:r>
      <w:r>
        <w:rPr>
          <w:rFonts w:ascii="Calibri" w:cs="Calibri" w:eastAsia="Calibri" w:hAnsi="Calibri"/>
          <w:sz w:val="21"/>
          <w:szCs w:val="21"/>
        </w:rPr>
        <w:t xml:space="preserve">: si los datos residen en sistemas municipales, el acceso del órgano interventor se resuelve internamente, dándole usuario, y esta cláusula es innecesaria. Es el supuesto más frecuente y debe comprobarse </w:t>
      </w:r>
      <w:r>
        <w:rPr>
          <w:rFonts w:ascii="Calibri" w:cs="Calibri" w:eastAsia="Calibri" w:hAnsi="Calibri"/>
          <w:b/>
          <w:bCs/>
          <w:sz w:val="21"/>
          <w:szCs w:val="21"/>
        </w:rPr>
        <w:t xml:space="preserve">antes</w:t>
      </w:r>
      <w:r>
        <w:rPr>
          <w:rFonts w:ascii="Calibri" w:cs="Calibri" w:eastAsia="Calibri" w:hAnsi="Calibri"/>
          <w:sz w:val="21"/>
          <w:szCs w:val="21"/>
        </w:rPr>
        <w:t xml:space="preserve"> de incorporarla.</w:t>
      </w:r>
    </w:p>
    <w:p>
      <w:pPr>
        <w:pStyle w:val="ListParagraph"/>
        <w:numPr>
          <w:ilvl w:val="0"/>
          <w:numId w:val="1"/>
        </w:numPr>
        <w:spacing w:after="70" w:line="268"/>
      </w:pPr>
      <w:r>
        <w:rPr>
          <w:rFonts w:ascii="Calibri" w:cs="Calibri" w:eastAsia="Calibri" w:hAnsi="Calibri"/>
          <w:sz w:val="21"/>
          <w:szCs w:val="21"/>
        </w:rPr>
        <w:t xml:space="preserve">Contratos de suministro de bienes sin prestación continuada.</w:t>
      </w:r>
    </w:p>
    <w:p>
      <w:pPr>
        <w:pStyle w:val="ListParagraph"/>
        <w:numPr>
          <w:ilvl w:val="0"/>
          <w:numId w:val="1"/>
        </w:numPr>
        <w:spacing w:after="70" w:line="268"/>
      </w:pPr>
      <w:r>
        <w:rPr>
          <w:rFonts w:ascii="Calibri" w:cs="Calibri" w:eastAsia="Calibri" w:hAnsi="Calibri"/>
          <w:sz w:val="21"/>
          <w:szCs w:val="21"/>
        </w:rPr>
        <w:t xml:space="preserve">Contratos menores.</w:t>
      </w:r>
    </w:p>
    <w:p>
      <w:pPr>
        <w:pStyle w:val="ListParagraph"/>
        <w:numPr>
          <w:ilvl w:val="0"/>
          <w:numId w:val="1"/>
        </w:numPr>
        <w:spacing w:after="70" w:line="268"/>
      </w:pPr>
      <w:r>
        <w:rPr>
          <w:rFonts w:ascii="Calibri" w:cs="Calibri" w:eastAsia="Calibri" w:hAnsi="Calibri"/>
          <w:sz w:val="21"/>
          <w:szCs w:val="21"/>
        </w:rPr>
        <w:t xml:space="preserve">Contratos basados en acuerdo marco o adjudicados a través de una central de compras, cuando no quepa añadir condiciones especiales de ejecución. En tal caso, la necesidad se documenta y se traslada al órgano titular del acuerdo marco.</w:t>
      </w:r>
    </w:p>
    <w:p>
      <w:pPr>
        <w:pStyle w:val="ListParagraph"/>
        <w:numPr>
          <w:ilvl w:val="0"/>
          <w:numId w:val="1"/>
        </w:numPr>
        <w:spacing w:after="70" w:line="268"/>
      </w:pPr>
      <w:r>
        <w:rPr>
          <w:rFonts w:ascii="Calibri" w:cs="Calibri" w:eastAsia="Calibri" w:hAnsi="Calibri"/>
          <w:sz w:val="21"/>
          <w:szCs w:val="21"/>
        </w:rPr>
        <w:t xml:space="preserve">Prórrogas de contratos vigentes: no cabe introducir una obligación nueva; se documenta la limitación y se incorpora en la licitación siguiente.</w:t>
      </w:r>
    </w:p>
    <w:p>
      <w:pPr>
        <w:spacing w:after="140" w:line="276"/>
      </w:pPr>
      <w:r>
        <w:rPr>
          <w:rFonts w:ascii="Calibri" w:cs="Calibri" w:eastAsia="Calibri" w:hAnsi="Calibri"/>
          <w:b/>
          <w:bCs/>
          <w:sz w:val="21"/>
          <w:szCs w:val="21"/>
        </w:rPr>
        <w:t xml:space="preserve">Si esta cláusula se marca NO APLICA, arrastra:</w:t>
      </w:r>
      <w:r>
        <w:rPr>
          <w:rFonts w:ascii="Calibri" w:cs="Calibri" w:eastAsia="Calibri" w:hAnsi="Calibri"/>
          <w:sz w:val="21"/>
          <w:szCs w:val="21"/>
        </w:rPr>
        <w:t xml:space="preserve"> tres filas del cuadro de penalidades de ADM-5·v3, un guion del bloque B de ADM-6·v3, el apartado correspondiente del PPT que define el detalle funcional del acceso y la fila del informe de necesidad del Anexo III.</w:t>
      </w:r>
    </w:p>
    <w:p>
      <w:pPr>
        <w:pStyle w:val="Heading3"/>
        <w:keepNext/>
        <w:spacing w:after="140" w:before="320"/>
      </w:pPr>
      <w:r>
        <w:rPr>
          <w:rFonts w:ascii="Georgia" w:cs="Georgia" w:eastAsia="Georgia" w:hAnsi="Georgia"/>
          <w:b/>
          <w:bCs/>
          <w:color w:val="2F5496"/>
          <w:sz w:val="22"/>
          <w:szCs w:val="22"/>
        </w:rPr>
        <w:t xml:space="preserve">Nota al redactor · Lo que se corrige respecto del planteamiento anterior</w:t>
      </w:r>
    </w:p>
    <w:p>
      <w:pPr>
        <w:spacing w:after="140" w:line="276"/>
      </w:pPr>
      <w:r>
        <w:rPr>
          <w:rFonts w:ascii="Calibri" w:cs="Calibri" w:eastAsia="Calibri" w:hAnsi="Calibri"/>
          <w:sz w:val="21"/>
          <w:szCs w:val="21"/>
        </w:rPr>
        <w:t xml:space="preserve">El art. 33.4.d) del RD 424/2017 faculta al órgano interventor para «solicitar de los terceros relacionados con el servicio, órgano, organismo o entidad </w:t>
      </w:r>
      <w:r>
        <w:rPr>
          <w:rFonts w:ascii="Calibri" w:cs="Calibri" w:eastAsia="Calibri" w:hAnsi="Calibri"/>
          <w:b/>
          <w:bCs/>
          <w:sz w:val="21"/>
          <w:szCs w:val="21"/>
        </w:rPr>
        <w:t xml:space="preserve">auditada</w:t>
      </w:r>
      <w:r>
        <w:rPr>
          <w:rFonts w:ascii="Calibri" w:cs="Calibri" w:eastAsia="Calibri" w:hAnsi="Calibri"/>
          <w:sz w:val="21"/>
          <w:szCs w:val="21"/>
        </w:rPr>
        <w:t xml:space="preserve"> información sobre </w:t>
      </w:r>
      <w:r>
        <w:rPr>
          <w:rFonts w:ascii="Calibri" w:cs="Calibri" w:eastAsia="Calibri" w:hAnsi="Calibri"/>
          <w:b/>
          <w:bCs/>
          <w:sz w:val="21"/>
          <w:szCs w:val="21"/>
        </w:rPr>
        <w:t xml:space="preserve">operaciones</w:t>
      </w:r>
      <w:r>
        <w:rPr>
          <w:rFonts w:ascii="Calibri" w:cs="Calibri" w:eastAsia="Calibri" w:hAnsi="Calibri"/>
          <w:sz w:val="21"/>
          <w:szCs w:val="21"/>
        </w:rPr>
        <w:t xml:space="preserve"> realizadas por el mismo, sobre los </w:t>
      </w:r>
      <w:r>
        <w:rPr>
          <w:rFonts w:ascii="Calibri" w:cs="Calibri" w:eastAsia="Calibri" w:hAnsi="Calibri"/>
          <w:b/>
          <w:bCs/>
          <w:sz w:val="21"/>
          <w:szCs w:val="21"/>
        </w:rPr>
        <w:t xml:space="preserve">saldos contables</w:t>
      </w:r>
      <w:r>
        <w:rPr>
          <w:rFonts w:ascii="Calibri" w:cs="Calibri" w:eastAsia="Calibri" w:hAnsi="Calibri"/>
          <w:sz w:val="21"/>
          <w:szCs w:val="21"/>
        </w:rPr>
        <w:t xml:space="preserve"> generados por éstas y sobre los </w:t>
      </w:r>
      <w:r>
        <w:rPr>
          <w:rFonts w:ascii="Calibri" w:cs="Calibri" w:eastAsia="Calibri" w:hAnsi="Calibri"/>
          <w:b/>
          <w:bCs/>
          <w:sz w:val="21"/>
          <w:szCs w:val="21"/>
        </w:rPr>
        <w:t xml:space="preserve">costes</w:t>
      </w:r>
      <w:r>
        <w:rPr>
          <w:rFonts w:ascii="Calibri" w:cs="Calibri" w:eastAsia="Calibri" w:hAnsi="Calibri"/>
          <w:sz w:val="21"/>
          <w:szCs w:val="21"/>
        </w:rPr>
        <w:t xml:space="preserve">, cuando esté previsto expresamente en el contrato el acceso de la administración a los mismos o exista un acuerdo al respecto con el tercero». Eso es </w:t>
      </w:r>
      <w:r>
        <w:rPr>
          <w:rFonts w:ascii="Calibri" w:cs="Calibri" w:eastAsia="Calibri" w:hAnsi="Calibri"/>
          <w:b/>
          <w:bCs/>
          <w:sz w:val="21"/>
          <w:szCs w:val="21"/>
        </w:rPr>
        <w:t xml:space="preserve">circularización de saldos en auditoría pública</w:t>
      </w:r>
      <w:r>
        <w:rPr>
          <w:rFonts w:ascii="Calibri" w:cs="Calibri" w:eastAsia="Calibri" w:hAnsi="Calibri"/>
          <w:sz w:val="21"/>
          <w:szCs w:val="21"/>
        </w:rPr>
        <w:t xml:space="preserve">. No es título para exigir a un proveedor de software acceso funcional permanente y gratuito a su aplicación con alcance no inferior al del gestor. Presentarlo como tal es el flanco más limpio por donde se desacredita la cláusula entera, y con ella la memoria.</w:t>
      </w:r>
    </w:p>
    <w:p>
      <w:pPr>
        <w:spacing w:after="140" w:line="276"/>
      </w:pPr>
      <w:r>
        <w:rPr>
          <w:rFonts w:ascii="Calibri" w:cs="Calibri" w:eastAsia="Calibri" w:hAnsi="Calibri"/>
          <w:sz w:val="21"/>
          <w:szCs w:val="21"/>
        </w:rPr>
        <w:t xml:space="preserve">La cláusula se conserva, porque es útil y porque su necesidad es real. Pero:</w:t>
      </w:r>
    </w:p>
    <w:p>
      <w:pPr>
        <w:pStyle w:val="ListParagraph"/>
        <w:numPr>
          <w:ilvl w:val="0"/>
          <w:numId w:val="1"/>
        </w:numPr>
        <w:spacing w:after="70" w:line="268"/>
      </w:pPr>
      <w:r>
        <w:rPr>
          <w:rFonts w:ascii="Calibri" w:cs="Calibri" w:eastAsia="Calibri" w:hAnsi="Calibri"/>
          <w:sz w:val="21"/>
          <w:szCs w:val="21"/>
        </w:rPr>
        <w:t xml:space="preserve">se ancla en el </w:t>
      </w:r>
      <w:r>
        <w:rPr>
          <w:rFonts w:ascii="Calibri" w:cs="Calibri" w:eastAsia="Calibri" w:hAnsi="Calibri"/>
          <w:b/>
          <w:bCs/>
          <w:sz w:val="21"/>
          <w:szCs w:val="21"/>
        </w:rPr>
        <w:t xml:space="preserve">bloque de control interno</w:t>
      </w:r>
      <w:r>
        <w:rPr>
          <w:rFonts w:ascii="Calibri" w:cs="Calibri" w:eastAsia="Calibri" w:hAnsi="Calibri"/>
          <w:sz w:val="21"/>
          <w:szCs w:val="21"/>
        </w:rPr>
        <w:t xml:space="preserve"> —arts. 4.3, 6.3, 6.4, 6.7, 20 y 30 del RD 424/2017 y arts. 213, 214, 220.2, 221 y 222 del texto refundido de la Ley reguladora de las Haciendas Locales— y en la DA 3.ª.3 LCSP, y el art. 33.4.d) queda donde vive: como previsión expresa </w:t>
      </w:r>
      <w:r>
        <w:rPr>
          <w:rFonts w:ascii="Calibri" w:cs="Calibri" w:eastAsia="Calibri" w:hAnsi="Calibri"/>
          <w:b/>
          <w:bCs/>
          <w:sz w:val="21"/>
          <w:szCs w:val="21"/>
        </w:rPr>
        <w:t xml:space="preserve">para el supuesto concreto que él regula</w:t>
      </w:r>
      <w:r>
        <w:rPr>
          <w:rFonts w:ascii="Calibri" w:cs="Calibri" w:eastAsia="Calibri" w:hAnsi="Calibri"/>
          <w:sz w:val="21"/>
          <w:szCs w:val="21"/>
        </w:rPr>
        <w:t xml:space="preserve">, no como fundamento principal;</w:t>
      </w:r>
    </w:p>
    <w:p>
      <w:pPr>
        <w:pStyle w:val="ListParagraph"/>
        <w:numPr>
          <w:ilvl w:val="0"/>
          <w:numId w:val="1"/>
        </w:numPr>
        <w:spacing w:after="70" w:line="268"/>
      </w:pPr>
      <w:r>
        <w:rPr>
          <w:rFonts w:ascii="Calibri" w:cs="Calibri" w:eastAsia="Calibri" w:hAnsi="Calibri"/>
          <w:sz w:val="21"/>
          <w:szCs w:val="21"/>
        </w:rPr>
        <w:t xml:space="preserve">se </w:t>
      </w:r>
      <w:r>
        <w:rPr>
          <w:rFonts w:ascii="Calibri" w:cs="Calibri" w:eastAsia="Calibri" w:hAnsi="Calibri"/>
          <w:b/>
          <w:bCs/>
          <w:sz w:val="21"/>
          <w:szCs w:val="21"/>
        </w:rPr>
        <w:t xml:space="preserve">reformula lo que exige</w:t>
      </w:r>
      <w:r>
        <w:rPr>
          <w:rFonts w:ascii="Calibri" w:cs="Calibri" w:eastAsia="Calibri" w:hAnsi="Calibri"/>
          <w:sz w:val="21"/>
          <w:szCs w:val="21"/>
        </w:rPr>
        <w:t xml:space="preserve">. No «acceso de alcance no inferior al del gestor» —que es indeterminado y desproporcionado—, sino cuatro obligaciones que hoy faltan y que sí son proporcionadas: no tarificar el acceso de los órganos de control, entregar el </w:t>
      </w:r>
      <w:r>
        <w:rPr>
          <w:rFonts w:ascii="Calibri" w:cs="Calibri" w:eastAsia="Calibri" w:hAnsi="Calibri"/>
          <w:b/>
          <w:bCs/>
          <w:sz w:val="21"/>
          <w:szCs w:val="21"/>
        </w:rPr>
        <w:t xml:space="preserve">diccionario de datos</w:t>
      </w:r>
      <w:r>
        <w:rPr>
          <w:rFonts w:ascii="Calibri" w:cs="Calibri" w:eastAsia="Calibri" w:hAnsi="Calibri"/>
          <w:sz w:val="21"/>
          <w:szCs w:val="21"/>
        </w:rPr>
        <w:t xml:space="preserve">, garantizar la </w:t>
      </w:r>
      <w:r>
        <w:rPr>
          <w:rFonts w:ascii="Calibri" w:cs="Calibri" w:eastAsia="Calibri" w:hAnsi="Calibri"/>
          <w:b/>
          <w:bCs/>
          <w:sz w:val="21"/>
          <w:szCs w:val="21"/>
        </w:rPr>
        <w:t xml:space="preserve">exportación en formato abierto</w:t>
      </w:r>
      <w:r>
        <w:rPr>
          <w:rFonts w:ascii="Calibri" w:cs="Calibri" w:eastAsia="Calibri" w:hAnsi="Calibri"/>
          <w:sz w:val="21"/>
          <w:szCs w:val="21"/>
        </w:rPr>
        <w:t xml:space="preserve">, y mantener todo ello durante las prórrogas y en la reversión. Un pliego que concrete esta cláusula y vuelva a escribir «alcance no inferior al del órgano gestor» reintroduce el defecto que aquí se suprime;</w:t>
      </w:r>
    </w:p>
    <w:p>
      <w:pPr>
        <w:pStyle w:val="ListParagraph"/>
        <w:numPr>
          <w:ilvl w:val="0"/>
          <w:numId w:val="1"/>
        </w:numPr>
        <w:spacing w:after="70" w:line="268"/>
      </w:pPr>
      <w:r>
        <w:rPr>
          <w:rFonts w:ascii="Calibri" w:cs="Calibri" w:eastAsia="Calibri" w:hAnsi="Calibri"/>
          <w:sz w:val="21"/>
          <w:szCs w:val="21"/>
        </w:rPr>
        <w:t xml:space="preserve">se </w:t>
      </w:r>
      <w:r>
        <w:rPr>
          <w:rFonts w:ascii="Calibri" w:cs="Calibri" w:eastAsia="Calibri" w:hAnsi="Calibri"/>
          <w:b/>
          <w:bCs/>
          <w:sz w:val="21"/>
          <w:szCs w:val="21"/>
        </w:rPr>
        <w:t xml:space="preserve">elimina la prohibición general de condicionar el acceso a licencias por usuario</w:t>
      </w:r>
      <w:r>
        <w:rPr>
          <w:rFonts w:ascii="Calibri" w:cs="Calibri" w:eastAsia="Calibri" w:hAnsi="Calibri"/>
          <w:sz w:val="21"/>
          <w:szCs w:val="21"/>
        </w:rPr>
        <w:t xml:space="preserve">, que excluiría de facto todo el modelo de software como servicio del mercado y sería un obstáculo injustificado a la apertura a la competencia (art. 126.1 LCSP). Se sustituye por un </w:t>
      </w:r>
      <w:r>
        <w:rPr>
          <w:rFonts w:ascii="Calibri" w:cs="Calibri" w:eastAsia="Calibri" w:hAnsi="Calibri"/>
          <w:b/>
          <w:bCs/>
          <w:sz w:val="21"/>
          <w:szCs w:val="21"/>
        </w:rPr>
        <w:t xml:space="preserve">número de accesos de control incluido en el precio</w:t>
      </w:r>
      <w:r>
        <w:rPr>
          <w:rFonts w:ascii="Calibri" w:cs="Calibri" w:eastAsia="Calibri" w:hAnsi="Calibri"/>
          <w:sz w:val="21"/>
          <w:szCs w:val="21"/>
        </w:rPr>
        <w:t xml:space="preserve">, fijado en el pliego, que es determinado, valorable por el licitador y verificable.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III.13 · ADM-13·v3 — Uso de herramientas de inteligencia artificial sobre información municipal</w:t>
      </w:r>
    </w:p>
    <w:p>
      <w:pPr>
        <w:spacing w:after="140" w:line="276"/>
      </w:pPr>
      <w:r>
        <w:rPr>
          <w:rFonts w:ascii="Calibri" w:cs="Calibri" w:eastAsia="Calibri" w:hAnsi="Calibri"/>
          <w:i/>
          <w:iCs/>
          <w:sz w:val="21"/>
          <w:szCs w:val="21"/>
        </w:rPr>
        <w:t xml:space="preserve">(Cláusula nueva. Responde a una cuestión no resuelta que llegó por la vía de los hechos: si compromete la seguridad del texto de un contrato procesarlo en una cuenta de inteligencia artificial que no es licencia del Ayuntamiento. Establece </w:t>
      </w:r>
      <w:r>
        <w:rPr>
          <w:rFonts w:ascii="Calibri" w:cs="Calibri" w:eastAsia="Calibri" w:hAnsi="Calibri"/>
          <w:i/>
          <w:iCs/>
          <w:sz w:val="21"/>
          <w:szCs w:val="21"/>
        </w:rPr>
        <w:t xml:space="preserve">tres niveles</w:t>
      </w:r>
      <w:r>
        <w:rPr>
          <w:rFonts w:ascii="Calibri" w:cs="Calibri" w:eastAsia="Calibri" w:hAnsi="Calibri"/>
          <w:i/>
          <w:iCs/>
          <w:sz w:val="21"/>
          <w:szCs w:val="21"/>
        </w:rPr>
        <w:t xml:space="preserve">; sólo el primero es obligación esencial y el tercero queda fuera del ámbito de la cláusula. El motivo de esa graduación está en la nota al redactor, al final de la cláusula.)</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Uso de sistemas de inteligencia artificial sobre información municipal.</w:t>
            </w:r>
          </w:p>
          <w:p>
            <w:pPr>
              <w:pStyle w:val="ListParagraph"/>
              <w:numPr>
                <w:ilvl w:val="0"/>
                <w:numId w:val="2"/>
              </w:numPr>
              <w:spacing w:after="60" w:line="264"/>
            </w:pPr>
            <w:r>
              <w:rPr>
                <w:rFonts w:ascii="Georgia" w:cs="Georgia" w:eastAsia="Georgia" w:hAnsi="Georgia"/>
                <w:b/>
                <w:bCs/>
                <w:sz w:val="20"/>
                <w:szCs w:val="20"/>
              </w:rPr>
              <w:t xml:space="preserve">Ámbito y niveles.</w:t>
            </w:r>
            <w:r>
              <w:rPr>
                <w:rFonts w:ascii="Georgia" w:cs="Georgia" w:eastAsia="Georgia" w:hAnsi="Georgia"/>
                <w:sz w:val="20"/>
                <w:szCs w:val="20"/>
              </w:rPr>
              <w:t xml:space="preserve"> Esta cláusula se aplica exclusivamente al tratamiento de información municipal por sistemas de inteligencia artificial. A tal efecto se distinguen tres niveles:</w:t>
            </w:r>
          </w:p>
          <w:p>
            <w:pPr>
              <w:spacing w:after="100" w:line="264"/>
            </w:pPr>
            <w:r>
              <w:rPr>
                <w:rFonts w:ascii="Georgia" w:cs="Georgia" w:eastAsia="Georgia" w:hAnsi="Georgia"/>
                <w:b/>
                <w:bCs/>
                <w:sz w:val="20"/>
                <w:szCs w:val="20"/>
              </w:rPr>
              <w:t xml:space="preserve">Nivel 1 — Información municipal restringida.</w:t>
            </w:r>
            <w:r>
              <w:rPr>
                <w:rFonts w:ascii="Georgia" w:cs="Georgia" w:eastAsia="Georgia" w:hAnsi="Georgia"/>
                <w:sz w:val="20"/>
                <w:szCs w:val="20"/>
              </w:rPr>
              <w:t xml:space="preserve"> Datos personales; expedientes en tramitación; documentación contractual no publicada; informes internos; datos de los entornos de producción; y cualquier información municipal clasificada como de acceso restringido por la política de seguridad del Ayuntamiento.</w:t>
            </w:r>
          </w:p>
          <w:p>
            <w:pPr>
              <w:spacing w:after="100" w:line="264"/>
            </w:pPr>
            <w:r>
              <w:rPr>
                <w:rFonts w:ascii="Georgia" w:cs="Georgia" w:eastAsia="Georgia" w:hAnsi="Georgia"/>
                <w:b/>
                <w:bCs/>
                <w:sz w:val="20"/>
                <w:szCs w:val="20"/>
              </w:rPr>
              <w:t xml:space="preserve">Nivel 2 — Artefactos técnicos del contrato.</w:t>
            </w:r>
            <w:r>
              <w:rPr>
                <w:rFonts w:ascii="Georgia" w:cs="Georgia" w:eastAsia="Georgia" w:hAnsi="Georgia"/>
                <w:sz w:val="20"/>
                <w:szCs w:val="20"/>
              </w:rPr>
              <w:t xml:space="preserve"> Código fuente y objeto de los desarrollos específicos, configuraciones, parametrizaciones, esquemas de datos y documentación técnica generados en ejecución del contrato, sin contenido de nivel 1.</w:t>
            </w:r>
          </w:p>
          <w:p>
            <w:pPr>
              <w:spacing w:after="100" w:line="264"/>
            </w:pPr>
            <w:r>
              <w:rPr>
                <w:rFonts w:ascii="Georgia" w:cs="Georgia" w:eastAsia="Georgia" w:hAnsi="Georgia"/>
                <w:b/>
                <w:bCs/>
                <w:sz w:val="20"/>
                <w:szCs w:val="20"/>
              </w:rPr>
              <w:t xml:space="preserve">Nivel 3 — Información propia del contratista.</w:t>
            </w:r>
            <w:r>
              <w:rPr>
                <w:rFonts w:ascii="Georgia" w:cs="Georgia" w:eastAsia="Georgia" w:hAnsi="Georgia"/>
                <w:sz w:val="20"/>
                <w:szCs w:val="20"/>
              </w:rPr>
              <w:t xml:space="preserve"> Cualquier información que no sea municipal. </w:t>
            </w:r>
            <w:r>
              <w:rPr>
                <w:rFonts w:ascii="Georgia" w:cs="Georgia" w:eastAsia="Georgia" w:hAnsi="Georgia"/>
                <w:b/>
                <w:bCs/>
                <w:sz w:val="20"/>
                <w:szCs w:val="20"/>
              </w:rPr>
              <w:t xml:space="preserve">Queda expresamente fuera del ámbito de esta cláusula</w:t>
            </w:r>
            <w:r>
              <w:rPr>
                <w:rFonts w:ascii="Georgia" w:cs="Georgia" w:eastAsia="Georgia" w:hAnsi="Georgia"/>
                <w:sz w:val="20"/>
                <w:szCs w:val="20"/>
              </w:rPr>
              <w:t xml:space="preserve">, que no impone al adjudicatario restricción alguna sobre las herramientas que emplee para su propia organización interna.</w:t>
            </w:r>
          </w:p>
          <w:p>
            <w:pPr>
              <w:pStyle w:val="ListParagraph"/>
              <w:numPr>
                <w:ilvl w:val="0"/>
                <w:numId w:val="2"/>
              </w:numPr>
              <w:spacing w:after="60" w:line="264"/>
            </w:pPr>
            <w:r>
              <w:rPr>
                <w:rFonts w:ascii="Georgia" w:cs="Georgia" w:eastAsia="Georgia" w:hAnsi="Georgia"/>
                <w:b/>
                <w:bCs/>
                <w:sz w:val="20"/>
                <w:szCs w:val="20"/>
              </w:rPr>
              <w:t xml:space="preserve">Régimen del nivel 1.</w:t>
            </w:r>
            <w:r>
              <w:rPr>
                <w:rFonts w:ascii="Georgia" w:cs="Georgia" w:eastAsia="Georgia" w:hAnsi="Georgia"/>
                <w:sz w:val="20"/>
                <w:szCs w:val="20"/>
              </w:rPr>
              <w:t xml:space="preserve"> El adjudicatario, su personal y su cadena de subcontratación </w:t>
            </w:r>
            <w:r>
              <w:rPr>
                <w:rFonts w:ascii="Georgia" w:cs="Georgia" w:eastAsia="Georgia" w:hAnsi="Georgia"/>
                <w:b/>
                <w:bCs/>
                <w:sz w:val="20"/>
                <w:szCs w:val="20"/>
              </w:rPr>
              <w:t xml:space="preserve">no introducirán información de nivel 1 en sistemas de inteligencia artificial que no estén expresamente autorizados</w:t>
            </w:r>
            <w:r>
              <w:rPr>
                <w:rFonts w:ascii="Georgia" w:cs="Georgia" w:eastAsia="Georgia" w:hAnsi="Georgia"/>
                <w:sz w:val="20"/>
                <w:szCs w:val="20"/>
              </w:rPr>
              <w:t xml:space="preserve"> en este contrato. Toda incorporación de un sistema nuevo requiere </w:t>
            </w:r>
            <w:r>
              <w:rPr>
                <w:rFonts w:ascii="Georgia" w:cs="Georgia" w:eastAsia="Georgia" w:hAnsi="Georgia"/>
                <w:b/>
                <w:bCs/>
                <w:sz w:val="20"/>
                <w:szCs w:val="20"/>
              </w:rPr>
              <w:t xml:space="preserve">autorización previa y escrita</w:t>
            </w:r>
            <w:r>
              <w:rPr>
                <w:rFonts w:ascii="Georgia" w:cs="Georgia" w:eastAsia="Georgia" w:hAnsi="Georgia"/>
                <w:sz w:val="20"/>
                <w:szCs w:val="20"/>
              </w:rPr>
              <w:t xml:space="preserve"> del responsable del contrato, solicitada con una antelación mínima de </w:t>
            </w:r>
            <w:r>
              <w:rPr>
                <w:rFonts w:ascii="Georgia" w:cs="Georgia" w:eastAsia="Georgia" w:hAnsi="Georgia"/>
                <w:b/>
                <w:bCs/>
                <w:sz w:val="20"/>
                <w:szCs w:val="20"/>
              </w:rPr>
              <w:t xml:space="preserve">[X; se recomienda 15] días naturales</w:t>
            </w:r>
            <w:r>
              <w:rPr>
                <w:rFonts w:ascii="Georgia" w:cs="Georgia" w:eastAsia="Georgia" w:hAnsi="Georgia"/>
                <w:sz w:val="20"/>
                <w:szCs w:val="20"/>
              </w:rPr>
              <w:t xml:space="preserve">. Cuando el uso implique tratamiento de datos personales por cuenta del Ayuntamiento, se formalizará el correspondiente encargo del tratamiento conforme al artículo 28 del Reglamento (UE) 2016/679, </w:t>
            </w:r>
            <w:r>
              <w:rPr>
                <w:rFonts w:ascii="Georgia" w:cs="Georgia" w:eastAsia="Georgia" w:hAnsi="Georgia"/>
                <w:b/>
                <w:bCs/>
                <w:sz w:val="20"/>
                <w:szCs w:val="20"/>
              </w:rPr>
              <w:t xml:space="preserve">sin que la sola aceptación de los términos de servicio del proveedor pueda ampararlo</w:t>
            </w:r>
            <w:r>
              <w:rPr>
                <w:rFonts w:ascii="Georgia" w:cs="Georgia" w:eastAsia="Georgia" w:hAnsi="Georgia"/>
                <w:sz w:val="20"/>
                <w:szCs w:val="20"/>
              </w:rPr>
              <w:t xml:space="preserve">.</w:t>
            </w:r>
          </w:p>
          <w:p>
            <w:pPr>
              <w:pStyle w:val="ListParagraph"/>
              <w:numPr>
                <w:ilvl w:val="0"/>
                <w:numId w:val="2"/>
              </w:numPr>
              <w:spacing w:after="60" w:line="264"/>
            </w:pPr>
            <w:r>
              <w:rPr>
                <w:rFonts w:ascii="Georgia" w:cs="Georgia" w:eastAsia="Georgia" w:hAnsi="Georgia"/>
                <w:b/>
                <w:bCs/>
                <w:sz w:val="20"/>
                <w:szCs w:val="20"/>
              </w:rPr>
              <w:t xml:space="preserve">Régimen del nivel 2.</w:t>
            </w:r>
            <w:r>
              <w:rPr>
                <w:rFonts w:ascii="Georgia" w:cs="Georgia" w:eastAsia="Georgia" w:hAnsi="Georgia"/>
                <w:sz w:val="20"/>
                <w:szCs w:val="20"/>
              </w:rPr>
              <w:t xml:space="preserve"> El adjudicatario podrá emplear sistemas de inteligencia artificial sobre artefactos técnicos del contrato </w:t>
            </w:r>
            <w:r>
              <w:rPr>
                <w:rFonts w:ascii="Georgia" w:cs="Georgia" w:eastAsia="Georgia" w:hAnsi="Georgia"/>
                <w:b/>
                <w:bCs/>
                <w:sz w:val="20"/>
                <w:szCs w:val="20"/>
              </w:rPr>
              <w:t xml:space="preserve">sin autorización individual previa</w:t>
            </w:r>
            <w:r>
              <w:rPr>
                <w:rFonts w:ascii="Georgia" w:cs="Georgia" w:eastAsia="Georgia" w:hAnsi="Georgia"/>
                <w:sz w:val="20"/>
                <w:szCs w:val="20"/>
              </w:rPr>
              <w:t xml:space="preserve">, siempre que el sistema empleado cumpla, y el adjudicatario pueda acreditarlo, las tres condiciones siguientes:</w:t>
            </w:r>
          </w:p>
          <w:p>
            <w:pPr>
              <w:spacing w:after="100" w:line="264"/>
            </w:pPr>
            <w:r>
              <w:rPr>
                <w:rFonts w:ascii="Georgia" w:cs="Georgia" w:eastAsia="Georgia" w:hAnsi="Georgia"/>
                <w:sz w:val="20"/>
                <w:szCs w:val="20"/>
              </w:rPr>
              <w:t xml:space="preserve">a) que el contenido introducido </w:t>
            </w:r>
            <w:r>
              <w:rPr>
                <w:rFonts w:ascii="Georgia" w:cs="Georgia" w:eastAsia="Georgia" w:hAnsi="Georgia"/>
                <w:b/>
                <w:bCs/>
                <w:sz w:val="20"/>
                <w:szCs w:val="20"/>
              </w:rPr>
              <w:t xml:space="preserve">quede excluido del entrenamiento de modelos</w:t>
            </w:r>
            <w:r>
              <w:rPr>
                <w:rFonts w:ascii="Georgia" w:cs="Georgia" w:eastAsia="Georgia" w:hAnsi="Georgia"/>
                <w:sz w:val="20"/>
                <w:szCs w:val="20"/>
              </w:rPr>
              <w:t xml:space="preserve"> mediante una configuración establecida a nivel de organización o de suscripción empresarial, no dependiente de la elección de cada persona usuaria;</w:t>
            </w:r>
          </w:p>
          <w:p>
            <w:pPr>
              <w:spacing w:after="100" w:line="264"/>
            </w:pPr>
            <w:r>
              <w:rPr>
                <w:rFonts w:ascii="Georgia" w:cs="Georgia" w:eastAsia="Georgia" w:hAnsi="Georgia"/>
                <w:sz w:val="20"/>
                <w:szCs w:val="20"/>
              </w:rPr>
              <w:t xml:space="preserve">b) que el tratamiento se realice en el Espacio Económico Europeo o, en su defecto, con las garantías del capítulo V del Reglamento (UE) 2016/679;</w:t>
            </w:r>
          </w:p>
          <w:p>
            <w:pPr>
              <w:spacing w:after="100" w:line="264"/>
            </w:pPr>
            <w:r>
              <w:rPr>
                <w:rFonts w:ascii="Georgia" w:cs="Georgia" w:eastAsia="Georgia" w:hAnsi="Georgia"/>
                <w:sz w:val="20"/>
                <w:szCs w:val="20"/>
              </w:rPr>
              <w:t xml:space="preserve">c) que el sistema figure en la </w:t>
            </w:r>
            <w:r>
              <w:rPr>
                <w:rFonts w:ascii="Georgia" w:cs="Georgia" w:eastAsia="Georgia" w:hAnsi="Georgia"/>
                <w:b/>
                <w:bCs/>
                <w:sz w:val="20"/>
                <w:szCs w:val="20"/>
              </w:rPr>
              <w:t xml:space="preserve">relación declarada</w:t>
            </w:r>
            <w:r>
              <w:rPr>
                <w:rFonts w:ascii="Georgia" w:cs="Georgia" w:eastAsia="Georgia" w:hAnsi="Georgia"/>
                <w:sz w:val="20"/>
                <w:szCs w:val="20"/>
              </w:rPr>
              <w:t xml:space="preserve"> conforme al apartado 4.</w:t>
            </w:r>
          </w:p>
          <w:p>
            <w:pPr>
              <w:pStyle w:val="ListParagraph"/>
              <w:numPr>
                <w:ilvl w:val="0"/>
                <w:numId w:val="2"/>
              </w:numPr>
              <w:spacing w:after="60" w:line="264"/>
            </w:pPr>
            <w:r>
              <w:rPr>
                <w:rFonts w:ascii="Georgia" w:cs="Georgia" w:eastAsia="Georgia" w:hAnsi="Georgia"/>
                <w:b/>
                <w:bCs/>
                <w:sz w:val="20"/>
                <w:szCs w:val="20"/>
              </w:rPr>
              <w:t xml:space="preserve">Relación de sistemas.</w:t>
            </w:r>
            <w:r>
              <w:rPr>
                <w:rFonts w:ascii="Georgia" w:cs="Georgia" w:eastAsia="Georgia" w:hAnsi="Georgia"/>
                <w:sz w:val="20"/>
                <w:szCs w:val="20"/>
              </w:rPr>
              <w:t xml:space="preserve"> El licitador declarará en su oferta la relación de sistemas de inteligencia artificial que prevé emplear en la ejecución, indicando para cada uno: proveedor; ubicación de almacenamiento y tratamiento; plazo y criterios de retención de contenidos; tratamiento de metadatos y telemetría; existencia y alcance del mecanismo de exclusión del contenido para el entrenamiento de modelos; y posibilidad de configuración administrativa de las revisiones manuales por el proveedor. La relación se mantiene actualizada durante toda la vigencia del contrato y se comunica cualquier alta o baja en el plazo del apartado 2. </w:t>
            </w:r>
            <w:r>
              <w:rPr>
                <w:rFonts w:ascii="Georgia" w:cs="Georgia" w:eastAsia="Georgia" w:hAnsi="Georgia"/>
                <w:b/>
                <w:bCs/>
                <w:sz w:val="20"/>
                <w:szCs w:val="20"/>
              </w:rPr>
              <w:t xml:space="preserve">A solicitud del licitador, esta relación tendrá el tratamiento de información confidencial en los términos del artículo 133 de la LCSP.</w:t>
            </w:r>
          </w:p>
          <w:p>
            <w:pPr>
              <w:pStyle w:val="ListParagraph"/>
              <w:numPr>
                <w:ilvl w:val="0"/>
                <w:numId w:val="2"/>
              </w:numPr>
              <w:spacing w:after="60" w:line="264"/>
            </w:pPr>
            <w:r>
              <w:rPr>
                <w:rFonts w:ascii="Georgia" w:cs="Georgia" w:eastAsia="Georgia" w:hAnsi="Georgia"/>
                <w:b/>
                <w:bCs/>
                <w:sz w:val="20"/>
                <w:szCs w:val="20"/>
              </w:rPr>
              <w:t xml:space="preserve">Acreditación.</w:t>
            </w:r>
            <w:r>
              <w:rPr>
                <w:rFonts w:ascii="Georgia" w:cs="Georgia" w:eastAsia="Georgia" w:hAnsi="Georgia"/>
                <w:sz w:val="20"/>
                <w:szCs w:val="20"/>
              </w:rPr>
              <w:t xml:space="preserve"> El cumplimiento de las condiciones del apartado 3 se acredita mediante evidencia de la configuración a nivel de organización —captura del panel de administración con fecha, o certificado del proveedor— y mediante la política interna de uso del adjudicatario. El Ayuntamiento podrá requerir esta evidencia una vez al año y ante cualquier alta.</w:t>
            </w:r>
          </w:p>
          <w:p>
            <w:pPr>
              <w:pStyle w:val="ListParagraph"/>
              <w:numPr>
                <w:ilvl w:val="0"/>
                <w:numId w:val="2"/>
              </w:numPr>
              <w:spacing w:after="60" w:line="264"/>
            </w:pPr>
            <w:r>
              <w:rPr>
                <w:rFonts w:ascii="Georgia" w:cs="Georgia" w:eastAsia="Georgia" w:hAnsi="Georgia"/>
                <w:b/>
                <w:bCs/>
                <w:sz w:val="20"/>
                <w:szCs w:val="20"/>
              </w:rPr>
              <w:t xml:space="preserve">Consecuencias.</w:t>
            </w:r>
            <w:r>
              <w:rPr>
                <w:rFonts w:ascii="Georgia" w:cs="Georgia" w:eastAsia="Georgia" w:hAnsi="Georgia"/>
                <w:sz w:val="20"/>
                <w:szCs w:val="20"/>
              </w:rPr>
              <w:t xml:space="preserve"> El incumplimiento del régimen del </w:t>
            </w:r>
            <w:r>
              <w:rPr>
                <w:rFonts w:ascii="Georgia" w:cs="Georgia" w:eastAsia="Georgia" w:hAnsi="Georgia"/>
                <w:b/>
                <w:bCs/>
                <w:sz w:val="20"/>
                <w:szCs w:val="20"/>
              </w:rPr>
              <w:t xml:space="preserve">nivel 1</w:t>
            </w:r>
            <w:r>
              <w:rPr>
                <w:rFonts w:ascii="Georgia" w:cs="Georgia" w:eastAsia="Georgia" w:hAnsi="Georgia"/>
                <w:sz w:val="20"/>
                <w:szCs w:val="20"/>
              </w:rPr>
              <w:t xml:space="preserve"> tiene la consideración de </w:t>
            </w:r>
            <w:r>
              <w:rPr>
                <w:rFonts w:ascii="Georgia" w:cs="Georgia" w:eastAsia="Georgia" w:hAnsi="Georgia"/>
                <w:b/>
                <w:bCs/>
                <w:sz w:val="20"/>
                <w:szCs w:val="20"/>
              </w:rPr>
              <w:t xml:space="preserve">obligación contractual esencial</w:t>
            </w:r>
            <w:r>
              <w:rPr>
                <w:rFonts w:ascii="Georgia" w:cs="Georgia" w:eastAsia="Georgia" w:hAnsi="Georgia"/>
                <w:sz w:val="20"/>
                <w:szCs w:val="20"/>
              </w:rPr>
              <w:t xml:space="preserve"> a los efectos del artículo 211.1.f) de la LCSP, en los términos de la cláusula [ADM-6], bloque B. El incumplimiento del régimen del </w:t>
            </w:r>
            <w:r>
              <w:rPr>
                <w:rFonts w:ascii="Georgia" w:cs="Georgia" w:eastAsia="Georgia" w:hAnsi="Georgia"/>
                <w:b/>
                <w:bCs/>
                <w:sz w:val="20"/>
                <w:szCs w:val="20"/>
              </w:rPr>
              <w:t xml:space="preserve">nivel 2</w:t>
            </w:r>
            <w:r>
              <w:rPr>
                <w:rFonts w:ascii="Georgia" w:cs="Georgia" w:eastAsia="Georgia" w:hAnsi="Georgia"/>
                <w:sz w:val="20"/>
                <w:szCs w:val="20"/>
              </w:rPr>
              <w:t xml:space="preserve"> da lugar a las penalidades tipificadas en la cláusula [ADM-5], sin carácter esencial. El nivel 3 no genera obligación alguna.</w:t>
            </w:r>
          </w:p>
          <w:p>
            <w:pPr>
              <w:pStyle w:val="ListParagraph"/>
              <w:numPr>
                <w:ilvl w:val="0"/>
                <w:numId w:val="2"/>
              </w:numPr>
              <w:spacing w:after="60" w:line="264"/>
            </w:pPr>
            <w:r>
              <w:rPr>
                <w:rFonts w:ascii="Georgia" w:cs="Georgia" w:eastAsia="Georgia" w:hAnsi="Georgia"/>
                <w:b/>
                <w:bCs/>
                <w:sz w:val="20"/>
                <w:szCs w:val="20"/>
              </w:rPr>
              <w:t xml:space="preserve">Compromiso recíproco del Ayuntamiento.</w:t>
            </w:r>
            <w:r>
              <w:rPr>
                <w:rFonts w:ascii="Georgia" w:cs="Georgia" w:eastAsia="Georgia" w:hAnsi="Georgia"/>
                <w:sz w:val="20"/>
                <w:szCs w:val="20"/>
              </w:rPr>
              <w:t xml:space="preserve"> El Ayuntamiento aprobará y mantendrá una política interna de uso de inteligencia artificial generativa por su personal, que contendrá al menos: inventario de sistemas autorizados; prohibición de utilizar sistemas no inventariados; formación previa del personal usuario; revisión humana de todo resultado antes de su incorporación a un expediente; doble revisión cuando el resultado se dirija a un superior jerárquico o vaya a publicarse; minimización del uso de información institucional sensible en sistemas externos; y registro de las interacciones. Esta política se incorpora como </w:t>
            </w:r>
            <w:r>
              <w:rPr>
                <w:rFonts w:ascii="Georgia" w:cs="Georgia" w:eastAsia="Georgia" w:hAnsi="Georgia"/>
                <w:b/>
                <w:bCs/>
                <w:sz w:val="20"/>
                <w:szCs w:val="20"/>
              </w:rPr>
              <w:t xml:space="preserve">Anexo [ ] de este pliego</w:t>
            </w:r>
            <w:r>
              <w:rPr>
                <w:rFonts w:ascii="Georgia" w:cs="Georgia" w:eastAsia="Georgia" w:hAnsi="Georgia"/>
                <w:sz w:val="20"/>
                <w:szCs w:val="20"/>
              </w:rPr>
              <w:t xml:space="preserve"> y se comunica al adjudicatario.</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PCAP, cláusula de condiciones especiales de ejecución (niveles 1 y 2), </w:t>
      </w:r>
      <w:r>
        <w:rPr>
          <w:rFonts w:ascii="Calibri" w:cs="Calibri" w:eastAsia="Calibri" w:hAnsi="Calibri"/>
          <w:b/>
          <w:bCs/>
          <w:sz w:val="21"/>
          <w:szCs w:val="21"/>
        </w:rPr>
        <w:t xml:space="preserve">y en el anuncio de licitación</w:t>
      </w:r>
      <w:r>
        <w:rPr>
          <w:rFonts w:ascii="Calibri" w:cs="Calibri" w:eastAsia="Calibri" w:hAnsi="Calibri"/>
          <w:sz w:val="21"/>
          <w:szCs w:val="21"/>
        </w:rPr>
        <w:t xml:space="preserve"> (art. 202.1 LCSP: las condiciones especiales de ejecución se indican en el anuncio y en los pliegos, y su omisión en el anuncio es un defecto que no se subsana después), y cláusula de confidencialidad y protección de datos, por la remisión del apartado 2 al art. 28 RGPD. El modelo de declaración del apartado 4 va al Anexo VII. La política interna del apartado 7 </w:t>
      </w:r>
      <w:r>
        <w:rPr>
          <w:rFonts w:ascii="Calibri" w:cs="Calibri" w:eastAsia="Calibri" w:hAnsi="Calibri"/>
          <w:b/>
          <w:bCs/>
          <w:sz w:val="21"/>
          <w:szCs w:val="21"/>
        </w:rPr>
        <w:t xml:space="preserve">no es cláusula del pliego</w:t>
      </w:r>
      <w:r>
        <w:rPr>
          <w:rFonts w:ascii="Calibri" w:cs="Calibri" w:eastAsia="Calibri" w:hAnsi="Calibri"/>
          <w:sz w:val="21"/>
          <w:szCs w:val="21"/>
        </w:rPr>
        <w:t xml:space="preserve">: es un acto propio del Ayuntamiento que se aprueba por resolución y se anexa al pliego; su modelo es el </w:t>
      </w:r>
      <w:r>
        <w:rPr>
          <w:rFonts w:ascii="Calibri" w:cs="Calibri" w:eastAsia="Calibri" w:hAnsi="Calibri"/>
          <w:b/>
          <w:bCs/>
          <w:sz w:val="21"/>
          <w:szCs w:val="21"/>
        </w:rPr>
        <w:t xml:space="preserve">Anexo XVI</w:t>
      </w:r>
      <w:r>
        <w:rPr>
          <w:rFonts w:ascii="Calibri" w:cs="Calibri" w:eastAsia="Calibri" w:hAnsi="Calibri"/>
          <w:sz w:val="21"/>
          <w:szCs w:val="21"/>
        </w:rPr>
        <w:t xml:space="preserve"> de este catálogo.</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sz w:val="21"/>
          <w:szCs w:val="21"/>
        </w:rPr>
        <w:t xml:space="preserve">Art. 202.1 LCSP (condiciones especiales de ejecución vinculadas al objeto). Art. 28 del Reglamento (UE) 2016/679, para el encargo del tratamiento, y art. 28.3.a), que sujeta el tratamiento a las instrucciones documentadas del responsable. Art. 133 LCSP, para la confidencialidad de la relación declarada. Arts. 116.1, párrafo segundo, LCSP, sobre la especificación de la finalidad del tratamiento en el expediente. Y, cuando el sistema empleado sea un sistema de inteligencia artificial en el sentido del Reglamento (UE) 2024/1689, en su redacción vigente, las obligaciones que del mismo resulten conforme al calendario del Anexo XI.</w:t>
      </w:r>
    </w:p>
    <w:p>
      <w:pPr>
        <w:spacing w:after="140" w:line="276"/>
      </w:pPr>
      <w:r>
        <w:rPr>
          <w:rFonts w:ascii="Calibri" w:cs="Calibri" w:eastAsia="Calibri" w:hAnsi="Calibri"/>
          <w:sz w:val="21"/>
          <w:szCs w:val="21"/>
        </w:rPr>
        <w:t xml:space="preserve">Referencia de contenido, no normativa: la </w:t>
      </w:r>
      <w:r>
        <w:rPr>
          <w:rFonts w:ascii="Calibri" w:cs="Calibri" w:eastAsia="Calibri" w:hAnsi="Calibri"/>
          <w:b/>
          <w:bCs/>
          <w:sz w:val="21"/>
          <w:szCs w:val="21"/>
        </w:rPr>
        <w:t xml:space="preserve">Política general para el uso de IA generativa en procesos administrativos</w:t>
      </w:r>
      <w:r>
        <w:rPr>
          <w:rFonts w:ascii="Calibri" w:cs="Calibri" w:eastAsia="Calibri" w:hAnsi="Calibri"/>
          <w:sz w:val="21"/>
          <w:szCs w:val="21"/>
        </w:rPr>
        <w:t xml:space="preserve"> publicada por la Agencia Española de Protección de Datos el 27 de noviembre de 2025, primera de este tipo en el sector público español, que establece el principio de precaución y da la lista de aspectos a evaluar de forma previa y documentada antes de contratar una solución de esta clase —tratamiento de metadatos, declaraciones del proveedor sobre el uso del contenido para mejorar servicios o modelos, existencia y alcance de mecanismos de exclusión del entrenamiento, ubicación de los datos y tiempo de retención— (&lt;https://www.aepd.es/documento/politica-iag-aepd.pdf&gt;). De ahí procede, literalmente, la lista del apartado 4. Se cita como referencia de buenas prácticas del regulador, no como norma.</w:t>
      </w:r>
    </w:p>
    <w:p>
      <w:pPr>
        <w:spacing w:after="140" w:line="276"/>
      </w:pPr>
      <w:r>
        <w:rPr>
          <w:rFonts w:ascii="Calibri" w:cs="Calibri" w:eastAsia="Calibri" w:hAnsi="Calibri"/>
          <w:b/>
          <w:bCs/>
          <w:sz w:val="21"/>
          <w:szCs w:val="21"/>
        </w:rPr>
        <w:t xml:space="preserve">No consta</w:t>
      </w:r>
      <w:r>
        <w:rPr>
          <w:rFonts w:ascii="Calibri" w:cs="Calibri" w:eastAsia="Calibri" w:hAnsi="Calibri"/>
          <w:sz w:val="21"/>
          <w:szCs w:val="21"/>
        </w:rPr>
        <w:t xml:space="preserve">, a fecha de corte de 1 de septiembre de 2026 y tras búsqueda en los repositorios del Tribunal Administrativo Central de Recursos Contractuales, del Tribunal Administrativo de Contratación Pública de la Comunidad de Madrid, del OARC/KEAO, del Tribunal Administrativo de Contratos Públicos de Aragón y de las juntas consultivas de contratación, doctrina alguna sobre cláusulas de esta clase.</w:t>
      </w:r>
    </w:p>
    <w:p>
      <w:pPr>
        <w:pStyle w:val="Heading3"/>
        <w:keepNext/>
        <w:spacing w:after="140" w:before="320"/>
      </w:pPr>
      <w:r>
        <w:rPr>
          <w:rFonts w:ascii="Georgia" w:cs="Georgia" w:eastAsia="Georgia" w:hAnsi="Georgia"/>
          <w:b/>
          <w:bCs/>
          <w:color w:val="2F5496"/>
          <w:sz w:val="22"/>
          <w:szCs w:val="22"/>
        </w:rPr>
        <w:t xml:space="preserve">4. Cómo se acredita</w:t>
      </w:r>
    </w:p>
    <w:p>
      <w:pPr>
        <w:spacing w:after="140" w:line="276"/>
      </w:pPr>
      <w:r>
        <w:rPr>
          <w:rFonts w:ascii="Calibri" w:cs="Calibri" w:eastAsia="Calibri" w:hAnsi="Calibri"/>
          <w:sz w:val="21"/>
          <w:szCs w:val="21"/>
        </w:rPr>
        <w:t xml:space="preserve">Medios tasados: (a) declaración del Anexo VII presentada con la oferta; (b) autorización escrita del responsable del contrato para cada alta de nivel 1; (c) contrato de encargo del tratamiento firmado, cuando proceda; (d) evidencia de la configuración a nivel de organización que excluye el contenido del entrenamiento, con fecha, o certificado del proveedor; (e) política interna de uso del adjudicatario.</w:t>
      </w:r>
    </w:p>
    <w:p>
      <w:pPr>
        <w:pStyle w:val="Heading3"/>
        <w:keepNext/>
        <w:spacing w:after="140" w:before="320"/>
      </w:pPr>
      <w:r>
        <w:rPr>
          <w:rFonts w:ascii="Georgia" w:cs="Georgia" w:eastAsia="Georgia" w:hAnsi="Georgia"/>
          <w:b/>
          <w:bCs/>
          <w:color w:val="2F5496"/>
          <w:sz w:val="22"/>
          <w:szCs w:val="22"/>
        </w:rPr>
        <w:t xml:space="preserve">5. Cómo se verifica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Cuándo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 qué documento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Ante cada solicitud de alta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Autorización escrita, o denegación motivada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Delegado de protección de datos del Ayuntamiento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Antes de autorizar un alta que implique datos personales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y contrato de encargo del tratamiento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vez al 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Declaración actualizada del adjudicatario y evidencia de configuración</w:t>
            </w:r>
          </w:p>
        </w:tc>
      </w:tr>
    </w:tbl>
    <w:p>
      <w:pPr>
        <w:spacing w:after="200"/>
      </w:pPr>
    </w:p>
    <w:p>
      <w:pPr>
        <w:spacing w:after="140" w:line="276"/>
      </w:pPr>
      <w:r>
        <w:rPr>
          <w:rFonts w:ascii="Calibri" w:cs="Calibri" w:eastAsia="Calibri" w:hAnsi="Calibri"/>
          <w:b/>
          <w:bCs/>
          <w:sz w:val="21"/>
          <w:szCs w:val="21"/>
        </w:rPr>
        <w:t xml:space="preserve">Carga estimada.</w:t>
      </w:r>
      <w:r>
        <w:rPr>
          <w:rFonts w:ascii="Calibri" w:cs="Calibri" w:eastAsia="Calibri" w:hAnsi="Calibri"/>
          <w:sz w:val="21"/>
          <w:szCs w:val="21"/>
        </w:rPr>
        <w:t xml:space="preserve"> 2 horas al año de revisión de la declaración y de la evidencia, más 1 hora por cada solicitud de alta. Si el contrato no implica tratamiento de información municipal por el adjudicatario, la carga es cero y la cláusula debe marcarse NO APLICA.</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pStyle w:val="ListParagraph"/>
        <w:numPr>
          <w:ilvl w:val="0"/>
          <w:numId w:val="1"/>
        </w:numPr>
        <w:spacing w:after="70" w:line="268"/>
      </w:pPr>
      <w:r>
        <w:rPr>
          <w:rFonts w:ascii="Calibri" w:cs="Calibri" w:eastAsia="Calibri" w:hAnsi="Calibri"/>
          <w:b/>
          <w:bCs/>
          <w:sz w:val="21"/>
          <w:szCs w:val="21"/>
        </w:rPr>
        <w:t xml:space="preserve">Introducción de información de nivel 1 en un sistema no autorizado:</w:t>
      </w:r>
      <w:r>
        <w:rPr>
          <w:rFonts w:ascii="Calibri" w:cs="Calibri" w:eastAsia="Calibri" w:hAnsi="Calibri"/>
          <w:sz w:val="21"/>
          <w:szCs w:val="21"/>
        </w:rPr>
        <w:t xml:space="preserve"> infracción </w:t>
      </w:r>
      <w:r>
        <w:rPr>
          <w:rFonts w:ascii="Calibri" w:cs="Calibri" w:eastAsia="Calibri" w:hAnsi="Calibri"/>
          <w:b/>
          <w:bCs/>
          <w:sz w:val="21"/>
          <w:szCs w:val="21"/>
        </w:rPr>
        <w:t xml:space="preserve">muy grave</w:t>
      </w:r>
      <w:r>
        <w:rPr>
          <w:rFonts w:ascii="Calibri" w:cs="Calibri" w:eastAsia="Calibri" w:hAnsi="Calibri"/>
          <w:sz w:val="21"/>
          <w:szCs w:val="21"/>
        </w:rPr>
        <w:t xml:space="preserve"> del cuadro de ADM-5·v3 y </w:t>
      </w:r>
      <w:r>
        <w:rPr>
          <w:rFonts w:ascii="Calibri" w:cs="Calibri" w:eastAsia="Calibri" w:hAnsi="Calibri"/>
          <w:b/>
          <w:bCs/>
          <w:sz w:val="21"/>
          <w:szCs w:val="21"/>
        </w:rPr>
        <w:t xml:space="preserve">obligación esencial: SÍ</w:t>
      </w:r>
      <w:r>
        <w:rPr>
          <w:rFonts w:ascii="Calibri" w:cs="Calibri" w:eastAsia="Calibri" w:hAnsi="Calibri"/>
          <w:sz w:val="21"/>
          <w:szCs w:val="21"/>
        </w:rPr>
        <w:t xml:space="preserve">, por remisión a ADM-6·v3, bloque B.</w:t>
      </w:r>
    </w:p>
    <w:p>
      <w:pPr>
        <w:pStyle w:val="ListParagraph"/>
        <w:numPr>
          <w:ilvl w:val="0"/>
          <w:numId w:val="1"/>
        </w:numPr>
        <w:spacing w:after="70" w:line="268"/>
      </w:pPr>
      <w:r>
        <w:rPr>
          <w:rFonts w:ascii="Calibri" w:cs="Calibri" w:eastAsia="Calibri" w:hAnsi="Calibri"/>
          <w:b/>
          <w:bCs/>
          <w:sz w:val="21"/>
          <w:szCs w:val="21"/>
        </w:rPr>
        <w:t xml:space="preserve">Empleo de un sistema de nivel 2 que no cumple las tres condiciones del apartado 3, o falta de actualización de la relación declarada:</w:t>
      </w:r>
      <w:r>
        <w:rPr>
          <w:rFonts w:ascii="Calibri" w:cs="Calibri" w:eastAsia="Calibri" w:hAnsi="Calibri"/>
          <w:sz w:val="21"/>
          <w:szCs w:val="21"/>
        </w:rPr>
        <w:t xml:space="preserve"> infracción </w:t>
      </w:r>
      <w:r>
        <w:rPr>
          <w:rFonts w:ascii="Calibri" w:cs="Calibri" w:eastAsia="Calibri" w:hAnsi="Calibri"/>
          <w:b/>
          <w:bCs/>
          <w:sz w:val="21"/>
          <w:szCs w:val="21"/>
        </w:rPr>
        <w:t xml:space="preserve">grave</w:t>
      </w:r>
      <w:r>
        <w:rPr>
          <w:rFonts w:ascii="Calibri" w:cs="Calibri" w:eastAsia="Calibri" w:hAnsi="Calibri"/>
          <w:sz w:val="21"/>
          <w:szCs w:val="21"/>
        </w:rPr>
        <w:t xml:space="preserve">. </w:t>
      </w:r>
      <w:r>
        <w:rPr>
          <w:rFonts w:ascii="Calibri" w:cs="Calibri" w:eastAsia="Calibri" w:hAnsi="Calibri"/>
          <w:b/>
          <w:bCs/>
          <w:sz w:val="21"/>
          <w:szCs w:val="21"/>
        </w:rPr>
        <w:t xml:space="preserve">Obligación esencial: NO.</w:t>
      </w:r>
    </w:p>
    <w:p>
      <w:pPr>
        <w:pStyle w:val="ListParagraph"/>
        <w:numPr>
          <w:ilvl w:val="0"/>
          <w:numId w:val="1"/>
        </w:numPr>
        <w:spacing w:after="70" w:line="268"/>
      </w:pPr>
      <w:r>
        <w:rPr>
          <w:rFonts w:ascii="Calibri" w:cs="Calibri" w:eastAsia="Calibri" w:hAnsi="Calibri"/>
          <w:b/>
          <w:bCs/>
          <w:sz w:val="21"/>
          <w:szCs w:val="21"/>
        </w:rPr>
        <w:t xml:space="preserve">Falta de entrega de la evidencia de configuración a requerimiento:</w:t>
      </w:r>
      <w:r>
        <w:rPr>
          <w:rFonts w:ascii="Calibri" w:cs="Calibri" w:eastAsia="Calibri" w:hAnsi="Calibri"/>
          <w:sz w:val="21"/>
          <w:szCs w:val="21"/>
        </w:rPr>
        <w:t xml:space="preserve"> infracción </w:t>
      </w:r>
      <w:r>
        <w:rPr>
          <w:rFonts w:ascii="Calibri" w:cs="Calibri" w:eastAsia="Calibri" w:hAnsi="Calibri"/>
          <w:b/>
          <w:bCs/>
          <w:sz w:val="21"/>
          <w:szCs w:val="21"/>
        </w:rPr>
        <w:t xml:space="preserve">leve</w:t>
      </w:r>
      <w:r>
        <w:rPr>
          <w:rFonts w:ascii="Calibri" w:cs="Calibri" w:eastAsia="Calibri" w:hAnsi="Calibri"/>
          <w:sz w:val="21"/>
          <w:szCs w:val="21"/>
        </w:rPr>
        <w:t xml:space="preserve">, elevable a grave si persiste tras requerimiento.</w:t>
      </w: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sz w:val="21"/>
          <w:szCs w:val="21"/>
        </w:rPr>
        <w:t xml:space="preserve">Contratos en los que el adjudicatario </w:t>
      </w:r>
      <w:r>
        <w:rPr>
          <w:rFonts w:ascii="Calibri" w:cs="Calibri" w:eastAsia="Calibri" w:hAnsi="Calibri"/>
          <w:b/>
          <w:bCs/>
          <w:sz w:val="21"/>
          <w:szCs w:val="21"/>
        </w:rPr>
        <w:t xml:space="preserve">no trate información municipal</w:t>
      </w:r>
      <w:r>
        <w:rPr>
          <w:rFonts w:ascii="Calibri" w:cs="Calibri" w:eastAsia="Calibri" w:hAnsi="Calibri"/>
          <w:sz w:val="21"/>
          <w:szCs w:val="21"/>
        </w:rPr>
        <w:t xml:space="preserve">: suministro de bienes, obras sin componente de información, servicios prestados íntegramente sobre información propia del contratista.</w:t>
      </w:r>
    </w:p>
    <w:p>
      <w:pPr>
        <w:pStyle w:val="ListParagraph"/>
        <w:numPr>
          <w:ilvl w:val="0"/>
          <w:numId w:val="1"/>
        </w:numPr>
        <w:spacing w:after="70" w:line="268"/>
      </w:pPr>
      <w:r>
        <w:rPr>
          <w:rFonts w:ascii="Calibri" w:cs="Calibri" w:eastAsia="Calibri" w:hAnsi="Calibri"/>
          <w:sz w:val="21"/>
          <w:szCs w:val="21"/>
        </w:rPr>
        <w:t xml:space="preserve">Contratos menores, salvo que impliquen tratamiento de datos personales, en cuyo caso el régimen aplicable es el del art. 28 RGPD, no esta cláusula.</w:t>
      </w:r>
    </w:p>
    <w:p>
      <w:pPr>
        <w:pStyle w:val="ListParagraph"/>
        <w:numPr>
          <w:ilvl w:val="0"/>
          <w:numId w:val="1"/>
        </w:numPr>
        <w:spacing w:after="70" w:line="268"/>
      </w:pPr>
      <w:r>
        <w:rPr>
          <w:rFonts w:ascii="Calibri" w:cs="Calibri" w:eastAsia="Calibri" w:hAnsi="Calibri"/>
          <w:sz w:val="21"/>
          <w:szCs w:val="21"/>
        </w:rPr>
        <w:t xml:space="preserve">Contratos basados en acuerdo marco cuando no quepa añadir condiciones especiales de ejecución.</w:t>
      </w:r>
    </w:p>
    <w:p>
      <w:pPr>
        <w:pStyle w:val="ListParagraph"/>
        <w:numPr>
          <w:ilvl w:val="0"/>
          <w:numId w:val="1"/>
        </w:numPr>
        <w:spacing w:after="70" w:line="268"/>
      </w:pPr>
      <w:r>
        <w:rPr>
          <w:rFonts w:ascii="Calibri" w:cs="Calibri" w:eastAsia="Calibri" w:hAnsi="Calibri"/>
          <w:sz w:val="21"/>
          <w:szCs w:val="21"/>
        </w:rPr>
        <w:t xml:space="preserve">El </w:t>
      </w:r>
      <w:r>
        <w:rPr>
          <w:rFonts w:ascii="Calibri" w:cs="Calibri" w:eastAsia="Calibri" w:hAnsi="Calibri"/>
          <w:b/>
          <w:bCs/>
          <w:sz w:val="21"/>
          <w:szCs w:val="21"/>
        </w:rPr>
        <w:t xml:space="preserve">nivel 3 nunca se aplica</w:t>
      </w:r>
      <w:r>
        <w:rPr>
          <w:rFonts w:ascii="Calibri" w:cs="Calibri" w:eastAsia="Calibri" w:hAnsi="Calibri"/>
          <w:sz w:val="21"/>
          <w:szCs w:val="21"/>
        </w:rPr>
        <w:t xml:space="preserve">: no es una excepción, es una delimitación del ámbito.</w:t>
      </w:r>
    </w:p>
    <w:p>
      <w:pPr>
        <w:spacing w:after="140" w:line="276"/>
      </w:pPr>
      <w:r>
        <w:rPr>
          <w:rFonts w:ascii="Calibri" w:cs="Calibri" w:eastAsia="Calibri" w:hAnsi="Calibri"/>
          <w:b/>
          <w:bCs/>
          <w:sz w:val="21"/>
          <w:szCs w:val="21"/>
        </w:rPr>
        <w:t xml:space="preserve">Si esta cláusula se marca NO APLICA, arrastra:</w:t>
      </w:r>
      <w:r>
        <w:rPr>
          <w:rFonts w:ascii="Calibri" w:cs="Calibri" w:eastAsia="Calibri" w:hAnsi="Calibri"/>
          <w:sz w:val="21"/>
          <w:szCs w:val="21"/>
        </w:rPr>
        <w:t xml:space="preserve"> el apartado correspondiente del Anexo VII, dos filas del cuadro de penalidades de ADM-5·v3 y un guion del bloque B de ADM-6·v3. El compromiso recíproco del apartado 7 </w:t>
      </w:r>
      <w:r>
        <w:rPr>
          <w:rFonts w:ascii="Calibri" w:cs="Calibri" w:eastAsia="Calibri" w:hAnsi="Calibri"/>
          <w:b/>
          <w:bCs/>
          <w:sz w:val="21"/>
          <w:szCs w:val="21"/>
        </w:rPr>
        <w:t xml:space="preserve">no decae</w:t>
      </w:r>
      <w:r>
        <w:rPr>
          <w:rFonts w:ascii="Calibri" w:cs="Calibri" w:eastAsia="Calibri" w:hAnsi="Calibri"/>
          <w:sz w:val="21"/>
          <w:szCs w:val="21"/>
        </w:rPr>
        <w:t xml:space="preserve">: es un acto propio del Ayuntamiento, independiente de cada contrato.</w:t>
      </w:r>
    </w:p>
    <w:p>
      <w:pPr>
        <w:pStyle w:val="Heading3"/>
        <w:keepNext/>
        <w:spacing w:after="140" w:before="320"/>
      </w:pPr>
      <w:r>
        <w:rPr>
          <w:rFonts w:ascii="Georgia" w:cs="Georgia" w:eastAsia="Georgia" w:hAnsi="Georgia"/>
          <w:b/>
          <w:bCs/>
          <w:color w:val="2F5496"/>
          <w:sz w:val="22"/>
          <w:szCs w:val="22"/>
        </w:rPr>
        <w:t xml:space="preserve">Nota al redactor · Por qué tres niveles y no una prohibición única</w:t>
      </w:r>
    </w:p>
    <w:p>
      <w:pPr>
        <w:spacing w:after="140" w:line="276"/>
      </w:pPr>
      <w:r>
        <w:rPr>
          <w:rFonts w:ascii="Calibri" w:cs="Calibri" w:eastAsia="Calibri" w:hAnsi="Calibri"/>
          <w:sz w:val="21"/>
          <w:szCs w:val="21"/>
        </w:rPr>
        <w:t xml:space="preserve">Tal como estaba esbozada en la versión anterior, la cláusula era inaplicable. Cualquier desarrollador que utilice un entorno de desarrollo con asistente incorporado la incumpliría, y una obligación esencial inaplicable no protege: un tribunal la aprecia con facilidad y su caída contamina el resto del pliego. La solución consiste en </w:t>
      </w:r>
      <w:r>
        <w:rPr>
          <w:rFonts w:ascii="Calibri" w:cs="Calibri" w:eastAsia="Calibri" w:hAnsi="Calibri"/>
          <w:b/>
          <w:bCs/>
          <w:sz w:val="21"/>
          <w:szCs w:val="21"/>
        </w:rPr>
        <w:t xml:space="preserve">separar el tratamiento de información municipal del uso de herramientas internas del contratista</w:t>
      </w:r>
      <w:r>
        <w:rPr>
          <w:rFonts w:ascii="Calibri" w:cs="Calibri" w:eastAsia="Calibri" w:hAnsi="Calibri"/>
          <w:sz w:val="21"/>
          <w:szCs w:val="21"/>
        </w:rPr>
        <w:t xml:space="preserve"> y en graduar la consecuencia.</w:t>
      </w:r>
    </w:p>
    <w:p>
      <w:pPr>
        <w:spacing w:after="140" w:line="276"/>
      </w:pPr>
      <w:r>
        <w:rPr>
          <w:rFonts w:ascii="Calibri" w:cs="Calibri" w:eastAsia="Calibri" w:hAnsi="Calibri"/>
          <w:sz w:val="21"/>
          <w:szCs w:val="21"/>
        </w:rPr>
        <w:t xml:space="preserve">De ahí los tres niveles del apartado 1. Sólo el nivel 1 —información municipal restringida— es obligación esencial. El nivel 2 —artefactos técnicos del contrato— se somete a tres condiciones acreditables y su incumplimiento genera penalidad, no resolución. El nivel 3 —información propia del contratista— </w:t>
      </w:r>
      <w:r>
        <w:rPr>
          <w:rFonts w:ascii="Calibri" w:cs="Calibri" w:eastAsia="Calibri" w:hAnsi="Calibri"/>
          <w:b/>
          <w:bCs/>
          <w:sz w:val="21"/>
          <w:szCs w:val="21"/>
        </w:rPr>
        <w:t xml:space="preserve">queda expresamente fuera del ámbito de la cláusula</w:t>
      </w:r>
      <w:r>
        <w:rPr>
          <w:rFonts w:ascii="Calibri" w:cs="Calibri" w:eastAsia="Calibri" w:hAnsi="Calibri"/>
          <w:sz w:val="21"/>
          <w:szCs w:val="21"/>
        </w:rPr>
        <w:t xml:space="preserve">: no es una excepción, es una delimitación, y así debe leerse.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III.14 · ADM-14·v3 — Modificación prevista como red de seguridad</w:t>
      </w:r>
    </w:p>
    <w:p>
      <w:pPr>
        <w:spacing w:after="140" w:line="276"/>
      </w:pPr>
      <w:r>
        <w:rPr>
          <w:rFonts w:ascii="Calibri" w:cs="Calibri" w:eastAsia="Calibri" w:hAnsi="Calibri"/>
          <w:i/>
          <w:iCs/>
          <w:sz w:val="21"/>
          <w:szCs w:val="21"/>
        </w:rPr>
        <w:t xml:space="preserve">(Sustituye a la previsión de modificación de v2. </w:t>
      </w:r>
      <w:r>
        <w:rPr>
          <w:rFonts w:ascii="Calibri" w:cs="Calibri" w:eastAsia="Calibri" w:hAnsi="Calibri"/>
          <w:i/>
          <w:iCs/>
          <w:sz w:val="21"/>
          <w:szCs w:val="21"/>
        </w:rPr>
        <w:t xml:space="preserve">Cláusula opcional: por defecto, NO se incorpora.</w:t>
      </w:r>
      <w:r>
        <w:rPr>
          <w:rFonts w:ascii="Calibri" w:cs="Calibri" w:eastAsia="Calibri" w:hAnsi="Calibri"/>
          <w:sz w:val="21"/>
          <w:szCs w:val="21"/>
        </w:rPr>
        <w:t xml:space="preserve">* La advertencia sobre el cómputo de la reserva en el valor estimado, el ejemplo trabajado y la alternativa preferente están en la nota al redactor, al final de la cláusula.)*</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Modificación prevista del contrato (artículo 204 de la LCSP).</w:t>
            </w:r>
          </w:p>
          <w:p>
            <w:pPr>
              <w:pStyle w:val="ListParagraph"/>
              <w:numPr>
                <w:ilvl w:val="0"/>
                <w:numId w:val="2"/>
              </w:numPr>
              <w:spacing w:after="60" w:line="264"/>
            </w:pPr>
            <w:r>
              <w:rPr>
                <w:rFonts w:ascii="Georgia" w:cs="Georgia" w:eastAsia="Georgia" w:hAnsi="Georgia"/>
                <w:b/>
                <w:bCs/>
                <w:sz w:val="20"/>
                <w:szCs w:val="20"/>
              </w:rPr>
              <w:t xml:space="preserve">Procedencia y naturaleza.</w:t>
            </w:r>
            <w:r>
              <w:rPr>
                <w:rFonts w:ascii="Georgia" w:cs="Georgia" w:eastAsia="Georgia" w:hAnsi="Georgia"/>
                <w:sz w:val="20"/>
                <w:szCs w:val="20"/>
              </w:rPr>
              <w:t xml:space="preserve"> Al amparo del artículo 204 de la LCSP, el contrato podrá modificarse durante su vigencia, de una sola vez o sucesivamente, con el único objeto de incorporar las prestaciones enumeradas en el apartado 2 y con sujeción a las condiciones, límites y procedimiento de esta cláusula. La modificación tiene naturaleza de ampliación cuantitativa de prestaciones ya comprendidas en el objeto del contrato. No sustituye las prestaciones contratadas por otras diferentes, no modifica el tipo de contrato, no altera su naturaleza global, no amplía su plazo de duración ni el de sus prórrogas y </w:t>
            </w:r>
            <w:r>
              <w:rPr>
                <w:rFonts w:ascii="Georgia" w:cs="Georgia" w:eastAsia="Georgia" w:hAnsi="Georgia"/>
                <w:b/>
                <w:bCs/>
                <w:sz w:val="20"/>
                <w:szCs w:val="20"/>
              </w:rPr>
              <w:t xml:space="preserve">no podrá suponer el establecimiento de nuevos precios unitarios no previstos en el contrato</w:t>
            </w:r>
            <w:r>
              <w:rPr>
                <w:rFonts w:ascii="Georgia" w:cs="Georgia" w:eastAsia="Georgia" w:hAnsi="Georgia"/>
                <w:sz w:val="20"/>
                <w:szCs w:val="20"/>
              </w:rPr>
              <w:t xml:space="preserve">.</w:t>
            </w:r>
          </w:p>
          <w:p>
            <w:pPr>
              <w:pStyle w:val="ListParagraph"/>
              <w:numPr>
                <w:ilvl w:val="0"/>
                <w:numId w:val="2"/>
              </w:numPr>
              <w:spacing w:after="60" w:line="264"/>
            </w:pPr>
            <w:r>
              <w:rPr>
                <w:rFonts w:ascii="Georgia" w:cs="Georgia" w:eastAsia="Georgia" w:hAnsi="Georgia"/>
                <w:b/>
                <w:bCs/>
                <w:sz w:val="20"/>
                <w:szCs w:val="20"/>
              </w:rPr>
              <w:t xml:space="preserve">Alcance (relación cerrada).</w:t>
            </w:r>
            <w:r>
              <w:rPr>
                <w:rFonts w:ascii="Georgia" w:cs="Georgia" w:eastAsia="Georgia" w:hAnsi="Georgia"/>
                <w:sz w:val="20"/>
                <w:szCs w:val="20"/>
              </w:rPr>
              <w:t xml:space="preserve"> Únicamente podrán acordarse, y ninguna otra, las siguientes prestaciones:</w:t>
            </w:r>
          </w:p>
          <w:p>
            <w:pPr>
              <w:spacing w:after="100" w:line="264"/>
            </w:pPr>
            <w:r>
              <w:rPr>
                <w:rFonts w:ascii="Georgia" w:cs="Georgia" w:eastAsia="Georgia" w:hAnsi="Georgia"/>
                <w:sz w:val="20"/>
                <w:szCs w:val="20"/>
              </w:rPr>
              <w:t xml:space="preserve">a) extensión de la interfaz normalizada de acceso programático a módulos del contrato distintos de los relacionados en el Anexo de Exigencias Tecnológicas, hasta un máximo de </w:t>
            </w:r>
            <w:r>
              <w:rPr>
                <w:rFonts w:ascii="Georgia" w:cs="Georgia" w:eastAsia="Georgia" w:hAnsi="Georgia"/>
                <w:b/>
                <w:bCs/>
                <w:sz w:val="20"/>
                <w:szCs w:val="20"/>
              </w:rPr>
              <w:t xml:space="preserve">[ ]</w:t>
            </w:r>
            <w:r>
              <w:rPr>
                <w:rFonts w:ascii="Georgia" w:cs="Georgia" w:eastAsia="Georgia" w:hAnsi="Georgia"/>
                <w:sz w:val="20"/>
                <w:szCs w:val="20"/>
              </w:rPr>
              <w:t xml:space="preserve"> módulos adicionales, con los mismos criterios de aceptación de dicho Anexo;</w:t>
            </w:r>
          </w:p>
          <w:p>
            <w:pPr>
              <w:spacing w:after="100" w:line="264"/>
            </w:pPr>
            <w:r>
              <w:rPr>
                <w:rFonts w:ascii="Georgia" w:cs="Georgia" w:eastAsia="Georgia" w:hAnsi="Georgia"/>
                <w:sz w:val="20"/>
                <w:szCs w:val="20"/>
              </w:rPr>
              <w:t xml:space="preserve">b) extensión de la capacidad de operación autónoma supervisada a operaciones distintas de las relacionadas en el Anexo, hasta un máximo de </w:t>
            </w:r>
            <w:r>
              <w:rPr>
                <w:rFonts w:ascii="Georgia" w:cs="Georgia" w:eastAsia="Georgia" w:hAnsi="Georgia"/>
                <w:b/>
                <w:bCs/>
                <w:sz w:val="20"/>
                <w:szCs w:val="20"/>
              </w:rPr>
              <w:t xml:space="preserve">[ ]</w:t>
            </w:r>
            <w:r>
              <w:rPr>
                <w:rFonts w:ascii="Georgia" w:cs="Georgia" w:eastAsia="Georgia" w:hAnsi="Georgia"/>
                <w:sz w:val="20"/>
                <w:szCs w:val="20"/>
              </w:rPr>
              <w:t xml:space="preserve"> operaciones, con los mismos criterios de aceptación;</w:t>
            </w:r>
          </w:p>
          <w:p>
            <w:pPr>
              <w:spacing w:after="100" w:line="264"/>
            </w:pPr>
            <w:r>
              <w:rPr>
                <w:rFonts w:ascii="Georgia" w:cs="Georgia" w:eastAsia="Georgia" w:hAnsi="Georgia"/>
                <w:sz w:val="20"/>
                <w:szCs w:val="20"/>
              </w:rPr>
              <w:t xml:space="preserve">c) extensión del registro de trazabilidad y auditoría a los módulos u operaciones incorporados conforme a las letras a) y b);</w:t>
            </w:r>
          </w:p>
          <w:p>
            <w:pPr>
              <w:spacing w:after="100" w:line="264"/>
            </w:pPr>
            <w:r>
              <w:rPr>
                <w:rFonts w:ascii="Georgia" w:cs="Georgia" w:eastAsia="Georgia" w:hAnsi="Georgia"/>
                <w:sz w:val="20"/>
                <w:szCs w:val="20"/>
              </w:rPr>
              <w:t xml:space="preserve">d) adaptaciones de la solución estrictamente necesarias para que el Ayuntamiento, en su condición de responsable del despliegue o usuario del sistema, dé cumplimiento a las obligaciones que resulten exigibles en virtud de las siguientes normas, identificadas nominativamente: Reglamento (UE) 2024/1689, en su redacción vigente y conforme al calendario de aplicación que en cada momento resulte vigente; Real Decreto 311/2022 y guías CCN-STIC que lo desarrollen; Real Decreto 4/2010 y Real Decreto 203/2021; y las normas de rango legal o reglamentario que sustituyan a las anteriores. </w:t>
            </w:r>
            <w:r>
              <w:rPr>
                <w:rFonts w:ascii="Georgia" w:cs="Georgia" w:eastAsia="Georgia" w:hAnsi="Georgia"/>
                <w:b/>
                <w:bCs/>
                <w:sz w:val="20"/>
                <w:szCs w:val="20"/>
              </w:rPr>
              <w:t xml:space="preserve">Quedan excluidas</w:t>
            </w:r>
            <w:r>
              <w:rPr>
                <w:rFonts w:ascii="Georgia" w:cs="Georgia" w:eastAsia="Georgia" w:hAnsi="Georgia"/>
                <w:sz w:val="20"/>
                <w:szCs w:val="20"/>
              </w:rPr>
              <w:t xml:space="preserve"> las adaptaciones que correspondan al adjudicatario en su condición de proveedor u operador del sistema, que son de su exclusiva cuenta y se ejecutan sin coste ni modificación contractual.</w:t>
            </w:r>
          </w:p>
          <w:p>
            <w:pPr>
              <w:spacing w:after="100" w:line="264"/>
            </w:pPr>
            <w:r>
              <w:rPr>
                <w:rFonts w:ascii="Georgia" w:cs="Georgia" w:eastAsia="Georgia" w:hAnsi="Georgia"/>
                <w:sz w:val="20"/>
                <w:szCs w:val="20"/>
              </w:rPr>
              <w:t xml:space="preserve">Quedan expresamente excluidos del alcance de esta cláusula: la incorporación de módulos funcionales nuevos; el aumento del número de personas usuarias, sedes o volúmenes de datos; la sustitución de la solución contratada por otra; y cualquier prestación ajena al objeto del contrato.</w:t>
            </w:r>
          </w:p>
          <w:p>
            <w:pPr>
              <w:pStyle w:val="ListParagraph"/>
              <w:numPr>
                <w:ilvl w:val="0"/>
                <w:numId w:val="2"/>
              </w:numPr>
              <w:spacing w:after="60" w:line="264"/>
            </w:pPr>
            <w:r>
              <w:rPr>
                <w:rFonts w:ascii="Georgia" w:cs="Georgia" w:eastAsia="Georgia" w:hAnsi="Georgia"/>
                <w:b/>
                <w:bCs/>
                <w:sz w:val="20"/>
                <w:szCs w:val="20"/>
              </w:rPr>
              <w:t xml:space="preserve">Condiciones (circunstancias verificables de forma objetiva).</w:t>
            </w:r>
            <w:r>
              <w:rPr>
                <w:rFonts w:ascii="Georgia" w:cs="Georgia" w:eastAsia="Georgia" w:hAnsi="Georgia"/>
                <w:sz w:val="20"/>
                <w:szCs w:val="20"/>
              </w:rPr>
              <w:t xml:space="preserve"> La modificación sólo procederá cuando concurra y quede acreditada documentalmente en el expediente alguna de las circunstancias siguientes:</w:t>
            </w:r>
          </w:p>
          <w:p>
            <w:pPr>
              <w:spacing w:after="100" w:line="264"/>
            </w:pPr>
            <w:r>
              <w:rPr>
                <w:rFonts w:ascii="Georgia" w:cs="Georgia" w:eastAsia="Georgia" w:hAnsi="Georgia"/>
                <w:sz w:val="20"/>
                <w:szCs w:val="20"/>
              </w:rPr>
              <w:t xml:space="preserve">a) para las letras a), b) y c) del apartado 2: acuerdo del </w:t>
            </w:r>
            <w:r>
              <w:rPr>
                <w:rFonts w:ascii="Georgia" w:cs="Georgia" w:eastAsia="Georgia" w:hAnsi="Georgia"/>
                <w:b/>
                <w:bCs/>
                <w:sz w:val="20"/>
                <w:szCs w:val="20"/>
              </w:rPr>
              <w:t xml:space="preserve">[órgano competente]</w:t>
            </w:r>
            <w:r>
              <w:rPr>
                <w:rFonts w:ascii="Georgia" w:cs="Georgia" w:eastAsia="Georgia" w:hAnsi="Georgia"/>
                <w:sz w:val="20"/>
                <w:szCs w:val="20"/>
              </w:rPr>
              <w:t xml:space="preserve"> por el que se incorpore al ámbito del contrato un módulo o una operación que no se encontraba en producción a la fecha de publicación del anuncio de licitación, acompañado del acta de la que resulte que dicha capacidad no está cubierta por el Anexo de Exigencias Tecnológicas;</w:t>
            </w:r>
          </w:p>
          <w:p>
            <w:pPr>
              <w:spacing w:after="100" w:line="264"/>
            </w:pPr>
            <w:r>
              <w:rPr>
                <w:rFonts w:ascii="Georgia" w:cs="Georgia" w:eastAsia="Georgia" w:hAnsi="Georgia"/>
                <w:sz w:val="20"/>
                <w:szCs w:val="20"/>
              </w:rPr>
              <w:t xml:space="preserve">b) para la letra d) del apartado 2: publicación en el «Boletín Oficial del Estado» o en el «Diario Oficial de la Unión Europea» de la norma de que se trate, o publicación por el organismo competente de la guía, instrucción o esquema de obligado cumplimiento, con identificación en el expediente del precepto concreto que impone la obligación y de la fecha en que resulta exigible.</w:t>
            </w:r>
          </w:p>
          <w:p>
            <w:pPr>
              <w:spacing w:after="100" w:line="264"/>
            </w:pPr>
            <w:r>
              <w:rPr>
                <w:rFonts w:ascii="Georgia" w:cs="Georgia" w:eastAsia="Georgia" w:hAnsi="Georgia"/>
                <w:b/>
                <w:bCs/>
                <w:sz w:val="20"/>
                <w:szCs w:val="20"/>
              </w:rPr>
              <w:t xml:space="preserve">En ningún caso constituirán condición suficiente</w:t>
            </w:r>
            <w:r>
              <w:rPr>
                <w:rFonts w:ascii="Georgia" w:cs="Georgia" w:eastAsia="Georgia" w:hAnsi="Georgia"/>
                <w:sz w:val="20"/>
                <w:szCs w:val="20"/>
              </w:rPr>
              <w:t xml:space="preserve"> para modificar el contrato la aparición en el mercado de una tecnología nueva, la obsolescencia tecnológica de la solución, su deterioro o bajo rendimiento, ni la mera conveniencia u oportunidad técnica.</w:t>
            </w:r>
          </w:p>
          <w:p>
            <w:pPr>
              <w:pStyle w:val="ListParagraph"/>
              <w:numPr>
                <w:ilvl w:val="0"/>
                <w:numId w:val="2"/>
              </w:numPr>
              <w:spacing w:after="60" w:line="264"/>
            </w:pPr>
            <w:r>
              <w:rPr>
                <w:rFonts w:ascii="Georgia" w:cs="Georgia" w:eastAsia="Georgia" w:hAnsi="Georgia"/>
                <w:b/>
                <w:bCs/>
                <w:sz w:val="20"/>
                <w:szCs w:val="20"/>
              </w:rPr>
              <w:t xml:space="preserve">Límite económico.</w:t>
            </w:r>
            <w:r>
              <w:rPr>
                <w:rFonts w:ascii="Georgia" w:cs="Georgia" w:eastAsia="Georgia" w:hAnsi="Georgia"/>
                <w:sz w:val="20"/>
                <w:szCs w:val="20"/>
              </w:rPr>
              <w:t xml:space="preserve"> El importe acumulado de las modificaciones tramitadas al amparo de esta cláusula no podrá exceder del </w:t>
            </w:r>
            <w:r>
              <w:rPr>
                <w:rFonts w:ascii="Georgia" w:cs="Georgia" w:eastAsia="Georgia" w:hAnsi="Georgia"/>
                <w:b/>
                <w:bCs/>
                <w:sz w:val="20"/>
                <w:szCs w:val="20"/>
              </w:rPr>
              <w:t xml:space="preserve">[X, en ningún caso superior al VEINTE] por ciento</w:t>
            </w:r>
            <w:r>
              <w:rPr>
                <w:rFonts w:ascii="Georgia" w:cs="Georgia" w:eastAsia="Georgia" w:hAnsi="Georgia"/>
                <w:sz w:val="20"/>
                <w:szCs w:val="20"/>
              </w:rPr>
              <w:t xml:space="preserve"> del precio inicial del contrato, IVA excluido, entendido como precio de adjudicación y con exclusión del importe de las prórrogas y de cualesquiera otras modificaciones. Sobre el presupuesto base de licitación, dicho límite equivale a un importe máximo de </w:t>
            </w:r>
            <w:r>
              <w:rPr>
                <w:rFonts w:ascii="Georgia" w:cs="Georgia" w:eastAsia="Georgia" w:hAnsi="Georgia"/>
                <w:b/>
                <w:bCs/>
                <w:sz w:val="20"/>
                <w:szCs w:val="20"/>
              </w:rPr>
              <w:t xml:space="preserve">[ ]</w:t>
            </w:r>
            <w:r>
              <w:rPr>
                <w:rFonts w:ascii="Georgia" w:cs="Georgia" w:eastAsia="Georgia" w:hAnsi="Georgia"/>
                <w:sz w:val="20"/>
                <w:szCs w:val="20"/>
              </w:rPr>
              <w:t xml:space="preserve"> euros, IVA excluido, computado en el valor estimado del contrato conforme al artículo 101.2.c) de la LCSP y cuyo método de cálculo figura en la cláusula [ ] de este pliego (artículo 101.5 de la LCSP).</w:t>
            </w:r>
          </w:p>
          <w:p>
            <w:pPr>
              <w:pStyle w:val="ListParagraph"/>
              <w:numPr>
                <w:ilvl w:val="0"/>
                <w:numId w:val="2"/>
              </w:numPr>
              <w:spacing w:after="60" w:line="264"/>
            </w:pPr>
            <w:r>
              <w:rPr>
                <w:rFonts w:ascii="Georgia" w:cs="Georgia" w:eastAsia="Georgia" w:hAnsi="Georgia"/>
                <w:b/>
                <w:bCs/>
                <w:sz w:val="20"/>
                <w:szCs w:val="20"/>
              </w:rPr>
              <w:t xml:space="preserve">Sistema de fijación del precio.</w:t>
            </w:r>
            <w:r>
              <w:rPr>
                <w:rFonts w:ascii="Georgia" w:cs="Georgia" w:eastAsia="Georgia" w:hAnsi="Georgia"/>
                <w:sz w:val="20"/>
                <w:szCs w:val="20"/>
              </w:rPr>
              <w:t xml:space="preserve"> El importe de cada modificación se determinará </w:t>
            </w:r>
            <w:r>
              <w:rPr>
                <w:rFonts w:ascii="Georgia" w:cs="Georgia" w:eastAsia="Georgia" w:hAnsi="Georgia"/>
                <w:b/>
                <w:bCs/>
                <w:sz w:val="20"/>
                <w:szCs w:val="20"/>
              </w:rPr>
              <w:t xml:space="preserve">exclusivamente</w:t>
            </w:r>
            <w:r>
              <w:rPr>
                <w:rFonts w:ascii="Georgia" w:cs="Georgia" w:eastAsia="Georgia" w:hAnsi="Georgia"/>
                <w:sz w:val="20"/>
                <w:szCs w:val="20"/>
              </w:rPr>
              <w:t xml:space="preserve"> mediante la aplicación del Cuadro de Precios Unitarios que el licitador presenta con su oferta conforme al Anexo [ ] de este pliego —precio/hora de cada uno de los perfiles allí relacionados y precio unitario por unidad de despliegue—, multiplicado por las unidades que resulten del informe técnico. No se establecerán precios unitarios distintos de los recogidos en dicho Cuadro, que forma parte del contrato y permanece invariable durante toda su vigencia, sin perjuicio de la revisión de precios que, en su caso, prevea este pliego.</w:t>
            </w:r>
          </w:p>
          <w:p>
            <w:pPr>
              <w:pStyle w:val="ListParagraph"/>
              <w:numPr>
                <w:ilvl w:val="0"/>
                <w:numId w:val="2"/>
              </w:numPr>
              <w:spacing w:after="60" w:line="264"/>
            </w:pPr>
            <w:r>
              <w:rPr>
                <w:rFonts w:ascii="Georgia" w:cs="Georgia" w:eastAsia="Georgia" w:hAnsi="Georgia"/>
                <w:b/>
                <w:bCs/>
                <w:sz w:val="20"/>
                <w:szCs w:val="20"/>
              </w:rPr>
              <w:t xml:space="preserve">Plazo de ejecución.</w:t>
            </w:r>
            <w:r>
              <w:rPr>
                <w:rFonts w:ascii="Georgia" w:cs="Georgia" w:eastAsia="Georgia" w:hAnsi="Georgia"/>
                <w:sz w:val="20"/>
                <w:szCs w:val="20"/>
              </w:rPr>
              <w:t xml:space="preserve"> Acordada la modificación, el adjudicatario dispondrá del plazo que la propia resolución fije, que no será superior a </w:t>
            </w:r>
            <w:r>
              <w:rPr>
                <w:rFonts w:ascii="Georgia" w:cs="Georgia" w:eastAsia="Georgia" w:hAnsi="Georgia"/>
                <w:b/>
                <w:bCs/>
                <w:sz w:val="20"/>
                <w:szCs w:val="20"/>
              </w:rPr>
              <w:t xml:space="preserve">[X; se recomienda 12] meses</w:t>
            </w:r>
            <w:r>
              <w:rPr>
                <w:rFonts w:ascii="Georgia" w:cs="Georgia" w:eastAsia="Georgia" w:hAnsi="Georgia"/>
                <w:sz w:val="20"/>
                <w:szCs w:val="20"/>
              </w:rPr>
              <w:t xml:space="preserve"> ni excederá de la fecha de finalización de la vigencia del contrato o de la prórroga en curso.</w:t>
            </w:r>
          </w:p>
          <w:p>
            <w:pPr>
              <w:pStyle w:val="ListParagraph"/>
              <w:numPr>
                <w:ilvl w:val="0"/>
                <w:numId w:val="2"/>
              </w:numPr>
              <w:spacing w:after="60" w:line="264"/>
            </w:pPr>
            <w:r>
              <w:rPr>
                <w:rFonts w:ascii="Georgia" w:cs="Georgia" w:eastAsia="Georgia" w:hAnsi="Georgia"/>
                <w:b/>
                <w:bCs/>
                <w:sz w:val="20"/>
                <w:szCs w:val="20"/>
              </w:rPr>
              <w:t xml:space="preserve">Obligatoriedad.</w:t>
            </w:r>
            <w:r>
              <w:rPr>
                <w:rFonts w:ascii="Georgia" w:cs="Georgia" w:eastAsia="Georgia" w:hAnsi="Georgia"/>
                <w:sz w:val="20"/>
                <w:szCs w:val="20"/>
              </w:rPr>
              <w:t xml:space="preserve"> La modificación acordada conforme a esta cláusula es obligatoria para el contratista, por formar parte del contenido de este pliego, cuya aceptación incondicionada resulta de la presentación de la proposición (artículo 139.1 de la LCSP).</w:t>
            </w:r>
          </w:p>
          <w:p>
            <w:pPr>
              <w:pStyle w:val="ListParagraph"/>
              <w:numPr>
                <w:ilvl w:val="0"/>
                <w:numId w:val="2"/>
              </w:numPr>
              <w:spacing w:after="60" w:line="264"/>
            </w:pPr>
            <w:r>
              <w:rPr>
                <w:rFonts w:ascii="Georgia" w:cs="Georgia" w:eastAsia="Georgia" w:hAnsi="Georgia"/>
                <w:b/>
                <w:bCs/>
                <w:sz w:val="20"/>
                <w:szCs w:val="20"/>
              </w:rPr>
              <w:t xml:space="preserve">Procedimiento.</w:t>
            </w:r>
            <w:r>
              <w:rPr>
                <w:rFonts w:ascii="Georgia" w:cs="Georgia" w:eastAsia="Georgia" w:hAnsi="Georgia"/>
                <w:sz w:val="20"/>
                <w:szCs w:val="20"/>
              </w:rPr>
              <w:t xml:space="preserve"> Propuesta motivada del responsable del contrato; informe técnico que acredite la circunstancia del apartado 3 y cuantifique la prestación conforme al apartado 5; audiencia al contratista por plazo no inferior a </w:t>
            </w:r>
            <w:r>
              <w:rPr>
                <w:rFonts w:ascii="Georgia" w:cs="Georgia" w:eastAsia="Georgia" w:hAnsi="Georgia"/>
                <w:b/>
                <w:bCs/>
                <w:sz w:val="20"/>
                <w:szCs w:val="20"/>
              </w:rPr>
              <w:t xml:space="preserve">[X; se recomienda 5] días hábiles</w:t>
            </w:r>
            <w:r>
              <w:rPr>
                <w:rFonts w:ascii="Georgia" w:cs="Georgia" w:eastAsia="Georgia" w:hAnsi="Georgia"/>
                <w:sz w:val="20"/>
                <w:szCs w:val="20"/>
              </w:rPr>
              <w:t xml:space="preserve"> (artículo 191.1 de la LCSP); informe del órgano al que corresponda el informe jurídico preceptivo y fiscalización previa del órgano interventor (disposición adicional tercera de la LCSP); acuerdo del órgano de contratación; formalización conforme al artículo 153 de la LCSP; y publicación en el perfil de contratante conforme a los artículos 63 y 207 de la LCSP.</w:t>
            </w:r>
          </w:p>
          <w:p>
            <w:pPr>
              <w:spacing w:after="100" w:line="264"/>
            </w:pPr>
            <w:r>
              <w:rPr>
                <w:rFonts w:ascii="Georgia" w:cs="Georgia" w:eastAsia="Georgia" w:hAnsi="Georgia"/>
                <w:b/>
                <w:bCs/>
                <w:sz w:val="20"/>
                <w:szCs w:val="20"/>
              </w:rPr>
              <w:t xml:space="preserve">Cláusula complementaria [n+1]. Valor estimado y método de cálculo (artículos 101.2 y 101.5 de la LCSP).</w:t>
            </w:r>
            <w:r>
              <w:rPr>
                <w:rFonts w:ascii="Georgia" w:cs="Georgia" w:eastAsia="Georgia" w:hAnsi="Georgia"/>
                <w:sz w:val="20"/>
                <w:szCs w:val="20"/>
              </w:rPr>
              <w:t xml:space="preserve"> El valor estimado del contrato asciende a </w:t>
            </w:r>
            <w:r>
              <w:rPr>
                <w:rFonts w:ascii="Georgia" w:cs="Georgia" w:eastAsia="Georgia" w:hAnsi="Georgia"/>
                <w:b/>
                <w:bCs/>
                <w:sz w:val="20"/>
                <w:szCs w:val="20"/>
              </w:rPr>
              <w:t xml:space="preserve">[ ]</w:t>
            </w:r>
            <w:r>
              <w:rPr>
                <w:rFonts w:ascii="Georgia" w:cs="Georgia" w:eastAsia="Georgia" w:hAnsi="Georgia"/>
                <w:sz w:val="20"/>
                <w:szCs w:val="20"/>
              </w:rPr>
              <w:t xml:space="preserve"> euros, IVA excluido, resultado de: presupuesto base de licitación </w:t>
            </w:r>
            <w:r>
              <w:rPr>
                <w:rFonts w:ascii="Georgia" w:cs="Georgia" w:eastAsia="Georgia" w:hAnsi="Georgia"/>
                <w:b/>
                <w:bCs/>
                <w:sz w:val="20"/>
                <w:szCs w:val="20"/>
              </w:rPr>
              <w:t xml:space="preserve">[ ]</w:t>
            </w:r>
            <w:r>
              <w:rPr>
                <w:rFonts w:ascii="Georgia" w:cs="Georgia" w:eastAsia="Georgia" w:hAnsi="Georgia"/>
                <w:sz w:val="20"/>
                <w:szCs w:val="20"/>
              </w:rPr>
              <w:t xml:space="preserve"> euros + prórrogas previstas </w:t>
            </w:r>
            <w:r>
              <w:rPr>
                <w:rFonts w:ascii="Georgia" w:cs="Georgia" w:eastAsia="Georgia" w:hAnsi="Georgia"/>
                <w:b/>
                <w:bCs/>
                <w:sz w:val="20"/>
                <w:szCs w:val="20"/>
              </w:rPr>
              <w:t xml:space="preserve">[ ]</w:t>
            </w:r>
            <w:r>
              <w:rPr>
                <w:rFonts w:ascii="Georgia" w:cs="Georgia" w:eastAsia="Georgia" w:hAnsi="Georgia"/>
                <w:sz w:val="20"/>
                <w:szCs w:val="20"/>
              </w:rPr>
              <w:t xml:space="preserve"> euros + importe máximo de las modificaciones al alza previstas en la cláusula [n] </w:t>
            </w:r>
            <w:r>
              <w:rPr>
                <w:rFonts w:ascii="Georgia" w:cs="Georgia" w:eastAsia="Georgia" w:hAnsi="Georgia"/>
                <w:b/>
                <w:bCs/>
                <w:sz w:val="20"/>
                <w:szCs w:val="20"/>
              </w:rPr>
              <w:t xml:space="preserve">[ ]</w:t>
            </w:r>
            <w:r>
              <w:rPr>
                <w:rFonts w:ascii="Georgia" w:cs="Georgia" w:eastAsia="Georgia" w:hAnsi="Georgia"/>
                <w:sz w:val="20"/>
                <w:szCs w:val="20"/>
              </w:rPr>
              <w:t xml:space="preserve"> euros. A los efectos del artículo 22 de la LCSP el contrato </w:t>
            </w:r>
            <w:r>
              <w:rPr>
                <w:rFonts w:ascii="Georgia" w:cs="Georgia" w:eastAsia="Georgia" w:hAnsi="Georgia"/>
                <w:b/>
                <w:bCs/>
                <w:sz w:val="20"/>
                <w:szCs w:val="20"/>
              </w:rPr>
              <w:t xml:space="preserve">[SÍ / NO]</w:t>
            </w:r>
            <w:r>
              <w:rPr>
                <w:rFonts w:ascii="Georgia" w:cs="Georgia" w:eastAsia="Georgia" w:hAnsi="Georgia"/>
                <w:sz w:val="20"/>
                <w:szCs w:val="20"/>
              </w:rPr>
              <w:t xml:space="preserve"> está sujeto a regulación armonizada, y a los del artículo 44 de la LCSP </w:t>
            </w:r>
            <w:r>
              <w:rPr>
                <w:rFonts w:ascii="Georgia" w:cs="Georgia" w:eastAsia="Georgia" w:hAnsi="Georgia"/>
                <w:b/>
                <w:bCs/>
                <w:sz w:val="20"/>
                <w:szCs w:val="20"/>
              </w:rPr>
              <w:t xml:space="preserve">[SÍ / NO]</w:t>
            </w:r>
            <w:r>
              <w:rPr>
                <w:rFonts w:ascii="Georgia" w:cs="Georgia" w:eastAsia="Georgia" w:hAnsi="Georgia"/>
                <w:sz w:val="20"/>
                <w:szCs w:val="20"/>
              </w:rPr>
              <w:t xml:space="preserve"> es susceptible de recurso especial en materia de contratación.</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PCAP, cláusula de modificación del contrato, y cuadro-resumen (casilla de modificaciones previstas, con el porcentaje y el importe). </w:t>
      </w:r>
      <w:r>
        <w:rPr>
          <w:rFonts w:ascii="Calibri" w:cs="Calibri" w:eastAsia="Calibri" w:hAnsi="Calibri"/>
          <w:b/>
          <w:bCs/>
          <w:sz w:val="21"/>
          <w:szCs w:val="21"/>
        </w:rPr>
        <w:t xml:space="preserve">Nunca en el PPT</w:t>
      </w:r>
      <w:r>
        <w:rPr>
          <w:rFonts w:ascii="Calibri" w:cs="Calibri" w:eastAsia="Calibri" w:hAnsi="Calibri"/>
          <w:sz w:val="21"/>
          <w:szCs w:val="21"/>
        </w:rPr>
        <w:t xml:space="preserve">: la reproducción de una cláusula de modificación en el pliego técnico carece de efectos (regla de ubicación de la Parte I, §7.1). Si en un expediente ya redactado la previsión de adaptación en doce meses figura en el PPT, está en el pliego equivocado y debe trasladarse antes de aprobar.</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sz w:val="21"/>
          <w:szCs w:val="21"/>
        </w:rPr>
        <w:t xml:space="preserve">Art. 204.1 LCSP, que exige que la modificación prevista se recoja en los pliegos «de forma clara, precisa e inequívoca», con el detalle suficiente para que los licitadores comprendan su alcance exacto, y su letra b), que prohíbe que la modificación «suponga el establecimiento de nuevos precios unitarios no previstos en el contrato». Arts. 101.2.c) y 101.5 LCSP, para el cómputo en el valor estimado y para la obligación de consignar el método de cálculo. Art. 191.1 LCSP, para la audiencia. DA 3.ª LCSP, para el informe jurídico y la fiscalización.</w:t>
      </w:r>
    </w:p>
    <w:p>
      <w:pPr>
        <w:spacing w:after="140" w:line="276"/>
      </w:pPr>
      <w:r>
        <w:rPr>
          <w:rFonts w:ascii="Calibri" w:cs="Calibri" w:eastAsia="Calibri" w:hAnsi="Calibri"/>
          <w:b/>
          <w:bCs/>
          <w:sz w:val="21"/>
          <w:szCs w:val="21"/>
        </w:rPr>
        <w:t xml:space="preserve">Sobre el fundamento de la obligatoriedad (apartado 7).</w:t>
      </w:r>
      <w:r>
        <w:rPr>
          <w:rFonts w:ascii="Calibri" w:cs="Calibri" w:eastAsia="Calibri" w:hAnsi="Calibri"/>
          <w:sz w:val="21"/>
          <w:szCs w:val="21"/>
        </w:rPr>
        <w:t xml:space="preserve"> El art. 206 LCSP regula la obligatoriedad de las modificaciones </w:t>
      </w:r>
      <w:r>
        <w:rPr>
          <w:rFonts w:ascii="Calibri" w:cs="Calibri" w:eastAsia="Calibri" w:hAnsi="Calibri"/>
          <w:b/>
          <w:bCs/>
          <w:sz w:val="21"/>
          <w:szCs w:val="21"/>
        </w:rPr>
        <w:t xml:space="preserve">del art. 205</w:t>
      </w:r>
      <w:r>
        <w:rPr>
          <w:rFonts w:ascii="Calibri" w:cs="Calibri" w:eastAsia="Calibri" w:hAnsi="Calibri"/>
          <w:sz w:val="21"/>
          <w:szCs w:val="21"/>
        </w:rPr>
        <w:t xml:space="preserve"> —las no previstas en el pliego—, con el límite del veinte por ciento del precio inicial del contrato, IVA excluido. No es, por tanto, el precepto del que deriva la obligatoriedad de las modificaciones previstas del art. 204. Ésta deriva del </w:t>
      </w:r>
      <w:r>
        <w:rPr>
          <w:rFonts w:ascii="Calibri" w:cs="Calibri" w:eastAsia="Calibri" w:hAnsi="Calibri"/>
          <w:b/>
          <w:bCs/>
          <w:sz w:val="21"/>
          <w:szCs w:val="21"/>
        </w:rPr>
        <w:t xml:space="preserve">art. 139.1 LCSP</w:t>
      </w:r>
      <w:r>
        <w:rPr>
          <w:rFonts w:ascii="Calibri" w:cs="Calibri" w:eastAsia="Calibri" w:hAnsi="Calibri"/>
          <w:sz w:val="21"/>
          <w:szCs w:val="21"/>
        </w:rPr>
        <w:t xml:space="preserve">: la presentación de proposiciones «supone la aceptación incondicionada por el empresario del contenido de la totalidad de sus cláusulas o condiciones, sin salvedad o reserva alguna», y la modificación prevista es una de esas condiciones, publicada de forma clara, precisa e inequívoca antes de la licitación. Por eso el apartado 7 no configura una aceptación expresa singular, que sería una ficción: se limita a remitir al efecto que la ley ya anuda a la presentación de la oferta.</w:t>
      </w:r>
    </w:p>
    <w:p>
      <w:pPr>
        <w:spacing w:after="140" w:line="276"/>
      </w:pPr>
      <w:r>
        <w:rPr>
          <w:rFonts w:ascii="Calibri" w:cs="Calibri" w:eastAsia="Calibri" w:hAnsi="Calibri"/>
          <w:b/>
          <w:bCs/>
          <w:sz w:val="21"/>
          <w:szCs w:val="21"/>
        </w:rPr>
        <w:t xml:space="preserve">No consta</w:t>
      </w:r>
      <w:r>
        <w:rPr>
          <w:rFonts w:ascii="Calibri" w:cs="Calibri" w:eastAsia="Calibri" w:hAnsi="Calibri"/>
          <w:sz w:val="21"/>
          <w:szCs w:val="21"/>
        </w:rPr>
        <w:t xml:space="preserve">, a fecha de corte de 1 de septiembre de 2026 y tras búsqueda en los repositorios del Tribunal Administrativo Central de Recursos Contractuales, del Tribunal Administrativo de Contratación Pública de la Comunidad de Madrid, del OARC/KEAO, del Tribunal Administrativo de Contratos Públicos de Aragón y de las juntas consultivas de contratación, doctrina sobre modificaciones previstas de contenido tecnológico-evolutivo. La cláusula se construye sobre el estándar general de precisión del art. 204.1, que es el que un tribunal aplicará por analogía.</w:t>
      </w:r>
    </w:p>
    <w:p>
      <w:pPr>
        <w:pStyle w:val="Heading3"/>
        <w:keepNext/>
        <w:spacing w:after="140" w:before="320"/>
      </w:pPr>
      <w:r>
        <w:rPr>
          <w:rFonts w:ascii="Georgia" w:cs="Georgia" w:eastAsia="Georgia" w:hAnsi="Georgia"/>
          <w:b/>
          <w:bCs/>
          <w:color w:val="2F5496"/>
          <w:sz w:val="22"/>
          <w:szCs w:val="22"/>
        </w:rPr>
        <w:t xml:space="preserve">4. Cómo se acredita</w:t>
      </w:r>
    </w:p>
    <w:p>
      <w:pPr>
        <w:spacing w:after="140" w:line="276"/>
      </w:pPr>
      <w:r>
        <w:rPr>
          <w:rFonts w:ascii="Calibri" w:cs="Calibri" w:eastAsia="Calibri" w:hAnsi="Calibri"/>
          <w:sz w:val="21"/>
          <w:szCs w:val="21"/>
        </w:rPr>
        <w:t xml:space="preserve">Medios tasados: (a) acuerdo del órgano competente que incorpore un módulo u operación no en producción a la fecha del anuncio, con el acta que acredite que no estaba cubierto por el Anexo; (b) referencia de publicación en el Boletín Oficial del Estado o en el Diario Oficial de la Unión Europea, con identificación del precepto y de su fecha de exigibilidad; (c) informe técnico con la cuantificación por aplicación del Cuadro de Precios Unitarios. No se admite como acreditación el informe que se limite a apreciar conveniencia técnica.</w:t>
      </w:r>
    </w:p>
    <w:p>
      <w:pPr>
        <w:pStyle w:val="Heading3"/>
        <w:keepNext/>
        <w:spacing w:after="140" w:before="320"/>
      </w:pPr>
      <w:r>
        <w:rPr>
          <w:rFonts w:ascii="Georgia" w:cs="Georgia" w:eastAsia="Georgia" w:hAnsi="Georgia"/>
          <w:b/>
          <w:bCs/>
          <w:color w:val="2F5496"/>
          <w:sz w:val="22"/>
          <w:szCs w:val="22"/>
        </w:rPr>
        <w:t xml:space="preserve">5. Cómo se verifica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Cuándo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 qué documento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Redactor del 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 preparar el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Cálculo del valor estimado y comprobación de los cuatro umbrales (Parte V, V.4.10)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al que corresponda el informe jurídico preceptivo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Antes de aprobar el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sobre el cumplimiento del art. 204.1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interventor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Fiscalización previa del expediente y de cada modificación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Nota de fiscalización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cada modificación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técnico con la cuantificación por el Cuadro de Precios Unitarios</w:t>
            </w:r>
          </w:p>
        </w:tc>
      </w:tr>
    </w:tbl>
    <w:p>
      <w:pPr>
        <w:spacing w:after="200"/>
      </w:pPr>
    </w:p>
    <w:p>
      <w:pPr>
        <w:spacing w:after="140" w:line="276"/>
      </w:pPr>
      <w:r>
        <w:rPr>
          <w:rFonts w:ascii="Calibri" w:cs="Calibri" w:eastAsia="Calibri" w:hAnsi="Calibri"/>
          <w:b/>
          <w:bCs/>
          <w:sz w:val="21"/>
          <w:szCs w:val="21"/>
        </w:rPr>
        <w:t xml:space="preserve">Carga estimada.</w:t>
      </w:r>
      <w:r>
        <w:rPr>
          <w:rFonts w:ascii="Calibri" w:cs="Calibri" w:eastAsia="Calibri" w:hAnsi="Calibri"/>
          <w:sz w:val="21"/>
          <w:szCs w:val="21"/>
        </w:rPr>
        <w:t xml:space="preserve"> 1 hora por expediente en la fase de preparación (cálculo del valor estimado y umbrales). Si llega a tramitarse una modificación, entre 6 y 10 horas por modificación, repartidas entre el responsable del contrato, el informe jurídico y la fiscalización. Ese coste de tramitación es una razón más para no incorporarla por defecto.</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spacing w:after="140" w:line="276"/>
      </w:pPr>
      <w:r>
        <w:rPr>
          <w:rFonts w:ascii="Calibri" w:cs="Calibri" w:eastAsia="Calibri" w:hAnsi="Calibri"/>
          <w:sz w:val="21"/>
          <w:szCs w:val="21"/>
        </w:rPr>
        <w:t xml:space="preserve">No es obligación del contratista: es una potestad del órgano de contratación. La negativa del contratista a ejecutar una modificación válidamente acordada conforme a esta cláusula constituye incumplimiento contractual, con las penalidades de ADM-5·v3 y, en su caso, la resolución por la vía del art. 211.1.f) LCSP si el pliego así lo ha calificado expresamente. </w:t>
      </w:r>
      <w:r>
        <w:rPr>
          <w:rFonts w:ascii="Calibri" w:cs="Calibri" w:eastAsia="Calibri" w:hAnsi="Calibri"/>
          <w:b/>
          <w:bCs/>
          <w:sz w:val="21"/>
          <w:szCs w:val="21"/>
        </w:rPr>
        <w:t xml:space="preserve">Obligación esencial: NO</w:t>
      </w:r>
      <w:r>
        <w:rPr>
          <w:rFonts w:ascii="Calibri" w:cs="Calibri" w:eastAsia="Calibri" w:hAnsi="Calibri"/>
          <w:sz w:val="21"/>
          <w:szCs w:val="21"/>
        </w:rPr>
        <w:t xml:space="preserve">, salvo calificación expresa y motivada en el propio PCAP.</w:t>
      </w:r>
    </w:p>
    <w:p>
      <w:pPr>
        <w:spacing w:after="140" w:line="276"/>
      </w:pPr>
      <w:r>
        <w:rPr>
          <w:rFonts w:ascii="Calibri" w:cs="Calibri" w:eastAsia="Calibri" w:hAnsi="Calibri"/>
          <w:sz w:val="21"/>
          <w:szCs w:val="21"/>
        </w:rPr>
        <w:t xml:space="preserve">Un defecto en la redacción de la cláusula sí produce consecuencias graves para el Ayuntamiento: si no supera el estándar de claridad, precisión e inequivocidad del art. 204.1, la modificación acordada a su amparo es una modificación no prevista, con el régimen y los límites del art. 205 LCSP; y un error en el cálculo del valor estimado es un vicio del expediente que puede arrastrar el procedimiento y la publicidad.</w:t>
      </w:r>
    </w:p>
    <w:p>
      <w:pPr>
        <w:pStyle w:val="Heading3"/>
        <w:keepNext/>
        <w:spacing w:after="140" w:before="320"/>
      </w:pPr>
      <w:r>
        <w:rPr>
          <w:rFonts w:ascii="Georgia" w:cs="Georgia" w:eastAsia="Georgia" w:hAnsi="Georgia"/>
          <w:b/>
          <w:bCs/>
          <w:color w:val="2F5496"/>
          <w:sz w:val="22"/>
          <w:szCs w:val="22"/>
        </w:rPr>
        <w:t xml:space="preserve">7. Cuándo NO se aplica</w:t>
      </w:r>
    </w:p>
    <w:p>
      <w:pPr>
        <w:spacing w:after="140" w:line="276"/>
      </w:pPr>
      <w:r>
        <w:rPr>
          <w:rFonts w:ascii="Calibri" w:cs="Calibri" w:eastAsia="Calibri" w:hAnsi="Calibri"/>
          <w:b/>
          <w:bCs/>
          <w:sz w:val="21"/>
          <w:szCs w:val="21"/>
        </w:rPr>
        <w:t xml:space="preserve">Por defecto, NO se incorpora.</w:t>
      </w:r>
      <w:r>
        <w:rPr>
          <w:rFonts w:ascii="Calibri" w:cs="Calibri" w:eastAsia="Calibri" w:hAnsi="Calibri"/>
          <w:sz w:val="21"/>
          <w:szCs w:val="21"/>
        </w:rPr>
        <w:t xml:space="preserve"> Sólo se valora su incorporación cuando concurran </w:t>
      </w:r>
      <w:r>
        <w:rPr>
          <w:rFonts w:ascii="Calibri" w:cs="Calibri" w:eastAsia="Calibri" w:hAnsi="Calibri"/>
          <w:b/>
          <w:bCs/>
          <w:sz w:val="21"/>
          <w:szCs w:val="21"/>
        </w:rPr>
        <w:t xml:space="preserve">todas</w:t>
      </w:r>
      <w:r>
        <w:rPr>
          <w:rFonts w:ascii="Calibri" w:cs="Calibri" w:eastAsia="Calibri" w:hAnsi="Calibri"/>
          <w:sz w:val="21"/>
          <w:szCs w:val="21"/>
        </w:rPr>
        <w:t xml:space="preserve"> estas circunstancias:</w:t>
      </w:r>
    </w:p>
    <w:p>
      <w:pPr>
        <w:pStyle w:val="ListParagraph"/>
        <w:numPr>
          <w:ilvl w:val="0"/>
          <w:numId w:val="1"/>
        </w:numPr>
        <w:spacing w:after="70" w:line="268"/>
      </w:pPr>
      <w:r>
        <w:rPr>
          <w:rFonts w:ascii="Calibri" w:cs="Calibri" w:eastAsia="Calibri" w:hAnsi="Calibri"/>
          <w:sz w:val="21"/>
          <w:szCs w:val="21"/>
        </w:rPr>
        <w:t xml:space="preserve">valor estimado superior a </w:t>
      </w:r>
      <w:r>
        <w:rPr>
          <w:rFonts w:ascii="Calibri" w:cs="Calibri" w:eastAsia="Calibri" w:hAnsi="Calibri"/>
          <w:b/>
          <w:bCs/>
          <w:sz w:val="21"/>
          <w:szCs w:val="21"/>
        </w:rPr>
        <w:t xml:space="preserve">[X; se recomienda 500.000] euros</w:t>
      </w:r>
      <w:r>
        <w:rPr>
          <w:rFonts w:ascii="Calibri" w:cs="Calibri" w:eastAsia="Calibri" w:hAnsi="Calibri"/>
          <w:sz w:val="21"/>
          <w:szCs w:val="21"/>
        </w:rPr>
        <w:t xml:space="preserve"> o duración total, prórrogas incluidas, superior a cuatro años;</w:t>
      </w:r>
    </w:p>
    <w:p>
      <w:pPr>
        <w:pStyle w:val="ListParagraph"/>
        <w:numPr>
          <w:ilvl w:val="0"/>
          <w:numId w:val="1"/>
        </w:numPr>
        <w:spacing w:after="70" w:line="268"/>
      </w:pPr>
      <w:r>
        <w:rPr>
          <w:rFonts w:ascii="Calibri" w:cs="Calibri" w:eastAsia="Calibri" w:hAnsi="Calibri"/>
          <w:sz w:val="21"/>
          <w:szCs w:val="21"/>
        </w:rPr>
        <w:t xml:space="preserve">que el valor estimado resultante </w:t>
      </w:r>
      <w:r>
        <w:rPr>
          <w:rFonts w:ascii="Calibri" w:cs="Calibri" w:eastAsia="Calibri" w:hAnsi="Calibri"/>
          <w:b/>
          <w:bCs/>
          <w:sz w:val="21"/>
          <w:szCs w:val="21"/>
        </w:rPr>
        <w:t xml:space="preserve">no cruce</w:t>
      </w:r>
      <w:r>
        <w:rPr>
          <w:rFonts w:ascii="Calibri" w:cs="Calibri" w:eastAsia="Calibri" w:hAnsi="Calibri"/>
          <w:sz w:val="21"/>
          <w:szCs w:val="21"/>
        </w:rPr>
        <w:t xml:space="preserve"> ninguno de los cuatro umbrales sin que el expediente lo asuma de forma expresa y motivada;</w:t>
      </w:r>
    </w:p>
    <w:p>
      <w:pPr>
        <w:pStyle w:val="ListParagraph"/>
        <w:numPr>
          <w:ilvl w:val="0"/>
          <w:numId w:val="1"/>
        </w:numPr>
        <w:spacing w:after="70" w:line="268"/>
      </w:pPr>
      <w:r>
        <w:rPr>
          <w:rFonts w:ascii="Calibri" w:cs="Calibri" w:eastAsia="Calibri" w:hAnsi="Calibri"/>
          <w:sz w:val="21"/>
          <w:szCs w:val="21"/>
        </w:rPr>
        <w:t xml:space="preserve">que exista </w:t>
      </w:r>
      <w:r>
        <w:rPr>
          <w:rFonts w:ascii="Calibri" w:cs="Calibri" w:eastAsia="Calibri" w:hAnsi="Calibri"/>
          <w:b/>
          <w:bCs/>
          <w:sz w:val="21"/>
          <w:szCs w:val="21"/>
        </w:rPr>
        <w:t xml:space="preserve">Cuadro de Precios Unitarios</w:t>
      </w:r>
      <w:r>
        <w:rPr>
          <w:rFonts w:ascii="Calibri" w:cs="Calibri" w:eastAsia="Calibri" w:hAnsi="Calibri"/>
          <w:sz w:val="21"/>
          <w:szCs w:val="21"/>
        </w:rPr>
        <w:t xml:space="preserve"> presentado con la oferta (Anexo X.3), sin el cual el apartado 5 no puede aplicarse;</w:t>
      </w:r>
    </w:p>
    <w:p>
      <w:pPr>
        <w:pStyle w:val="ListParagraph"/>
        <w:numPr>
          <w:ilvl w:val="0"/>
          <w:numId w:val="1"/>
        </w:numPr>
        <w:spacing w:after="70" w:line="268"/>
      </w:pPr>
      <w:r>
        <w:rPr>
          <w:rFonts w:ascii="Calibri" w:cs="Calibri" w:eastAsia="Calibri" w:hAnsi="Calibri"/>
          <w:sz w:val="21"/>
          <w:szCs w:val="21"/>
        </w:rPr>
        <w:t xml:space="preserve">que la necesidad no pueda satisfacerse mediante la bolsa de servicios evolutivos de ADM-3·v3.</w:t>
      </w:r>
    </w:p>
    <w:p>
      <w:pPr>
        <w:spacing w:after="140" w:line="276"/>
      </w:pPr>
      <w:r>
        <w:rPr>
          <w:rFonts w:ascii="Calibri" w:cs="Calibri" w:eastAsia="Calibri" w:hAnsi="Calibri"/>
          <w:sz w:val="21"/>
          <w:szCs w:val="21"/>
        </w:rPr>
        <w:t xml:space="preserve">Nunca se aplica en contratos menores ni en contratos basados en acuerdo marco cuyas condiciones de modificación estén fijadas por el propio acuerdo.</w:t>
      </w:r>
    </w:p>
    <w:p>
      <w:pPr>
        <w:spacing w:after="140" w:line="276"/>
      </w:pPr>
      <w:r>
        <w:rPr>
          <w:rFonts w:ascii="Calibri" w:cs="Calibri" w:eastAsia="Calibri" w:hAnsi="Calibri"/>
          <w:b/>
          <w:bCs/>
          <w:sz w:val="21"/>
          <w:szCs w:val="21"/>
        </w:rPr>
        <w:t xml:space="preserve">Si esta cláusula se marca NO APLICA, arrastra:</w:t>
      </w:r>
      <w:r>
        <w:rPr>
          <w:rFonts w:ascii="Calibri" w:cs="Calibri" w:eastAsia="Calibri" w:hAnsi="Calibri"/>
          <w:sz w:val="21"/>
          <w:szCs w:val="21"/>
        </w:rPr>
        <w:t xml:space="preserve"> la casilla de modificaciones previstas del cuadro-resumen, el sumando correspondiente de la cláusula de valor estimado, la mención de aceptación de la modificación prevista en el Anexo VII y, si no se emplea para otra finalidad, el Anexo X.3.</w:t>
      </w:r>
    </w:p>
    <w:p>
      <w:pPr>
        <w:pStyle w:val="Heading3"/>
        <w:keepNext/>
        <w:spacing w:after="140" w:before="320"/>
      </w:pPr>
      <w:r>
        <w:rPr>
          <w:rFonts w:ascii="Georgia" w:cs="Georgia" w:eastAsia="Georgia" w:hAnsi="Georgia"/>
          <w:b/>
          <w:bCs/>
          <w:color w:val="2F5496"/>
          <w:sz w:val="22"/>
          <w:szCs w:val="22"/>
        </w:rPr>
        <w:t xml:space="preserve">Nota al redactor · Por qué no se incorpora por defecto</w:t>
      </w:r>
    </w:p>
    <w:p>
      <w:pPr>
        <w:spacing w:after="140" w:line="276"/>
      </w:pPr>
      <w:r>
        <w:rPr>
          <w:rFonts w:ascii="Calibri" w:cs="Calibri" w:eastAsia="Calibri" w:hAnsi="Calibri"/>
          <w:sz w:val="21"/>
          <w:szCs w:val="21"/>
        </w:rPr>
        <w:t xml:space="preserve">No porque sea ilegal, sino porque casi nunca compensa: cada euro reservado sube el valor estimado y puede cruzar un umbral que cambia el procedimiento y abre una puerta de recurso que se quería cerrar.</w:t>
      </w:r>
    </w:p>
    <w:p>
      <w:pPr>
        <w:spacing w:after="140" w:line="276"/>
      </w:pPr>
      <w:r>
        <w:rPr>
          <w:rFonts w:ascii="Calibri" w:cs="Calibri" w:eastAsia="Calibri" w:hAnsi="Calibri"/>
          <w:b/>
          <w:bCs/>
          <w:sz w:val="21"/>
          <w:szCs w:val="21"/>
        </w:rPr>
        <w:t xml:space="preserve">La advertencia que hay que leer antes de fijar el porcentaje.</w:t>
      </w:r>
      <w:r>
        <w:rPr>
          <w:rFonts w:ascii="Calibri" w:cs="Calibri" w:eastAsia="Calibri" w:hAnsi="Calibri"/>
          <w:sz w:val="21"/>
          <w:szCs w:val="21"/>
        </w:rPr>
        <w:t xml:space="preserve"> El importe máximo de las modificaciones al alza previstas </w:t>
      </w:r>
      <w:r>
        <w:rPr>
          <w:rFonts w:ascii="Calibri" w:cs="Calibri" w:eastAsia="Calibri" w:hAnsi="Calibri"/>
          <w:b/>
          <w:bCs/>
          <w:sz w:val="21"/>
          <w:szCs w:val="21"/>
        </w:rPr>
        <w:t xml:space="preserve">se computa en el valor estimado</w:t>
      </w:r>
      <w:r>
        <w:rPr>
          <w:rFonts w:ascii="Calibri" w:cs="Calibri" w:eastAsia="Calibri" w:hAnsi="Calibri"/>
          <w:sz w:val="21"/>
          <w:szCs w:val="21"/>
        </w:rPr>
        <w:t xml:space="preserve"> (art. 101.2.c LCSP). Los umbrales que dependen de él son los cuatro de la Parte V, V.4.10; tres de ellos deciden el procedimiento y el recurso:</w:t>
      </w:r>
    </w:p>
    <w:p>
      <w:pPr>
        <w:pStyle w:val="ListParagraph"/>
        <w:numPr>
          <w:ilvl w:val="0"/>
          <w:numId w:val="1"/>
        </w:numPr>
        <w:spacing w:after="70" w:line="268"/>
      </w:pPr>
      <w:r>
        <w:rPr>
          <w:rFonts w:ascii="Calibri" w:cs="Calibri" w:eastAsia="Calibri" w:hAnsi="Calibri"/>
          <w:b/>
          <w:bCs/>
          <w:sz w:val="21"/>
          <w:szCs w:val="21"/>
        </w:rPr>
        <w:t xml:space="preserve">60.000 euros</w:t>
      </w:r>
      <w:r>
        <w:rPr>
          <w:rFonts w:ascii="Calibri" w:cs="Calibri" w:eastAsia="Calibri" w:hAnsi="Calibri"/>
          <w:sz w:val="21"/>
          <w:szCs w:val="21"/>
        </w:rPr>
        <w:t xml:space="preserve"> (servicios y suministros): por debajo cabe el procedimiento abierto simplificado abreviado (art. 159.6 LCSP).</w:t>
      </w:r>
    </w:p>
    <w:p>
      <w:pPr>
        <w:pStyle w:val="ListParagraph"/>
        <w:numPr>
          <w:ilvl w:val="0"/>
          <w:numId w:val="1"/>
        </w:numPr>
        <w:spacing w:after="70" w:line="268"/>
      </w:pPr>
      <w:r>
        <w:rPr>
          <w:rFonts w:ascii="Calibri" w:cs="Calibri" w:eastAsia="Calibri" w:hAnsi="Calibri"/>
          <w:b/>
          <w:bCs/>
          <w:sz w:val="21"/>
          <w:szCs w:val="21"/>
        </w:rPr>
        <w:t xml:space="preserve">100.000 euros</w:t>
      </w:r>
      <w:r>
        <w:rPr>
          <w:rFonts w:ascii="Calibri" w:cs="Calibri" w:eastAsia="Calibri" w:hAnsi="Calibri"/>
          <w:sz w:val="21"/>
          <w:szCs w:val="21"/>
        </w:rPr>
        <w:t xml:space="preserve"> (servicios y suministros): igual o por debajo cabe el abierto simplificado (art. 159.1.a LCSP); por encima, los pliegos son directamente recurribles ante el tribunal administrativo de recursos contractuales competente (art. 44.1.a y 44.2.a LCSP; para las entidades locales de la Comunidad de Madrid, por ejemplo, el Tribunal Administrativo de Contratación Pública de la Comunidad de Madrid, conforme al art. 3 de la Ley 9/2010 en la redacción de la Ley 5/2016).</w:t>
      </w:r>
    </w:p>
    <w:p>
      <w:pPr>
        <w:pStyle w:val="ListParagraph"/>
        <w:numPr>
          <w:ilvl w:val="0"/>
          <w:numId w:val="1"/>
        </w:numPr>
        <w:spacing w:after="70" w:line="268"/>
      </w:pPr>
      <w:r>
        <w:rPr>
          <w:rFonts w:ascii="Calibri" w:cs="Calibri" w:eastAsia="Calibri" w:hAnsi="Calibri"/>
          <w:b/>
          <w:bCs/>
          <w:sz w:val="21"/>
          <w:szCs w:val="21"/>
        </w:rPr>
        <w:t xml:space="preserve">216.000 euros</w:t>
      </w:r>
      <w:r>
        <w:rPr>
          <w:rFonts w:ascii="Calibri" w:cs="Calibri" w:eastAsia="Calibri" w:hAnsi="Calibri"/>
          <w:sz w:val="21"/>
          <w:szCs w:val="21"/>
        </w:rPr>
        <w:t xml:space="preserve">: umbral de contratos sujetos a regulación armonizada en servicios y suministros para entidades distintas de la Administración General del Estado, vigente para 2026-2027. </w:t>
      </w:r>
      <w:r>
        <w:rPr>
          <w:rFonts w:ascii="Calibri" w:cs="Calibri" w:eastAsia="Calibri" w:hAnsi="Calibri"/>
          <w:b/>
          <w:bCs/>
          <w:sz w:val="21"/>
          <w:szCs w:val="21"/>
        </w:rPr>
        <w:t xml:space="preserve">Verificar su vigencia en cada expediente</w:t>
      </w:r>
      <w:r>
        <w:rPr>
          <w:rFonts w:ascii="Calibri" w:cs="Calibri" w:eastAsia="Calibri" w:hAnsi="Calibri"/>
          <w:sz w:val="21"/>
          <w:szCs w:val="21"/>
        </w:rPr>
        <w:t xml:space="preserve">: caduca el 31 de diciembre de 2027 y se revisa por reglamento delegado de la Unión.</w:t>
      </w:r>
    </w:p>
    <w:p>
      <w:pPr>
        <w:spacing w:after="140" w:line="276"/>
      </w:pPr>
      <w:r>
        <w:rPr>
          <w:rFonts w:ascii="Calibri" w:cs="Calibri" w:eastAsia="Calibri" w:hAnsi="Calibri"/>
          <w:sz w:val="21"/>
          <w:szCs w:val="21"/>
        </w:rPr>
        <w:t xml:space="preserve">El cuarto es el del </w:t>
      </w:r>
      <w:r>
        <w:rPr>
          <w:rFonts w:ascii="Calibri" w:cs="Calibri" w:eastAsia="Calibri" w:hAnsi="Calibri"/>
          <w:b/>
          <w:bCs/>
          <w:sz w:val="21"/>
          <w:szCs w:val="21"/>
        </w:rPr>
        <w:t xml:space="preserve">contrato menor</w:t>
      </w:r>
      <w:r>
        <w:rPr>
          <w:rFonts w:ascii="Calibri" w:cs="Calibri" w:eastAsia="Calibri" w:hAnsi="Calibri"/>
          <w:sz w:val="21"/>
          <w:szCs w:val="21"/>
        </w:rPr>
        <w:t xml:space="preserve"> (art. 118.1 LCSP), que decide si hay pliego y, con él, si este catálogo puede aplicarse.</w:t>
      </w:r>
    </w:p>
    <w:p>
      <w:pPr>
        <w:spacing w:after="140" w:line="276"/>
      </w:pPr>
      <w:r>
        <w:rPr>
          <w:rFonts w:ascii="Calibri" w:cs="Calibri" w:eastAsia="Calibri" w:hAnsi="Calibri"/>
          <w:b/>
          <w:bCs/>
          <w:sz w:val="21"/>
          <w:szCs w:val="21"/>
        </w:rPr>
        <w:t xml:space="preserve">Ejemplo trabajado.</w:t>
      </w:r>
      <w:r>
        <w:rPr>
          <w:rFonts w:ascii="Calibri" w:cs="Calibri" w:eastAsia="Calibri" w:hAnsi="Calibri"/>
          <w:sz w:val="21"/>
          <w:szCs w:val="21"/>
        </w:rPr>
        <w:t xml:space="preserve"> Presupuesto base de licitación de 60.000 euros a dos años; una prórroga de un año por 30.000 euros: valor estimado 90.000 euros, y cabe el abierto simplificado. Añadida una reserva del 20 por ciento sobre el presupuesto base (12.000 euros), el valor estimado pasa a 102.000 euros: </w:t>
      </w:r>
      <w:r>
        <w:rPr>
          <w:rFonts w:ascii="Calibri" w:cs="Calibri" w:eastAsia="Calibri" w:hAnsi="Calibri"/>
          <w:b/>
          <w:bCs/>
          <w:sz w:val="21"/>
          <w:szCs w:val="21"/>
        </w:rPr>
        <w:t xml:space="preserve">se pierde el procedimiento simplificado y se gana un recurso especial contra el pliego</w:t>
      </w:r>
      <w:r>
        <w:rPr>
          <w:rFonts w:ascii="Calibri" w:cs="Calibri" w:eastAsia="Calibri" w:hAnsi="Calibri"/>
          <w:sz w:val="21"/>
          <w:szCs w:val="21"/>
        </w:rPr>
        <w:t xml:space="preserve">. Doce mil euros de reserva rara vez compensan eso.</w:t>
      </w:r>
    </w:p>
    <w:p>
      <w:pPr>
        <w:spacing w:after="140" w:line="276"/>
      </w:pPr>
      <w:r>
        <w:rPr>
          <w:rFonts w:ascii="Calibri" w:cs="Calibri" w:eastAsia="Calibri" w:hAnsi="Calibri"/>
          <w:b/>
          <w:bCs/>
          <w:sz w:val="21"/>
          <w:szCs w:val="21"/>
        </w:rPr>
        <w:t xml:space="preserve">Y una segunda advertencia, que suele pasarse por alto.</w:t>
      </w:r>
      <w:r>
        <w:rPr>
          <w:rFonts w:ascii="Calibri" w:cs="Calibri" w:eastAsia="Calibri" w:hAnsi="Calibri"/>
          <w:sz w:val="21"/>
          <w:szCs w:val="21"/>
        </w:rPr>
        <w:t xml:space="preserve"> Para el valor estimado, el porcentaje se calcula </w:t>
      </w:r>
      <w:r>
        <w:rPr>
          <w:rFonts w:ascii="Calibri" w:cs="Calibri" w:eastAsia="Calibri" w:hAnsi="Calibri"/>
          <w:b/>
          <w:bCs/>
          <w:sz w:val="21"/>
          <w:szCs w:val="21"/>
        </w:rPr>
        <w:t xml:space="preserve">sobre el presupuesto base de licitación</w:t>
      </w:r>
      <w:r>
        <w:rPr>
          <w:rFonts w:ascii="Calibri" w:cs="Calibri" w:eastAsia="Calibri" w:hAnsi="Calibri"/>
          <w:sz w:val="21"/>
          <w:szCs w:val="21"/>
        </w:rPr>
        <w:t xml:space="preserve">; en ejecución, </w:t>
      </w:r>
      <w:r>
        <w:rPr>
          <w:rFonts w:ascii="Calibri" w:cs="Calibri" w:eastAsia="Calibri" w:hAnsi="Calibri"/>
          <w:b/>
          <w:bCs/>
          <w:sz w:val="21"/>
          <w:szCs w:val="21"/>
        </w:rPr>
        <w:t xml:space="preserve">sobre el precio de adjudicación</w:t>
      </w:r>
      <w:r>
        <w:rPr>
          <w:rFonts w:ascii="Calibri" w:cs="Calibri" w:eastAsia="Calibri" w:hAnsi="Calibri"/>
          <w:sz w:val="21"/>
          <w:szCs w:val="21"/>
        </w:rPr>
        <w:t xml:space="preserve">. Con una baja del 15 por ciento, la reserva real disponible es un 15 por ciento menor de la que figura en el expediente.</w:t>
      </w:r>
    </w:p>
    <w:p>
      <w:pPr>
        <w:spacing w:after="140" w:line="276"/>
      </w:pPr>
      <w:r>
        <w:rPr>
          <w:rFonts w:ascii="Calibri" w:cs="Calibri" w:eastAsia="Calibri" w:hAnsi="Calibri"/>
          <w:b/>
          <w:bCs/>
          <w:sz w:val="21"/>
          <w:szCs w:val="21"/>
        </w:rPr>
        <w:t xml:space="preserve">La alternativa preferente</w:t>
      </w:r>
      <w:r>
        <w:rPr>
          <w:rFonts w:ascii="Calibri" w:cs="Calibri" w:eastAsia="Calibri" w:hAnsi="Calibri"/>
          <w:sz w:val="21"/>
          <w:szCs w:val="21"/>
        </w:rPr>
        <w:t xml:space="preserve"> es la bolsa de servicios evolutivos de ADM-3·v3, que vive dentro del objeto y del precio contratados y que sí tiene norma: el art. 308.3 LCSP permite que, en los contratos de servicios que impliquen el desarrollo o mantenimiento de aplicaciones informáticas, el objeto se defina por componentes de prestación con precio por unidades de actividad. Las dos cautelas que acompañan siempre a esa alternativa —el cómputo de la bolsa en el valor estimado y la prohibición de redactarla como horas dirigidas por el Ayuntamiento (art. 308.2 LCSP)— están donde corresponde: en </w:t>
      </w:r>
      <w:r>
        <w:rPr>
          <w:rFonts w:ascii="Calibri" w:cs="Calibri" w:eastAsia="Calibri" w:hAnsi="Calibri"/>
          <w:b/>
          <w:bCs/>
          <w:sz w:val="21"/>
          <w:szCs w:val="21"/>
        </w:rPr>
        <w:t xml:space="preserve">ADM-3·v3</w:t>
      </w:r>
      <w:r>
        <w:rPr>
          <w:rFonts w:ascii="Calibri" w:cs="Calibri" w:eastAsia="Calibri" w:hAnsi="Calibri"/>
          <w:sz w:val="21"/>
          <w:szCs w:val="21"/>
        </w:rPr>
        <w:t xml:space="preserve"> y en la memoria justificativa, §M6.5. No se reproducen aquí.</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Cuadro de cierre de la Parte III (segunda mitad)</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Instrumento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Esencial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Verificador municipal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Carga anual estimada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Aplicación por defecto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ADM-7·v3 Criterios de adjudicación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 de construcción del baremo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procede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Redactor del PCAP + informe jurídico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2-4 h por expediente, sin carga recurrente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siempre que haya baremo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ADM-8·v3 Propiedad intelectual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Cláusula del 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sólo la entrega íntegra en la reversión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 h/año + 4-6 h en reversión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en contratos de servicios con desarrollo específico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ADM-9·v3 Demostración funcional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Medio de comprobación (no reparte puntos)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Mesa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24-29 h por expediente con 5 licitadores, sin requerimientos adicionales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salvo VE &gt; [X; se recomienda 200.000] €</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ADM-10·v3 Plan Anual de Evolución Tecnológica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Obligación de seguimiento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hitos aprobados con fecha cierta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Comisión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6-8 h/año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si el contrato incorpora el Anexo V</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ADM-11·v3 Depósito de código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Condición especial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sólo lo enumerado en ADM-6·v3 bloque 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2-3 h/año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salvo cuatro criterios acumulativos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ADM-12·v3 Acceso del control interno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Condición especial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sólo lo enumerado en ADM-6·v3 bloque 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interventor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 h/año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si el adjudicatario opera el sistema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ADM-13·v3 IA sobre información municipal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Condición especial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sólo el nivel 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DPD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 h/año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si el adjudicatario trata información municipal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ADM-14·v3 Modificación prevista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Potestad del órgano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Redactor del 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 h por expediente; 6-10 h por modificación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p>
        </w:tc>
      </w:tr>
    </w:tbl>
    <w:p>
      <w:pPr>
        <w:spacing w:after="200"/>
      </w:pPr>
    </w:p>
    <w:p>
      <w:pPr>
        <w:spacing w:after="140" w:line="276"/>
      </w:pPr>
      <w:r>
        <w:rPr>
          <w:rFonts w:ascii="Calibri" w:cs="Calibri" w:eastAsia="Calibri" w:hAnsi="Calibri"/>
          <w:sz w:val="21"/>
          <w:szCs w:val="21"/>
        </w:rPr>
        <w:t xml:space="preserve">Las cifras de carga de esta columna son las que la tabla única de ADM-4·v3, epígrafe 5, agrega para todo el catálogo; si divergen, prevalece aquélla.</w:t>
      </w:r>
    </w:p>
    <w:p>
      <w:pPr>
        <w:spacing w:after="140" w:line="276"/>
      </w:pPr>
      <w:r>
        <w:rPr>
          <w:rFonts w:ascii="Calibri" w:cs="Calibri" w:eastAsia="Calibri" w:hAnsi="Calibri"/>
          <w:b/>
          <w:bCs/>
          <w:sz w:val="21"/>
          <w:szCs w:val="21"/>
        </w:rPr>
        <w:t xml:space="preserve">Regla de verificabilidad municipal.</w:t>
      </w:r>
      <w:r>
        <w:rPr>
          <w:rFonts w:ascii="Calibri" w:cs="Calibri" w:eastAsia="Calibri" w:hAnsi="Calibri"/>
          <w:sz w:val="21"/>
          <w:szCs w:val="21"/>
        </w:rPr>
        <w:t xml:space="preserve"> Enunciada en la Parte I, §7.9, y cuantificada en ADM-4·v3, epígrafe 5. Ninguna de estas cláusulas se incorpora a un pliego sin que la ficha del Anexo II identifique al actor municipal que la verificará, la periodicidad y el documento con que lo hará.</w:t>
      </w:r>
    </w:p>
    <w:p>
      <w:pPr>
        <w:spacing w:after="140" w:line="276"/>
      </w:pPr>
      <w:r>
        <w:rPr>
          <w:rFonts w:ascii="Calibri" w:cs="Calibri" w:eastAsia="Calibri" w:hAnsi="Calibri"/>
          <w:b/>
          <w:bCs/>
          <w:sz w:val="21"/>
          <w:szCs w:val="21"/>
        </w:rPr>
        <w:t xml:space="preserve">Lo que no se promete.</w:t>
      </w:r>
      <w:r>
        <w:rPr>
          <w:rFonts w:ascii="Calibri" w:cs="Calibri" w:eastAsia="Calibri" w:hAnsi="Calibri"/>
          <w:sz w:val="21"/>
          <w:szCs w:val="21"/>
        </w:rPr>
        <w:t xml:space="preserve"> Tratamiento completo en la Parte 0, §0.3, y en la memoria justificativa, §M8. En síntesis: no se garantiza que un tribunal no pueda anular nada; lo que sí está diseñado es que cada exigencia tenga necesidad identificada, instrumento correcto, medio de acreditación tasado, forma de verificación con actor y periodicidad, y consecuencia tasada; y que la caída de una pieza no arrastre las demás, </w:t>
      </w:r>
      <w:r>
        <w:rPr>
          <w:rFonts w:ascii="Calibri" w:cs="Calibri" w:eastAsia="Calibri" w:hAnsi="Calibri"/>
          <w:b/>
          <w:bCs/>
          <w:sz w:val="21"/>
          <w:szCs w:val="21"/>
        </w:rPr>
        <w:t xml:space="preserve">salvo las relaciones de presupuesto necesario identificadas en la tabla de dependencias del Anexo VI</w:t>
      </w:r>
      <w:r>
        <w:rPr>
          <w:rFonts w:ascii="Calibri" w:cs="Calibri" w:eastAsia="Calibri" w:hAnsi="Calibri"/>
          <w:sz w:val="21"/>
          <w:szCs w:val="21"/>
        </w:rPr>
        <w:t xml:space="preserve">.</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PARTE IV · MEMORIA JUSTIFICATIVA DEL CATÁLOGO</w:t>
      </w:r>
    </w:p>
    <w:p>
      <w:pPr>
        <w:spacing w:after="140" w:line="276"/>
      </w:pPr>
      <w:r>
        <w:rPr>
          <w:rFonts w:ascii="Calibri" w:cs="Calibri" w:eastAsia="Calibri" w:hAnsi="Calibri"/>
          <w:i/>
          <w:iCs/>
          <w:sz w:val="21"/>
          <w:szCs w:val="21"/>
        </w:rPr>
        <w:t xml:space="preserve">Destinatarios: el órgano al que corresponda el informe jurídico preceptivo (Asesoría Jurídica en municipios de gran población; Secretaría en el régimen común) y la Intervención General. Fecha de corte de la información normativa y doctrinal empleada: 1 de septiembre de 2026.</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IV.0 · Advertencia preliminar: esta memoria no sustituye a la memoria justificativa de ningún expediente</w:t>
      </w:r>
    </w:p>
    <w:p>
      <w:pPr>
        <w:spacing w:after="140" w:line="276"/>
      </w:pPr>
      <w:r>
        <w:rPr>
          <w:rFonts w:ascii="Calibri" w:cs="Calibri" w:eastAsia="Calibri" w:hAnsi="Calibri"/>
          <w:b/>
          <w:bCs/>
          <w:sz w:val="21"/>
          <w:szCs w:val="21"/>
        </w:rPr>
        <w:t xml:space="preserve">Esta memoria justifica la existencia del catálogo. No justifica ninguna contratación concreta y no puede invocarse como justificación de ninguna.</w:t>
      </w:r>
      <w:r>
        <w:rPr>
          <w:rFonts w:ascii="Calibri" w:cs="Calibri" w:eastAsia="Calibri" w:hAnsi="Calibri"/>
          <w:sz w:val="21"/>
          <w:szCs w:val="21"/>
        </w:rPr>
        <w:t xml:space="preserve"> Cada expediente que incorpore una sola cláusula de este documento necesita su propia memoria justificativa, con su propia necesidad, su propia relación con su propio objeto y su propia proporcionalidad. La remisión a esta Parte IV desde la memoria de un expediente no es motivación: es justificación estereotipada, y produce el mismo vicio que produciría la ausencia total de memoria.</w:t>
      </w:r>
    </w:p>
    <w:p>
      <w:pPr>
        <w:spacing w:after="140" w:line="276"/>
      </w:pPr>
      <w:r>
        <w:rPr>
          <w:rFonts w:ascii="Calibri" w:cs="Calibri" w:eastAsia="Calibri" w:hAnsi="Calibri"/>
          <w:sz w:val="21"/>
          <w:szCs w:val="21"/>
        </w:rPr>
        <w:t xml:space="preserve">El motivo no es de estilo. Es la doctrina del tribunal que resolvería un recurso contra un pliego de un ayuntamiento de la Comunidad de Madrid, sobre el supuesto exacto de la cláusula de seguridad de este catálogo, y contra un ayuntamiento de la Comunidad de Madrid:</w:t>
      </w:r>
    </w:p>
    <w:p>
      <w:pPr>
        <w:pBdr>
          <w:left w:val="single" w:color="BFBFBF" w:sz="12" w:space="8"/>
        </w:pBdr>
        <w:spacing w:after="140" w:line="264"/>
        <w:ind w:left="400"/>
      </w:pPr>
      <w:r>
        <w:rPr>
          <w:rFonts w:ascii="Georgia" w:cs="Georgia" w:eastAsia="Georgia" w:hAnsi="Georgia"/>
          <w:b/>
          <w:bCs/>
          <w:i/>
          <w:iCs/>
          <w:color w:val="595959"/>
          <w:sz w:val="20"/>
          <w:szCs w:val="20"/>
        </w:rPr>
        <w:t xml:space="preserve">Tribunal Administrativo de Contratación Pública de la Comunidad de Madrid, Resolución 383/2024, de 3 de octubre de 2024</w:t>
      </w:r>
      <w:r>
        <w:rPr>
          <w:rFonts w:ascii="Georgia" w:cs="Georgia" w:eastAsia="Georgia" w:hAnsi="Georgia"/>
          <w:i/>
          <w:iCs/>
          <w:color w:val="595959"/>
          <w:sz w:val="20"/>
          <w:szCs w:val="20"/>
        </w:rPr>
        <w:t xml:space="preserve">, expediente 383/2024, recurso de Tecnologías Viales Aplicadas TEVA, S.L. contra los pliegos del Ayuntamiento de Parla (sistema de gestión de zona de bajas emisiones). </w:t>
      </w:r>
      <w:r>
        <w:rPr>
          <w:rFonts w:ascii="Georgia" w:cs="Georgia" w:eastAsia="Georgia" w:hAnsi="Georgia"/>
          <w:b/>
          <w:bCs/>
          <w:i/>
          <w:iCs/>
          <w:color w:val="595959"/>
          <w:sz w:val="20"/>
          <w:szCs w:val="20"/>
        </w:rPr>
        <w:t xml:space="preserve">Recurso estimado; la anulación de los pliegos consta en el Fundamento de Derecho Quinto, porque el ACUERDA se limita a estimar el recurso.</w:t>
      </w:r>
      <w:r>
        <w:rPr>
          <w:rFonts w:ascii="Georgia" w:cs="Georgia" w:eastAsia="Georgia" w:hAnsi="Georgia"/>
          <w:i/>
          <w:iCs/>
          <w:color w:val="595959"/>
          <w:sz w:val="20"/>
          <w:szCs w:val="20"/>
        </w:rPr>
        <w:t xml:space="preserve"> Enlace: &lt;https://www.comunidad.madrid/tacp/sites/default/files/resolucion_383-2024_expediente_383-2024.pdf&gt;</w:t>
      </w:r>
    </w:p>
    <w:p>
      <w:pPr>
        <w:pBdr>
          <w:left w:val="single" w:color="BFBFBF" w:sz="12" w:space="8"/>
        </w:pBdr>
        <w:spacing w:after="140" w:line="264"/>
        <w:ind w:left="400"/>
      </w:pPr>
      <w:r>
        <w:rPr>
          <w:rFonts w:ascii="Georgia" w:cs="Georgia" w:eastAsia="Georgia" w:hAnsi="Georgia"/>
          <w:i/>
          <w:iCs/>
          <w:color w:val="595959"/>
          <w:sz w:val="20"/>
          <w:szCs w:val="20"/>
        </w:rPr>
        <w:t xml:space="preserve">«analizada la memoria justificativa publicada en la plataforma, en su apartado 13, consta exclusivamente la exigencia de la habilitación empresarial sin que aparezca la más mínima justificación de tal exigencia, como establece el artículo 116.2 de la LCSP. Esta justificación debe realizarse en la memoria justificativa de la contratación, </w:t>
      </w:r>
      <w:r>
        <w:rPr>
          <w:rFonts w:ascii="Georgia" w:cs="Georgia" w:eastAsia="Georgia" w:hAnsi="Georgia"/>
          <w:b/>
          <w:bCs/>
          <w:i/>
          <w:iCs/>
          <w:color w:val="595959"/>
          <w:sz w:val="20"/>
          <w:szCs w:val="20"/>
        </w:rPr>
        <w:t xml:space="preserve">sin que sea admisible la justificación realizada en sede de recurso</w:t>
      </w:r>
      <w:r>
        <w:rPr>
          <w:rFonts w:ascii="Georgia" w:cs="Georgia" w:eastAsia="Georgia" w:hAnsi="Georgia"/>
          <w:i/>
          <w:iCs/>
          <w:color w:val="595959"/>
          <w:sz w:val="20"/>
          <w:szCs w:val="20"/>
        </w:rPr>
        <w:t xml:space="preserve">».</w:t>
      </w:r>
    </w:p>
    <w:p>
      <w:pPr>
        <w:spacing w:after="140" w:line="276"/>
      </w:pPr>
      <w:r>
        <w:rPr>
          <w:rFonts w:ascii="Calibri" w:cs="Calibri" w:eastAsia="Calibri" w:hAnsi="Calibri"/>
          <w:sz w:val="21"/>
          <w:szCs w:val="21"/>
        </w:rPr>
        <w:t xml:space="preserve">Tres consecuencias, y las tres gobiernan todo lo que sigue.</w:t>
      </w:r>
    </w:p>
    <w:p>
      <w:pPr>
        <w:spacing w:after="140" w:line="276"/>
      </w:pPr>
      <w:r>
        <w:rPr>
          <w:rFonts w:ascii="Calibri" w:cs="Calibri" w:eastAsia="Calibri" w:hAnsi="Calibri"/>
          <w:b/>
          <w:bCs/>
          <w:sz w:val="21"/>
          <w:szCs w:val="21"/>
        </w:rPr>
        <w:t xml:space="preserve">Primera: el tribunal mira el expediente, no el modelo.</w:t>
      </w:r>
      <w:r>
        <w:rPr>
          <w:rFonts w:ascii="Calibri" w:cs="Calibri" w:eastAsia="Calibri" w:hAnsi="Calibri"/>
          <w:sz w:val="21"/>
          <w:szCs w:val="21"/>
        </w:rPr>
        <w:t xml:space="preserve"> El Ayuntamiento de Parla no perdió porque su exigencia fuera ilegal en abstracto —exigir conformidad con el Esquema Nacional de Seguridad no lo es—, sino porque la memoria del expediente no decía por qué la exigía en ese contrato. Un catálogo con sus veinticinco anexos y su memoria general no ocupa el lugar de un párrafo escrito en la memoria del expediente concreto.</w:t>
      </w:r>
    </w:p>
    <w:p>
      <w:pPr>
        <w:spacing w:after="140" w:line="276"/>
      </w:pPr>
      <w:r>
        <w:rPr>
          <w:rFonts w:ascii="Calibri" w:cs="Calibri" w:eastAsia="Calibri" w:hAnsi="Calibri"/>
          <w:b/>
          <w:bCs/>
          <w:sz w:val="21"/>
          <w:szCs w:val="21"/>
        </w:rPr>
        <w:t xml:space="preserve">Segunda: no hay segunda oportunidad.</w:t>
      </w:r>
      <w:r>
        <w:rPr>
          <w:rFonts w:ascii="Calibri" w:cs="Calibri" w:eastAsia="Calibri" w:hAnsi="Calibri"/>
          <w:sz w:val="21"/>
          <w:szCs w:val="21"/>
        </w:rPr>
        <w:t xml:space="preserve"> La justificación no se completa cuando llega el recurso. El plazo para interponerlo contra los pliegos es de quince días hábiles (art. 44.2.a LCSP) y el órgano de contratación remite el expediente con su informe en un plazo tasado en días hábiles. Lo que en ese momento no esté en el expediente, no existe. Añadirlo en el informe al Tribunal es exactamente lo que la Resolución 383/2024 declara inadmisible.</w:t>
      </w:r>
    </w:p>
    <w:p>
      <w:pPr>
        <w:spacing w:after="140" w:line="276"/>
      </w:pPr>
      <w:r>
        <w:rPr>
          <w:rFonts w:ascii="Calibri" w:cs="Calibri" w:eastAsia="Calibri" w:hAnsi="Calibri"/>
          <w:b/>
          <w:bCs/>
          <w:sz w:val="21"/>
          <w:szCs w:val="21"/>
        </w:rPr>
        <w:t xml:space="preserve">Tercera: la memoria del expediente es documento público desde el primer día.</w:t>
      </w:r>
      <w:r>
        <w:rPr>
          <w:rFonts w:ascii="Calibri" w:cs="Calibri" w:eastAsia="Calibri" w:hAnsi="Calibri"/>
          <w:sz w:val="21"/>
          <w:szCs w:val="21"/>
        </w:rPr>
        <w:t xml:space="preserve"> El art. 116.1 LCSP ordena publicar la motivación de la necesidad en el perfil de contratante, y el art. 63.3.a) LCSP incluye entre lo publicable la memoria justificativa, el informe de insuficiencia de medios y los pliegos. La Ficha de Aplicabilidad (Anexo II) y el Informe de Necesidad (Anexo III) no son papel interno de trabajo: los lee el recurrente antes que nadie. Se redactan sabiéndolo.</w:t>
      </w:r>
    </w:p>
    <w:p>
      <w:pPr>
        <w:spacing w:after="140" w:line="276"/>
      </w:pPr>
      <w:r>
        <w:rPr>
          <w:rFonts w:ascii="Calibri" w:cs="Calibri" w:eastAsia="Calibri" w:hAnsi="Calibri"/>
          <w:b/>
          <w:bCs/>
          <w:sz w:val="21"/>
          <w:szCs w:val="21"/>
        </w:rPr>
        <w:t xml:space="preserve">Regla de uso de esta Parte IV.</w:t>
      </w:r>
      <w:r>
        <w:rPr>
          <w:rFonts w:ascii="Calibri" w:cs="Calibri" w:eastAsia="Calibri" w:hAnsi="Calibri"/>
          <w:sz w:val="21"/>
          <w:szCs w:val="21"/>
        </w:rPr>
        <w:t xml:space="preserve"> Sirve para tres cosas y sólo para tres: (a) acreditar ante los órganos de control que el catálogo, como instrumento, tiene fundamento, proporcionalidad, coste dimensionado y salvaguardas de concurrencia; (b) dar al redactor de cada expediente el material de partida —preceptos, salvaguardas, umbrales, valores por defecto— con el que escribir su propia memoria; y (c) dejar constancia por escrito, antes de que lo haga nadie más, de lo que este catálogo todavía no acredita (§M11).</w:t>
      </w:r>
    </w:p>
    <w:p>
      <w:pPr>
        <w:spacing w:after="140" w:line="276"/>
      </w:pPr>
      <w:r>
        <w:rPr>
          <w:rFonts w:ascii="Calibri" w:cs="Calibri" w:eastAsia="Calibri" w:hAnsi="Calibri"/>
          <w:b/>
          <w:bCs/>
          <w:sz w:val="21"/>
          <w:szCs w:val="21"/>
        </w:rPr>
        <w:t xml:space="preserve">Lo que este documento promete y lo que no.</w:t>
      </w:r>
      <w:r>
        <w:rPr>
          <w:rFonts w:ascii="Calibri" w:cs="Calibri" w:eastAsia="Calibri" w:hAnsi="Calibri"/>
          <w:sz w:val="21"/>
          <w:szCs w:val="21"/>
        </w:rPr>
        <w:t xml:space="preserve"> No se promete que ningún tribunal pueda anular un pliego que incorpore estas cláusulas. Nadie puede prometer eso, y hacerlo ante un órgano de control destruiría la credibilidad del resto. Lo que sí se ha diseñado, y es verificable leyendo las Partes II y III, es que </w:t>
      </w:r>
      <w:r>
        <w:rPr>
          <w:rFonts w:ascii="Calibri" w:cs="Calibri" w:eastAsia="Calibri" w:hAnsi="Calibri"/>
          <w:b/>
          <w:bCs/>
          <w:sz w:val="21"/>
          <w:szCs w:val="21"/>
        </w:rPr>
        <w:t xml:space="preserve">cada exigencia tenga necesidad identificada, instrumento correcto, medio de acreditación tasado, forma de verificación con actor y periodicidad, y consecuencia tipificada; y que la caída de una pieza no arrastre las demás, salvo las relaciones de presupuesto necesario identificadas en la tabla de dependencias del Anexo VI</w:t>
      </w:r>
      <w:r>
        <w:rPr>
          <w:rFonts w:ascii="Calibri" w:cs="Calibri" w:eastAsia="Calibri" w:hAnsi="Calibri"/>
          <w:sz w:val="21"/>
          <w:szCs w:val="21"/>
        </w:rPr>
        <w:t xml:space="preserve">. El estado de la doctrina y el alcance exacto de esta renuncia se desarrollan en el §M8.</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M1 · Necesidad e idoneidad (arts. 28.1 y 116.4 LCSP)</w:t>
      </w:r>
    </w:p>
    <w:p>
      <w:pPr>
        <w:pStyle w:val="Heading3"/>
        <w:keepNext/>
        <w:spacing w:after="140" w:before="320"/>
      </w:pPr>
      <w:r>
        <w:rPr>
          <w:rFonts w:ascii="Georgia" w:cs="Georgia" w:eastAsia="Georgia" w:hAnsi="Georgia"/>
          <w:b/>
          <w:bCs/>
          <w:color w:val="2F5496"/>
          <w:sz w:val="22"/>
          <w:szCs w:val="22"/>
        </w:rPr>
        <w:t xml:space="preserve">M1.1 · Las cuatro dificultades que hay que vencer</w:t>
      </w:r>
    </w:p>
    <w:p>
      <w:pPr>
        <w:spacing w:after="140" w:line="276"/>
      </w:pPr>
      <w:r>
        <w:rPr>
          <w:rFonts w:ascii="Calibri" w:cs="Calibri" w:eastAsia="Calibri" w:hAnsi="Calibri"/>
          <w:sz w:val="21"/>
          <w:szCs w:val="21"/>
        </w:rPr>
        <w:t xml:space="preserve">Este catálogo nace de un lema: </w:t>
      </w:r>
      <w:r>
        <w:rPr>
          <w:rFonts w:ascii="Calibri" w:cs="Calibri" w:eastAsia="Calibri" w:hAnsi="Calibri"/>
          <w:b/>
          <w:bCs/>
          <w:sz w:val="21"/>
          <w:szCs w:val="21"/>
        </w:rPr>
        <w:t xml:space="preserve">hacer más ágil y efectiva la contratación pública</w:t>
      </w:r>
      <w:r>
        <w:rPr>
          <w:rFonts w:ascii="Calibri" w:cs="Calibri" w:eastAsia="Calibri" w:hAnsi="Calibri"/>
          <w:sz w:val="21"/>
          <w:szCs w:val="21"/>
        </w:rPr>
        <w:t xml:space="preserve">, obligados por unas tecnologías que las administraciones tienen que utilizar si quieren ser eficaces y eficientes. Y nace también del reconocimiento de cuatro dificultades reales, que no son objeciones de nadie en particular: son </w:t>
      </w:r>
      <w:r>
        <w:rPr>
          <w:rFonts w:ascii="Calibri" w:cs="Calibri" w:eastAsia="Calibri" w:hAnsi="Calibri"/>
          <w:b/>
          <w:bCs/>
          <w:sz w:val="21"/>
          <w:szCs w:val="21"/>
        </w:rPr>
        <w:t xml:space="preserve">lo que quienes hemos trabajado en esta redacción hemos observado que sucede en la contratación de las administraciones públicas</w:t>
      </w:r>
      <w:r>
        <w:rPr>
          <w:rFonts w:ascii="Calibri" w:cs="Calibri" w:eastAsia="Calibri" w:hAnsi="Calibri"/>
          <w:sz w:val="21"/>
          <w:szCs w:val="21"/>
        </w:rPr>
        <w:t xml:space="preserve">. Se enuncian aquí sin suavizarlas, porque un catálogo que no las nombre las encontrará igualmente el día que se aplique, y entonces ya no habrá respuesta preparada.</w:t>
      </w:r>
    </w:p>
    <w:p>
      <w:pPr>
        <w:spacing w:after="140" w:line="276"/>
      </w:pPr>
      <w:r>
        <w:rPr>
          <w:rFonts w:ascii="Calibri" w:cs="Calibri" w:eastAsia="Calibri" w:hAnsi="Calibri"/>
          <w:sz w:val="21"/>
          <w:szCs w:val="21"/>
        </w:rPr>
        <w:t xml:space="preserve">Las cuatro han cambiado la arquitectura del catálogo, y no sólo su redacción.</w:t>
      </w:r>
    </w:p>
    <w:p>
      <w:pPr>
        <w:spacing w:after="140" w:line="276"/>
      </w:pPr>
      <w:r>
        <w:rPr>
          <w:rFonts w:ascii="Calibri" w:cs="Calibri" w:eastAsia="Calibri" w:hAnsi="Calibri"/>
          <w:b/>
          <w:bCs/>
          <w:sz w:val="21"/>
          <w:szCs w:val="21"/>
        </w:rPr>
        <w:t xml:space="preserve">Primera · La necesidad todavía no la demanda el gestor.</w:t>
      </w:r>
    </w:p>
    <w:p>
      <w:pPr>
        <w:spacing w:after="140" w:line="276"/>
      </w:pPr>
      <w:r>
        <w:rPr>
          <w:rFonts w:ascii="Calibri" w:cs="Calibri" w:eastAsia="Calibri" w:hAnsi="Calibri"/>
          <w:sz w:val="21"/>
          <w:szCs w:val="21"/>
        </w:rPr>
        <w:t xml:space="preserve">La mayor de las pegas que podría tener este catálogo para poder aplicar estas cláusulas sería que nacen a partir de unas necesidades que aún no han sido demandadas suficientemente por los gestores pertinentes y, si no es así, no dejan de ser algo artificioso al contrato. Primero siempre surge la necesidad, y las cláusulas de un contrato son la forma de obligar al contratista a que satisfaga esa necesidad. Lo que se pretende aquí es </w:t>
      </w:r>
      <w:r>
        <w:rPr>
          <w:rFonts w:ascii="Calibri" w:cs="Calibri" w:eastAsia="Calibri" w:hAnsi="Calibri"/>
          <w:b/>
          <w:bCs/>
          <w:sz w:val="21"/>
          <w:szCs w:val="21"/>
        </w:rPr>
        <w:t xml:space="preserve">adelantarnos a esa necesidad</w:t>
      </w:r>
      <w:r>
        <w:rPr>
          <w:rFonts w:ascii="Calibri" w:cs="Calibri" w:eastAsia="Calibri" w:hAnsi="Calibri"/>
          <w:sz w:val="21"/>
          <w:szCs w:val="21"/>
        </w:rPr>
        <w:t xml:space="preserve">, que siendo urgente y existente es aún desconocida y no suficientemente valorada para gran parte de los gestores de las administraciones públicas.</w:t>
      </w:r>
    </w:p>
    <w:p>
      <w:pPr>
        <w:spacing w:after="140" w:line="276"/>
      </w:pPr>
      <w:r>
        <w:rPr>
          <w:rFonts w:ascii="Calibri" w:cs="Calibri" w:eastAsia="Calibri" w:hAnsi="Calibri"/>
          <w:sz w:val="21"/>
          <w:szCs w:val="21"/>
        </w:rPr>
        <w:t xml:space="preserve">Esta dificultad no es de oportunidad: es, traducida al lenguaje de la ley, una cuestión de art. 116.4.e) LCSP, que exige que la relación entre la necesidad y el objeto del contrato sea </w:t>
      </w:r>
      <w:r>
        <w:rPr>
          <w:rFonts w:ascii="Calibri" w:cs="Calibri" w:eastAsia="Calibri" w:hAnsi="Calibri"/>
          <w:i/>
          <w:iCs/>
          <w:sz w:val="21"/>
          <w:szCs w:val="21"/>
        </w:rPr>
        <w:t xml:space="preserve">«directa, clara y proporcional»</w:t>
      </w:r>
      <w:r>
        <w:rPr>
          <w:rFonts w:ascii="Calibri" w:cs="Calibri" w:eastAsia="Calibri" w:hAnsi="Calibri"/>
          <w:sz w:val="21"/>
          <w:szCs w:val="21"/>
        </w:rPr>
        <w:t xml:space="preserve">. Es también, exactamente, el motivo por el que un recurrente pediría la anulación de un pliego. Por eso se responde aquí, y se responde con instrumentos, no con retórica.</w:t>
      </w:r>
    </w:p>
    <w:p>
      <w:pPr>
        <w:spacing w:after="140" w:line="276"/>
      </w:pPr>
      <w:r>
        <w:rPr>
          <w:rFonts w:ascii="Calibri" w:cs="Calibri" w:eastAsia="Calibri" w:hAnsi="Calibri"/>
          <w:b/>
          <w:bCs/>
          <w:sz w:val="21"/>
          <w:szCs w:val="21"/>
        </w:rPr>
        <w:t xml:space="preserve">Qué se ha hecho:</w:t>
      </w:r>
      <w:r>
        <w:rPr>
          <w:rFonts w:ascii="Calibri" w:cs="Calibri" w:eastAsia="Calibri" w:hAnsi="Calibri"/>
          <w:sz w:val="21"/>
          <w:szCs w:val="21"/>
        </w:rPr>
        <w:t xml:space="preserve"> los tres orígenes de necesidad del §M1.2, la </w:t>
      </w:r>
      <w:r>
        <w:rPr>
          <w:rFonts w:ascii="Calibri" w:cs="Calibri" w:eastAsia="Calibri" w:hAnsi="Calibri"/>
          <w:b/>
          <w:bCs/>
          <w:sz w:val="21"/>
          <w:szCs w:val="21"/>
        </w:rPr>
        <w:t xml:space="preserve">doble vía de firma</w:t>
      </w:r>
      <w:r>
        <w:rPr>
          <w:rFonts w:ascii="Calibri" w:cs="Calibri" w:eastAsia="Calibri" w:hAnsi="Calibri"/>
          <w:sz w:val="21"/>
          <w:szCs w:val="21"/>
        </w:rPr>
        <w:t xml:space="preserve"> del §M1.3 y la regla de cierre —cláusula sin ficha firmada, NO APLICA—. Y el núcleo del catálogo pasa a exigir un </w:t>
      </w:r>
      <w:r>
        <w:rPr>
          <w:rFonts w:ascii="Calibri" w:cs="Calibri" w:eastAsia="Calibri" w:hAnsi="Calibri"/>
          <w:b/>
          <w:bCs/>
          <w:sz w:val="21"/>
          <w:szCs w:val="21"/>
        </w:rPr>
        <w:t xml:space="preserve">acuerdo del órgano de gobierno</w:t>
      </w:r>
      <w:r>
        <w:rPr>
          <w:rFonts w:ascii="Calibri" w:cs="Calibri" w:eastAsia="Calibri" w:hAnsi="Calibri"/>
          <w:sz w:val="21"/>
          <w:szCs w:val="21"/>
        </w:rPr>
        <w:t xml:space="preserve"> (Anexo VIII), sin el cual no se sostiene.</w:t>
      </w:r>
    </w:p>
    <w:p>
      <w:pPr>
        <w:spacing w:after="140" w:line="276"/>
      </w:pPr>
      <w:r>
        <w:rPr>
          <w:rFonts w:ascii="Calibri" w:cs="Calibri" w:eastAsia="Calibri" w:hAnsi="Calibri"/>
          <w:b/>
          <w:bCs/>
          <w:sz w:val="21"/>
          <w:szCs w:val="21"/>
        </w:rPr>
        <w:t xml:space="preserve">Segunda · El seguimiento real de los contratos es escaso, y sólo mira el gasto.</w:t>
      </w:r>
    </w:p>
    <w:p>
      <w:pPr>
        <w:spacing w:after="140" w:line="276"/>
      </w:pPr>
      <w:r>
        <w:rPr>
          <w:rFonts w:ascii="Calibri" w:cs="Calibri" w:eastAsia="Calibri" w:hAnsi="Calibri"/>
          <w:sz w:val="21"/>
          <w:szCs w:val="21"/>
        </w:rPr>
        <w:t xml:space="preserve">Son pocos los contratos en los que se haga un seguimiento real, y el que se hace se basa casi exclusivamente en el control del gasto: ni eficacia ni eficiencia. Es justamente en ese ámbito donde la explotación de los datos de ejecución sería más útil. Pero hay que separar dos cosas que se confunden: </w:t>
      </w:r>
      <w:r>
        <w:rPr>
          <w:rFonts w:ascii="Calibri" w:cs="Calibri" w:eastAsia="Calibri" w:hAnsi="Calibri"/>
          <w:b/>
          <w:bCs/>
          <w:sz w:val="21"/>
          <w:szCs w:val="21"/>
        </w:rPr>
        <w:t xml:space="preserve">una administración no debería exigir a su contratista instrumentos de seguimiento que después no va a usar</w:t>
      </w:r>
      <w:r>
        <w:rPr>
          <w:rFonts w:ascii="Calibri" w:cs="Calibri" w:eastAsia="Calibri" w:hAnsi="Calibri"/>
          <w:sz w:val="21"/>
          <w:szCs w:val="21"/>
        </w:rPr>
        <w:t xml:space="preserve">; lo que sí entra de lleno en el ámbito de quien controla es poder </w:t>
      </w:r>
      <w:r>
        <w:rPr>
          <w:rFonts w:ascii="Calibri" w:cs="Calibri" w:eastAsia="Calibri" w:hAnsi="Calibri"/>
          <w:b/>
          <w:bCs/>
          <w:sz w:val="21"/>
          <w:szCs w:val="21"/>
        </w:rPr>
        <w:t xml:space="preserve">explotar los datos al mismo rango que el gestor</w:t>
      </w:r>
      <w:r>
        <w:rPr>
          <w:rFonts w:ascii="Calibri" w:cs="Calibri" w:eastAsia="Calibri" w:hAnsi="Calibri"/>
          <w:sz w:val="21"/>
          <w:szCs w:val="21"/>
        </w:rPr>
        <w:t xml:space="preserve">, para cumplir con sus obligaciones legales.</w:t>
      </w:r>
    </w:p>
    <w:p>
      <w:pPr>
        <w:spacing w:after="140" w:line="276"/>
      </w:pPr>
      <w:r>
        <w:rPr>
          <w:rFonts w:ascii="Calibri" w:cs="Calibri" w:eastAsia="Calibri" w:hAnsi="Calibri"/>
          <w:b/>
          <w:bCs/>
          <w:sz w:val="21"/>
          <w:szCs w:val="21"/>
        </w:rPr>
        <w:t xml:space="preserve">Qué se ha hecho:</w:t>
      </w:r>
      <w:r>
        <w:rPr>
          <w:rFonts w:ascii="Calibri" w:cs="Calibri" w:eastAsia="Calibri" w:hAnsi="Calibri"/>
          <w:sz w:val="21"/>
          <w:szCs w:val="21"/>
        </w:rPr>
        <w:t xml:space="preserve"> </w:t>
      </w:r>
      <w:r>
        <w:rPr>
          <w:rFonts w:ascii="Calibri" w:cs="Calibri" w:eastAsia="Calibri" w:hAnsi="Calibri"/>
          <w:b/>
          <w:bCs/>
          <w:sz w:val="21"/>
          <w:szCs w:val="21"/>
        </w:rPr>
        <w:t xml:space="preserve">ADM-12·v3</w:t>
      </w:r>
      <w:r>
        <w:rPr>
          <w:rFonts w:ascii="Calibri" w:cs="Calibri" w:eastAsia="Calibri" w:hAnsi="Calibri"/>
          <w:sz w:val="21"/>
          <w:szCs w:val="21"/>
        </w:rPr>
        <w:t xml:space="preserve"> está redactada exactamente sobre esa distinción — paridad de acceso con el gestor, sin tarificación, con diccionario de datos, en formato abierto y sostenida en prórrogas y en la reversión. Y </w:t>
      </w:r>
      <w:r>
        <w:rPr>
          <w:rFonts w:ascii="Calibri" w:cs="Calibri" w:eastAsia="Calibri" w:hAnsi="Calibri"/>
          <w:b/>
          <w:bCs/>
          <w:sz w:val="21"/>
          <w:szCs w:val="21"/>
        </w:rPr>
        <w:t xml:space="preserve">ADM-10·v3 se degrada</w:t>
      </w:r>
      <w:r>
        <w:rPr>
          <w:rFonts w:ascii="Calibri" w:cs="Calibri" w:eastAsia="Calibri" w:hAnsi="Calibri"/>
          <w:sz w:val="21"/>
          <w:szCs w:val="21"/>
        </w:rPr>
        <w:t xml:space="preserve">: deja de ser fuente autónoma de obligaciones esenciales, porque no debe imponerse al contratista lo que la propia casa no va a verificar. La regla de verificabilidad municipal está en el §M4.4.</w:t>
      </w:r>
    </w:p>
    <w:p>
      <w:pPr>
        <w:spacing w:after="140" w:line="276"/>
      </w:pPr>
      <w:r>
        <w:rPr>
          <w:rFonts w:ascii="Calibri" w:cs="Calibri" w:eastAsia="Calibri" w:hAnsi="Calibri"/>
          <w:b/>
          <w:bCs/>
          <w:sz w:val="21"/>
          <w:szCs w:val="21"/>
        </w:rPr>
        <w:t xml:space="preserve">Tercera · El grado de abstracción es demasiado alto.</w:t>
      </w:r>
    </w:p>
    <w:p>
      <w:pPr>
        <w:spacing w:after="140" w:line="276"/>
      </w:pPr>
      <w:r>
        <w:rPr>
          <w:rFonts w:ascii="Calibri" w:cs="Calibri" w:eastAsia="Calibri" w:hAnsi="Calibri"/>
          <w:sz w:val="21"/>
          <w:szCs w:val="21"/>
        </w:rPr>
        <w:t xml:space="preserve">Un catálogo doctrinal no se aplica solo. Mientras no se vea funcionando sobre un expediente concreto, sus cláusulas se leen como una declaración de intenciones, y la forma de quitarse las dudas sobre su aplicabilidad real es </w:t>
      </w:r>
      <w:r>
        <w:rPr>
          <w:rFonts w:ascii="Calibri" w:cs="Calibri" w:eastAsia="Calibri" w:hAnsi="Calibri"/>
          <w:b/>
          <w:bCs/>
          <w:sz w:val="21"/>
          <w:szCs w:val="21"/>
        </w:rPr>
        <w:t xml:space="preserve">incluirlas en alguna contratación ya prevista en la que su aplicación no resulte excesivamente compleja</w:t>
      </w:r>
      <w:r>
        <w:rPr>
          <w:rFonts w:ascii="Calibri" w:cs="Calibri" w:eastAsia="Calibri" w:hAnsi="Calibri"/>
          <w:sz w:val="21"/>
          <w:szCs w:val="21"/>
        </w:rPr>
        <w:t xml:space="preserve">, a modo de experimento piloto.</w:t>
      </w:r>
    </w:p>
    <w:p>
      <w:pPr>
        <w:spacing w:after="140" w:line="276"/>
      </w:pPr>
      <w:r>
        <w:rPr>
          <w:rFonts w:ascii="Calibri" w:cs="Calibri" w:eastAsia="Calibri" w:hAnsi="Calibri"/>
          <w:b/>
          <w:bCs/>
          <w:sz w:val="21"/>
          <w:szCs w:val="21"/>
        </w:rPr>
        <w:t xml:space="preserve">Qué se ha hecho:</w:t>
      </w:r>
      <w:r>
        <w:rPr>
          <w:rFonts w:ascii="Calibri" w:cs="Calibri" w:eastAsia="Calibri" w:hAnsi="Calibri"/>
          <w:sz w:val="21"/>
          <w:szCs w:val="21"/>
        </w:rPr>
        <w:t xml:space="preserve"> la </w:t>
      </w:r>
      <w:r>
        <w:rPr>
          <w:rFonts w:ascii="Calibri" w:cs="Calibri" w:eastAsia="Calibri" w:hAnsi="Calibri"/>
          <w:b/>
          <w:bCs/>
          <w:sz w:val="21"/>
          <w:szCs w:val="21"/>
        </w:rPr>
        <w:t xml:space="preserve">Parte VI entera</w:t>
      </w:r>
      <w:r>
        <w:rPr>
          <w:rFonts w:ascii="Calibri" w:cs="Calibri" w:eastAsia="Calibri" w:hAnsi="Calibri"/>
          <w:sz w:val="21"/>
          <w:szCs w:val="21"/>
        </w:rPr>
        <w:t xml:space="preserve"> — el método para elegir el contrato piloto (§VI.2.1), el </w:t>
      </w:r>
      <w:r>
        <w:rPr>
          <w:rFonts w:ascii="Calibri" w:cs="Calibri" w:eastAsia="Calibri" w:hAnsi="Calibri"/>
          <w:b/>
          <w:bCs/>
          <w:sz w:val="21"/>
          <w:szCs w:val="21"/>
        </w:rPr>
        <w:t xml:space="preserve">subconjunto mínimo de seis cláusulas</w:t>
      </w:r>
      <w:r>
        <w:rPr>
          <w:rFonts w:ascii="Calibri" w:cs="Calibri" w:eastAsia="Calibri" w:hAnsi="Calibri"/>
          <w:sz w:val="21"/>
          <w:szCs w:val="21"/>
        </w:rPr>
        <w:t xml:space="preserve"> con el que empezar un primer expediente (§VI.2.2), el ejemplo completo trabajado sobre un expediente simulado, y el compromiso de evaluación con dos informes (§VI.8).</w:t>
      </w:r>
    </w:p>
    <w:p>
      <w:pPr>
        <w:spacing w:after="140" w:line="276"/>
      </w:pPr>
      <w:r>
        <w:rPr>
          <w:rFonts w:ascii="Calibri" w:cs="Calibri" w:eastAsia="Calibri" w:hAnsi="Calibri"/>
          <w:b/>
          <w:bCs/>
          <w:sz w:val="21"/>
          <w:szCs w:val="21"/>
        </w:rPr>
        <w:t xml:space="preserve">Cuarta · En la contratación hay muchos actores, y no sólo propios.</w:t>
      </w:r>
    </w:p>
    <w:p>
      <w:pPr>
        <w:spacing w:after="140" w:line="276"/>
      </w:pPr>
      <w:r>
        <w:rPr>
          <w:rFonts w:ascii="Calibri" w:cs="Calibri" w:eastAsia="Calibri" w:hAnsi="Calibri"/>
          <w:sz w:val="21"/>
          <w:szCs w:val="21"/>
        </w:rPr>
        <w:t xml:space="preserve">Un pliego no lo leen únicamente los servicios de la casa. Lo leen licitadores, asociaciones sectoriales y, si hay recurso, un tribunal. Y en su mayoría </w:t>
      </w:r>
      <w:r>
        <w:rPr>
          <w:rFonts w:ascii="Calibri" w:cs="Calibri" w:eastAsia="Calibri" w:hAnsi="Calibri"/>
          <w:b/>
          <w:bCs/>
          <w:sz w:val="21"/>
          <w:szCs w:val="21"/>
        </w:rPr>
        <w:t xml:space="preserve">no han visto antes estas exigencias</w:t>
      </w:r>
      <w:r>
        <w:rPr>
          <w:rFonts w:ascii="Calibri" w:cs="Calibri" w:eastAsia="Calibri" w:hAnsi="Calibri"/>
          <w:sz w:val="21"/>
          <w:szCs w:val="21"/>
        </w:rPr>
        <w:t xml:space="preserve">, de modo que hay que prever cómo van a reaccionar antes de publicarlas, no después.</w:t>
      </w:r>
    </w:p>
    <w:p>
      <w:pPr>
        <w:spacing w:after="140" w:line="276"/>
      </w:pPr>
      <w:r>
        <w:rPr>
          <w:rFonts w:ascii="Calibri" w:cs="Calibri" w:eastAsia="Calibri" w:hAnsi="Calibri"/>
          <w:b/>
          <w:bCs/>
          <w:sz w:val="21"/>
          <w:szCs w:val="21"/>
        </w:rPr>
        <w:t xml:space="preserve">Qué se ha hecho:</w:t>
      </w:r>
      <w:r>
        <w:rPr>
          <w:rFonts w:ascii="Calibri" w:cs="Calibri" w:eastAsia="Calibri" w:hAnsi="Calibri"/>
          <w:sz w:val="21"/>
          <w:szCs w:val="21"/>
        </w:rPr>
        <w:t xml:space="preserve"> el </w:t>
      </w:r>
      <w:r>
        <w:rPr>
          <w:rFonts w:ascii="Calibri" w:cs="Calibri" w:eastAsia="Calibri" w:hAnsi="Calibri"/>
          <w:b/>
          <w:bCs/>
          <w:sz w:val="21"/>
          <w:szCs w:val="21"/>
        </w:rPr>
        <w:t xml:space="preserve">§M1.6</w:t>
      </w:r>
      <w:r>
        <w:rPr>
          <w:rFonts w:ascii="Calibri" w:cs="Calibri" w:eastAsia="Calibri" w:hAnsi="Calibri"/>
          <w:sz w:val="21"/>
          <w:szCs w:val="21"/>
        </w:rPr>
        <w:t xml:space="preserve">, que existe por esta razón — consulta preliminar del mercado una vez al año, publicación del catálogo y de su Anexo V antes de incorporarlos a ningún pliego, plazo de presentación por encima del mínimo legal la primera vez, y gradualidad. Con una regla de cierre: si el mercado no puede cumplir una exigencia en el plazo previsto, </w:t>
      </w:r>
      <w:r>
        <w:rPr>
          <w:rFonts w:ascii="Calibri" w:cs="Calibri" w:eastAsia="Calibri" w:hAnsi="Calibri"/>
          <w:b/>
          <w:bCs/>
          <w:sz w:val="21"/>
          <w:szCs w:val="21"/>
        </w:rPr>
        <w:t xml:space="preserve">la exigencia no entra en el pliego</w:t>
      </w:r>
      <w:r>
        <w:rPr>
          <w:rFonts w:ascii="Calibri" w:cs="Calibri" w:eastAsia="Calibri" w:hAnsi="Calibri"/>
          <w:sz w:val="21"/>
          <w:szCs w:val="21"/>
        </w:rPr>
        <w:t xml:space="preserve">.</w:t>
      </w:r>
    </w:p>
    <w:p>
      <w:pPr>
        <w:pBdr>
          <w:bottom w:val="single" w:color="D0D0D0" w:sz="6"/>
        </w:pBdr>
        <w:spacing w:after="200" w:before="120"/>
      </w:pPr>
    </w:p>
    <w:p>
      <w:pPr>
        <w:spacing w:after="140" w:line="276"/>
      </w:pPr>
      <w:r>
        <w:rPr>
          <w:rFonts w:ascii="Calibri" w:cs="Calibri" w:eastAsia="Calibri" w:hAnsi="Calibri"/>
          <w:b/>
          <w:bCs/>
          <w:sz w:val="21"/>
          <w:szCs w:val="21"/>
        </w:rPr>
        <w:t xml:space="preserve">Una advertencia sobre el valor de esta sección, que conviene dejar escrita.</w:t>
      </w:r>
      <w:r>
        <w:rPr>
          <w:rFonts w:ascii="Calibri" w:cs="Calibri" w:eastAsia="Calibri" w:hAnsi="Calibri"/>
          <w:sz w:val="21"/>
          <w:szCs w:val="21"/>
        </w:rPr>
        <w:t xml:space="preserve"> Lo anterior es el resultado de una deliberación entre quienes han trabajado el documento, no un informe de ningún órgano ni la posición de ninguna administración. </w:t>
      </w:r>
      <w:r>
        <w:rPr>
          <w:rFonts w:ascii="Calibri" w:cs="Calibri" w:eastAsia="Calibri" w:hAnsi="Calibri"/>
          <w:b/>
          <w:bCs/>
          <w:sz w:val="21"/>
          <w:szCs w:val="21"/>
        </w:rPr>
        <w:t xml:space="preserve">Ningún órgano de contratación, de intervención ni de asesoría jurídica se ha pronunciado sobre este catálogo</w:t>
      </w:r>
      <w:r>
        <w:rPr>
          <w:rFonts w:ascii="Calibri" w:cs="Calibri" w:eastAsia="Calibri" w:hAnsi="Calibri"/>
          <w:sz w:val="21"/>
          <w:szCs w:val="21"/>
        </w:rPr>
        <w:t xml:space="preserve">, y este documento no les atribuye posición alguna, ni a favor ni en contra. Antes de incorporar el catálogo a un expediente concreto debe recabarse de los servicios competentes el </w:t>
      </w:r>
      <w:r>
        <w:rPr>
          <w:rFonts w:ascii="Calibri" w:cs="Calibri" w:eastAsia="Calibri" w:hAnsi="Calibri"/>
          <w:b/>
          <w:bCs/>
          <w:sz w:val="21"/>
          <w:szCs w:val="21"/>
        </w:rPr>
        <w:t xml:space="preserve">informe firmado y fechado</w:t>
      </w:r>
      <w:r>
        <w:rPr>
          <w:rFonts w:ascii="Calibri" w:cs="Calibri" w:eastAsia="Calibri" w:hAnsi="Calibri"/>
          <w:sz w:val="21"/>
          <w:szCs w:val="21"/>
        </w:rPr>
        <w:t xml:space="preserve"> que corresponda, y es ese informe —no esta sección— el que se cita en la memoria justificativa del expediente.</w:t>
      </w:r>
    </w:p>
    <w:p>
      <w:pPr>
        <w:pStyle w:val="Heading3"/>
        <w:keepNext/>
        <w:spacing w:after="140" w:before="320"/>
      </w:pPr>
      <w:r>
        <w:rPr>
          <w:rFonts w:ascii="Georgia" w:cs="Georgia" w:eastAsia="Georgia" w:hAnsi="Georgia"/>
          <w:b/>
          <w:bCs/>
          <w:color w:val="2F5496"/>
          <w:sz w:val="22"/>
          <w:szCs w:val="22"/>
        </w:rPr>
        <w:t xml:space="preserve">M1.2 · La necesidad tiene tres orígenes posibles, y sólo uno es el gestor</w:t>
      </w:r>
    </w:p>
    <w:p>
      <w:pPr>
        <w:spacing w:after="140" w:line="276"/>
      </w:pPr>
      <w:r>
        <w:rPr>
          <w:rFonts w:ascii="Calibri" w:cs="Calibri" w:eastAsia="Calibri" w:hAnsi="Calibri"/>
          <w:sz w:val="21"/>
          <w:szCs w:val="21"/>
        </w:rPr>
        <w:t xml:space="preserve">La premisa «primero surge la necesidad [del gestor] y luego la cláusula» es correcta como regla general y </w:t>
      </w:r>
      <w:r>
        <w:rPr>
          <w:rFonts w:ascii="Calibri" w:cs="Calibri" w:eastAsia="Calibri" w:hAnsi="Calibri"/>
          <w:b/>
          <w:bCs/>
          <w:sz w:val="21"/>
          <w:szCs w:val="21"/>
        </w:rPr>
        <w:t xml:space="preserve">está desmentida por el ordenamiento vigente en una parte del catálogo</w:t>
      </w:r>
      <w:r>
        <w:rPr>
          <w:rFonts w:ascii="Calibri" w:cs="Calibri" w:eastAsia="Calibri" w:hAnsi="Calibri"/>
          <w:sz w:val="21"/>
          <w:szCs w:val="21"/>
        </w:rPr>
        <w:t xml:space="preserve">. Hay tres orígenes legítimos de necesidad, y el catálogo obliga a identificar cuál opera en cada cláusula y en cada expediente:</w:t>
      </w:r>
    </w:p>
    <w:p>
      <w:pPr>
        <w:spacing w:after="140" w:line="276"/>
      </w:pPr>
      <w:r>
        <w:rPr>
          <w:rFonts w:ascii="Calibri" w:cs="Calibri" w:eastAsia="Calibri" w:hAnsi="Calibri"/>
          <w:b/>
          <w:bCs/>
          <w:sz w:val="21"/>
          <w:szCs w:val="21"/>
        </w:rPr>
        <w:t xml:space="preserve">(a) Necesidad impuesta por una norma al Ayuntamiento en su conjunto.</w:t>
      </w:r>
      <w:r>
        <w:rPr>
          <w:rFonts w:ascii="Calibri" w:cs="Calibri" w:eastAsia="Calibri" w:hAnsi="Calibri"/>
          <w:sz w:val="21"/>
          <w:szCs w:val="21"/>
        </w:rPr>
        <w:t xml:space="preserve"> Ningún gestor la pedirá, porque no nace de su servicio. Ejemplos verificados en fuente:</w:t>
      </w:r>
    </w:p>
    <w:p>
      <w:pPr>
        <w:pStyle w:val="ListParagraph"/>
        <w:numPr>
          <w:ilvl w:val="0"/>
          <w:numId w:val="1"/>
        </w:numPr>
        <w:spacing w:after="70" w:line="268"/>
      </w:pPr>
      <w:r>
        <w:rPr>
          <w:rFonts w:ascii="Calibri" w:cs="Calibri" w:eastAsia="Calibri" w:hAnsi="Calibri"/>
          <w:b/>
          <w:bCs/>
          <w:sz w:val="21"/>
          <w:szCs w:val="21"/>
        </w:rPr>
        <w:t xml:space="preserve">Esquema Nacional de Seguridad.</w:t>
      </w:r>
      <w:r>
        <w:rPr>
          <w:rFonts w:ascii="Calibri" w:cs="Calibri" w:eastAsia="Calibri" w:hAnsi="Calibri"/>
          <w:sz w:val="21"/>
          <w:szCs w:val="21"/>
        </w:rPr>
        <w:t xml:space="preserve"> El art. 2.3, párrafos tercero y cuarto, del RD 311/2022 dice literalmente que los pliegos </w:t>
      </w:r>
      <w:r>
        <w:rPr>
          <w:rFonts w:ascii="Calibri" w:cs="Calibri" w:eastAsia="Calibri" w:hAnsi="Calibri"/>
          <w:i/>
          <w:iCs/>
          <w:sz w:val="21"/>
          <w:szCs w:val="21"/>
        </w:rPr>
        <w:t xml:space="preserve">«contemplarán todos aquellos requisitos necesarios para asegurar la conformidad con el ENS de los sistemas de información en los que se sustenten los servicios prestados por los contratistas, tales como la presentación de las correspondientes Declaraciones o Certificaciones de Conformidad con el ENS»</w:t>
      </w:r>
      <w:r>
        <w:rPr>
          <w:rFonts w:ascii="Calibri" w:cs="Calibri" w:eastAsia="Calibri" w:hAnsi="Calibri"/>
          <w:sz w:val="21"/>
          <w:szCs w:val="21"/>
        </w:rPr>
        <w:t xml:space="preserve">, y añade que </w:t>
      </w:r>
      <w:r>
        <w:rPr>
          <w:rFonts w:ascii="Calibri" w:cs="Calibri" w:eastAsia="Calibri" w:hAnsi="Calibri"/>
          <w:i/>
          <w:iCs/>
          <w:sz w:val="21"/>
          <w:szCs w:val="21"/>
        </w:rPr>
        <w:t xml:space="preserve">«Esta cautela se extenderá también a la cadena de suministro de dichos contratistas»</w:t>
      </w:r>
      <w:r>
        <w:rPr>
          <w:rFonts w:ascii="Calibri" w:cs="Calibri" w:eastAsia="Calibri" w:hAnsi="Calibri"/>
          <w:sz w:val="21"/>
          <w:szCs w:val="21"/>
        </w:rPr>
        <w:t xml:space="preserve">. La obligación de incluir la cláusula recae sobre el pliego, no sobre el gestor.</w:t>
      </w:r>
    </w:p>
    <w:p>
      <w:pPr>
        <w:pStyle w:val="ListParagraph"/>
        <w:numPr>
          <w:ilvl w:val="0"/>
          <w:numId w:val="1"/>
        </w:numPr>
        <w:spacing w:after="70" w:line="268"/>
      </w:pPr>
      <w:r>
        <w:rPr>
          <w:rFonts w:ascii="Calibri" w:cs="Calibri" w:eastAsia="Calibri" w:hAnsi="Calibri"/>
          <w:b/>
          <w:bCs/>
          <w:sz w:val="21"/>
          <w:szCs w:val="21"/>
        </w:rPr>
        <w:t xml:space="preserve">Protección de datos.</w:t>
      </w:r>
      <w:r>
        <w:rPr>
          <w:rFonts w:ascii="Calibri" w:cs="Calibri" w:eastAsia="Calibri" w:hAnsi="Calibri"/>
          <w:sz w:val="21"/>
          <w:szCs w:val="21"/>
        </w:rPr>
        <w:t xml:space="preserve"> El art. 202.1, párrafo tercero, LCSP impone establecer una condición especial de ejecución y advertir al contratista de que tiene carácter esencial, </w:t>
      </w:r>
      <w:r>
        <w:rPr>
          <w:rFonts w:ascii="Calibri" w:cs="Calibri" w:eastAsia="Calibri" w:hAnsi="Calibri"/>
          <w:b/>
          <w:bCs/>
          <w:sz w:val="21"/>
          <w:szCs w:val="21"/>
        </w:rPr>
        <w:t xml:space="preserve">en los contratos cuya ejecución implique cesión de datos</w:t>
      </w:r>
      <w:r>
        <w:rPr>
          <w:rFonts w:ascii="Calibri" w:cs="Calibri" w:eastAsia="Calibri" w:hAnsi="Calibri"/>
          <w:sz w:val="21"/>
          <w:szCs w:val="21"/>
        </w:rPr>
        <w:t xml:space="preserve">. Nadie la ha pedido; la ley la manda.</w:t>
      </w:r>
    </w:p>
    <w:p>
      <w:pPr>
        <w:pStyle w:val="ListParagraph"/>
        <w:numPr>
          <w:ilvl w:val="0"/>
          <w:numId w:val="1"/>
        </w:numPr>
        <w:spacing w:after="70" w:line="268"/>
      </w:pPr>
      <w:r>
        <w:rPr>
          <w:rFonts w:ascii="Calibri" w:cs="Calibri" w:eastAsia="Calibri" w:hAnsi="Calibri"/>
          <w:b/>
          <w:bCs/>
          <w:sz w:val="21"/>
          <w:szCs w:val="21"/>
        </w:rPr>
        <w:t xml:space="preserve">Ubicación de servidores y subcontratación.</w:t>
      </w:r>
      <w:r>
        <w:rPr>
          <w:rFonts w:ascii="Calibri" w:cs="Calibri" w:eastAsia="Calibri" w:hAnsi="Calibri"/>
          <w:sz w:val="21"/>
          <w:szCs w:val="21"/>
        </w:rPr>
        <w:t xml:space="preserve"> El art. 122.2 LCSP obliga a calificar esas obligaciones como esenciales </w:t>
      </w:r>
      <w:r>
        <w:rPr>
          <w:rFonts w:ascii="Calibri" w:cs="Calibri" w:eastAsia="Calibri" w:hAnsi="Calibri"/>
          <w:i/>
          <w:iCs/>
          <w:sz w:val="21"/>
          <w:szCs w:val="21"/>
        </w:rPr>
        <w:t xml:space="preserve">«en todo caso»</w:t>
      </w:r>
      <w:r>
        <w:rPr>
          <w:rFonts w:ascii="Calibri" w:cs="Calibri" w:eastAsia="Calibri" w:hAnsi="Calibri"/>
          <w:sz w:val="21"/>
          <w:szCs w:val="21"/>
        </w:rPr>
        <w:t xml:space="preserve">, </w:t>
      </w:r>
      <w:r>
        <w:rPr>
          <w:rFonts w:ascii="Calibri" w:cs="Calibri" w:eastAsia="Calibri" w:hAnsi="Calibri"/>
          <w:b/>
          <w:bCs/>
          <w:sz w:val="21"/>
          <w:szCs w:val="21"/>
        </w:rPr>
        <w:t xml:space="preserve">en los contratos cuya ejecución requiera el tratamiento por el contratista de datos personales por cuenta del responsable</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b/>
          <w:bCs/>
          <w:sz w:val="21"/>
          <w:szCs w:val="21"/>
        </w:rPr>
        <w:t xml:space="preserve">Titularidad de derechos para poder ceder la aplicación a otra Administración.</w:t>
      </w:r>
      <w:r>
        <w:rPr>
          <w:rFonts w:ascii="Calibri" w:cs="Calibri" w:eastAsia="Calibri" w:hAnsi="Calibri"/>
          <w:sz w:val="21"/>
          <w:szCs w:val="21"/>
        </w:rPr>
        <w:t xml:space="preserve"> El art. 157.1 de la Ley 40/2015 sólo permite ceder aquellas aplicaciones de cuyos derechos se sea titular. Sin la cláusula de propiedad intelectual correctamente redactada, el Ayuntamiento no puede cumplir ese precepto años después.</w:t>
      </w:r>
    </w:p>
    <w:p>
      <w:pPr>
        <w:pStyle w:val="ListParagraph"/>
        <w:numPr>
          <w:ilvl w:val="0"/>
          <w:numId w:val="1"/>
        </w:numPr>
        <w:spacing w:after="70" w:line="268"/>
      </w:pPr>
      <w:r>
        <w:rPr>
          <w:rFonts w:ascii="Calibri" w:cs="Calibri" w:eastAsia="Calibri" w:hAnsi="Calibri"/>
          <w:b/>
          <w:bCs/>
          <w:sz w:val="21"/>
          <w:szCs w:val="21"/>
        </w:rPr>
        <w:t xml:space="preserve">Actuación administrativa automatizada.</w:t>
      </w:r>
      <w:r>
        <w:rPr>
          <w:rFonts w:ascii="Calibri" w:cs="Calibri" w:eastAsia="Calibri" w:hAnsi="Calibri"/>
          <w:sz w:val="21"/>
          <w:szCs w:val="21"/>
        </w:rPr>
        <w:t xml:space="preserve"> El art. 41.2 de la Ley 40/2015 exige establecer previamente los órganos competentes para la definición de especificaciones, programación, mantenimiento, supervisión, control de calidad y auditoría del sistema de información y de su código fuente.</w:t>
      </w:r>
    </w:p>
    <w:p>
      <w:pPr>
        <w:spacing w:after="140" w:line="276"/>
      </w:pPr>
      <w:r>
        <w:rPr>
          <w:rFonts w:ascii="Calibri" w:cs="Calibri" w:eastAsia="Calibri" w:hAnsi="Calibri"/>
          <w:b/>
          <w:bCs/>
          <w:sz w:val="21"/>
          <w:szCs w:val="21"/>
        </w:rPr>
        <w:t xml:space="preserve">(b) Necesidad funcional declarada por el gestor.</w:t>
      </w:r>
      <w:r>
        <w:rPr>
          <w:rFonts w:ascii="Calibri" w:cs="Calibri" w:eastAsia="Calibri" w:hAnsi="Calibri"/>
          <w:sz w:val="21"/>
          <w:szCs w:val="21"/>
        </w:rPr>
        <w:t xml:space="preserve"> Es el caso ordinario y el que la objeción describe bien. La firma la cabeza del servicio gestor en la Ficha de Aplicabilidad.</w:t>
      </w:r>
    </w:p>
    <w:p>
      <w:pPr>
        <w:spacing w:after="140" w:line="276"/>
      </w:pPr>
      <w:r>
        <w:rPr>
          <w:rFonts w:ascii="Calibri" w:cs="Calibri" w:eastAsia="Calibri" w:hAnsi="Calibri"/>
          <w:b/>
          <w:bCs/>
          <w:sz w:val="21"/>
          <w:szCs w:val="21"/>
        </w:rPr>
        <w:t xml:space="preserve">(c) Necesidad institucional aprobada por el órgano de gobierno.</w:t>
      </w:r>
      <w:r>
        <w:rPr>
          <w:rFonts w:ascii="Calibri" w:cs="Calibri" w:eastAsia="Calibri" w:hAnsi="Calibri"/>
          <w:sz w:val="21"/>
          <w:szCs w:val="21"/>
        </w:rPr>
        <w:t xml:space="preserve"> Es el eslabón que faltaba, y sin él el catálogo no se sostiene en su núcleo. Ninguna norma obliga hoy a un ayuntamiento a que sus sistemas de gestión expongan una interfaz de acceso programático para agentes de IA. Y el gestor del servicio no lo va a pedir. Si esa necesidad no está en la norma ni en el gestor, </w:t>
      </w:r>
      <w:r>
        <w:rPr>
          <w:rFonts w:ascii="Calibri" w:cs="Calibri" w:eastAsia="Calibri" w:hAnsi="Calibri"/>
          <w:b/>
          <w:bCs/>
          <w:sz w:val="21"/>
          <w:szCs w:val="21"/>
        </w:rPr>
        <w:t xml:space="preserve">tiene que estar en un acto del órgano de gobierno municipal con rango suficiente</w:t>
      </w:r>
      <w:r>
        <w:rPr>
          <w:rFonts w:ascii="Calibri" w:cs="Calibri" w:eastAsia="Calibri" w:hAnsi="Calibri"/>
          <w:sz w:val="21"/>
          <w:szCs w:val="21"/>
        </w:rPr>
        <w:t xml:space="preserve">: un plan o estrategia municipal de digitalización y automatización aprobado por el órgano de gobierno (en los municipios de gran población, la Junta de Gobierno Local, por su régimen del Título X de la Ley 7/1985; en el régimen común, el órgano que corresponda), que fije objetivos, alcance y calendario, y que apruebe el catálogo y su Anexo V anual.</w:t>
      </w:r>
    </w:p>
    <w:p>
      <w:pPr>
        <w:spacing w:after="140" w:line="276"/>
      </w:pPr>
      <w:r>
        <w:rPr>
          <w:rFonts w:ascii="Calibri" w:cs="Calibri" w:eastAsia="Calibri" w:hAnsi="Calibri"/>
          <w:sz w:val="21"/>
          <w:szCs w:val="21"/>
        </w:rPr>
        <w:t xml:space="preserve">Con ese acuerdo, el Informe de Necesidad de cada expediente no invoca un documento técnico de una concejalía: invoca una política municipal aprobada, y la relación con el objeto del contrato pasa a ser derivada de ella. </w:t>
      </w:r>
      <w:r>
        <w:rPr>
          <w:rFonts w:ascii="Calibri" w:cs="Calibri" w:eastAsia="Calibri" w:hAnsi="Calibri"/>
          <w:b/>
          <w:bCs/>
          <w:sz w:val="21"/>
          <w:szCs w:val="21"/>
        </w:rPr>
        <w:t xml:space="preserve">Sin ese acuerdo, el Anexo V describe lo que el mercado vende, no lo que el Ayuntamiento necesita</w:t>
      </w:r>
      <w:r>
        <w:rPr>
          <w:rFonts w:ascii="Calibri" w:cs="Calibri" w:eastAsia="Calibri" w:hAnsi="Calibri"/>
          <w:sz w:val="21"/>
          <w:szCs w:val="21"/>
        </w:rPr>
        <w:t xml:space="preserve">, y la ficha de cada expediente se acabará rellenando con el mismo párrafo, que es la definición de justificación estereotipada. El modelo de acuerdo figura en el </w:t>
      </w:r>
      <w:r>
        <w:rPr>
          <w:rFonts w:ascii="Calibri" w:cs="Calibri" w:eastAsia="Calibri" w:hAnsi="Calibri"/>
          <w:b/>
          <w:bCs/>
          <w:sz w:val="21"/>
          <w:szCs w:val="21"/>
        </w:rPr>
        <w:t xml:space="preserve">Anexo VIII</w:t>
      </w:r>
      <w:r>
        <w:rPr>
          <w:rFonts w:ascii="Calibri" w:cs="Calibri" w:eastAsia="Calibri" w:hAnsi="Calibri"/>
          <w:sz w:val="21"/>
          <w:szCs w:val="21"/>
        </w:rPr>
        <w:t xml:space="preserve">, y el modelo de resolución de aprobación anual del Anexo V del ejercicio, en el </w:t>
      </w:r>
      <w:r>
        <w:rPr>
          <w:rFonts w:ascii="Calibri" w:cs="Calibri" w:eastAsia="Calibri" w:hAnsi="Calibri"/>
          <w:b/>
          <w:bCs/>
          <w:sz w:val="21"/>
          <w:szCs w:val="21"/>
        </w:rPr>
        <w:t xml:space="preserve">Anexo XV</w:t>
      </w:r>
      <w:r>
        <w:rPr>
          <w:rFonts w:ascii="Calibri" w:cs="Calibri" w:eastAsia="Calibri" w:hAnsi="Calibri"/>
          <w:sz w:val="21"/>
          <w:szCs w:val="21"/>
        </w:rPr>
        <w:t xml:space="preserve">.</w:t>
      </w:r>
    </w:p>
    <w:p>
      <w:pPr>
        <w:pStyle w:val="Heading3"/>
        <w:keepNext/>
        <w:spacing w:after="140" w:before="320"/>
      </w:pPr>
      <w:r>
        <w:rPr>
          <w:rFonts w:ascii="Georgia" w:cs="Georgia" w:eastAsia="Georgia" w:hAnsi="Georgia"/>
          <w:b/>
          <w:bCs/>
          <w:color w:val="2F5496"/>
          <w:sz w:val="22"/>
          <w:szCs w:val="22"/>
        </w:rPr>
        <w:t xml:space="preserve">M1.2 bis · Y si el órgano de gobierno no aprueba nada</w:t>
      </w:r>
    </w:p>
    <w:p>
      <w:pPr>
        <w:spacing w:after="140" w:line="276"/>
      </w:pPr>
      <w:r>
        <w:rPr>
          <w:rFonts w:ascii="Calibri" w:cs="Calibri" w:eastAsia="Calibri" w:hAnsi="Calibri"/>
          <w:sz w:val="21"/>
          <w:szCs w:val="21"/>
        </w:rPr>
        <w:t xml:space="preserve">Es la pregunta que hace cualquiera que tenga que aplicar esto de verdad, y merece respuesta directa en vez de una remisión: </w:t>
      </w:r>
      <w:r>
        <w:rPr>
          <w:rFonts w:ascii="Calibri" w:cs="Calibri" w:eastAsia="Calibri" w:hAnsi="Calibri"/>
          <w:b/>
          <w:bCs/>
          <w:sz w:val="21"/>
          <w:szCs w:val="21"/>
        </w:rPr>
        <w:t xml:space="preserve">¿y si el ayuntamiento no quiere aprobar ninguna política digital, pero sí quiere usar el catálogo y poner exigencias tecnológicas?</w:t>
      </w:r>
    </w:p>
    <w:p>
      <w:pPr>
        <w:spacing w:after="140" w:line="276"/>
      </w:pPr>
      <w:r>
        <w:rPr>
          <w:rFonts w:ascii="Calibri" w:cs="Calibri" w:eastAsia="Calibri" w:hAnsi="Calibri"/>
          <w:sz w:val="21"/>
          <w:szCs w:val="21"/>
        </w:rPr>
        <w:t xml:space="preserve">La respuesta corta: </w:t>
      </w:r>
      <w:r>
        <w:rPr>
          <w:rFonts w:ascii="Calibri" w:cs="Calibri" w:eastAsia="Calibri" w:hAnsi="Calibri"/>
          <w:b/>
          <w:bCs/>
          <w:sz w:val="21"/>
          <w:szCs w:val="21"/>
        </w:rPr>
        <w:t xml:space="preserve">se puede hacer casi todo, y lo que no, tiene tres salidas antes de renunciar.</w:t>
      </w:r>
    </w:p>
    <w:p>
      <w:pPr>
        <w:spacing w:after="140" w:line="276"/>
      </w:pPr>
      <w:r>
        <w:rPr>
          <w:rFonts w:ascii="Calibri" w:cs="Calibri" w:eastAsia="Calibri" w:hAnsi="Calibri"/>
          <w:b/>
          <w:bCs/>
          <w:sz w:val="21"/>
          <w:szCs w:val="21"/>
        </w:rPr>
        <w:t xml:space="preserve">Primero, lo que no depende de nadie.</w:t>
      </w:r>
      <w:r>
        <w:rPr>
          <w:rFonts w:ascii="Calibri" w:cs="Calibri" w:eastAsia="Calibri" w:hAnsi="Calibri"/>
          <w:sz w:val="21"/>
          <w:szCs w:val="21"/>
        </w:rPr>
        <w:t xml:space="preserve"> Todo lo de origen normativo o funcional entra hoy, motivado en la memoria del expediente con datos propios. Es la mayor parte del catálogo y la de más valor económico: reversibilidad, propiedad intelectual y licencia mínima, acceso de los órganos de control al dato, ENS bien redactado, equivalencia y prueba, penalidades tipificadas. De las seis cláusulas del subconjunto mínimo del §VI.2.2, </w:t>
      </w:r>
      <w:r>
        <w:rPr>
          <w:rFonts w:ascii="Calibri" w:cs="Calibri" w:eastAsia="Calibri" w:hAnsi="Calibri"/>
          <w:b/>
          <w:bCs/>
          <w:sz w:val="21"/>
          <w:szCs w:val="21"/>
        </w:rPr>
        <w:t xml:space="preserve">cinco</w:t>
      </w:r>
      <w:r>
        <w:rPr>
          <w:rFonts w:ascii="Calibri" w:cs="Calibri" w:eastAsia="Calibri" w:hAnsi="Calibri"/>
          <w:sz w:val="21"/>
          <w:szCs w:val="21"/>
        </w:rPr>
        <w:t xml:space="preserve"> se sostienen así.</w:t>
      </w:r>
    </w:p>
    <w:p>
      <w:pPr>
        <w:spacing w:after="140" w:line="276"/>
      </w:pPr>
      <w:r>
        <w:rPr>
          <w:rFonts w:ascii="Calibri" w:cs="Calibri" w:eastAsia="Calibri" w:hAnsi="Calibri"/>
          <w:b/>
          <w:bCs/>
          <w:sz w:val="21"/>
          <w:szCs w:val="21"/>
        </w:rPr>
        <w:t xml:space="preserve">Segundo, lo que sí necesita anclaje institucional</w:t>
      </w:r>
      <w:r>
        <w:rPr>
          <w:rFonts w:ascii="Calibri" w:cs="Calibri" w:eastAsia="Calibri" w:hAnsi="Calibri"/>
          <w:sz w:val="21"/>
          <w:szCs w:val="21"/>
        </w:rPr>
        <w:t xml:space="preserve"> —el catálogo anual de exigencias tecnológicas del Anexo V y la interfaz de acceso para agentes más allá del control interno— no exige necesariamente un acuerdo </w:t>
      </w:r>
      <w:r>
        <w:rPr>
          <w:rFonts w:ascii="Calibri" w:cs="Calibri" w:eastAsia="Calibri" w:hAnsi="Calibri"/>
          <w:i/>
          <w:iCs/>
          <w:sz w:val="21"/>
          <w:szCs w:val="21"/>
        </w:rPr>
        <w:t xml:space="preserve">nuevo</w:t>
      </w:r>
      <w:r>
        <w:rPr>
          <w:rFonts w:ascii="Calibri" w:cs="Calibri" w:eastAsia="Calibri" w:hAnsi="Calibri"/>
          <w:sz w:val="21"/>
          <w:szCs w:val="21"/>
        </w:rPr>
        <w:t xml:space="preserve">. Exige </w:t>
      </w:r>
      <w:r>
        <w:rPr>
          <w:rFonts w:ascii="Calibri" w:cs="Calibri" w:eastAsia="Calibri" w:hAnsi="Calibri"/>
          <w:b/>
          <w:bCs/>
          <w:sz w:val="21"/>
          <w:szCs w:val="21"/>
        </w:rPr>
        <w:t xml:space="preserve">un acto de la administración, con rango suficiente, que fije esa política</w:t>
      </w:r>
      <w:r>
        <w:rPr>
          <w:rFonts w:ascii="Calibri" w:cs="Calibri" w:eastAsia="Calibri" w:hAnsi="Calibri"/>
          <w:sz w:val="21"/>
          <w:szCs w:val="21"/>
        </w:rPr>
        <w:t xml:space="preserve">. Antes de pedir uno, búsquese si ya existe: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Si el ayuntamiento ya tiene…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Sirve como anclaje si…</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 plan o estrategia de digitalización, transformación digital o administración electrónica aprobado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Contiene objetivos de interoperabilidad, automatización o soberanía del dato a los que la exigencia pueda reconducirse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ordenanza de administración electrónica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Prevé la relación por medios electrónicos y la interoperabilidad de sus sistemas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 plan de gobierno abierto, de datos abiertos o una estrategia de ciudad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Fija compromisos de publicación, reutilización o explotación del dato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 acuerdo de adhesión a un marco supramunicipal (ENS, ENI, plan autonómico)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compromiso alcanza a los sistemas objeto del contrato</w:t>
            </w:r>
          </w:p>
        </w:tc>
      </w:tr>
    </w:tbl>
    <w:p>
      <w:pPr>
        <w:spacing w:after="200"/>
      </w:pPr>
    </w:p>
    <w:p>
      <w:pPr>
        <w:spacing w:after="140" w:line="276"/>
      </w:pPr>
      <w:r>
        <w:rPr>
          <w:rFonts w:ascii="Calibri" w:cs="Calibri" w:eastAsia="Calibri" w:hAnsi="Calibri"/>
          <w:sz w:val="21"/>
          <w:szCs w:val="21"/>
        </w:rPr>
        <w:t xml:space="preserve">En ese caso la ficha del Anexo II no invoca un documento técnico de una concejalía: </w:t>
      </w:r>
      <w:r>
        <w:rPr>
          <w:rFonts w:ascii="Calibri" w:cs="Calibri" w:eastAsia="Calibri" w:hAnsi="Calibri"/>
          <w:b/>
          <w:bCs/>
          <w:sz w:val="21"/>
          <w:szCs w:val="21"/>
        </w:rPr>
        <w:t xml:space="preserve">invoca una política ya aprobada</w:t>
      </w:r>
      <w:r>
        <w:rPr>
          <w:rFonts w:ascii="Calibri" w:cs="Calibri" w:eastAsia="Calibri" w:hAnsi="Calibri"/>
          <w:sz w:val="21"/>
          <w:szCs w:val="21"/>
        </w:rPr>
        <w:t xml:space="preserve">, y el §M1.2.c) queda satisfecho sin volver a la Junta.</w:t>
      </w:r>
    </w:p>
    <w:p>
      <w:pPr>
        <w:spacing w:after="140" w:line="276"/>
      </w:pPr>
      <w:r>
        <w:rPr>
          <w:rFonts w:ascii="Calibri" w:cs="Calibri" w:eastAsia="Calibri" w:hAnsi="Calibri"/>
          <w:b/>
          <w:bCs/>
          <w:sz w:val="21"/>
          <w:szCs w:val="21"/>
        </w:rPr>
        <w:t xml:space="preserve">Tercero, si no existe nada de eso</w:t>
      </w:r>
      <w:r>
        <w:rPr>
          <w:rFonts w:ascii="Calibri" w:cs="Calibri" w:eastAsia="Calibri" w:hAnsi="Calibri"/>
          <w:sz w:val="21"/>
          <w:szCs w:val="21"/>
        </w:rPr>
        <w:t xml:space="preserve">, quedan tres caminos, en este orden:</w:t>
      </w:r>
    </w:p>
    <w:p>
      <w:pPr>
        <w:pStyle w:val="ListParagraph"/>
        <w:numPr>
          <w:ilvl w:val="0"/>
          <w:numId w:val="2"/>
        </w:numPr>
        <w:spacing w:after="70" w:line="268"/>
      </w:pPr>
      <w:r>
        <w:rPr>
          <w:rFonts w:ascii="Calibri" w:cs="Calibri" w:eastAsia="Calibri" w:hAnsi="Calibri"/>
          <w:b/>
          <w:bCs/>
          <w:sz w:val="21"/>
          <w:szCs w:val="21"/>
        </w:rPr>
        <w:t xml:space="preserve">Reanclar por vía funcional lo que se pueda.</w:t>
      </w:r>
      <w:r>
        <w:rPr>
          <w:rFonts w:ascii="Calibri" w:cs="Calibri" w:eastAsia="Calibri" w:hAnsi="Calibri"/>
          <w:sz w:val="21"/>
          <w:szCs w:val="21"/>
        </w:rPr>
        <w:t xml:space="preserve"> Muchas exigencias que parecen institucionales lo dejan de ser en cuanto el gestor pone datos encima: número de peticiones al año y plazo medio de respuesta actual, coste estimado del cambio de proveedor, horas dedicadas a una tramitación. El §M1.2.b) es una vía tan legítima como el acuerdo, y a menudo más sólida ante un tribunal, porque la necesidad se acredita con hechos del propio servicio y no con una declaración de intenciones.</w:t>
      </w:r>
    </w:p>
    <w:p>
      <w:pPr>
        <w:pStyle w:val="ListParagraph"/>
        <w:numPr>
          <w:ilvl w:val="0"/>
          <w:numId w:val="2"/>
        </w:numPr>
        <w:spacing w:after="70" w:line="268"/>
      </w:pPr>
      <w:r>
        <w:rPr>
          <w:rFonts w:ascii="Calibri" w:cs="Calibri" w:eastAsia="Calibri" w:hAnsi="Calibri"/>
          <w:b/>
          <w:bCs/>
          <w:sz w:val="21"/>
          <w:szCs w:val="21"/>
        </w:rPr>
        <w:t xml:space="preserve">Aprobar el Anexo V del ejercicio por resolución del órgano competente</w:t>
      </w:r>
      <w:r>
        <w:rPr>
          <w:rFonts w:ascii="Calibri" w:cs="Calibri" w:eastAsia="Calibri" w:hAnsi="Calibri"/>
          <w:sz w:val="21"/>
          <w:szCs w:val="21"/>
        </w:rPr>
        <w:t xml:space="preserve">, sin plan municipal previo, motivándola en la memoria y publicándola con su contraste de mercado (Anexo XV). Es menos sólido que un acuerdo de gobierno —lo dice el §M8— pero es un acto administrativo con responsable, y sostiene la exigencia mientras nadie lo recurra.</w:t>
      </w:r>
    </w:p>
    <w:p>
      <w:pPr>
        <w:pStyle w:val="ListParagraph"/>
        <w:numPr>
          <w:ilvl w:val="0"/>
          <w:numId w:val="2"/>
        </w:numPr>
        <w:spacing w:after="70" w:line="268"/>
      </w:pPr>
      <w:r>
        <w:rPr>
          <w:rFonts w:ascii="Calibri" w:cs="Calibri" w:eastAsia="Calibri" w:hAnsi="Calibri"/>
          <w:b/>
          <w:bCs/>
          <w:sz w:val="21"/>
          <w:szCs w:val="21"/>
        </w:rPr>
        <w:t xml:space="preserve">Y si tampoco eso</w:t>
      </w:r>
      <w:r>
        <w:rPr>
          <w:rFonts w:ascii="Calibri" w:cs="Calibri" w:eastAsia="Calibri" w:hAnsi="Calibri"/>
          <w:sz w:val="21"/>
          <w:szCs w:val="21"/>
        </w:rPr>
        <w:t xml:space="preserve">: incorpórese el subconjunto mínimo sin ADM-2·v3 y déjese constancia en la memoria de que la exigencia tecnológica se pospone por falta de anclaje. Es preferible un expediente con cinco cláusulas defendibles que uno con seis y una recurrible.</w:t>
      </w:r>
    </w:p>
    <w:p>
      <w:pPr>
        <w:spacing w:after="140" w:line="276"/>
      </w:pPr>
      <w:r>
        <w:rPr>
          <w:rFonts w:ascii="Calibri" w:cs="Calibri" w:eastAsia="Calibri" w:hAnsi="Calibri"/>
          <w:b/>
          <w:bCs/>
          <w:sz w:val="21"/>
          <w:szCs w:val="21"/>
        </w:rPr>
        <w:t xml:space="preserve">Lo que no se debe hacer, y es la tentación.</w:t>
      </w:r>
      <w:r>
        <w:rPr>
          <w:rFonts w:ascii="Calibri" w:cs="Calibri" w:eastAsia="Calibri" w:hAnsi="Calibri"/>
          <w:sz w:val="21"/>
          <w:szCs w:val="21"/>
        </w:rPr>
        <w:t xml:space="preserve"> Incorporar el Anexo V igualmente, rellenando la ficha con una frase genérica del tipo «conviene que las aplicaciones municipales sean interoperables con agentes de inteligencia artificial». Ese párrafo se repite idéntico en todos los expedientes, y es la definición de justificación estereotipada que un tribunal rechaza. Sin anclaje, la cláusula no se disfraza: se pospone.</w:t>
      </w:r>
    </w:p>
    <w:p>
      <w:pPr>
        <w:pStyle w:val="Heading3"/>
        <w:keepNext/>
        <w:spacing w:after="140" w:before="320"/>
      </w:pPr>
      <w:r>
        <w:rPr>
          <w:rFonts w:ascii="Georgia" w:cs="Georgia" w:eastAsia="Georgia" w:hAnsi="Georgia"/>
          <w:b/>
          <w:bCs/>
          <w:color w:val="2F5496"/>
          <w:sz w:val="22"/>
          <w:szCs w:val="22"/>
        </w:rPr>
        <w:t xml:space="preserve">M1.3 · Doble vía de firma de la ficha</w:t>
      </w:r>
    </w:p>
    <w:p>
      <w:pPr>
        <w:spacing w:after="140" w:line="276"/>
      </w:pPr>
      <w:r>
        <w:rPr>
          <w:rFonts w:ascii="Calibri" w:cs="Calibri" w:eastAsia="Calibri" w:hAnsi="Calibri"/>
          <w:sz w:val="21"/>
          <w:szCs w:val="21"/>
        </w:rPr>
        <w:t xml:space="preserve">De lo anterior se sigue una regla operativa que resuelve una contradicción que el catálogo arrastraba: no se puede exigir que </w:t>
      </w:r>
      <w:r>
        <w:rPr>
          <w:rFonts w:ascii="Calibri" w:cs="Calibri" w:eastAsia="Calibri" w:hAnsi="Calibri"/>
          <w:b/>
          <w:bCs/>
          <w:sz w:val="21"/>
          <w:szCs w:val="21"/>
        </w:rPr>
        <w:t xml:space="preserve">el gestor</w:t>
      </w:r>
      <w:r>
        <w:rPr>
          <w:rFonts w:ascii="Calibri" w:cs="Calibri" w:eastAsia="Calibri" w:hAnsi="Calibri"/>
          <w:sz w:val="21"/>
          <w:szCs w:val="21"/>
        </w:rPr>
        <w:t xml:space="preserve"> firme fichas de necesidades que no son suyas.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Origen de la necesidad</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 firma la ficha del Anexo II</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 de respaldo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Funcional (la pide el servicio)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titular del servicio gestor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Necesidad (Anexo III)</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Normativa (la impone una norma al Ayuntamiento)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servicio competente por razón de la materia: informática y seguridad (ENS, interoperabilidad), delegado de protección de datos (RGPD), Intervención (control interno)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del servicio competente, con cita del precepto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Institucional (la fija una política municipal)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órgano de contratación, por remisión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Acuerdo del órgano de gobierno que apruebe el plan y el catálogo</w:t>
            </w:r>
          </w:p>
        </w:tc>
      </w:tr>
    </w:tbl>
    <w:p>
      <w:pPr>
        <w:spacing w:after="200"/>
      </w:pPr>
    </w:p>
    <w:p>
      <w:pPr>
        <w:spacing w:after="140" w:line="276"/>
      </w:pPr>
      <w:r>
        <w:rPr>
          <w:rFonts w:ascii="Calibri" w:cs="Calibri" w:eastAsia="Calibri" w:hAnsi="Calibri"/>
          <w:sz w:val="21"/>
          <w:szCs w:val="21"/>
        </w:rPr>
        <w:t xml:space="preserve">Regla de cierre, sin excepciones: </w:t>
      </w:r>
      <w:r>
        <w:rPr>
          <w:rFonts w:ascii="Calibri" w:cs="Calibri" w:eastAsia="Calibri" w:hAnsi="Calibri"/>
          <w:b/>
          <w:bCs/>
          <w:sz w:val="21"/>
          <w:szCs w:val="21"/>
        </w:rPr>
        <w:t xml:space="preserve">cláusula sin ficha firmada por alguna de las tres vías, no se incorpora al pliego; se marca NO APLICA.</w:t>
      </w:r>
    </w:p>
    <w:p>
      <w:pPr>
        <w:pStyle w:val="Heading3"/>
        <w:keepNext/>
        <w:spacing w:after="140" w:before="320"/>
      </w:pPr>
      <w:r>
        <w:rPr>
          <w:rFonts w:ascii="Georgia" w:cs="Georgia" w:eastAsia="Georgia" w:hAnsi="Georgia"/>
          <w:b/>
          <w:bCs/>
          <w:color w:val="2F5496"/>
          <w:sz w:val="22"/>
          <w:szCs w:val="22"/>
        </w:rPr>
        <w:t xml:space="preserve">M1.4 · La cadena del control interno, eslabón a eslabón</w:t>
      </w:r>
    </w:p>
    <w:p>
      <w:pPr>
        <w:spacing w:after="140" w:line="276"/>
      </w:pPr>
      <w:r>
        <w:rPr>
          <w:rFonts w:ascii="Calibri" w:cs="Calibri" w:eastAsia="Calibri" w:hAnsi="Calibri"/>
          <w:sz w:val="21"/>
          <w:szCs w:val="21"/>
        </w:rPr>
        <w:t xml:space="preserve">Es el ejemplo trabajado de necesidad de origen normativo, y sostiene la cláusula ADM-12·v3. Se expone completo porque es el único caso del catálogo en que la necesidad la ha declarado por escrito un órgano municipal distinto del promotor.</w:t>
      </w:r>
    </w:p>
    <w:p>
      <w:pPr>
        <w:pStyle w:val="ListParagraph"/>
        <w:numPr>
          <w:ilvl w:val="0"/>
          <w:numId w:val="2"/>
        </w:numPr>
        <w:spacing w:after="70" w:line="268"/>
      </w:pPr>
      <w:r>
        <w:rPr>
          <w:rFonts w:ascii="Calibri" w:cs="Calibri" w:eastAsia="Calibri" w:hAnsi="Calibri"/>
          <w:b/>
          <w:bCs/>
          <w:sz w:val="21"/>
          <w:szCs w:val="21"/>
        </w:rPr>
        <w:t xml:space="preserve">La Intervención tiene por ley el deber de controlar eficacia y eficiencia, no sólo el gasto.</w:t>
      </w:r>
      <w:r>
        <w:rPr>
          <w:rFonts w:ascii="Calibri" w:cs="Calibri" w:eastAsia="Calibri" w:hAnsi="Calibri"/>
          <w:sz w:val="21"/>
          <w:szCs w:val="21"/>
        </w:rPr>
        <w:t xml:space="preserve"> Art. 220.2 TRLRHL: el control financiero </w:t>
      </w:r>
      <w:r>
        <w:rPr>
          <w:rFonts w:ascii="Calibri" w:cs="Calibri" w:eastAsia="Calibri" w:hAnsi="Calibri"/>
          <w:i/>
          <w:iCs/>
          <w:sz w:val="21"/>
          <w:szCs w:val="21"/>
        </w:rPr>
        <w:t xml:space="preserve">«tendrá por objeto informar acerca de la adecuada presentación de la información financiera, del cumplimiento de las normas y directrices que sean de aplicación y del grado de eficacia y eficiencia en la consecución de los objetivos previstos»</w:t>
      </w:r>
      <w:r>
        <w:rPr>
          <w:rFonts w:ascii="Calibri" w:cs="Calibri" w:eastAsia="Calibri" w:hAnsi="Calibri"/>
          <w:sz w:val="21"/>
          <w:szCs w:val="21"/>
        </w:rPr>
        <w:t xml:space="preserve">; art. 221 TRLRHL para el control de eficacia.</w:t>
      </w:r>
    </w:p>
    <w:p>
      <w:pPr>
        <w:pStyle w:val="ListParagraph"/>
        <w:numPr>
          <w:ilvl w:val="0"/>
          <w:numId w:val="2"/>
        </w:numPr>
        <w:spacing w:after="70" w:line="268"/>
      </w:pPr>
      <w:r>
        <w:rPr>
          <w:rFonts w:ascii="Calibri" w:cs="Calibri" w:eastAsia="Calibri" w:hAnsi="Calibri"/>
          <w:b/>
          <w:bCs/>
          <w:sz w:val="21"/>
          <w:szCs w:val="21"/>
        </w:rPr>
        <w:t xml:space="preserve">Ese deber tiene una magnitud cuantificada que hace inviable el control manual.</w:t>
      </w:r>
      <w:r>
        <w:rPr>
          <w:rFonts w:ascii="Calibri" w:cs="Calibri" w:eastAsia="Calibri" w:hAnsi="Calibri"/>
          <w:sz w:val="21"/>
          <w:szCs w:val="21"/>
        </w:rPr>
        <w:t xml:space="preserve"> Art. 4.3 RD 424/2017: </w:t>
      </w:r>
      <w:r>
        <w:rPr>
          <w:rFonts w:ascii="Calibri" w:cs="Calibri" w:eastAsia="Calibri" w:hAnsi="Calibri"/>
          <w:i/>
          <w:iCs/>
          <w:sz w:val="21"/>
          <w:szCs w:val="21"/>
        </w:rPr>
        <w:t xml:space="preserve">«el modelo asegurará […] el control efectivo de, al menos, el ochenta por ciento del presupuesto general consolidado del ejercicio […] En el transcurso de tres ejercicios consecutivos […] deberá haber alcanzado el cien por cien de dicho presupuesto.»</w:t>
      </w:r>
      <w:r>
        <w:rPr>
          <w:rFonts w:ascii="Calibri" w:cs="Calibri" w:eastAsia="Calibri" w:hAnsi="Calibri"/>
          <w:sz w:val="21"/>
          <w:szCs w:val="21"/>
        </w:rPr>
        <w:t xml:space="preserve"> Y art. 20.3: comprobación material obligatoria de toda inversión igual o superior a 50.000 € (IVA excluido).</w:t>
      </w:r>
    </w:p>
    <w:p>
      <w:pPr>
        <w:pStyle w:val="ListParagraph"/>
        <w:numPr>
          <w:ilvl w:val="0"/>
          <w:numId w:val="2"/>
        </w:numPr>
        <w:spacing w:after="70" w:line="268"/>
      </w:pPr>
      <w:r>
        <w:rPr>
          <w:rFonts w:ascii="Calibri" w:cs="Calibri" w:eastAsia="Calibri" w:hAnsi="Calibri"/>
          <w:b/>
          <w:bCs/>
          <w:sz w:val="21"/>
          <w:szCs w:val="21"/>
        </w:rPr>
        <w:t xml:space="preserve">La ley ya reconoce a la Intervención el acceso a los sistemas de información de la entidad controlada.</w:t>
      </w:r>
      <w:r>
        <w:rPr>
          <w:rFonts w:ascii="Calibri" w:cs="Calibri" w:eastAsia="Calibri" w:hAnsi="Calibri"/>
          <w:sz w:val="21"/>
          <w:szCs w:val="21"/>
        </w:rPr>
        <w:t xml:space="preserve"> Art. 6.7 RD 424/2017 (</w:t>
      </w:r>
      <w:r>
        <w:rPr>
          <w:rFonts w:ascii="Calibri" w:cs="Calibri" w:eastAsia="Calibri" w:hAnsi="Calibri"/>
          <w:i/>
          <w:iCs/>
          <w:sz w:val="21"/>
          <w:szCs w:val="21"/>
        </w:rPr>
        <w:t xml:space="preserve">«podrán revisar los sistemas informáticos de gestión que sean precisos»</w:t>
      </w:r>
      <w:r>
        <w:rPr>
          <w:rFonts w:ascii="Calibri" w:cs="Calibri" w:eastAsia="Calibri" w:hAnsi="Calibri"/>
          <w:sz w:val="21"/>
          <w:szCs w:val="21"/>
        </w:rPr>
        <w:t xml:space="preserve">), art. 6.4, arts. 30.1 y 30.3, art. 32.5.f) y art. 222 TRLRHL.</w:t>
      </w:r>
    </w:p>
    <w:p>
      <w:pPr>
        <w:pStyle w:val="ListParagraph"/>
        <w:numPr>
          <w:ilvl w:val="0"/>
          <w:numId w:val="2"/>
        </w:numPr>
        <w:spacing w:after="70" w:line="268"/>
      </w:pPr>
      <w:r>
        <w:rPr>
          <w:rFonts w:ascii="Calibri" w:cs="Calibri" w:eastAsia="Calibri" w:hAnsi="Calibri"/>
          <w:b/>
          <w:bCs/>
          <w:sz w:val="21"/>
          <w:szCs w:val="21"/>
        </w:rPr>
        <w:t xml:space="preserve">Frente al contratista, en cambio, hay obligaciones que sólo el contrato puede crear.</w:t>
      </w:r>
      <w:r>
        <w:rPr>
          <w:rFonts w:ascii="Calibri" w:cs="Calibri" w:eastAsia="Calibri" w:hAnsi="Calibri"/>
          <w:sz w:val="21"/>
          <w:szCs w:val="21"/>
        </w:rPr>
        <w:t xml:space="preserve"> Esta es la parte que hay que decir con precisión, porque el catálogo la ha exagerado antes y un letrado lo desmonta en la primera alegación: el art. 6.3 del RD 424/2017 obliga con carácter general a colaborar con la Intervención, y el acceso a los datos municipales lo resuelve el órgano gestor dando un usuario. Lo que </w:t>
      </w:r>
      <w:r>
        <w:rPr>
          <w:rFonts w:ascii="Calibri" w:cs="Calibri" w:eastAsia="Calibri" w:hAnsi="Calibri"/>
          <w:b/>
          <w:bCs/>
          <w:sz w:val="21"/>
          <w:szCs w:val="21"/>
        </w:rPr>
        <w:t xml:space="preserve">no</w:t>
      </w:r>
      <w:r>
        <w:rPr>
          <w:rFonts w:ascii="Calibri" w:cs="Calibri" w:eastAsia="Calibri" w:hAnsi="Calibri"/>
          <w:sz w:val="21"/>
          <w:szCs w:val="21"/>
        </w:rPr>
        <w:t xml:space="preserve"> existe sin cláusula son las obligaciones concretas que hacen ese acceso útil y sostenible en el tiempo: que no se tarifique, que exista diccionario de datos, que la extracción sea en formato abierto y documentado, que se mantenga durante las prórrogas y en la reversión, y —en el ámbito específico de la auditoría pública— la previsión expresa que el art. 33.4.d) del RD 424/2017 exige para solicitar de un tercero información sobre </w:t>
      </w:r>
      <w:r>
        <w:rPr>
          <w:rFonts w:ascii="Calibri" w:cs="Calibri" w:eastAsia="Calibri" w:hAnsi="Calibri"/>
          <w:i/>
          <w:iCs/>
          <w:sz w:val="21"/>
          <w:szCs w:val="21"/>
        </w:rPr>
        <w:t xml:space="preserve">«operaciones […], saldos contables […] y […] costes»</w:t>
      </w:r>
      <w:r>
        <w:rPr>
          <w:rFonts w:ascii="Calibri" w:cs="Calibri" w:eastAsia="Calibri" w:hAnsi="Calibri"/>
          <w:sz w:val="21"/>
          <w:szCs w:val="21"/>
        </w:rPr>
        <w:t xml:space="preserve">.</w:t>
      </w:r>
    </w:p>
    <w:p>
      <w:pPr>
        <w:pStyle w:val="ListParagraph"/>
        <w:numPr>
          <w:ilvl w:val="0"/>
          <w:numId w:val="2"/>
        </w:numPr>
        <w:spacing w:after="70" w:line="268"/>
      </w:pPr>
      <w:r>
        <w:rPr>
          <w:rFonts w:ascii="Calibri" w:cs="Calibri" w:eastAsia="Calibri" w:hAnsi="Calibri"/>
          <w:b/>
          <w:bCs/>
          <w:sz w:val="21"/>
          <w:szCs w:val="21"/>
        </w:rPr>
        <w:t xml:space="preserve">Y sólo hay un momento para preverlo: el pliego.</w:t>
      </w:r>
      <w:r>
        <w:rPr>
          <w:rFonts w:ascii="Calibri" w:cs="Calibri" w:eastAsia="Calibri" w:hAnsi="Calibri"/>
          <w:sz w:val="21"/>
          <w:szCs w:val="21"/>
        </w:rPr>
        <w:t xml:space="preserve"> Después, el contrato está firmado y el contratista no tiene obligación de aceptar una condición nueva.</w:t>
      </w:r>
    </w:p>
    <w:p>
      <w:pPr>
        <w:spacing w:after="140" w:line="276"/>
      </w:pPr>
      <w:r>
        <w:rPr>
          <w:rFonts w:ascii="Calibri" w:cs="Calibri" w:eastAsia="Calibri" w:hAnsi="Calibri"/>
          <w:b/>
          <w:bCs/>
          <w:sz w:val="21"/>
          <w:szCs w:val="21"/>
        </w:rPr>
        <w:t xml:space="preserve">Advertencia de rigor, para que la cláusula no se caiga por exceso de fundamento:</w:t>
      </w:r>
      <w:r>
        <w:rPr>
          <w:rFonts w:ascii="Calibri" w:cs="Calibri" w:eastAsia="Calibri" w:hAnsi="Calibri"/>
          <w:sz w:val="21"/>
          <w:szCs w:val="21"/>
        </w:rPr>
        <w:t xml:space="preserve"> el art. 33.4.d) del RD 424/2017 regula la ejecución de actuaciones de </w:t>
      </w:r>
      <w:r>
        <w:rPr>
          <w:rFonts w:ascii="Calibri" w:cs="Calibri" w:eastAsia="Calibri" w:hAnsi="Calibri"/>
          <w:b/>
          <w:bCs/>
          <w:sz w:val="21"/>
          <w:szCs w:val="21"/>
        </w:rPr>
        <w:t xml:space="preserve">auditoría pública</w:t>
      </w:r>
      <w:r>
        <w:rPr>
          <w:rFonts w:ascii="Calibri" w:cs="Calibri" w:eastAsia="Calibri" w:hAnsi="Calibri"/>
          <w:sz w:val="21"/>
          <w:szCs w:val="21"/>
        </w:rPr>
        <w:t xml:space="preserve"> frente a </w:t>
      </w:r>
      <w:r>
        <w:rPr>
          <w:rFonts w:ascii="Calibri" w:cs="Calibri" w:eastAsia="Calibri" w:hAnsi="Calibri"/>
          <w:b/>
          <w:bCs/>
          <w:sz w:val="21"/>
          <w:szCs w:val="21"/>
        </w:rPr>
        <w:t xml:space="preserve">entidades auditadas</w:t>
      </w:r>
      <w:r>
        <w:rPr>
          <w:rFonts w:ascii="Calibri" w:cs="Calibri" w:eastAsia="Calibri" w:hAnsi="Calibri"/>
          <w:sz w:val="21"/>
          <w:szCs w:val="21"/>
        </w:rPr>
        <w:t xml:space="preserve"> y ampara información sobre operaciones, saldos y costes del tercero. No es, por sí solo, título para exigir acceso funcional permanente a la aplicación. Por eso ADM-12·v3 se ancla en el bloque de control interno (arts. 4.3, 6.3, 6.4, 6.7, 20.3, 30.1 y 30.3 del RD 424/2017, arts. 214 y 220 a 222 TRLRHL, y DA 3.ª.3 LCSP) y cita el art. 33.4.d) sólo para lo que ese precepto ampara.</w:t>
      </w:r>
    </w:p>
    <w:p>
      <w:pPr>
        <w:pStyle w:val="Heading3"/>
        <w:keepNext/>
        <w:spacing w:after="140" w:before="320"/>
      </w:pPr>
      <w:r>
        <w:rPr>
          <w:rFonts w:ascii="Georgia" w:cs="Georgia" w:eastAsia="Georgia" w:hAnsi="Georgia"/>
          <w:b/>
          <w:bCs/>
          <w:color w:val="2F5496"/>
          <w:sz w:val="22"/>
          <w:szCs w:val="22"/>
        </w:rPr>
        <w:t xml:space="preserve">M1.5 · Lo que el art. 28.1 LCSP obliga a hacer, y a quién</w:t>
      </w:r>
    </w:p>
    <w:p>
      <w:pPr>
        <w:spacing w:after="140" w:line="276"/>
      </w:pPr>
      <w:r>
        <w:rPr>
          <w:rFonts w:ascii="Calibri" w:cs="Calibri" w:eastAsia="Calibri" w:hAnsi="Calibri"/>
          <w:sz w:val="21"/>
          <w:szCs w:val="21"/>
        </w:rPr>
        <w:t xml:space="preserve">Art. 28.1 LCSP: </w:t>
      </w:r>
      <w:r>
        <w:rPr>
          <w:rFonts w:ascii="Calibri" w:cs="Calibri" w:eastAsia="Calibri" w:hAnsi="Calibri"/>
          <w:i/>
          <w:iCs/>
          <w:sz w:val="21"/>
          <w:szCs w:val="21"/>
        </w:rPr>
        <w:t xml:space="preserve">«la naturaleza y extensión de las necesidades que pretenden cubrirse mediante el contrato proyectado, así como la idoneidad de su objeto y contenido para satisfacerlas […] deben ser determinadas con precisión, dejando constancia de ello en la documentación preparatoria, antes de iniciar el procedimiento encaminado a su adjudicación.»</w:t>
      </w:r>
    </w:p>
    <w:p>
      <w:pPr>
        <w:spacing w:after="140" w:line="276"/>
      </w:pPr>
      <w:r>
        <w:rPr>
          <w:rFonts w:ascii="Calibri" w:cs="Calibri" w:eastAsia="Calibri" w:hAnsi="Calibri"/>
          <w:sz w:val="21"/>
          <w:szCs w:val="21"/>
        </w:rPr>
        <w:t xml:space="preserve">El precepto no dice que la necesidad la formule un gestor. Dice que el </w:t>
      </w:r>
      <w:r>
        <w:rPr>
          <w:rFonts w:ascii="Calibri" w:cs="Calibri" w:eastAsia="Calibri" w:hAnsi="Calibri"/>
          <w:b/>
          <w:bCs/>
          <w:sz w:val="21"/>
          <w:szCs w:val="21"/>
        </w:rPr>
        <w:t xml:space="preserve">órgano de contratación</w:t>
      </w:r>
      <w:r>
        <w:rPr>
          <w:rFonts w:ascii="Calibri" w:cs="Calibri" w:eastAsia="Calibri" w:hAnsi="Calibri"/>
          <w:sz w:val="21"/>
          <w:szCs w:val="21"/>
        </w:rPr>
        <w:t xml:space="preserve"> la determine con precisión y deje constancia. Que ningún gestor haya demandado una necesidad de origen normativo no la hace artificiosa. Pero —y esto es lo que separa un argumento de un instrumento— </w:t>
      </w:r>
      <w:r>
        <w:rPr>
          <w:rFonts w:ascii="Calibri" w:cs="Calibri" w:eastAsia="Calibri" w:hAnsi="Calibri"/>
          <w:b/>
          <w:bCs/>
          <w:sz w:val="21"/>
          <w:szCs w:val="21"/>
        </w:rPr>
        <w:t xml:space="preserve">la frase anterior no sustituye a la ficha, ni al informe de necesidad, ni al acuerdo del órgano de gobierno</w:t>
      </w:r>
      <w:r>
        <w:rPr>
          <w:rFonts w:ascii="Calibri" w:cs="Calibri" w:eastAsia="Calibri" w:hAnsi="Calibri"/>
          <w:sz w:val="21"/>
          <w:szCs w:val="21"/>
        </w:rPr>
        <w:t xml:space="preserve">. Es una regla de interpretación; la prueba la aporta el expediente.</w:t>
      </w:r>
    </w:p>
    <w:p>
      <w:pPr>
        <w:pStyle w:val="Heading3"/>
        <w:keepNext/>
        <w:spacing w:after="140" w:before="320"/>
      </w:pPr>
      <w:r>
        <w:rPr>
          <w:rFonts w:ascii="Georgia" w:cs="Georgia" w:eastAsia="Georgia" w:hAnsi="Georgia"/>
          <w:b/>
          <w:bCs/>
          <w:color w:val="2F5496"/>
          <w:sz w:val="22"/>
          <w:szCs w:val="22"/>
        </w:rPr>
        <w:t xml:space="preserve">M1.6 · Los demás actores: exigencias que el mercado no ha visto antes</w:t>
      </w:r>
    </w:p>
    <w:p>
      <w:pPr>
        <w:spacing w:after="140" w:line="276"/>
      </w:pPr>
      <w:r>
        <w:rPr>
          <w:rFonts w:ascii="Calibri" w:cs="Calibri" w:eastAsia="Calibri" w:hAnsi="Calibri"/>
          <w:sz w:val="21"/>
          <w:szCs w:val="21"/>
        </w:rPr>
        <w:t xml:space="preserve">La cuarta dificultad del §M1.1 es la que menos se responde en documentos de este tipo, y es el que decide si el catálogo funciona: </w:t>
      </w:r>
      <w:r>
        <w:rPr>
          <w:rFonts w:ascii="Calibri" w:cs="Calibri" w:eastAsia="Calibri" w:hAnsi="Calibri"/>
          <w:i/>
          <w:iCs/>
          <w:sz w:val="21"/>
          <w:szCs w:val="21"/>
        </w:rPr>
        <w:t xml:space="preserve">«en la contratación hay muchos actores y no solo propios y tendría que ver cómo reaccionar ante unas exigencias que casi seguro no han visto antes»</w:t>
      </w:r>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Es exacto, y no tiene respuesta retórica. Un catálogo cuyas exigencias el mercado ve por primera vez en el anuncio de licitación produce una de estas tres cosas, todas malas: </w:t>
      </w:r>
      <w:r>
        <w:rPr>
          <w:rFonts w:ascii="Calibri" w:cs="Calibri" w:eastAsia="Calibri" w:hAnsi="Calibri"/>
          <w:b/>
          <w:bCs/>
          <w:sz w:val="21"/>
          <w:szCs w:val="21"/>
        </w:rPr>
        <w:t xml:space="preserve">desierto</w:t>
      </w:r>
      <w:r>
        <w:rPr>
          <w:rFonts w:ascii="Calibri" w:cs="Calibri" w:eastAsia="Calibri" w:hAnsi="Calibri"/>
          <w:sz w:val="21"/>
          <w:szCs w:val="21"/>
        </w:rPr>
        <w:t xml:space="preserve"> (nadie concurre), </w:t>
      </w:r>
      <w:r>
        <w:rPr>
          <w:rFonts w:ascii="Calibri" w:cs="Calibri" w:eastAsia="Calibri" w:hAnsi="Calibri"/>
          <w:b/>
          <w:bCs/>
          <w:sz w:val="21"/>
          <w:szCs w:val="21"/>
        </w:rPr>
        <w:t xml:space="preserve">concurrencia aparente</w:t>
      </w:r>
      <w:r>
        <w:rPr>
          <w:rFonts w:ascii="Calibri" w:cs="Calibri" w:eastAsia="Calibri" w:hAnsi="Calibri"/>
          <w:sz w:val="21"/>
          <w:szCs w:val="21"/>
        </w:rPr>
        <w:t xml:space="preserve"> (concurren dos y ninguno cumplirá), o </w:t>
      </w:r>
      <w:r>
        <w:rPr>
          <w:rFonts w:ascii="Calibri" w:cs="Calibri" w:eastAsia="Calibri" w:hAnsi="Calibri"/>
          <w:b/>
          <w:bCs/>
          <w:sz w:val="21"/>
          <w:szCs w:val="21"/>
        </w:rPr>
        <w:t xml:space="preserve">recurso</w:t>
      </w:r>
      <w:r>
        <w:rPr>
          <w:rFonts w:ascii="Calibri" w:cs="Calibri" w:eastAsia="Calibri" w:hAnsi="Calibri"/>
          <w:sz w:val="21"/>
          <w:szCs w:val="21"/>
        </w:rPr>
        <w:t xml:space="preserve"> (un licitador alega restricción de la concurrencia y, si el pliego no acredita el contraste de mercado, tiene razón). Ninguna de las tres se arregla en la fase de ejecución.</w:t>
      </w:r>
    </w:p>
    <w:p>
      <w:pPr>
        <w:spacing w:after="140" w:line="276"/>
      </w:pPr>
      <w:r>
        <w:rPr>
          <w:rFonts w:ascii="Calibri" w:cs="Calibri" w:eastAsia="Calibri" w:hAnsi="Calibri"/>
          <w:sz w:val="21"/>
          <w:szCs w:val="21"/>
        </w:rPr>
        <w:t xml:space="preserve">Los instrumentos que el catálogo prevé para esto son cuatro, y </w:t>
      </w:r>
      <w:r>
        <w:rPr>
          <w:rFonts w:ascii="Calibri" w:cs="Calibri" w:eastAsia="Calibri" w:hAnsi="Calibri"/>
          <w:b/>
          <w:bCs/>
          <w:sz w:val="21"/>
          <w:szCs w:val="21"/>
        </w:rPr>
        <w:t xml:space="preserve">los cuatro son previos a la licitación</w:t>
      </w:r>
      <w:r>
        <w:rPr>
          <w:rFonts w:ascii="Calibri" w:cs="Calibri" w:eastAsia="Calibri" w:hAnsi="Calibri"/>
          <w:sz w:val="21"/>
          <w:szCs w:val="21"/>
        </w:rPr>
        <w:t xml:space="preserve">:</w:t>
      </w:r>
    </w:p>
    <w:p>
      <w:pPr>
        <w:spacing w:after="140" w:line="276"/>
      </w:pPr>
      <w:r>
        <w:rPr>
          <w:rFonts w:ascii="Calibri" w:cs="Calibri" w:eastAsia="Calibri" w:hAnsi="Calibri"/>
          <w:b/>
          <w:bCs/>
          <w:sz w:val="21"/>
          <w:szCs w:val="21"/>
        </w:rPr>
        <w:t xml:space="preserve">1. Consulta preliminar del mercado, una vez al año y no por expediente (art. 115 LCSP).</w:t>
      </w:r>
      <w:r>
        <w:rPr>
          <w:rFonts w:ascii="Calibri" w:cs="Calibri" w:eastAsia="Calibri" w:hAnsi="Calibri"/>
          <w:sz w:val="21"/>
          <w:szCs w:val="21"/>
        </w:rPr>
        <w:t xml:space="preserve"> Es la regla ya establecida en §M7 y en la Parte V: el contraste de mercado que exige el Anexo V y la consulta preliminar del art. 115 son el mismo trabajo, se hacen juntos, se documentan una vez y se reutilizan en todos los expedientes del ejercicio. La consulta debe preguntar exactamente lo que importa: </w:t>
      </w:r>
      <w:r>
        <w:rPr>
          <w:rFonts w:ascii="Calibri" w:cs="Calibri" w:eastAsia="Calibri" w:hAnsi="Calibri"/>
          <w:b/>
          <w:bCs/>
          <w:sz w:val="21"/>
          <w:szCs w:val="21"/>
        </w:rPr>
        <w:t xml:space="preserve">qué exigencias del Anexo V puede cumplir hoy el mercado, en qué plazo y a qué coste</w:t>
      </w:r>
      <w:r>
        <w:rPr>
          <w:rFonts w:ascii="Calibri" w:cs="Calibri" w:eastAsia="Calibri" w:hAnsi="Calibri"/>
          <w:sz w:val="21"/>
          <w:szCs w:val="21"/>
        </w:rPr>
        <w:t xml:space="preserve">, y su resultado se publica con el anuncio, incluidas las respuestas que digan que no se puede.</w:t>
      </w:r>
    </w:p>
    <w:p>
      <w:pPr>
        <w:spacing w:after="140" w:line="276"/>
      </w:pPr>
      <w:r>
        <w:rPr>
          <w:rFonts w:ascii="Calibri" w:cs="Calibri" w:eastAsia="Calibri" w:hAnsi="Calibri"/>
          <w:b/>
          <w:bCs/>
          <w:sz w:val="21"/>
          <w:szCs w:val="21"/>
        </w:rPr>
        <w:t xml:space="preserve">2. Aviso anticipado al mercado.</w:t>
      </w:r>
      <w:r>
        <w:rPr>
          <w:rFonts w:ascii="Calibri" w:cs="Calibri" w:eastAsia="Calibri" w:hAnsi="Calibri"/>
          <w:sz w:val="21"/>
          <w:szCs w:val="21"/>
        </w:rPr>
        <w:t xml:space="preserve"> El catálogo y su Anexo V del ejercicio se publican en el perfil de contratante </w:t>
      </w:r>
      <w:r>
        <w:rPr>
          <w:rFonts w:ascii="Calibri" w:cs="Calibri" w:eastAsia="Calibri" w:hAnsi="Calibri"/>
          <w:b/>
          <w:bCs/>
          <w:sz w:val="21"/>
          <w:szCs w:val="21"/>
        </w:rPr>
        <w:t xml:space="preserve">antes</w:t>
      </w:r>
      <w:r>
        <w:rPr>
          <w:rFonts w:ascii="Calibri" w:cs="Calibri" w:eastAsia="Calibri" w:hAnsi="Calibri"/>
          <w:sz w:val="21"/>
          <w:szCs w:val="21"/>
        </w:rPr>
        <w:t xml:space="preserve"> de incorporarse a ningún pliego (Anexo VIII, punto Octavo, y §VI.2.2). Un operador que descubre la exigencia en el anuncio la vive como una barrera; el que la conoce con meses de antelación tiene tiempo de prepararla, y ésa es la diferencia entre una exigencia restrictiva y una exigencia exigente. </w:t>
      </w:r>
      <w:r>
        <w:rPr>
          <w:rFonts w:ascii="Calibri" w:cs="Calibri" w:eastAsia="Calibri" w:hAnsi="Calibri"/>
          <w:b/>
          <w:bCs/>
          <w:sz w:val="21"/>
          <w:szCs w:val="21"/>
        </w:rPr>
        <w:t xml:space="preserve">Publicar en abierto no es generosidad: es la medida que elimina la asimetría informativa</w:t>
      </w:r>
      <w:r>
        <w:rPr>
          <w:rFonts w:ascii="Calibri" w:cs="Calibri" w:eastAsia="Calibri" w:hAnsi="Calibri"/>
          <w:sz w:val="21"/>
          <w:szCs w:val="21"/>
        </w:rPr>
        <w:t xml:space="preserve"> entre el proveedor incumbente y el resto, y por eso el §M7.3 la identifica como la más eficaz de las medidas de concurrencia del art. 70 LCSP.</w:t>
      </w:r>
    </w:p>
    <w:p>
      <w:pPr>
        <w:spacing w:after="140" w:line="276"/>
      </w:pPr>
      <w:r>
        <w:rPr>
          <w:rFonts w:ascii="Calibri" w:cs="Calibri" w:eastAsia="Calibri" w:hAnsi="Calibri"/>
          <w:b/>
          <w:bCs/>
          <w:sz w:val="21"/>
          <w:szCs w:val="21"/>
        </w:rPr>
        <w:t xml:space="preserve">3. Plazo de presentación por encima del mínimo legal.</w:t>
      </w:r>
      <w:r>
        <w:rPr>
          <w:rFonts w:ascii="Calibri" w:cs="Calibri" w:eastAsia="Calibri" w:hAnsi="Calibri"/>
          <w:sz w:val="21"/>
          <w:szCs w:val="21"/>
        </w:rPr>
        <w:t xml:space="preserve"> Cuando el expediente incorpore por primera vez exigencias del Anexo V, el plazo de presentación se fija </w:t>
      </w:r>
      <w:r>
        <w:rPr>
          <w:rFonts w:ascii="Calibri" w:cs="Calibri" w:eastAsia="Calibri" w:hAnsi="Calibri"/>
          <w:b/>
          <w:bCs/>
          <w:sz w:val="21"/>
          <w:szCs w:val="21"/>
        </w:rPr>
        <w:t xml:space="preserve">por encima del mínimo</w:t>
      </w:r>
      <w:r>
        <w:rPr>
          <w:rFonts w:ascii="Calibri" w:cs="Calibri" w:eastAsia="Calibri" w:hAnsi="Calibri"/>
          <w:sz w:val="21"/>
          <w:szCs w:val="21"/>
        </w:rPr>
        <w:t xml:space="preserve"> del art. 156 LCSP, y la ampliación se motiva en la memoria precisamente por esa causa. Es el instrumento más barato de todos y el que menos se usa.</w:t>
      </w:r>
    </w:p>
    <w:p>
      <w:pPr>
        <w:spacing w:after="140" w:line="276"/>
      </w:pPr>
      <w:r>
        <w:rPr>
          <w:rFonts w:ascii="Calibri" w:cs="Calibri" w:eastAsia="Calibri" w:hAnsi="Calibri"/>
          <w:b/>
          <w:bCs/>
          <w:sz w:val="21"/>
          <w:szCs w:val="21"/>
        </w:rPr>
        <w:t xml:space="preserve">4. Gradualidad: el subconjunto mínimo, y no el catálogo entero.</w:t>
      </w:r>
      <w:r>
        <w:rPr>
          <w:rFonts w:ascii="Calibri" w:cs="Calibri" w:eastAsia="Calibri" w:hAnsi="Calibri"/>
          <w:sz w:val="21"/>
          <w:szCs w:val="21"/>
        </w:rPr>
        <w:t xml:space="preserve"> Un primer expediente incorpora las seis cláusulas del §VI.2.2, no las veintitantas del catálogo. Una exigencia acotada que el mercado cumple construye la credibilidad del catálogo; una exigencia amplia que nadie cumple la destruye en el primer año, y con ella la de todo lo demás.</w:t>
      </w:r>
    </w:p>
    <w:p>
      <w:pPr>
        <w:spacing w:after="140" w:line="276"/>
      </w:pPr>
      <w:r>
        <w:rPr>
          <w:rFonts w:ascii="Calibri" w:cs="Calibri" w:eastAsia="Calibri" w:hAnsi="Calibri"/>
          <w:b/>
          <w:bCs/>
          <w:sz w:val="21"/>
          <w:szCs w:val="21"/>
        </w:rPr>
        <w:t xml:space="preserve">Y una regla de cierre, que es la que la dificultad pide sin decirlo.</w:t>
      </w:r>
      <w:r>
        <w:rPr>
          <w:rFonts w:ascii="Calibri" w:cs="Calibri" w:eastAsia="Calibri" w:hAnsi="Calibri"/>
          <w:sz w:val="21"/>
          <w:szCs w:val="21"/>
        </w:rPr>
        <w:t xml:space="preserve"> Si la consulta preliminar acredita que el mercado no puede cumplir una exigencia del Anexo V en el plazo previsto, </w:t>
      </w:r>
      <w:r>
        <w:rPr>
          <w:rFonts w:ascii="Calibri" w:cs="Calibri" w:eastAsia="Calibri" w:hAnsi="Calibri"/>
          <w:b/>
          <w:bCs/>
          <w:sz w:val="21"/>
          <w:szCs w:val="21"/>
        </w:rPr>
        <w:t xml:space="preserve">la exigencia no entra en el pliego</w:t>
      </w:r>
      <w:r>
        <w:rPr>
          <w:rFonts w:ascii="Calibri" w:cs="Calibri" w:eastAsia="Calibri" w:hAnsi="Calibri"/>
          <w:sz w:val="21"/>
          <w:szCs w:val="21"/>
        </w:rPr>
        <w:t xml:space="preserve">: se retira del Anexo V del ejercicio o se traslada al siguiente, con constancia motivada. El catálogo no se aplica contra la evidencia de mercado, y quien lo intente tendrá primero un desierto y después un recurso.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M2 · Encaje legal, cláusula por cláusula</w:t>
      </w:r>
    </w:p>
    <w:p>
      <w:pPr>
        <w:spacing w:after="140" w:line="276"/>
      </w:pPr>
      <w:r>
        <w:rPr>
          <w:rFonts w:ascii="Calibri" w:cs="Calibri" w:eastAsia="Calibri" w:hAnsi="Calibri"/>
          <w:sz w:val="21"/>
          <w:szCs w:val="21"/>
        </w:rPr>
        <w:t xml:space="preserve">El cuadro identifica, para cada cláusula del catálogo, el </w:t>
      </w:r>
      <w:r>
        <w:rPr>
          <w:rFonts w:ascii="Calibri" w:cs="Calibri" w:eastAsia="Calibri" w:hAnsi="Calibri"/>
          <w:b/>
          <w:bCs/>
          <w:sz w:val="21"/>
          <w:szCs w:val="21"/>
        </w:rPr>
        <w:t xml:space="preserve">instrumento contractual</w:t>
      </w:r>
      <w:r>
        <w:rPr>
          <w:rFonts w:ascii="Calibri" w:cs="Calibri" w:eastAsia="Calibri" w:hAnsi="Calibri"/>
          <w:sz w:val="21"/>
          <w:szCs w:val="21"/>
        </w:rPr>
        <w:t xml:space="preserve"> por el que se articula (y sólo uno: ninguna exigencia puede computarse dos veces, según el Cuadro Maestro del Anexo I), el </w:t>
      </w:r>
      <w:r>
        <w:rPr>
          <w:rFonts w:ascii="Calibri" w:cs="Calibri" w:eastAsia="Calibri" w:hAnsi="Calibri"/>
          <w:b/>
          <w:bCs/>
          <w:sz w:val="21"/>
          <w:szCs w:val="21"/>
        </w:rPr>
        <w:t xml:space="preserve">fundamento normativo con precepto concreto</w:t>
      </w:r>
      <w:r>
        <w:rPr>
          <w:rFonts w:ascii="Calibri" w:cs="Calibri" w:eastAsia="Calibri" w:hAnsi="Calibri"/>
          <w:sz w:val="21"/>
          <w:szCs w:val="21"/>
        </w:rPr>
        <w:t xml:space="preserve"> y la </w:t>
      </w:r>
      <w:r>
        <w:rPr>
          <w:rFonts w:ascii="Calibri" w:cs="Calibri" w:eastAsia="Calibri" w:hAnsi="Calibri"/>
          <w:b/>
          <w:bCs/>
          <w:sz w:val="21"/>
          <w:szCs w:val="21"/>
        </w:rPr>
        <w:t xml:space="preserve">salvaguarda de concurrencia</w:t>
      </w:r>
      <w:r>
        <w:rPr>
          <w:rFonts w:ascii="Calibri" w:cs="Calibri" w:eastAsia="Calibri" w:hAnsi="Calibri"/>
          <w:sz w:val="21"/>
          <w:szCs w:val="21"/>
        </w:rPr>
        <w:t xml:space="preserve"> que la acompaña. No sustituye a la motivación de cada cláusula en el expediente: cada fila remite a la cláusula, donde constan sus siete epígrafes.</w:t>
      </w:r>
    </w:p>
    <w:p>
      <w:pPr>
        <w:pStyle w:val="Heading3"/>
        <w:keepNext/>
        <w:spacing w:after="140" w:before="320"/>
      </w:pPr>
      <w:r>
        <w:rPr>
          <w:rFonts w:ascii="Georgia" w:cs="Georgia" w:eastAsia="Georgia" w:hAnsi="Georgia"/>
          <w:b/>
          <w:bCs/>
          <w:color w:val="2F5496"/>
          <w:sz w:val="22"/>
          <w:szCs w:val="22"/>
        </w:rPr>
        <w:t xml:space="preserve">M2.1 · Cláusulas técnicas (PPT)</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Instrumento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Fundamento (precepto concreto)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Salvaguarda de concurrencia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DT-0·v3</w:t>
            </w:r>
            <w:r>
              <w:rPr>
                <w:rFonts w:ascii="Calibri" w:cs="Calibri" w:eastAsia="Calibri" w:hAnsi="Calibri"/>
                <w:b w:val="false"/>
                <w:bCs w:val="false"/>
                <w:sz w:val="18"/>
                <w:szCs w:val="18"/>
              </w:rPr>
              <w:t xml:space="preserve"> Régimen de equivalencia y acreditación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126.5.a) y b), 126.6, 126.7 y 126.8, y 128.2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 en sí misma la salvaguarda del catálogo: define la equivalencia con parámetros comprobables, obliga a probarla en la oferta, obliga a motivar por escrito el rechazo y prohíbe la exigencia nominativa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DT-1·v3</w:t>
            </w:r>
            <w:r>
              <w:rPr>
                <w:rFonts w:ascii="Calibri" w:cs="Calibri" w:eastAsia="Calibri" w:hAnsi="Calibri"/>
                <w:b w:val="false"/>
                <w:bCs w:val="false"/>
                <w:sz w:val="18"/>
                <w:szCs w:val="18"/>
              </w:rPr>
              <w:t xml:space="preserve"> Incorporación de IA, IA generativa y agentes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99.1, 126.2 y 126.5.a) LCSP; Reglamento (UE) 2024/1689, en su redacción vigente, arts. 4, 13, 26 y 27 (exigibilidad diferida: ver Anexo XI); art. 41.2 Ley 40/2015; art. 22 RGPD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Formulación funcional: no se exige modelo, proveedor, arquitectura ni marco de agentes determinados. El reparto de papeles impide trasladar al licitador obligaciones que la norma impone al responsable del despliegue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DT-2·v3</w:t>
            </w:r>
            <w:r>
              <w:rPr>
                <w:rFonts w:ascii="Calibri" w:cs="Calibri" w:eastAsia="Calibri" w:hAnsi="Calibri"/>
                <w:b w:val="false"/>
                <w:bCs w:val="false"/>
                <w:sz w:val="18"/>
                <w:szCs w:val="18"/>
              </w:rPr>
              <w:t xml:space="preserve"> Capa de confianza: anclaje de evidencias e identidad digital verificable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 · </w:t>
            </w:r>
            <w:r>
              <w:rPr>
                <w:rFonts w:ascii="Calibri" w:cs="Calibri" w:eastAsia="Calibri" w:hAnsi="Calibri"/>
                <w:b/>
                <w:bCs/>
                <w:sz w:val="18"/>
                <w:szCs w:val="18"/>
              </w:rPr>
              <w:t xml:space="preserve">NO APLICA por defecto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126.2 y 126.5.a) LCSP; arts. 16 y 17 RD 4/2010 (ENI); normativa de identificación electrónica y servicios de confianza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Prohibición expresa de nominar una red concreta y de configurar la pertenencia a ella como requisito, solvencia o puntuación (art. 132.2 LCSP; Guía de la CNMC ref. G-2023-01, de 22 de mayo de 2025, sobre captura tecnológica: §M3.2.c)</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DT-3·v3</w:t>
            </w:r>
            <w:r>
              <w:rPr>
                <w:rFonts w:ascii="Calibri" w:cs="Calibri" w:eastAsia="Calibri" w:hAnsi="Calibri"/>
                <w:b w:val="false"/>
                <w:bCs w:val="false"/>
                <w:sz w:val="18"/>
                <w:szCs w:val="18"/>
              </w:rPr>
              <w:t xml:space="preserve"> Criptoagilidad y transición post-cuántica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 · </w:t>
            </w:r>
            <w:r>
              <w:rPr>
                <w:rFonts w:ascii="Calibri" w:cs="Calibri" w:eastAsia="Calibri" w:hAnsi="Calibri"/>
                <w:b/>
                <w:bCs/>
                <w:sz w:val="18"/>
                <w:szCs w:val="18"/>
              </w:rPr>
              <w:t xml:space="preserve">NO APLICA por defecto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126.2 LCSP (ciclo de vida); RD 311/2022, art. 2.3 y marco de medidas; guías CCN-STIC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Orden de prelación del art. 126.5.b): normas europeas e internacionales y guías CCN-STIC primero. Las normas federales estadounidenses quedan fuera del articulado, como referencia ilustrativa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DT-4·v3</w:t>
            </w:r>
            <w:r>
              <w:rPr>
                <w:rFonts w:ascii="Calibri" w:cs="Calibri" w:eastAsia="Calibri" w:hAnsi="Calibri"/>
                <w:b w:val="false"/>
                <w:bCs w:val="false"/>
                <w:sz w:val="18"/>
                <w:szCs w:val="18"/>
              </w:rPr>
              <w:t xml:space="preserve"> Automatización de procesos municipales identificados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99.1 y 126.5.a) LCSP; arts. 41.2 Ley 40/2015 y normas de procedimiento administrativo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 cerrada y numerada de procesos publicada en el PPT, sobre la que el licitador se compromete. Se elimina del articulado todo vocabulario sin definición normalizada, por inverificable en procedimiento contradictorio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DT-5·v3</w:t>
            </w:r>
            <w:r>
              <w:rPr>
                <w:rFonts w:ascii="Calibri" w:cs="Calibri" w:eastAsia="Calibri" w:hAnsi="Calibri"/>
                <w:b w:val="false"/>
                <w:bCs w:val="false"/>
                <w:sz w:val="18"/>
                <w:szCs w:val="18"/>
              </w:rPr>
              <w:t xml:space="preserve"> Interoperabilidad, servicios comunes y soberanía del dato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16 y 17 RD 4/2010 (ENI); RD 203/2021; Ley 39/2015; art. 126.5.a)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Distingue lo obligatorio de lo ilustrativo: los servicios comunes de obligada utilización quedan </w:t>
            </w:r>
            <w:r>
              <w:rPr>
                <w:rFonts w:ascii="Calibri" w:cs="Calibri" w:eastAsia="Calibri" w:hAnsi="Calibri"/>
                <w:b/>
                <w:bCs/>
                <w:sz w:val="18"/>
                <w:szCs w:val="18"/>
              </w:rPr>
              <w:t xml:space="preserve">excepcionados</w:t>
            </w:r>
            <w:r>
              <w:rPr>
                <w:rFonts w:ascii="Calibri" w:cs="Calibri" w:eastAsia="Calibri" w:hAnsi="Calibri"/>
                <w:b w:val="false"/>
                <w:bCs w:val="false"/>
                <w:sz w:val="18"/>
                <w:szCs w:val="18"/>
              </w:rPr>
              <w:t xml:space="preserve"> del «o equivalente» (DT-0.6), porque admitir sustitutivos ahí debilita la exigencia en lugar de abrir el mercado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DT-6·v3</w:t>
            </w:r>
            <w:r>
              <w:rPr>
                <w:rFonts w:ascii="Calibri" w:cs="Calibri" w:eastAsia="Calibri" w:hAnsi="Calibri"/>
                <w:b w:val="false"/>
                <w:bCs w:val="false"/>
                <w:sz w:val="18"/>
                <w:szCs w:val="18"/>
              </w:rPr>
              <w:t xml:space="preserve"> Seguridad conforme al ENS en la categoría que corresponda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 (y, en su caso, solvencia)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Art. 2.3 RD 311/2022</w:t>
            </w:r>
            <w:r>
              <w:rPr>
                <w:rFonts w:ascii="Calibri" w:cs="Calibri" w:eastAsia="Calibri" w:hAnsi="Calibri"/>
                <w:b w:val="false"/>
                <w:bCs w:val="false"/>
                <w:sz w:val="18"/>
                <w:szCs w:val="18"/>
              </w:rPr>
              <w:t xml:space="preserve"> (literal); arts. 38.1 y 40 y Anexo I del mismo RD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categoría no la elige el pliego: resulta del Anexo I del RD 311/2022 y se consigna en el expediente </w:t>
            </w:r>
            <w:r>
              <w:rPr>
                <w:rFonts w:ascii="Calibri" w:cs="Calibri" w:eastAsia="Calibri" w:hAnsi="Calibri"/>
                <w:b/>
                <w:bCs/>
                <w:sz w:val="18"/>
                <w:szCs w:val="18"/>
              </w:rPr>
              <w:t xml:space="preserve">antes</w:t>
            </w:r>
            <w:r>
              <w:rPr>
                <w:rFonts w:ascii="Calibri" w:cs="Calibri" w:eastAsia="Calibri" w:hAnsi="Calibri"/>
                <w:b w:val="false"/>
                <w:bCs w:val="false"/>
                <w:sz w:val="18"/>
                <w:szCs w:val="18"/>
              </w:rPr>
              <w:t xml:space="preserve"> de aprobarlo. Certificación sólo en categorías MEDIA y ALTA; declaración por autoevaluación en BÁSICA. </w:t>
            </w:r>
            <w:r>
              <w:rPr>
                <w:rFonts w:ascii="Calibri" w:cs="Calibri" w:eastAsia="Calibri" w:hAnsi="Calibri"/>
                <w:b/>
                <w:bCs/>
                <w:sz w:val="18"/>
                <w:szCs w:val="18"/>
              </w:rPr>
              <w:t xml:space="preserve">Es la cláusula del supuesto de la Resolución 383/2024: sin justificación de la categoría en la memoria del expediente, el pliego cae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DT-7·v3</w:t>
            </w:r>
            <w:r>
              <w:rPr>
                <w:rFonts w:ascii="Calibri" w:cs="Calibri" w:eastAsia="Calibri" w:hAnsi="Calibri"/>
                <w:b w:val="false"/>
                <w:bCs w:val="false"/>
                <w:sz w:val="18"/>
                <w:szCs w:val="18"/>
              </w:rPr>
              <w:t xml:space="preserve"> Interfaz normalizada de acceso programático para agentes de 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99.1, 126.2 y 126.5.a) LCSP; art. 16 RD 4/2010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obligación se define por lo que la interfaz debe hacer, no por el protocolo que use; el protocolo concreto se cita fuera del articulado, como referencia técnica no normativa. Ámbito modulado a los módulos, funciones mínimas y funciones adicionales ofertables relacionados en el apartado 1 del </w:t>
            </w:r>
            <w:r>
              <w:rPr>
                <w:rFonts w:ascii="Calibri" w:cs="Calibri" w:eastAsia="Calibri" w:hAnsi="Calibri"/>
                <w:b/>
                <w:bCs/>
                <w:sz w:val="18"/>
                <w:szCs w:val="18"/>
              </w:rPr>
              <w:t xml:space="preserve">Apéndice técnico 2 · Exigencias tecnológicas determinadas</w:t>
            </w:r>
            <w:r>
              <w:rPr>
                <w:rFonts w:ascii="Calibri" w:cs="Calibri" w:eastAsia="Calibri" w:hAnsi="Calibri"/>
                <w:b w:val="false"/>
                <w:bCs w:val="false"/>
                <w:sz w:val="18"/>
                <w:szCs w:val="18"/>
              </w:rPr>
              <w:t xml:space="preserve"> del PPT, que es su </w:t>
            </w:r>
            <w:r>
              <w:rPr>
                <w:rFonts w:ascii="Calibri" w:cs="Calibri" w:eastAsia="Calibri" w:hAnsi="Calibri"/>
                <w:b/>
                <w:bCs/>
                <w:sz w:val="18"/>
                <w:szCs w:val="18"/>
              </w:rPr>
              <w:t xml:space="preserve">sede única</w:t>
            </w:r>
            <w:r>
              <w:rPr>
                <w:rFonts w:ascii="Calibri" w:cs="Calibri" w:eastAsia="Calibri" w:hAnsi="Calibri"/>
                <w:b w:val="false"/>
                <w:bCs w:val="false"/>
                <w:sz w:val="18"/>
                <w:szCs w:val="18"/>
              </w:rPr>
              <w:t xml:space="preserve"> en el pliego (art. 116.4.e; Anexo XXV). No se puntúa la tenencia previa: lo que se valora es el alcance comprometido, se entregue de origen o mediante desarrollo en plazo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DT-8·v3</w:t>
            </w:r>
            <w:r>
              <w:rPr>
                <w:rFonts w:ascii="Calibri" w:cs="Calibri" w:eastAsia="Calibri" w:hAnsi="Calibri"/>
                <w:b w:val="false"/>
                <w:bCs w:val="false"/>
                <w:sz w:val="18"/>
                <w:szCs w:val="18"/>
              </w:rPr>
              <w:t xml:space="preserve"> Reversibilidad, Inventario de Componentes y Dossier de Reversibilidad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 + obligación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34.1, 111.1 y 126.2 LCSP; art. 28.3.g) RGPD; arts. 16 y 17 RD 4/2010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 una cláusula intrínsecamente pro-competitiva: elimina la dependencia tecnológica y entrega al siguiente procedimiento un Dossier depurado que reduce la ventaja del contratista saliente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DT-9·v3</w:t>
            </w:r>
            <w:r>
              <w:rPr>
                <w:rFonts w:ascii="Calibri" w:cs="Calibri" w:eastAsia="Calibri" w:hAnsi="Calibri"/>
                <w:b w:val="false"/>
                <w:bCs w:val="false"/>
                <w:sz w:val="18"/>
                <w:szCs w:val="18"/>
              </w:rPr>
              <w:t xml:space="preserve"> Exigencias Tecnológicas Determinadas del ejercicio (Anexo 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 transcrita físicamente en el 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99.1, 122.4 y 126.2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alcance de la evolución exigible está determinado y fechado antes de licitar, de modo que el licitador puede presupuestarlo. La invariabilidad durante la vigencia impide la remisión a versiones futuras del Anexo</w:t>
            </w:r>
          </w:p>
        </w:tc>
      </w:tr>
    </w:tbl>
    <w:p>
      <w:pPr>
        <w:spacing w:after="200"/>
      </w:pPr>
    </w:p>
    <w:p>
      <w:pPr>
        <w:pStyle w:val="Heading3"/>
        <w:keepNext/>
        <w:spacing w:after="140" w:before="320"/>
      </w:pPr>
      <w:r>
        <w:rPr>
          <w:rFonts w:ascii="Georgia" w:cs="Georgia" w:eastAsia="Georgia" w:hAnsi="Georgia"/>
          <w:b/>
          <w:bCs/>
          <w:color w:val="2F5496"/>
          <w:sz w:val="22"/>
          <w:szCs w:val="22"/>
        </w:rPr>
        <w:t xml:space="preserve">M2.2 · Cláusulas administrativas (PCAP)</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Instrumento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Fundamento (precepto concreto)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Salvaguarda de concurrencia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ADM-1·v3</w:t>
            </w:r>
            <w:r>
              <w:rPr>
                <w:rFonts w:ascii="Calibri" w:cs="Calibri" w:eastAsia="Calibri" w:hAnsi="Calibri"/>
                <w:b w:val="false"/>
                <w:bCs w:val="false"/>
                <w:sz w:val="18"/>
                <w:szCs w:val="18"/>
              </w:rPr>
              <w:t xml:space="preserve"> Solvencia técnica y certificaciones exigibles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Solvencia (contratos SARA) o condición especial de ejecución (resto)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90, 93.1 y 93.2 LCSP; art. 202 LCSP para la modalidad de compromiso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93.2 LCSP: admisión de </w:t>
            </w:r>
            <w:r>
              <w:rPr>
                <w:rFonts w:ascii="Calibri" w:cs="Calibri" w:eastAsia="Calibri" w:hAnsi="Calibri"/>
                <w:b w:val="false"/>
                <w:bCs w:val="false"/>
                <w:i/>
                <w:iCs/>
                <w:sz w:val="18"/>
                <w:szCs w:val="18"/>
              </w:rPr>
              <w:t xml:space="preserve">otras pruebas de medidas equivalentes</w:t>
            </w:r>
            <w:r>
              <w:rPr>
                <w:rFonts w:ascii="Calibri" w:cs="Calibri" w:eastAsia="Calibri" w:hAnsi="Calibri"/>
                <w:b w:val="false"/>
                <w:bCs w:val="false"/>
                <w:sz w:val="18"/>
                <w:szCs w:val="18"/>
              </w:rPr>
              <w:t xml:space="preserve">. La certificación no se puntúa nunca como criterio de adjudicación. La obligación se ancla al sistema de gestión aplicado a la solución contratada, no a la empresa en abstracto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ADM-2·v3</w:t>
            </w:r>
            <w:r>
              <w:rPr>
                <w:rFonts w:ascii="Calibri" w:cs="Calibri" w:eastAsia="Calibri" w:hAnsi="Calibri"/>
                <w:b w:val="false"/>
                <w:bCs w:val="false"/>
                <w:sz w:val="18"/>
                <w:szCs w:val="18"/>
              </w:rPr>
              <w:t xml:space="preserve"> CEE esencial: Compromiso de Evolución Tecnológica Determinada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Condición especial de ejecución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Arts. 202.1 y 202.2 LCSP</w:t>
            </w:r>
            <w:r>
              <w:rPr>
                <w:rFonts w:ascii="Calibri" w:cs="Calibri" w:eastAsia="Calibri" w:hAnsi="Calibri"/>
                <w:b w:val="false"/>
                <w:bCs w:val="false"/>
                <w:sz w:val="18"/>
                <w:szCs w:val="18"/>
              </w:rPr>
              <w:t xml:space="preserve"> (la innovación es materia expresa de CEE); art. 145.6 LCSP (vinculación por ciclo de vida); art. 126.2 LCSP; art. 70 Directiva 2014/24/UE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Alcance cerrado al Anexo V (regla de agotamiento); hechos desencadenantes objetivamente verificables, redactados con el molde del art. 204.1.b) LCSP; medios de acreditación tasados; plazo uniforme sin plazos inferiores </w:t>
            </w:r>
            <w:r>
              <w:rPr>
                <w:rFonts w:ascii="Calibri" w:cs="Calibri" w:eastAsia="Calibri" w:hAnsi="Calibri"/>
                <w:b w:val="false"/>
                <w:bCs w:val="false"/>
                <w:i/>
                <w:iCs/>
                <w:sz w:val="18"/>
                <w:szCs w:val="18"/>
              </w:rPr>
              <w:t xml:space="preserve">ad hoc</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ADM-3·v3</w:t>
            </w:r>
            <w:r>
              <w:rPr>
                <w:rFonts w:ascii="Calibri" w:cs="Calibri" w:eastAsia="Calibri" w:hAnsi="Calibri"/>
                <w:b w:val="false"/>
                <w:bCs w:val="false"/>
                <w:sz w:val="18"/>
                <w:szCs w:val="18"/>
              </w:rPr>
              <w:t xml:space="preserve"> Plazos de adaptación, Plan Anual y bolsa de servicios evolutivos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Obligación de ejecución + sistema de determinación del precio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202 LCSP; </w:t>
            </w:r>
            <w:r>
              <w:rPr>
                <w:rFonts w:ascii="Calibri" w:cs="Calibri" w:eastAsia="Calibri" w:hAnsi="Calibri"/>
                <w:b/>
                <w:bCs/>
                <w:sz w:val="18"/>
                <w:szCs w:val="18"/>
              </w:rPr>
              <w:t xml:space="preserve">art. 308.3 LCSP</w:t>
            </w:r>
            <w:r>
              <w:rPr>
                <w:rFonts w:ascii="Calibri" w:cs="Calibri" w:eastAsia="Calibri" w:hAnsi="Calibri"/>
                <w:b w:val="false"/>
                <w:bCs w:val="false"/>
                <w:sz w:val="18"/>
                <w:szCs w:val="18"/>
              </w:rPr>
              <w:t xml:space="preserve"> (definición por componentes de prestación y precio por unidades de actividad, con concreción de funcionalidades por la Administración durante la ejecución en los términos previstos en el PCAP), con la cautela del </w:t>
            </w:r>
            <w:r>
              <w:rPr>
                <w:rFonts w:ascii="Calibri" w:cs="Calibri" w:eastAsia="Calibri" w:hAnsi="Calibri"/>
                <w:b/>
                <w:bCs/>
                <w:sz w:val="18"/>
                <w:szCs w:val="18"/>
              </w:rPr>
              <w:t xml:space="preserve">art. 308.2</w:t>
            </w:r>
            <w:r>
              <w:rPr>
                <w:rFonts w:ascii="Calibri" w:cs="Calibri" w:eastAsia="Calibri" w:hAnsi="Calibri"/>
                <w:b w:val="false"/>
                <w:bCs w:val="false"/>
                <w:sz w:val="18"/>
                <w:szCs w:val="18"/>
              </w:rPr>
              <w:t xml:space="preserve">; arts. 100.2 y 101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Los precios unitarios los oferta el propio licitador (Anexo X.3). El régimen de las peticiones de servicio y el límite del art. 308.2 LCSP se exponen en el §M6.5. Sólo cabe en contratos de desarrollo o mantenimiento de aplicaciones informáticas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ADM-4·v3</w:t>
            </w:r>
            <w:r>
              <w:rPr>
                <w:rFonts w:ascii="Calibri" w:cs="Calibri" w:eastAsia="Calibri" w:hAnsi="Calibri"/>
                <w:b w:val="false"/>
                <w:bCs w:val="false"/>
                <w:sz w:val="18"/>
                <w:szCs w:val="18"/>
              </w:rPr>
              <w:t xml:space="preserve"> Seguimiento: responsable del contrato, Comisión y verificación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Organización de la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62 LCSP; arts. 4.3 y 20.3 RD 424/2017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impone al contratista medios adicionales más allá de la asistencia a un número tasado de sesiones al año, fijado en el pliego. Las actas tienen valor probatorio tasado, lo que reduce la discrecionalidad del órgano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ADM-5·v3</w:t>
            </w:r>
            <w:r>
              <w:rPr>
                <w:rFonts w:ascii="Calibri" w:cs="Calibri" w:eastAsia="Calibri" w:hAnsi="Calibri"/>
                <w:b w:val="false"/>
                <w:bCs w:val="false"/>
                <w:sz w:val="18"/>
                <w:szCs w:val="18"/>
              </w:rPr>
              <w:t xml:space="preserve"> Penalidades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Penalidades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Art. 192.1 LCSP</w:t>
            </w:r>
            <w:r>
              <w:rPr>
                <w:rFonts w:ascii="Calibri" w:cs="Calibri" w:eastAsia="Calibri" w:hAnsi="Calibri"/>
                <w:b w:val="false"/>
                <w:bCs w:val="false"/>
                <w:sz w:val="18"/>
                <w:szCs w:val="18"/>
              </w:rPr>
              <w:t xml:space="preserve"> (10 % por penalidad y 50 % del total, IVA excluido); art. 202.3 LCSP; art. 194.1 LCSP (imposición por acuerdo del órgano de contratación, a propuesta del 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Tipificación por hechos verificables y no por conceptos; graduación en leves, graves y muy graves; requerimiento de subsanación previo y audiencia antes de la imposición</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ADM-6·v3</w:t>
            </w:r>
            <w:r>
              <w:rPr>
                <w:rFonts w:ascii="Calibri" w:cs="Calibri" w:eastAsia="Calibri" w:hAnsi="Calibri"/>
                <w:b w:val="false"/>
                <w:bCs w:val="false"/>
                <w:sz w:val="18"/>
                <w:szCs w:val="18"/>
              </w:rPr>
              <w:t xml:space="preserve"> Obligaciones esenciales y resolución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Causa de resolución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Art. 211.1.f) LCSP</w:t>
            </w:r>
            <w:r>
              <w:rPr>
                <w:rFonts w:ascii="Calibri" w:cs="Calibri" w:eastAsia="Calibri" w:hAnsi="Calibri"/>
                <w:b w:val="false"/>
                <w:bCs w:val="false"/>
                <w:sz w:val="18"/>
                <w:szCs w:val="18"/>
              </w:rPr>
              <w:t xml:space="preserve"> con sus dos requisitos acumulativos (art. 34.1 y enumeración </w:t>
            </w:r>
            <w:r>
              <w:rPr>
                <w:rFonts w:ascii="Calibri" w:cs="Calibri" w:eastAsia="Calibri" w:hAnsi="Calibri"/>
                <w:b w:val="false"/>
                <w:bCs w:val="false"/>
                <w:i/>
                <w:iCs/>
                <w:sz w:val="18"/>
                <w:szCs w:val="18"/>
              </w:rPr>
              <w:t xml:space="preserve">«precisa, clara e inequívoca […] no siendo admisibles cláusulas de tipo general»</w:t>
            </w:r>
            <w:r>
              <w:rPr>
                <w:rFonts w:ascii="Calibri" w:cs="Calibri" w:eastAsia="Calibri" w:hAnsi="Calibri"/>
                <w:b w:val="false"/>
                <w:bCs w:val="false"/>
                <w:sz w:val="18"/>
                <w:szCs w:val="18"/>
              </w:rPr>
              <w:t xml:space="preserve">); bloque </w:t>
            </w:r>
            <w:r>
              <w:rPr>
                <w:rFonts w:ascii="Calibri" w:cs="Calibri" w:eastAsia="Calibri" w:hAnsi="Calibri"/>
                <w:b w:val="false"/>
                <w:bCs w:val="false"/>
                <w:i/>
                <w:iCs/>
                <w:sz w:val="18"/>
                <w:szCs w:val="18"/>
              </w:rPr>
              <w:t xml:space="preserve">ex lege</w:t>
            </w:r>
            <w:r>
              <w:rPr>
                <w:rFonts w:ascii="Calibri" w:cs="Calibri" w:eastAsia="Calibri" w:hAnsi="Calibri"/>
                <w:b w:val="false"/>
                <w:bCs w:val="false"/>
                <w:sz w:val="18"/>
                <w:szCs w:val="18"/>
              </w:rPr>
              <w:t xml:space="preserve"> </w:t>
            </w:r>
            <w:r>
              <w:rPr>
                <w:rFonts w:ascii="Calibri" w:cs="Calibri" w:eastAsia="Calibri" w:hAnsi="Calibri"/>
                <w:b/>
                <w:bCs/>
                <w:sz w:val="18"/>
                <w:szCs w:val="18"/>
              </w:rPr>
              <w:t xml:space="preserve">condicionado</w:t>
            </w:r>
            <w:r>
              <w:rPr>
                <w:rFonts w:ascii="Calibri" w:cs="Calibri" w:eastAsia="Calibri" w:hAnsi="Calibri"/>
                <w:b w:val="false"/>
                <w:bCs w:val="false"/>
                <w:sz w:val="18"/>
                <w:szCs w:val="18"/>
              </w:rPr>
              <w:t xml:space="preserve">: art. 202.1 párr. 3.º (sólo si hay cesión de datos) y art. 122.2 (sólo si hay tratamiento por cuenta del responsable); art. 212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 cerrada de incumplimientos tasados, con cláusula de cierre. Requerimiento de subsanación y juicio comparativo de perjuicios antes de resolver. Las obligaciones que no figuren en la lista sólo generan penalidad</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ADM-7·v3</w:t>
            </w:r>
            <w:r>
              <w:rPr>
                <w:rFonts w:ascii="Calibri" w:cs="Calibri" w:eastAsia="Calibri" w:hAnsi="Calibri"/>
                <w:b w:val="false"/>
                <w:bCs w:val="false"/>
                <w:sz w:val="18"/>
                <w:szCs w:val="18"/>
              </w:rPr>
              <w:t xml:space="preserve"> Criterios de adjudicación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Criterios de adjudicación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145.4, 145.5, 145.6 y 145.7 LCSP; arts. 146.2 y 146.2.a) LCSP; arts. 159.1.b) y 159.6 LCSP; </w:t>
            </w:r>
            <w:r>
              <w:rPr>
                <w:rFonts w:ascii="Calibri" w:cs="Calibri" w:eastAsia="Calibri" w:hAnsi="Calibri"/>
                <w:b/>
                <w:bCs/>
                <w:sz w:val="18"/>
                <w:szCs w:val="18"/>
              </w:rPr>
              <w:t xml:space="preserve">art. 40.b)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 de separación triple (nada puede ser a la vez solvencia y criterio, ni prescripción obligatoria y criterio, ni criterio y condición especial de ejecución); preponderancia de los criterios por fórmula; no se puntúa tenencia previa, certificaciones ni experiencia; ficha de verificabilidad por criterio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ADM-8·v3</w:t>
            </w:r>
            <w:r>
              <w:rPr>
                <w:rFonts w:ascii="Calibri" w:cs="Calibri" w:eastAsia="Calibri" w:hAnsi="Calibri"/>
                <w:b w:val="false"/>
                <w:bCs w:val="false"/>
                <w:sz w:val="18"/>
                <w:szCs w:val="18"/>
              </w:rPr>
              <w:t xml:space="preserve"> Propiedad intelectual, titularidad y no dependencia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Cláusula de propiedad y derechos de uso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Art. 308.1 LCSP</w:t>
            </w:r>
            <w:r>
              <w:rPr>
                <w:rFonts w:ascii="Calibri" w:cs="Calibri" w:eastAsia="Calibri" w:hAnsi="Calibri"/>
                <w:b w:val="false"/>
                <w:bCs w:val="false"/>
                <w:sz w:val="18"/>
                <w:szCs w:val="18"/>
              </w:rPr>
              <w:t xml:space="preserve">; arts. 43.1 y 43.2, 97.4, 99 y 100 TRLPI; arts. 157 y 158 Ley 40/2015; arts. 16 y 17 RD 4/2010; art. 34.1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titularidad se limita al desarrollo específico realizado para el Ayuntamiento: </w:t>
            </w:r>
            <w:r>
              <w:rPr>
                <w:rFonts w:ascii="Calibri" w:cs="Calibri" w:eastAsia="Calibri" w:hAnsi="Calibri"/>
                <w:b/>
                <w:bCs/>
                <w:sz w:val="18"/>
                <w:szCs w:val="18"/>
              </w:rPr>
              <w:t xml:space="preserve">no se exige el código fuente del producto base</w:t>
            </w:r>
            <w:r>
              <w:rPr>
                <w:rFonts w:ascii="Calibri" w:cs="Calibri" w:eastAsia="Calibri" w:hAnsi="Calibri"/>
                <w:b w:val="false"/>
                <w:bCs w:val="false"/>
                <w:sz w:val="18"/>
                <w:szCs w:val="18"/>
              </w:rPr>
              <w:t xml:space="preserve">, que es lo que expulsaría del procedimiento a los fabricantes de producto. Licencia mínima supletoria y reserva de derechos morales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ADM-9·v3</w:t>
            </w:r>
            <w:r>
              <w:rPr>
                <w:rFonts w:ascii="Calibri" w:cs="Calibri" w:eastAsia="Calibri" w:hAnsi="Calibri"/>
                <w:b w:val="false"/>
                <w:bCs w:val="false"/>
                <w:sz w:val="18"/>
                <w:szCs w:val="18"/>
              </w:rPr>
              <w:t xml:space="preserve"> Verificación mediante demostración funcional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Medio de comprobación de un criterio (art. 145.5.c)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139.2, 145.5.c) y 146.2 LCSP; arts. 26, 27.2 y 30.2 RD 817/2009; </w:t>
            </w:r>
            <w:r>
              <w:rPr>
                <w:rFonts w:ascii="Calibri" w:cs="Calibri" w:eastAsia="Calibri" w:hAnsi="Calibri"/>
                <w:b/>
                <w:bCs/>
                <w:sz w:val="18"/>
                <w:szCs w:val="18"/>
              </w:rPr>
              <w:t xml:space="preserve">DA 15.ª.2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Caso de uso único, predefinido e idéntico para todos, sobre datos ficticios o anonimizados; relación cerrada y numerada de elementos verificables publicada en el pliego, conforme al modelo del Anexo XX; momento procedimental imperativo; </w:t>
            </w:r>
            <w:r>
              <w:rPr>
                <w:rFonts w:ascii="Calibri" w:cs="Calibri" w:eastAsia="Calibri" w:hAnsi="Calibri"/>
                <w:b/>
                <w:bCs/>
                <w:sz w:val="18"/>
                <w:szCs w:val="18"/>
              </w:rPr>
              <w:t xml:space="preserve">no constituye criterio de adjudicación y no atribuye puntuación alguna</w:t>
            </w:r>
            <w:r>
              <w:rPr>
                <w:rFonts w:ascii="Calibri" w:cs="Calibri" w:eastAsia="Calibri" w:hAnsi="Calibri"/>
                <w:b w:val="false"/>
                <w:bCs w:val="false"/>
                <w:sz w:val="18"/>
                <w:szCs w:val="18"/>
              </w:rPr>
              <w:t xml:space="preserve">: sólo confirma o retira la puntuación ya asignada a lo declarado por escrito en la oferta; no acredita solvencia y no funda por sí sola la exclusión</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ADM-10·v3</w:t>
            </w:r>
            <w:r>
              <w:rPr>
                <w:rFonts w:ascii="Calibri" w:cs="Calibri" w:eastAsia="Calibri" w:hAnsi="Calibri"/>
                <w:b w:val="false"/>
                <w:bCs w:val="false"/>
                <w:sz w:val="18"/>
                <w:szCs w:val="18"/>
              </w:rPr>
              <w:t xml:space="preserve"> Plan Anual de Evolución Tecnológica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Instrumento de seguimiento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62 y 202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Deja de ser fuente autónoma de obligaciones esenciales: sólo los hitos expresamente aprobados por el órgano de contratación y con fecha cierta en acta pueden tener ese carácter. El formato del Plan es el del Anexo XIV</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ADM-11·v3</w:t>
            </w:r>
            <w:r>
              <w:rPr>
                <w:rFonts w:ascii="Calibri" w:cs="Calibri" w:eastAsia="Calibri" w:hAnsi="Calibri"/>
                <w:b w:val="false"/>
                <w:bCs w:val="false"/>
                <w:sz w:val="18"/>
                <w:szCs w:val="18"/>
              </w:rPr>
              <w:t xml:space="preserve"> Depósito de código y continuidad del servicio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Condición especial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34.1, 100.2 y 202 LCSP; art. 211.1.b) LCSP (concurso); art. 99 TRLPI (la entrega del soporte no confiere derecho de reproducción); RD 311/2022, Anexo II, medida [op.cont.4] «Medios alternativos», </w:t>
            </w:r>
            <w:r>
              <w:rPr>
                <w:rFonts w:ascii="Calibri" w:cs="Calibri" w:eastAsia="Calibri" w:hAnsi="Calibri"/>
                <w:b/>
                <w:bCs/>
                <w:sz w:val="18"/>
                <w:szCs w:val="18"/>
              </w:rPr>
              <w:t xml:space="preserve">por analogía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Disparadores objetivos de servicio, no la mera declaración de concurso; ámbito acotado por umbrales; </w:t>
            </w:r>
            <w:r>
              <w:rPr>
                <w:rFonts w:ascii="Calibri" w:cs="Calibri" w:eastAsia="Calibri" w:hAnsi="Calibri"/>
                <w:b/>
                <w:bCs/>
                <w:sz w:val="18"/>
                <w:szCs w:val="18"/>
              </w:rPr>
              <w:t xml:space="preserve">acuerdo tripartito</w:t>
            </w:r>
            <w:r>
              <w:rPr>
                <w:rFonts w:ascii="Calibri" w:cs="Calibri" w:eastAsia="Calibri" w:hAnsi="Calibri"/>
                <w:b w:val="false"/>
                <w:bCs w:val="false"/>
                <w:sz w:val="18"/>
                <w:szCs w:val="18"/>
              </w:rPr>
              <w:t xml:space="preserve"> cuando el adjudicatario sea integrador, para no excluir de hecho a quien no es titular del producto; licencia condicionada con finalidad tasada y sin explotación comercial</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ADM-12·v3</w:t>
            </w:r>
            <w:r>
              <w:rPr>
                <w:rFonts w:ascii="Calibri" w:cs="Calibri" w:eastAsia="Calibri" w:hAnsi="Calibri"/>
                <w:b w:val="false"/>
                <w:bCs w:val="false"/>
                <w:sz w:val="18"/>
                <w:szCs w:val="18"/>
              </w:rPr>
              <w:t xml:space="preserve"> Acceso del órgano interventor a los datos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Condición especial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4.3, 6.3, 6.4, 6.7, 20.3, 30.1 y 30.3 RD 424/2017; arts. 214 y 220 a 222 TRLRHL; DA 3.ª.3 LCSP; art. 33.4.d) RD 424/2017 </w:t>
            </w:r>
            <w:r>
              <w:rPr>
                <w:rFonts w:ascii="Calibri" w:cs="Calibri" w:eastAsia="Calibri" w:hAnsi="Calibri"/>
                <w:b/>
                <w:bCs/>
                <w:sz w:val="18"/>
                <w:szCs w:val="18"/>
              </w:rPr>
              <w:t xml:space="preserve">para operaciones, saldos y costes en auditoría pública</w:t>
            </w:r>
            <w:r>
              <w:rPr>
                <w:rFonts w:ascii="Calibri" w:cs="Calibri" w:eastAsia="Calibri" w:hAnsi="Calibri"/>
                <w:b w:val="false"/>
                <w:bCs w:val="false"/>
                <w:sz w:val="18"/>
                <w:szCs w:val="18"/>
              </w:rPr>
              <w:t xml:space="preserve">; art. 28.3.h) RGPD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fija en el pliego un </w:t>
            </w:r>
            <w:r>
              <w:rPr>
                <w:rFonts w:ascii="Calibri" w:cs="Calibri" w:eastAsia="Calibri" w:hAnsi="Calibri"/>
                <w:b/>
                <w:bCs/>
                <w:sz w:val="18"/>
                <w:szCs w:val="18"/>
              </w:rPr>
              <w:t xml:space="preserve">número de accesos de control incluido en el precio</w:t>
            </w:r>
            <w:r>
              <w:rPr>
                <w:rFonts w:ascii="Calibri" w:cs="Calibri" w:eastAsia="Calibri" w:hAnsi="Calibri"/>
                <w:b w:val="false"/>
                <w:bCs w:val="false"/>
                <w:sz w:val="18"/>
                <w:szCs w:val="18"/>
              </w:rPr>
              <w:t xml:space="preserve">, en lugar de prohibir el licenciamiento por usuario —prohibición que excluiría de facto los modelos SaaS del mercado—. Deber de sigilo del art. 5.1 RD 424/2017. Diccionario de datos y exportación en formato abierto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ADM-13·v3</w:t>
            </w:r>
            <w:r>
              <w:rPr>
                <w:rFonts w:ascii="Calibri" w:cs="Calibri" w:eastAsia="Calibri" w:hAnsi="Calibri"/>
                <w:b w:val="false"/>
                <w:bCs w:val="false"/>
                <w:sz w:val="18"/>
                <w:szCs w:val="18"/>
              </w:rPr>
              <w:t xml:space="preserve"> Uso de sistemas de IA sobre información municipal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Condición especial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202.1 LCSP; art. 28 RGPD, y art. 122.2 LCSP cuando exista encargo de tratamiento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obligación versa sobre el tratamiento de </w:t>
            </w:r>
            <w:r>
              <w:rPr>
                <w:rFonts w:ascii="Calibri" w:cs="Calibri" w:eastAsia="Calibri" w:hAnsi="Calibri"/>
                <w:b/>
                <w:bCs/>
                <w:sz w:val="18"/>
                <w:szCs w:val="18"/>
              </w:rPr>
              <w:t xml:space="preserve">información municipal en la ejecución del contrato</w:t>
            </w:r>
            <w:r>
              <w:rPr>
                <w:rFonts w:ascii="Calibri" w:cs="Calibri" w:eastAsia="Calibri" w:hAnsi="Calibri"/>
                <w:b w:val="false"/>
                <w:bCs w:val="false"/>
                <w:sz w:val="18"/>
                <w:szCs w:val="18"/>
              </w:rPr>
              <w:t xml:space="preserve">, no sobre las herramientas internas del contratista ajenas a ella. La autorización de altas no puede denegarse sin motivación ni en plazo indefinido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ADM-14·v3</w:t>
            </w:r>
            <w:r>
              <w:rPr>
                <w:rFonts w:ascii="Calibri" w:cs="Calibri" w:eastAsia="Calibri" w:hAnsi="Calibri"/>
                <w:b w:val="false"/>
                <w:bCs w:val="false"/>
                <w:sz w:val="18"/>
                <w:szCs w:val="18"/>
              </w:rPr>
              <w:t xml:space="preserve"> Modificación prevista (art. 204) y valor estimado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Cláusula de modificación prevista + cláusula de valor estimado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203, 204.1.a) y b), 206, 101.2.c) y 101.5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 cerrada y cuantificada; disparadores anclados a hechos publicados y datables; Cuadro de Precios Unitarios como único sistema de fijación del precio; mención obligatoria de que la modificación no puede suponer nuevos precios unitarios; </w:t>
            </w:r>
            <w:r>
              <w:rPr>
                <w:rFonts w:ascii="Calibri" w:cs="Calibri" w:eastAsia="Calibri" w:hAnsi="Calibri"/>
                <w:b/>
                <w:bCs/>
                <w:sz w:val="18"/>
                <w:szCs w:val="18"/>
              </w:rPr>
              <w:t xml:space="preserve">por defecto no se incorpora</w:t>
            </w:r>
          </w:p>
        </w:tc>
      </w:tr>
    </w:tbl>
    <w:p>
      <w:pPr>
        <w:spacing w:after="200"/>
      </w:pPr>
    </w:p>
    <w:p>
      <w:pPr>
        <w:pStyle w:val="Heading3"/>
        <w:keepNext/>
        <w:spacing w:after="140" w:before="320"/>
      </w:pPr>
      <w:r>
        <w:rPr>
          <w:rFonts w:ascii="Georgia" w:cs="Georgia" w:eastAsia="Georgia" w:hAnsi="Georgia"/>
          <w:b/>
          <w:bCs/>
          <w:color w:val="2F5496"/>
          <w:sz w:val="22"/>
          <w:szCs w:val="22"/>
        </w:rPr>
        <w:t xml:space="preserve">M2.3 · Dos filas que se han eliminado, y por qué</w:t>
      </w:r>
    </w:p>
    <w:p>
      <w:pPr>
        <w:spacing w:after="140" w:line="276"/>
      </w:pPr>
      <w:r>
        <w:rPr>
          <w:rFonts w:ascii="Calibri" w:cs="Calibri" w:eastAsia="Calibri" w:hAnsi="Calibri"/>
          <w:sz w:val="21"/>
          <w:szCs w:val="21"/>
        </w:rPr>
        <w:t xml:space="preserve">Se hace constar expresamente, porque quien compare este catálogo con el clausulado de junio de 2026 lo notará:</w:t>
      </w:r>
    </w:p>
    <w:p>
      <w:pPr>
        <w:pStyle w:val="ListParagraph"/>
        <w:numPr>
          <w:ilvl w:val="0"/>
          <w:numId w:val="1"/>
        </w:numPr>
        <w:spacing w:after="70" w:line="268"/>
      </w:pPr>
      <w:r>
        <w:rPr>
          <w:rFonts w:ascii="Calibri" w:cs="Calibri" w:eastAsia="Calibri" w:hAnsi="Calibri"/>
          <w:b/>
          <w:bCs/>
          <w:sz w:val="21"/>
          <w:szCs w:val="21"/>
        </w:rPr>
        <w:t xml:space="preserve">«DT-1 a DT-7 · fundamento: […] estándar MCP»</w:t>
      </w:r>
      <w:r>
        <w:rPr>
          <w:rFonts w:ascii="Calibri" w:cs="Calibri" w:eastAsia="Calibri" w:hAnsi="Calibri"/>
          <w:sz w:val="21"/>
          <w:szCs w:val="21"/>
        </w:rPr>
        <w:t xml:space="preserve">. Un protocolo de agentes no es norma en el sentido del art. 125 LCSP ni especificación técnica de las del art. 126.5.b), y </w:t>
      </w:r>
      <w:r>
        <w:rPr>
          <w:rFonts w:ascii="Calibri" w:cs="Calibri" w:eastAsia="Calibri" w:hAnsi="Calibri"/>
          <w:b/>
          <w:bCs/>
          <w:sz w:val="21"/>
          <w:szCs w:val="21"/>
        </w:rPr>
        <w:t xml:space="preserve">tampoco puede operar como medio de presunción de conformidad del art. 126.5.c)</w:t>
      </w:r>
      <w:r>
        <w:rPr>
          <w:rFonts w:ascii="Calibri" w:cs="Calibri" w:eastAsia="Calibri" w:hAnsi="Calibri"/>
          <w:sz w:val="21"/>
          <w:szCs w:val="21"/>
        </w:rPr>
        <w:t xml:space="preserve">, porque ese efecto lo reserva la ley a las especificaciones de la letra b). Se ha sustituido por formulación funcional (art. 126.5.a), con el protocolo citado fuera del articulado. El mismo tratamiento se aplica a las normas federales estadounidenses de criptografía post-cuántica.</w:t>
      </w:r>
    </w:p>
    <w:p>
      <w:pPr>
        <w:pStyle w:val="ListParagraph"/>
        <w:numPr>
          <w:ilvl w:val="0"/>
          <w:numId w:val="1"/>
        </w:numPr>
        <w:spacing w:after="70" w:line="268"/>
      </w:pPr>
      <w:r>
        <w:rPr>
          <w:rFonts w:ascii="Calibri" w:cs="Calibri" w:eastAsia="Calibri" w:hAnsi="Calibri"/>
          <w:b/>
          <w:bCs/>
          <w:sz w:val="21"/>
          <w:szCs w:val="21"/>
        </w:rPr>
        <w:t xml:space="preserve">«ADM-8 · fundamento: Pliegos y normativa de propiedad intelectual»</w:t>
      </w:r>
      <w:r>
        <w:rPr>
          <w:rFonts w:ascii="Calibri" w:cs="Calibri" w:eastAsia="Calibri" w:hAnsi="Calibri"/>
          <w:sz w:val="21"/>
          <w:szCs w:val="21"/>
        </w:rPr>
        <w:t xml:space="preserve">. No es un fundamento: es una remisión en blanco. Sustituida por los preceptos del cuadro anterior.</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M3 · Neutralidad tecnológica y libre concurrencia</w:t>
      </w:r>
    </w:p>
    <w:p>
      <w:pPr>
        <w:pStyle w:val="Heading3"/>
        <w:keepNext/>
        <w:spacing w:after="140" w:before="320"/>
      </w:pPr>
      <w:r>
        <w:rPr>
          <w:rFonts w:ascii="Georgia" w:cs="Georgia" w:eastAsia="Georgia" w:hAnsi="Georgia"/>
          <w:b/>
          <w:bCs/>
          <w:color w:val="2F5496"/>
          <w:sz w:val="22"/>
          <w:szCs w:val="22"/>
        </w:rPr>
        <w:t xml:space="preserve">M3.1 · Lo que hoy hay, dicho con exactitud</w:t>
      </w:r>
    </w:p>
    <w:p>
      <w:pPr>
        <w:spacing w:after="140" w:line="276"/>
      </w:pPr>
      <w:r>
        <w:rPr>
          <w:rFonts w:ascii="Calibri" w:cs="Calibri" w:eastAsia="Calibri" w:hAnsi="Calibri"/>
          <w:sz w:val="21"/>
          <w:szCs w:val="21"/>
        </w:rPr>
        <w:t xml:space="preserve">El clausulado de junio de 2026 </w:t>
      </w:r>
      <w:r>
        <w:rPr>
          <w:rFonts w:ascii="Calibri" w:cs="Calibri" w:eastAsia="Calibri" w:hAnsi="Calibri"/>
          <w:b/>
          <w:bCs/>
          <w:sz w:val="21"/>
          <w:szCs w:val="21"/>
        </w:rPr>
        <w:t xml:space="preserve">afirma</w:t>
      </w:r>
      <w:r>
        <w:rPr>
          <w:rFonts w:ascii="Calibri" w:cs="Calibri" w:eastAsia="Calibri" w:hAnsi="Calibri"/>
          <w:sz w:val="21"/>
          <w:szCs w:val="21"/>
        </w:rPr>
        <w:t xml:space="preserve"> la neutralidad tecnológica: enumera salvaguardas de redacción y concluye que el texto la respeta. Eso es una declaración de intenciones, no una prueba, y ante una alegación de restricción de la concurrencia no vale nada. </w:t>
      </w:r>
      <w:r>
        <w:rPr>
          <w:rFonts w:ascii="Calibri" w:cs="Calibri" w:eastAsia="Calibri" w:hAnsi="Calibri"/>
          <w:b/>
          <w:bCs/>
          <w:sz w:val="21"/>
          <w:szCs w:val="21"/>
        </w:rPr>
        <w:t xml:space="preserve">A la fecha de esta memoria, la neutralidad de este catálogo está diseñada pero no acreditada.</w:t>
      </w:r>
      <w:r>
        <w:rPr>
          <w:rFonts w:ascii="Calibri" w:cs="Calibri" w:eastAsia="Calibri" w:hAnsi="Calibri"/>
          <w:sz w:val="21"/>
          <w:szCs w:val="21"/>
        </w:rPr>
        <w:t xml:space="preserve"> Se dice aquí, antes de que lo diga un recurrente, y se dice con el remedio al lado.</w:t>
      </w:r>
    </w:p>
    <w:p>
      <w:pPr>
        <w:spacing w:after="140" w:line="276"/>
      </w:pPr>
      <w:r>
        <w:rPr>
          <w:rFonts w:ascii="Calibri" w:cs="Calibri" w:eastAsia="Calibri" w:hAnsi="Calibri"/>
          <w:sz w:val="21"/>
          <w:szCs w:val="21"/>
        </w:rPr>
        <w:t xml:space="preserve">Las salvaguardas de redacción son reales y están en el articulado —formulación funcional, régimen de equivalencia con parámetros y prueba en la oferta, supresión de toda mención nominativa operativa, prohibición de puntuar la tenencia previa, excepción expresa de los servicios comunes—. Pero prueban que el texto no discrimina </w:t>
      </w:r>
      <w:r>
        <w:rPr>
          <w:rFonts w:ascii="Calibri" w:cs="Calibri" w:eastAsia="Calibri" w:hAnsi="Calibri"/>
          <w:i/>
          <w:iCs/>
          <w:sz w:val="21"/>
          <w:szCs w:val="21"/>
        </w:rPr>
        <w:t xml:space="preserve">sobre el papel</w:t>
      </w:r>
      <w:r>
        <w:rPr>
          <w:rFonts w:ascii="Calibri" w:cs="Calibri" w:eastAsia="Calibri" w:hAnsi="Calibri"/>
          <w:sz w:val="21"/>
          <w:szCs w:val="21"/>
        </w:rPr>
        <w:t xml:space="preserve">. No prueban que exista mercado capaz de cumplirlo, que es la pregunta que hará el Tribunal.</w:t>
      </w:r>
    </w:p>
    <w:p>
      <w:pPr>
        <w:pStyle w:val="Heading3"/>
        <w:keepNext/>
        <w:spacing w:after="140" w:before="320"/>
      </w:pPr>
      <w:r>
        <w:rPr>
          <w:rFonts w:ascii="Georgia" w:cs="Georgia" w:eastAsia="Georgia" w:hAnsi="Georgia"/>
          <w:b/>
          <w:bCs/>
          <w:color w:val="2F5496"/>
          <w:sz w:val="22"/>
          <w:szCs w:val="22"/>
        </w:rPr>
        <w:t xml:space="preserve">M3.2 · Cómo se prueba: consulta preliminar del mercado y contraste documentado</w:t>
      </w:r>
    </w:p>
    <w:p>
      <w:pPr>
        <w:spacing w:after="140" w:line="276"/>
      </w:pPr>
      <w:r>
        <w:rPr>
          <w:rFonts w:ascii="Calibri" w:cs="Calibri" w:eastAsia="Calibri" w:hAnsi="Calibri"/>
          <w:sz w:val="21"/>
          <w:szCs w:val="21"/>
        </w:rPr>
        <w:t xml:space="preserve">La neutralidad se acredita con dos piezas, ambas de expediente y ambas reproducibles:</w:t>
      </w:r>
    </w:p>
    <w:p>
      <w:pPr>
        <w:spacing w:after="140" w:line="276"/>
      </w:pPr>
      <w:r>
        <w:rPr>
          <w:rFonts w:ascii="Calibri" w:cs="Calibri" w:eastAsia="Calibri" w:hAnsi="Calibri"/>
          <w:b/>
          <w:bCs/>
          <w:sz w:val="21"/>
          <w:szCs w:val="21"/>
        </w:rPr>
        <w:t xml:space="preserve">(a) Consulta preliminar del mercado (art. 115 LCSP).</w:t>
      </w:r>
      <w:r>
        <w:rPr>
          <w:rFonts w:ascii="Calibri" w:cs="Calibri" w:eastAsia="Calibri" w:hAnsi="Calibri"/>
          <w:sz w:val="21"/>
          <w:szCs w:val="21"/>
        </w:rPr>
        <w:t xml:space="preserve"> Se publica el anuncio de la consulta en el perfil de contratante, abierto a cualquier operador, con el borrador del Anexo V del ejercicio y las preguntas concretas: si cada exigencia es alcanzable, en qué plazo, con qué coste de orden de magnitud, y qué exigencias son excluyentes en la práctica aunque no lo sean en el texto. El resultado —participantes, aportaciones y conclusiones— se recoge en informe que se incorpora al expediente y se publica. </w:t>
      </w:r>
      <w:r>
        <w:rPr>
          <w:rFonts w:ascii="Calibri" w:cs="Calibri" w:eastAsia="Calibri" w:hAnsi="Calibri"/>
          <w:b/>
          <w:bCs/>
          <w:sz w:val="21"/>
          <w:szCs w:val="21"/>
        </w:rPr>
        <w:t xml:space="preserve">El circuito y los plazos de esta consulta están en el §V.4.13, que es su sede operativa, y los modelos de anuncio y de informe, en el Anexo XXII; aquí sólo se explica por qué la consulta es lo que prueba la neutralidad.</w:t>
      </w:r>
      <w:r>
        <w:rPr>
          <w:rFonts w:ascii="Calibri" w:cs="Calibri" w:eastAsia="Calibri" w:hAnsi="Calibri"/>
          <w:sz w:val="21"/>
          <w:szCs w:val="21"/>
        </w:rPr>
        <w:t xml:space="preserve"> El art. 115 impone además dos cautelas que hay que cumplir sin excepción: la consulta no puede tener por efecto falsear la competencia ni otorgar ventaja a quien participe, y la participación en la preparación se rige por el art. 70 LCSP (§M7).</w:t>
      </w:r>
    </w:p>
    <w:p>
      <w:pPr>
        <w:spacing w:after="140" w:line="276"/>
      </w:pPr>
      <w:r>
        <w:rPr>
          <w:rFonts w:ascii="Calibri" w:cs="Calibri" w:eastAsia="Calibri" w:hAnsi="Calibri"/>
          <w:b/>
          <w:bCs/>
          <w:sz w:val="21"/>
          <w:szCs w:val="21"/>
        </w:rPr>
        <w:t xml:space="preserve">(b) Contraste de mercado documentado del Anexo V.</w:t>
      </w:r>
      <w:r>
        <w:rPr>
          <w:rFonts w:ascii="Calibri" w:cs="Calibri" w:eastAsia="Calibri" w:hAnsi="Calibri"/>
          <w:sz w:val="21"/>
          <w:szCs w:val="21"/>
        </w:rPr>
        <w:t xml:space="preserve"> Para cada exigencia del Anexo (ET-1, ET-2, ET-3): número de operadores identificados que acreditan poder cumplirla, fuente de la comprobación, fecha, y —cuando la exigencia se refiera a interoperabilidad con una infraestructura— censo de entidades integradas o integrables. Si una exigencia no supera el contraste, </w:t>
      </w:r>
      <w:r>
        <w:rPr>
          <w:rFonts w:ascii="Calibri" w:cs="Calibri" w:eastAsia="Calibri" w:hAnsi="Calibri"/>
          <w:b/>
          <w:bCs/>
          <w:sz w:val="21"/>
          <w:szCs w:val="21"/>
        </w:rPr>
        <w:t xml:space="preserve">no entra en el Anexo V</w:t>
      </w:r>
      <w:r>
        <w:rPr>
          <w:rFonts w:ascii="Calibri" w:cs="Calibri" w:eastAsia="Calibri" w:hAnsi="Calibri"/>
          <w:sz w:val="21"/>
          <w:szCs w:val="21"/>
        </w:rPr>
        <w:t xml:space="preserve">: se aplaza al ejercicio siguiente. Ésta es la diferencia material entre un catálogo de necesidades y una lista de deseos.</w:t>
      </w:r>
    </w:p>
    <w:p>
      <w:pPr>
        <w:spacing w:after="140" w:line="276"/>
      </w:pPr>
      <w:r>
        <w:rPr>
          <w:rFonts w:ascii="Calibri" w:cs="Calibri" w:eastAsia="Calibri" w:hAnsi="Calibri"/>
          <w:b/>
          <w:bCs/>
          <w:sz w:val="21"/>
          <w:szCs w:val="21"/>
        </w:rPr>
        <w:t xml:space="preserve">(c) Documento de apoyo.</w:t>
      </w:r>
      <w:r>
        <w:rPr>
          <w:rFonts w:ascii="Calibri" w:cs="Calibri" w:eastAsia="Calibri" w:hAnsi="Calibri"/>
          <w:sz w:val="21"/>
          <w:szCs w:val="21"/>
        </w:rPr>
        <w:t xml:space="preserve"> La Guía de la Comisión Nacional de los Mercados y la Competencia </w:t>
      </w:r>
      <w:r>
        <w:rPr>
          <w:rFonts w:ascii="Calibri" w:cs="Calibri" w:eastAsia="Calibri" w:hAnsi="Calibri"/>
          <w:b/>
          <w:bCs/>
          <w:sz w:val="21"/>
          <w:szCs w:val="21"/>
        </w:rPr>
        <w:t xml:space="preserve">sobre la preparación y el diseño de las licitaciones públicas</w:t>
      </w:r>
      <w:r>
        <w:rPr>
          <w:rFonts w:ascii="Calibri" w:cs="Calibri" w:eastAsia="Calibri" w:hAnsi="Calibri"/>
          <w:sz w:val="21"/>
          <w:szCs w:val="21"/>
        </w:rPr>
        <w:t xml:space="preserve"> (ref. G-2023-01, aprobada el 22 de mayo de 2025) incluye orientaciones sobre cómo evitar la dependencia excesiva de un proveedor en mercados tecnológicos. Es el documento que un licitador citará contra un pliego de esta naturaleza; incorporarlo al expediente y acreditar que se han seguido sus pautas es más barato que discutirlo después. Enlace: &lt;https://www.cnmc.es/expedientes/g-2023-01&gt;.</w:t>
      </w:r>
    </w:p>
    <w:p>
      <w:pPr>
        <w:pStyle w:val="Heading3"/>
        <w:keepNext/>
        <w:spacing w:after="140" w:before="320"/>
      </w:pPr>
      <w:r>
        <w:rPr>
          <w:rFonts w:ascii="Georgia" w:cs="Georgia" w:eastAsia="Georgia" w:hAnsi="Georgia"/>
          <w:b/>
          <w:bCs/>
          <w:color w:val="2F5496"/>
          <w:sz w:val="22"/>
          <w:szCs w:val="22"/>
        </w:rPr>
        <w:t xml:space="preserve">M3.3 · Periodicidad: una vez al año, no por expediente</w:t>
      </w:r>
    </w:p>
    <w:p>
      <w:pPr>
        <w:spacing w:after="140" w:line="276"/>
      </w:pPr>
      <w:r>
        <w:rPr>
          <w:rFonts w:ascii="Calibri" w:cs="Calibri" w:eastAsia="Calibri" w:hAnsi="Calibri"/>
          <w:b/>
          <w:bCs/>
          <w:sz w:val="21"/>
          <w:szCs w:val="21"/>
        </w:rPr>
        <w:t xml:space="preserve">La consulta preliminar y el contraste de mercado se hacen una sola vez al año, de forma centralizada, al aprobar el catálogo y su Anexo V</w:t>
      </w:r>
      <w:r>
        <w:rPr>
          <w:rFonts w:ascii="Calibri" w:cs="Calibri" w:eastAsia="Calibri" w:hAnsi="Calibri"/>
          <w:sz w:val="21"/>
          <w:szCs w:val="21"/>
        </w:rPr>
        <w:t xml:space="preserve">, y su resultado se reutiliza en todos los expedientes del ejercicio por incorporación del informe.</w:t>
      </w:r>
    </w:p>
    <w:p>
      <w:pPr>
        <w:spacing w:after="140" w:line="276"/>
      </w:pPr>
      <w:r>
        <w:rPr>
          <w:rFonts w:ascii="Calibri" w:cs="Calibri" w:eastAsia="Calibri" w:hAnsi="Calibri"/>
          <w:sz w:val="21"/>
          <w:szCs w:val="21"/>
        </w:rPr>
        <w:t xml:space="preserve">Hacerlo por expediente sería inasumible y no se haría: ningún servicio municipal puede realizar un estudio de mercado de protocolos de agentes cada vez que redacta un pliego, y exigirlo garantizaría que el trámite se cumplimente con un párrafo vacío. Centralizarlo tiene además una ventaja de defensa: cuando el recurrente alegue restricción, el expediente no responde con la opinión del redactor, sino con un informe de consulta pública anterior a la licitación, abierto a todo el mercado y publicado.</w:t>
      </w:r>
    </w:p>
    <w:p>
      <w:pPr>
        <w:spacing w:after="140" w:line="276"/>
      </w:pPr>
      <w:r>
        <w:rPr>
          <w:rFonts w:ascii="Calibri" w:cs="Calibri" w:eastAsia="Calibri" w:hAnsi="Calibri"/>
          <w:b/>
          <w:bCs/>
          <w:sz w:val="21"/>
          <w:szCs w:val="21"/>
        </w:rPr>
        <w:t xml:space="preserve">Efecto sobre la aprobación.</w:t>
      </w:r>
      <w:r>
        <w:rPr>
          <w:rFonts w:ascii="Calibri" w:cs="Calibri" w:eastAsia="Calibri" w:hAnsi="Calibri"/>
          <w:sz w:val="21"/>
          <w:szCs w:val="21"/>
        </w:rPr>
        <w:t xml:space="preserve"> Mientras la consulta del art. 115 y el contraste del Anexo V no consten en el expediente, este apartado M3 sigue afirmando la neutralidad sin probarla, y así debe hacerse constar en el informe jurídico y en la nota de fiscalización. Es una de las tres condiciones suspensivas del §M11.</w:t>
      </w:r>
    </w:p>
    <w:p>
      <w:pPr>
        <w:pStyle w:val="Heading3"/>
        <w:keepNext/>
        <w:spacing w:after="140" w:before="320"/>
      </w:pPr>
      <w:r>
        <w:rPr>
          <w:rFonts w:ascii="Georgia" w:cs="Georgia" w:eastAsia="Georgia" w:hAnsi="Georgia"/>
          <w:b/>
          <w:bCs/>
          <w:color w:val="2F5496"/>
          <w:sz w:val="22"/>
          <w:szCs w:val="22"/>
        </w:rPr>
        <w:t xml:space="preserve">M3.4 · La salvaguarda estructural: separabilidad</w:t>
      </w:r>
    </w:p>
    <w:p>
      <w:pPr>
        <w:spacing w:after="140" w:line="276"/>
      </w:pPr>
      <w:r>
        <w:rPr>
          <w:rFonts w:ascii="Calibri" w:cs="Calibri" w:eastAsia="Calibri" w:hAnsi="Calibri"/>
          <w:sz w:val="21"/>
          <w:szCs w:val="21"/>
        </w:rPr>
        <w:t xml:space="preserve">Ninguna cláusula del catálogo condiciona la validez de otra. La nulidad o anulación de una cláusula o de un criterio no afecta a la validez de las restantes. Cosa distinta del contenido: hay cláusulas que presuponen otras, y esas relaciones de presupuesto necesario están identificadas una a una en la tabla de dependencias del </w:t>
      </w:r>
      <w:r>
        <w:rPr>
          <w:rFonts w:ascii="Calibri" w:cs="Calibri" w:eastAsia="Calibri" w:hAnsi="Calibri"/>
          <w:b/>
          <w:bCs/>
          <w:sz w:val="21"/>
          <w:szCs w:val="21"/>
        </w:rPr>
        <w:t xml:space="preserve">Anexo VI</w:t>
      </w:r>
      <w:r>
        <w:rPr>
          <w:rFonts w:ascii="Calibri" w:cs="Calibri" w:eastAsia="Calibri" w:hAnsi="Calibri"/>
          <w:sz w:val="21"/>
          <w:szCs w:val="21"/>
        </w:rPr>
        <w:t xml:space="preserve">. Esta previsión no vincula a ningún tribunal —conviene decirlo—, pero sí obliga al redactor a construir el pliego de manera que la caída de una pieza no obligue a retrotraer todo el procedimiento; y advierte de que el reescalado de ponderaciones de criterios </w:t>
      </w:r>
      <w:r>
        <w:rPr>
          <w:rFonts w:ascii="Calibri" w:cs="Calibri" w:eastAsia="Calibri" w:hAnsi="Calibri"/>
          <w:b/>
          <w:bCs/>
          <w:sz w:val="21"/>
          <w:szCs w:val="21"/>
        </w:rPr>
        <w:t xml:space="preserve">no</w:t>
      </w:r>
      <w:r>
        <w:rPr>
          <w:rFonts w:ascii="Calibri" w:cs="Calibri" w:eastAsia="Calibri" w:hAnsi="Calibri"/>
          <w:sz w:val="21"/>
          <w:szCs w:val="21"/>
        </w:rPr>
        <w:t xml:space="preserve"> es una operación que pueda hacerse una vez conocidas las ofertas (art. 146.3 LCSP: el PCAP precisa la ponderación relativa atribuida a cada criterio). Por eso la separabilidad se aplica sin reservas a cláusulas y obligaciones, y en materia de criterios de adjudicación exige informe jurídico expreso antes de incorporarla al PCAP.</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M4 · Proporcionalidad y aplicación graduada</w:t>
      </w:r>
    </w:p>
    <w:p>
      <w:pPr>
        <w:pStyle w:val="Heading3"/>
        <w:keepNext/>
        <w:spacing w:after="140" w:before="320"/>
      </w:pPr>
      <w:r>
        <w:rPr>
          <w:rFonts w:ascii="Georgia" w:cs="Georgia" w:eastAsia="Georgia" w:hAnsi="Georgia"/>
          <w:b/>
          <w:bCs/>
          <w:color w:val="2F5496"/>
          <w:sz w:val="22"/>
          <w:szCs w:val="22"/>
        </w:rPr>
        <w:t xml:space="preserve">M4.1 · La regla general</w:t>
      </w:r>
    </w:p>
    <w:p>
      <w:pPr>
        <w:spacing w:after="140" w:line="276"/>
      </w:pPr>
      <w:r>
        <w:rPr>
          <w:rFonts w:ascii="Calibri" w:cs="Calibri" w:eastAsia="Calibri" w:hAnsi="Calibri"/>
          <w:sz w:val="21"/>
          <w:szCs w:val="21"/>
        </w:rPr>
        <w:t xml:space="preserve">Ninguna cláusula de este catálogo se aplica automáticamente. La proporcionalidad se articula en tres niveles: </w:t>
      </w:r>
      <w:r>
        <w:rPr>
          <w:rFonts w:ascii="Calibri" w:cs="Calibri" w:eastAsia="Calibri" w:hAnsi="Calibri"/>
          <w:b/>
          <w:bCs/>
          <w:sz w:val="21"/>
          <w:szCs w:val="21"/>
        </w:rPr>
        <w:t xml:space="preserve">umbral de activación</w:t>
      </w:r>
      <w:r>
        <w:rPr>
          <w:rFonts w:ascii="Calibri" w:cs="Calibri" w:eastAsia="Calibri" w:hAnsi="Calibri"/>
          <w:sz w:val="21"/>
          <w:szCs w:val="21"/>
        </w:rPr>
        <w:t xml:space="preserve"> (a partir de qué tipo, cuantía o duración de contrato tiene sentido la exigencia), </w:t>
      </w:r>
      <w:r>
        <w:rPr>
          <w:rFonts w:ascii="Calibri" w:cs="Calibri" w:eastAsia="Calibri" w:hAnsi="Calibri"/>
          <w:b/>
          <w:bCs/>
          <w:sz w:val="21"/>
          <w:szCs w:val="21"/>
        </w:rPr>
        <w:t xml:space="preserve">intensidad</w:t>
      </w:r>
      <w:r>
        <w:rPr>
          <w:rFonts w:ascii="Calibri" w:cs="Calibri" w:eastAsia="Calibri" w:hAnsi="Calibri"/>
          <w:sz w:val="21"/>
          <w:szCs w:val="21"/>
        </w:rPr>
        <w:t xml:space="preserve"> (qué versión de la cláusula se aplica) y </w:t>
      </w:r>
      <w:r>
        <w:rPr>
          <w:rFonts w:ascii="Calibri" w:cs="Calibri" w:eastAsia="Calibri" w:hAnsi="Calibri"/>
          <w:b/>
          <w:bCs/>
          <w:sz w:val="21"/>
          <w:szCs w:val="21"/>
        </w:rPr>
        <w:t xml:space="preserve">verificabilidad</w:t>
      </w:r>
      <w:r>
        <w:rPr>
          <w:rFonts w:ascii="Calibri" w:cs="Calibri" w:eastAsia="Calibri" w:hAnsi="Calibri"/>
          <w:sz w:val="21"/>
          <w:szCs w:val="21"/>
        </w:rPr>
        <w:t xml:space="preserve"> (si el Ayuntamiento puede realmente comprobarla). Un catálogo que crea obligaciones esenciales que nadie verifica es peor que no tener catálogo: la Intervención lo hará constar, y con razón.</w:t>
      </w:r>
    </w:p>
    <w:p>
      <w:pPr>
        <w:pStyle w:val="Heading3"/>
        <w:keepNext/>
        <w:spacing w:after="140" w:before="320"/>
      </w:pPr>
      <w:r>
        <w:rPr>
          <w:rFonts w:ascii="Georgia" w:cs="Georgia" w:eastAsia="Georgia" w:hAnsi="Georgia"/>
          <w:b/>
          <w:bCs/>
          <w:color w:val="2F5496"/>
          <w:sz w:val="22"/>
          <w:szCs w:val="22"/>
        </w:rPr>
        <w:t xml:space="preserve">M4.2 · Umbrales de activación y valores por defecto</w:t>
      </w:r>
    </w:p>
    <w:p>
      <w:pPr>
        <w:spacing w:after="140" w:line="276"/>
      </w:pPr>
      <w:r>
        <w:rPr>
          <w:rFonts w:ascii="Calibri" w:cs="Calibri" w:eastAsia="Calibri" w:hAnsi="Calibri"/>
          <w:b/>
          <w:bCs/>
          <w:sz w:val="21"/>
          <w:szCs w:val="21"/>
        </w:rPr>
        <w:t xml:space="preserve">Regla de precedencia.</w:t>
      </w:r>
      <w:r>
        <w:rPr>
          <w:rFonts w:ascii="Calibri" w:cs="Calibri" w:eastAsia="Calibri" w:hAnsi="Calibri"/>
          <w:sz w:val="21"/>
          <w:szCs w:val="21"/>
        </w:rPr>
        <w:t xml:space="preserve"> Este cuadro reproduce; no decide. </w:t>
      </w:r>
      <w:r>
        <w:rPr>
          <w:rFonts w:ascii="Calibri" w:cs="Calibri" w:eastAsia="Calibri" w:hAnsi="Calibri"/>
          <w:b/>
          <w:bCs/>
          <w:sz w:val="21"/>
          <w:szCs w:val="21"/>
        </w:rPr>
        <w:t xml:space="preserve">En caso de discrepancia entre un valor de este cuadro y el de la cláusula correspondiente, prevalece el de la cláusula.</w:t>
      </w:r>
      <w:r>
        <w:rPr>
          <w:rFonts w:ascii="Calibri" w:cs="Calibri" w:eastAsia="Calibri" w:hAnsi="Calibri"/>
          <w:sz w:val="21"/>
          <w:szCs w:val="21"/>
        </w:rPr>
        <w:t xml:space="preserve"> Si se detecta una discrepancia, se corrige el cuadro, nunca la cláusula. La misma regla rige entre este cuadro y el Anexo X.</w:t>
      </w:r>
    </w:p>
    <w:p>
      <w:pPr>
        <w:spacing w:after="140" w:line="276"/>
      </w:pPr>
      <w:r>
        <w:rPr>
          <w:rFonts w:ascii="Calibri" w:cs="Calibri" w:eastAsia="Calibri" w:hAnsi="Calibri"/>
          <w:sz w:val="21"/>
          <w:szCs w:val="21"/>
        </w:rPr>
        <w:t xml:space="preserve">Los valores que siguen son </w:t>
      </w:r>
      <w:r>
        <w:rPr>
          <w:rFonts w:ascii="Calibri" w:cs="Calibri" w:eastAsia="Calibri" w:hAnsi="Calibri"/>
          <w:b/>
          <w:bCs/>
          <w:sz w:val="21"/>
          <w:szCs w:val="21"/>
        </w:rPr>
        <w:t xml:space="preserve">recomendados</w:t>
      </w:r>
      <w:r>
        <w:rPr>
          <w:rFonts w:ascii="Calibri" w:cs="Calibri" w:eastAsia="Calibri" w:hAnsi="Calibri"/>
          <w:sz w:val="21"/>
          <w:szCs w:val="21"/>
        </w:rPr>
        <w:t xml:space="preserve">. El órgano de contratación puede apartarse de ellos motivadamente en el expediente; lo que no puede es dejarlos en blanco. Los importes se refieren al </w:t>
      </w:r>
      <w:r>
        <w:rPr>
          <w:rFonts w:ascii="Calibri" w:cs="Calibri" w:eastAsia="Calibri" w:hAnsi="Calibri"/>
          <w:b/>
          <w:bCs/>
          <w:sz w:val="21"/>
          <w:szCs w:val="21"/>
        </w:rPr>
        <w:t xml:space="preserve">valor estimado, IVA excluido</w:t>
      </w:r>
      <w:r>
        <w:rPr>
          <w:rFonts w:ascii="Calibri" w:cs="Calibri" w:eastAsia="Calibri" w:hAnsi="Calibri"/>
          <w:sz w:val="21"/>
          <w:szCs w:val="21"/>
        </w:rPr>
        <w:t xml:space="preserv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Condición de activación por defecto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Valor recomendado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Cuándo moverlo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DT-0·v3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Siempre que el PPT cite una norma, un producto, una red o un protocolo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Siempre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Nunca a la baja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objeto incluye un sistema de IA, o su despliegue u operación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Siempre que concurra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DT-2·v3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APLICA</w:t>
            </w:r>
            <w:r>
              <w:rPr>
                <w:rFonts w:ascii="Calibri" w:cs="Calibri" w:eastAsia="Calibri" w:hAnsi="Calibri"/>
                <w:b w:val="false"/>
                <w:bCs w:val="false"/>
                <w:sz w:val="18"/>
                <w:szCs w:val="18"/>
              </w:rPr>
              <w:t xml:space="preserve"> salvo necesidad acreditada de prueba de integridad frente a terceros o de credenciales verificables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APLICA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con necesidad declarada por el servicio competente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DT-3·v3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APLICA</w:t>
            </w:r>
            <w:r>
              <w:rPr>
                <w:rFonts w:ascii="Calibri" w:cs="Calibri" w:eastAsia="Calibri" w:hAnsi="Calibri"/>
                <w:b w:val="false"/>
                <w:bCs w:val="false"/>
                <w:sz w:val="18"/>
                <w:szCs w:val="18"/>
              </w:rPr>
              <w:t xml:space="preserve"> salvo datos con conservación superior a [X; se recomienda 5] años o categorías especiales de datos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APLICA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Archivo, padrón histórico, expedientes de larga conservación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PPT publica una lista cerrada y numerada de procesos automatizables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VE ≥ [X; se recomienda 100.000]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la baja si el objeto es intensivo en tramitación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DT-5·v3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sistema interopera con servicios comunes o intercambia datos con otras Administraciones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Siempre que concurra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Siempre (art. 2.3 RD 311/2022), en la </w:t>
            </w:r>
            <w:r>
              <w:rPr>
                <w:rFonts w:ascii="Calibri" w:cs="Calibri" w:eastAsia="Calibri" w:hAnsi="Calibri"/>
                <w:b/>
                <w:bCs/>
                <w:sz w:val="18"/>
                <w:szCs w:val="18"/>
              </w:rPr>
              <w:t xml:space="preserve">categoría resultante del Anexo I del RD 311/2022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Siempre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categoría no es opcional ni elegible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Módulos identificados en el apartado 1 del Apéndice técnico 2 · Exigencias tecnológicas determinadas del PPT, que transcribe recortado el Anexo V del ejercicio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VE ≥ [X; se recomienda 100.000]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la baja sólo si el contrato es de desarrollo del propio sistema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Existe dato municipal o desarrollo específico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Siempre que concurra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DT-9·v3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VE y duración suficientes para que la evolución tenga sentido económico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VE ≥ [X; se recomienda 100.000] € </w:t>
            </w:r>
            <w:r>
              <w:rPr>
                <w:rFonts w:ascii="Calibri" w:cs="Calibri" w:eastAsia="Calibri" w:hAnsi="Calibri"/>
                <w:b/>
                <w:bCs/>
                <w:sz w:val="18"/>
                <w:szCs w:val="18"/>
              </w:rPr>
              <w:t xml:space="preserve">y</w:t>
            </w:r>
            <w:r>
              <w:rPr>
                <w:rFonts w:ascii="Calibri" w:cs="Calibri" w:eastAsia="Calibri" w:hAnsi="Calibri"/>
                <w:b w:val="false"/>
                <w:bCs w:val="false"/>
                <w:sz w:val="18"/>
                <w:szCs w:val="18"/>
              </w:rPr>
              <w:t xml:space="preserve"> duración ≥ [X; se recomienda 24]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la baja sólo con acuerdo del órgano de gobierno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Certificación de sistema de gestión de IA como </w:t>
            </w:r>
            <w:r>
              <w:rPr>
                <w:rFonts w:ascii="Calibri" w:cs="Calibri" w:eastAsia="Calibri" w:hAnsi="Calibri"/>
                <w:b/>
                <w:bCs/>
                <w:sz w:val="18"/>
                <w:szCs w:val="18"/>
              </w:rPr>
              <w:t xml:space="preserve">solvencia</w:t>
            </w:r>
            <w:r>
              <w:rPr>
                <w:rFonts w:ascii="Calibri" w:cs="Calibri" w:eastAsia="Calibri" w:hAnsi="Calibri"/>
                <w:b w:val="false"/>
                <w:bCs w:val="false"/>
                <w:sz w:val="18"/>
                <w:szCs w:val="18"/>
              </w:rPr>
              <w:t xml:space="preserve"> sólo en contratos sujetos a regulación armonizada; en el resto, compromiso de obtención como CEE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Solvencia sólo por encima del umbral de regulación armonizada vigente en la fecha de la licitación (Anexo X.2)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Nunca como criterio de adjudicación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si se aplica DT-9·v3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Vinculado a DT-9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ADM-3·v3, bloque 2 (bolsa)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contratos de </w:t>
            </w:r>
            <w:r>
              <w:rPr>
                <w:rFonts w:ascii="Calibri" w:cs="Calibri" w:eastAsia="Calibri" w:hAnsi="Calibri"/>
                <w:b/>
                <w:bCs/>
                <w:sz w:val="18"/>
                <w:szCs w:val="18"/>
              </w:rPr>
              <w:t xml:space="preserve">desarrollo o mantenimiento de aplicaciones</w:t>
            </w:r>
            <w:r>
              <w:rPr>
                <w:rFonts w:ascii="Calibri" w:cs="Calibri" w:eastAsia="Calibri" w:hAnsi="Calibri"/>
                <w:b w:val="false"/>
                <w:bCs w:val="false"/>
                <w:sz w:val="18"/>
                <w:szCs w:val="18"/>
              </w:rPr>
              <w:t xml:space="preserve"> (art. 308.3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VE ≥ [X; se recomienda 100.000] €; bolsa [X; se recomienda 5] % del presupuesto base de licitación correspondiente a la duración inicial, sin IVA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 alza sólo con Cuadro de Precios Unitarios ofertado, y </w:t>
            </w:r>
            <w:r>
              <w:rPr>
                <w:rFonts w:ascii="Calibri" w:cs="Calibri" w:eastAsia="Calibri" w:hAnsi="Calibri"/>
                <w:b/>
                <w:bCs/>
                <w:sz w:val="18"/>
                <w:szCs w:val="18"/>
              </w:rPr>
              <w:t xml:space="preserve">nunca por encima del 10 % de esa misma base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siempre (art. 62). Comisión de seguimiento: contratos de cierta entidad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Comisión si VE ≥ [X; se recomienda 60.000] €; [X; se recomienda 2] sesiones/año, [X; se recomienda 4] en el primer 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 alza en contratos con Anexo V exigente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ADM-5·v3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Siempre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Máximos legales: 10 % por penalidad, 50 % acumulado, IVA excluido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Nunca al alza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Siempre, con el bloque </w:t>
            </w:r>
            <w:r>
              <w:rPr>
                <w:rFonts w:ascii="Calibri" w:cs="Calibri" w:eastAsia="Calibri" w:hAnsi="Calibri"/>
                <w:b w:val="false"/>
                <w:bCs w:val="false"/>
                <w:i/>
                <w:iCs/>
                <w:sz w:val="18"/>
                <w:szCs w:val="18"/>
              </w:rPr>
              <w:t xml:space="preserve">ex lege</w:t>
            </w:r>
            <w:r>
              <w:rPr>
                <w:rFonts w:ascii="Calibri" w:cs="Calibri" w:eastAsia="Calibri" w:hAnsi="Calibri"/>
                <w:b w:val="false"/>
                <w:bCs w:val="false"/>
                <w:sz w:val="18"/>
                <w:szCs w:val="18"/>
              </w:rPr>
              <w:t xml:space="preserve"> </w:t>
            </w:r>
            <w:r>
              <w:rPr>
                <w:rFonts w:ascii="Calibri" w:cs="Calibri" w:eastAsia="Calibri" w:hAnsi="Calibri"/>
                <w:b/>
                <w:bCs/>
                <w:sz w:val="18"/>
                <w:szCs w:val="18"/>
              </w:rPr>
              <w:t xml:space="preserve">condicionado</w:t>
            </w:r>
            <w:r>
              <w:rPr>
                <w:rFonts w:ascii="Calibri" w:cs="Calibri" w:eastAsia="Calibri" w:hAnsi="Calibri"/>
                <w:b w:val="false"/>
                <w:bCs w:val="false"/>
                <w:sz w:val="18"/>
                <w:szCs w:val="18"/>
              </w:rPr>
              <w:t xml:space="preserve"> a que concurra su presupuesto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 cerrada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Nunca ampliar por analogía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Cuando el bloque tenga peso en el baremo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Bloque de innovación [X; se recomienda 25] % del total de criterios del contrato; </w:t>
            </w:r>
            <w:r>
              <w:rPr>
                <w:rFonts w:ascii="Calibri" w:cs="Calibri" w:eastAsia="Calibri" w:hAnsi="Calibri"/>
                <w:b/>
                <w:bCs/>
                <w:sz w:val="18"/>
                <w:szCs w:val="18"/>
              </w:rPr>
              <w:t xml:space="preserve">el 40 % es límite absoluto y no es superable</w:t>
            </w:r>
            <w:r>
              <w:rPr>
                <w:rFonts w:ascii="Calibri" w:cs="Calibri" w:eastAsia="Calibri" w:hAnsi="Calibri"/>
                <w:b w:val="false"/>
                <w:bCs w:val="false"/>
                <w:sz w:val="18"/>
                <w:szCs w:val="18"/>
              </w:rPr>
              <w:t xml:space="preserve"> (ADM-7·v3.1.4.a)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 alza hasta el 40 % con motivación reforzada; por encima del 40 %, nunca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Existe desarrollo específico o parametrización sustantiva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Siempre que concurra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aplicable a suministro de software estándar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ADM-9·v3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Contratos de cierta entidad, nunca en tramitación abreviada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VE ≥ [X; se recomienda 200.000] €; prohibida en art. 159.6; en simplificado sólo dentro de los topes del art. 159.1.b)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la baja sólo con informe jurídico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ADM-10·v3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VE ≥ [X; se recomienda 100.000] € y duración ≥ [X; se recomienda 24]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ADM-11·v3 (depósito)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Las </w:t>
            </w:r>
            <w:r>
              <w:rPr>
                <w:rFonts w:ascii="Calibri" w:cs="Calibri" w:eastAsia="Calibri" w:hAnsi="Calibri"/>
                <w:b/>
                <w:bCs/>
                <w:sz w:val="18"/>
                <w:szCs w:val="18"/>
              </w:rPr>
              <w:t xml:space="preserve">cuatro</w:t>
            </w:r>
            <w:r>
              <w:rPr>
                <w:rFonts w:ascii="Calibri" w:cs="Calibri" w:eastAsia="Calibri" w:hAnsi="Calibri"/>
                <w:b w:val="false"/>
                <w:bCs w:val="false"/>
                <w:sz w:val="18"/>
                <w:szCs w:val="18"/>
              </w:rPr>
              <w:t xml:space="preserve"> circunstancias del apartado 1 de ADM-11·v3, que son </w:t>
            </w:r>
            <w:r>
              <w:rPr>
                <w:rFonts w:ascii="Calibri" w:cs="Calibri" w:eastAsia="Calibri" w:hAnsi="Calibri"/>
                <w:b/>
                <w:bCs/>
                <w:sz w:val="18"/>
                <w:szCs w:val="18"/>
              </w:rPr>
              <w:t xml:space="preserve">acumulativas y no alternativas</w:t>
            </w:r>
            <w:r>
              <w:rPr>
                <w:rFonts w:ascii="Calibri" w:cs="Calibri" w:eastAsia="Calibri" w:hAnsi="Calibri"/>
                <w:b w:val="false"/>
                <w:bCs w:val="false"/>
                <w:sz w:val="18"/>
                <w:szCs w:val="18"/>
              </w:rPr>
              <w:t xml:space="preserve">: categoría ENS ALTA en la dimensión de disponibilidad; umbral económico; servicio de la lista tasada (padrón, tributos, recaudación, contabilidad, gestión de expedientes, sede); y estudio de mercado que acredite que no hay alternativa sustituible en el plazo previsto. En defecto de cualquiera de ellas, </w:t>
            </w:r>
            <w:r>
              <w:rPr>
                <w:rFonts w:ascii="Calibri" w:cs="Calibri" w:eastAsia="Calibri" w:hAnsi="Calibri"/>
                <w:b/>
                <w:bCs/>
                <w:sz w:val="18"/>
                <w:szCs w:val="18"/>
              </w:rPr>
              <w:t xml:space="preserve">NO APLICA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VE &gt; [X; se recomienda 300.000]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Nunca por reinterpretación de las circunstancias: sólo motivando en la memoria la rebaja de la circunstancia concreta y haciéndolo constar en la ficha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sistema soporta información con reflejo presupuestario, contable o patrimonial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Siempre que concurra; [X; se recomienda 3] accesos de control incluidos en el precio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 alza según tamaño de la Intervención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ADM-13·v3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contratista trata información municipal no pública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Siempre que concurra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ADM-14·v3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Por defecto NO se incorpora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si VE &gt; [X; se recomienda 500.000] € </w:t>
            </w:r>
            <w:r>
              <w:rPr>
                <w:rFonts w:ascii="Calibri" w:cs="Calibri" w:eastAsia="Calibri" w:hAnsi="Calibri"/>
                <w:b/>
                <w:bCs/>
                <w:sz w:val="18"/>
                <w:szCs w:val="18"/>
              </w:rPr>
              <w:t xml:space="preserve">o</w:t>
            </w:r>
            <w:r>
              <w:rPr>
                <w:rFonts w:ascii="Calibri" w:cs="Calibri" w:eastAsia="Calibri" w:hAnsi="Calibri"/>
                <w:b w:val="false"/>
                <w:bCs w:val="false"/>
                <w:sz w:val="18"/>
                <w:szCs w:val="18"/>
              </w:rPr>
              <w:t xml:space="preserve"> duración total &gt; [X; se recomienda 4] años, y existe Cuadro de Precios Unitarios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Nunca si el VE resultante cruza un umbral que el expediente no asume</w:t>
            </w:r>
          </w:p>
        </w:tc>
      </w:tr>
    </w:tbl>
    <w:p>
      <w:pPr>
        <w:spacing w:after="200"/>
      </w:pPr>
    </w:p>
    <w:p>
      <w:pPr>
        <w:pStyle w:val="Heading3"/>
        <w:keepNext/>
        <w:spacing w:after="140" w:before="320"/>
      </w:pPr>
      <w:r>
        <w:rPr>
          <w:rFonts w:ascii="Georgia" w:cs="Georgia" w:eastAsia="Georgia" w:hAnsi="Georgia"/>
          <w:b/>
          <w:bCs/>
          <w:color w:val="2F5496"/>
          <w:sz w:val="22"/>
          <w:szCs w:val="22"/>
        </w:rPr>
        <w:t xml:space="preserve">M4.3 · Modulación por tipo de expediente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Tipo de expediente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se puede aplicar</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Contrato menor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la lista cerrada del </w:t>
            </w:r>
            <w:r>
              <w:rPr>
                <w:rFonts w:ascii="Calibri" w:cs="Calibri" w:eastAsia="Calibri" w:hAnsi="Calibri"/>
                <w:b/>
                <w:bCs/>
                <w:sz w:val="18"/>
                <w:szCs w:val="18"/>
              </w:rPr>
              <w:t xml:space="preserve">§V.7.1</w:t>
            </w:r>
            <w:r>
              <w:rPr>
                <w:rFonts w:ascii="Calibri" w:cs="Calibri" w:eastAsia="Calibri" w:hAnsi="Calibri"/>
                <w:b w:val="false"/>
                <w:bCs w:val="false"/>
                <w:sz w:val="18"/>
                <w:szCs w:val="18"/>
              </w:rPr>
              <w:t xml:space="preserve">, que es la fuente única del catálogo para este supuesto: a) conformidad con el ENS en la categoría que corresponda al sistema (art. 2.3 RD 311/2022); b) encargo del tratamiento del art. 28 RGPD, cuando el contratista trate datos personales por cuenta del Ayuntamiento; c) indicación de la ubicación de los servidores, en ese mismo supuesto; d) entrega de los datos y de su diccionario en formato abierto al finalizar, sin coste por la extracción; e) mención «o equivalente» y trámite de prueba de DT-0·v3 si el encargo cita un producto, protocolo o norma; f) consulta previa al directorio general de aplicaciones (art. 157.3 Ley 40/2015). </w:t>
            </w:r>
            <w:r>
              <w:rPr>
                <w:rFonts w:ascii="Calibri" w:cs="Calibri" w:eastAsia="Calibri" w:hAnsi="Calibri"/>
                <w:b/>
                <w:bCs/>
                <w:sz w:val="18"/>
                <w:szCs w:val="18"/>
              </w:rPr>
              <w:t xml:space="preserve">Nada más</w:t>
            </w:r>
            <w:r>
              <w:rPr>
                <w:rFonts w:ascii="Calibri" w:cs="Calibri" w:eastAsia="Calibri" w:hAnsi="Calibri"/>
                <w:b w:val="false"/>
                <w:bCs w:val="false"/>
                <w:sz w:val="18"/>
                <w:szCs w:val="18"/>
              </w:rPr>
              <w:t xml:space="preserve">: no caben condiciones especiales de ejecución, penalidades tipificadas, obligaciones esenciales con efecto resolutorio ni criterios de adjudicación, porque todos ellos presuponen pliegos. </w:t>
            </w:r>
            <w:r>
              <w:rPr>
                <w:rFonts w:ascii="Calibri" w:cs="Calibri" w:eastAsia="Calibri" w:hAnsi="Calibri"/>
                <w:b/>
                <w:bCs/>
                <w:sz w:val="18"/>
                <w:szCs w:val="18"/>
              </w:rPr>
              <w:t xml:space="preserve">ADM-13·v3 no se incorpora al contrato menor</w:t>
            </w:r>
            <w:r>
              <w:rPr>
                <w:rFonts w:ascii="Calibri" w:cs="Calibri" w:eastAsia="Calibri" w:hAnsi="Calibri"/>
                <w:b w:val="false"/>
                <w:bCs w:val="false"/>
                <w:sz w:val="18"/>
                <w:szCs w:val="18"/>
              </w:rPr>
              <w:t xml:space="preserve">, conforme a su propio epígrafe 7</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Contrato basado en acuerdo marco o adhesión a central de compras</w:t>
            </w:r>
            <w:r>
              <w:rPr>
                <w:rFonts w:ascii="Calibri" w:cs="Calibri" w:eastAsia="Calibri" w:hAnsi="Calibri"/>
                <w:b w:val="false"/>
                <w:bCs w:val="false"/>
                <w:sz w:val="18"/>
                <w:szCs w:val="18"/>
              </w:rPr>
              <w:t xml:space="preserve"> (circuito en el §V.7)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lo que el acuerdo marco o el sistema de adquisición permitan añadir. Si no permite añadir cláusulas, se marcan todas NO APLICA y se hace constar en la ficha. </w:t>
            </w:r>
            <w:r>
              <w:rPr>
                <w:rFonts w:ascii="Calibri" w:cs="Calibri" w:eastAsia="Calibri" w:hAnsi="Calibri"/>
                <w:b/>
                <w:bCs/>
                <w:sz w:val="18"/>
                <w:szCs w:val="18"/>
              </w:rPr>
              <w:t xml:space="preserve">No se altera un pliego rector ajeno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Prórroga de contrato vigente</w:t>
            </w:r>
            <w:r>
              <w:rPr>
                <w:rFonts w:ascii="Calibri" w:cs="Calibri" w:eastAsia="Calibri" w:hAnsi="Calibri"/>
                <w:b w:val="false"/>
                <w:bCs w:val="false"/>
                <w:sz w:val="18"/>
                <w:szCs w:val="18"/>
              </w:rPr>
              <w:t xml:space="preserve"> (circuito en el §V.7.3)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se introducen obligaciones nuevas. La prórroga no es cauce para incorporar cláusulas que no estaban en el pliego. Lo que proceda se lleva a la licitación siguiente, con el Dossier de Reversibilidad de DT-8·v3 en la mano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Suministro de software estándar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procede ADM-8·v3 en su modalidad de titularidad: la adquisición de software estándar es contrato de suministro y el art. 308.1 LCSP no ampara ahí exigencias de titularidad. Sí procede la licencia mínima supletoria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Contrato con componente tecnológico accesorio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aplica exclusivamente lo que tenga relación directa, clara y proporcional con el objeto (art. 116.4.e). En la práctica: DT-6·v3 y ADM-13·v3, y poco más</w:t>
            </w:r>
          </w:p>
        </w:tc>
      </w:tr>
    </w:tbl>
    <w:p>
      <w:pPr>
        <w:spacing w:after="200"/>
      </w:pPr>
    </w:p>
    <w:p>
      <w:pPr>
        <w:pStyle w:val="Heading3"/>
        <w:keepNext/>
        <w:spacing w:after="140" w:before="320"/>
      </w:pPr>
      <w:r>
        <w:rPr>
          <w:rFonts w:ascii="Georgia" w:cs="Georgia" w:eastAsia="Georgia" w:hAnsi="Georgia"/>
          <w:b/>
          <w:bCs/>
          <w:color w:val="2F5496"/>
          <w:sz w:val="22"/>
          <w:szCs w:val="22"/>
        </w:rPr>
        <w:t xml:space="preserve">M4.4 · Regla de verificabilidad municipal</w:t>
      </w:r>
    </w:p>
    <w:p>
      <w:pPr>
        <w:spacing w:after="140" w:line="276"/>
      </w:pPr>
      <w:r>
        <w:rPr>
          <w:rFonts w:ascii="Calibri" w:cs="Calibri" w:eastAsia="Calibri" w:hAnsi="Calibri"/>
          <w:sz w:val="21"/>
          <w:szCs w:val="21"/>
        </w:rPr>
        <w:t xml:space="preserve">El tercer nivel de la proporcionalidad es la regla de verificabilidad municipal. </w:t>
      </w:r>
      <w:r>
        <w:rPr>
          <w:rFonts w:ascii="Calibri" w:cs="Calibri" w:eastAsia="Calibri" w:hAnsi="Calibri"/>
          <w:b/>
          <w:bCs/>
          <w:sz w:val="21"/>
          <w:szCs w:val="21"/>
        </w:rPr>
        <w:t xml:space="preserve">Su enunciado está en la Parte I, §7.9, y su cuantificación en el epígrafe 5 de ADM-4·v3.</w:t>
      </w:r>
      <w:r>
        <w:rPr>
          <w:rFonts w:ascii="Calibri" w:cs="Calibri" w:eastAsia="Calibri" w:hAnsi="Calibri"/>
          <w:sz w:val="21"/>
          <w:szCs w:val="21"/>
        </w:rPr>
        <w:t xml:space="preserve"> Esta memoria no la reformula ni la estima por separado: remite a esas dos sedes, que son las únicas.</w:t>
      </w:r>
    </w:p>
    <w:p>
      <w:pPr>
        <w:spacing w:after="140" w:line="276"/>
      </w:pPr>
      <w:r>
        <w:rPr>
          <w:rFonts w:ascii="Calibri" w:cs="Calibri" w:eastAsia="Calibri" w:hAnsi="Calibri"/>
          <w:sz w:val="21"/>
          <w:szCs w:val="21"/>
        </w:rPr>
        <w:t xml:space="preserve">Lo que sí corresponde a esta memoria es su justificación. La regla tiene un efecto incómodo y buscado: obliga a renunciar a exigencias que suenan bien y que nadie va a comprobar. Una obligación esencial que no se verifica no protege al Ayuntamiento; sólo le expone, porque llegado el incumplimiento no habrá prueba con la que resolver.</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M5 · Régimen de penalidades y resolución: garantías</w:t>
      </w:r>
    </w:p>
    <w:p>
      <w:pPr>
        <w:pStyle w:val="Heading3"/>
        <w:keepNext/>
        <w:spacing w:after="140" w:before="320"/>
      </w:pPr>
      <w:r>
        <w:rPr>
          <w:rFonts w:ascii="Georgia" w:cs="Georgia" w:eastAsia="Georgia" w:hAnsi="Georgia"/>
          <w:b/>
          <w:bCs/>
          <w:color w:val="2F5496"/>
          <w:sz w:val="22"/>
          <w:szCs w:val="22"/>
        </w:rPr>
        <w:t xml:space="preserve">M5.1 · Penalidades</w:t>
      </w:r>
    </w:p>
    <w:p>
      <w:pPr>
        <w:spacing w:after="140" w:line="276"/>
      </w:pPr>
      <w:r>
        <w:rPr>
          <w:rFonts w:ascii="Calibri" w:cs="Calibri" w:eastAsia="Calibri" w:hAnsi="Calibri"/>
          <w:sz w:val="21"/>
          <w:szCs w:val="21"/>
        </w:rPr>
        <w:t xml:space="preserve">Los límites del art. 192.1 LCSP se respetan sin margen: </w:t>
      </w:r>
      <w:r>
        <w:rPr>
          <w:rFonts w:ascii="Calibri" w:cs="Calibri" w:eastAsia="Calibri" w:hAnsi="Calibri"/>
          <w:i/>
          <w:iCs/>
          <w:sz w:val="21"/>
          <w:szCs w:val="21"/>
        </w:rPr>
        <w:t xml:space="preserve">«las cuantías de cada una de ellas no podrán ser superiores al 10 por ciento del precio del contrato, IVA excluido, ni el total de las mismas superar el 50 por cien del precio del contrato»</w:t>
      </w:r>
      <w:r>
        <w:rPr>
          <w:rFonts w:ascii="Calibri" w:cs="Calibri" w:eastAsia="Calibri" w:hAnsi="Calibri"/>
          <w:sz w:val="21"/>
          <w:szCs w:val="21"/>
        </w:rPr>
        <w:t xml:space="preserve">. El cuadro de penalidades de ADM-5·v3 se tipifica </w:t>
      </w:r>
      <w:r>
        <w:rPr>
          <w:rFonts w:ascii="Calibri" w:cs="Calibri" w:eastAsia="Calibri" w:hAnsi="Calibri"/>
          <w:b/>
          <w:bCs/>
          <w:sz w:val="21"/>
          <w:szCs w:val="21"/>
        </w:rPr>
        <w:t xml:space="preserve">por hechos verificables</w:t>
      </w:r>
      <w:r>
        <w:rPr>
          <w:rFonts w:ascii="Calibri" w:cs="Calibri" w:eastAsia="Calibri" w:hAnsi="Calibri"/>
          <w:sz w:val="21"/>
          <w:szCs w:val="21"/>
        </w:rPr>
        <w:t xml:space="preserve"> —no por conceptos— y se gradúa en leves, graves y muy graves, con requerimiento previo de subsanación y procedimiento contradictorio.</w:t>
      </w:r>
    </w:p>
    <w:p>
      <w:pPr>
        <w:spacing w:after="140" w:line="276"/>
      </w:pPr>
      <w:r>
        <w:rPr>
          <w:rFonts w:ascii="Calibri" w:cs="Calibri" w:eastAsia="Calibri" w:hAnsi="Calibri"/>
          <w:sz w:val="21"/>
          <w:szCs w:val="21"/>
        </w:rPr>
        <w:t xml:space="preserve">Se ha suprimido del cuadro la penalidad por «falta de la demostración exigida»: la demostración funcional es un trámite de la fase de licitación, no una obligación de ejecución del contrato, y su único efecto posible es la puntuación de cero en el criterio correspondiente.</w:t>
      </w:r>
    </w:p>
    <w:p>
      <w:pPr>
        <w:pStyle w:val="Heading3"/>
        <w:keepNext/>
        <w:spacing w:after="140" w:before="320"/>
      </w:pPr>
      <w:r>
        <w:rPr>
          <w:rFonts w:ascii="Georgia" w:cs="Georgia" w:eastAsia="Georgia" w:hAnsi="Georgia"/>
          <w:b/>
          <w:bCs/>
          <w:color w:val="2F5496"/>
          <w:sz w:val="22"/>
          <w:szCs w:val="22"/>
        </w:rPr>
        <w:t xml:space="preserve">M5.2 · Compatibilidad de penalidad, resolución e indemnización</w:t>
      </w:r>
    </w:p>
    <w:p>
      <w:pPr>
        <w:spacing w:after="140" w:line="276"/>
      </w:pPr>
      <w:r>
        <w:rPr>
          <w:rFonts w:ascii="Calibri" w:cs="Calibri" w:eastAsia="Calibri" w:hAnsi="Calibri"/>
          <w:sz w:val="21"/>
          <w:szCs w:val="21"/>
        </w:rPr>
        <w:t xml:space="preserve">Es la primera pregunta que hace un letrado del contratista cuando ve un mismo hecho configurado a la vez como condición especial de ejecución penalizada y como causa de resolución. La respuesta está resuelta por doctrina, y conviene incorporarla al expediente por adelantado:</w:t>
      </w:r>
    </w:p>
    <w:p>
      <w:pPr>
        <w:pBdr>
          <w:left w:val="single" w:color="BFBFBF" w:sz="12" w:space="8"/>
        </w:pBdr>
        <w:spacing w:after="140" w:line="264"/>
        <w:ind w:left="400"/>
      </w:pPr>
      <w:r>
        <w:rPr>
          <w:rFonts w:ascii="Georgia" w:cs="Georgia" w:eastAsia="Georgia" w:hAnsi="Georgia"/>
          <w:b/>
          <w:bCs/>
          <w:i/>
          <w:iCs/>
          <w:color w:val="595959"/>
          <w:sz w:val="20"/>
          <w:szCs w:val="20"/>
        </w:rPr>
        <w:t xml:space="preserve">Tribunal Administrativo Central de Recursos Contractuales, Resolución 1111/2022 (Pleno), de 27 de septiembre de 2022, recurso 842/2022</w:t>
      </w:r>
      <w:r>
        <w:rPr>
          <w:rFonts w:ascii="Georgia" w:cs="Georgia" w:eastAsia="Georgia" w:hAnsi="Georgia"/>
          <w:i/>
          <w:iCs/>
          <w:color w:val="595959"/>
          <w:sz w:val="20"/>
          <w:szCs w:val="20"/>
        </w:rPr>
        <w:t xml:space="preserve">, Fundamento de Derecho Octavo. Enlace: &lt;https://www.hacienda.gob.es/TACRC/Documentos/RESOLUCIONES%20DE%20PLENO%202022/Resoluci%C3%B3n%20Recurso%20842-2022%20(Res%201111)%2027-09-2022.pdf&gt;</w:t>
      </w:r>
    </w:p>
    <w:p>
      <w:pPr>
        <w:pBdr>
          <w:left w:val="single" w:color="BFBFBF" w:sz="12" w:space="8"/>
        </w:pBdr>
        <w:spacing w:after="140" w:line="264"/>
        <w:ind w:left="400"/>
      </w:pPr>
      <w:r>
        <w:rPr>
          <w:rFonts w:ascii="Georgia" w:cs="Georgia" w:eastAsia="Georgia" w:hAnsi="Georgia"/>
          <w:i/>
          <w:iCs/>
          <w:color w:val="595959"/>
          <w:sz w:val="20"/>
          <w:szCs w:val="20"/>
        </w:rPr>
        <w:t xml:space="preserve">«debe rechazarse el motivo de recurso relativo a la vulneración de los principios non bis in ídem y de proporcionalidad, por el hecho de que una misma circunstancia que se configura como condición especial de ejecución, conlleve en caso de incumplimiento la imposición de una penalidad, la configuración como causa potestativa de resolución contractual y la obligación de resarcir los daños causados.»</w:t>
      </w:r>
    </w:p>
    <w:p>
      <w:pPr>
        <w:spacing w:after="140" w:line="276"/>
      </w:pPr>
      <w:r>
        <w:rPr>
          <w:rFonts w:ascii="Calibri" w:cs="Calibri" w:eastAsia="Calibri" w:hAnsi="Calibri"/>
          <w:sz w:val="21"/>
          <w:szCs w:val="21"/>
        </w:rPr>
        <w:t xml:space="preserve">El Tribunal funda esa conclusión en los arts. 71.2.c), 192.1, 193.4, 194.1 y 213 LCSP. </w:t>
      </w:r>
      <w:r>
        <w:rPr>
          <w:rFonts w:ascii="Calibri" w:cs="Calibri" w:eastAsia="Calibri" w:hAnsi="Calibri"/>
          <w:b/>
          <w:bCs/>
          <w:sz w:val="21"/>
          <w:szCs w:val="21"/>
        </w:rPr>
        <w:t xml:space="preserve">Se cita como doctrina general trasladada por analogía</w:t>
      </w:r>
      <w:r>
        <w:rPr>
          <w:rFonts w:ascii="Calibri" w:cs="Calibri" w:eastAsia="Calibri" w:hAnsi="Calibri"/>
          <w:sz w:val="21"/>
          <w:szCs w:val="21"/>
        </w:rPr>
        <w:t xml:space="preserve">: las condiciones especiales de ejecución impugnadas eran de contenido </w:t>
      </w:r>
      <w:r>
        <w:rPr>
          <w:rFonts w:ascii="Calibri" w:cs="Calibri" w:eastAsia="Calibri" w:hAnsi="Calibri"/>
          <w:b/>
          <w:bCs/>
          <w:sz w:val="21"/>
          <w:szCs w:val="21"/>
        </w:rPr>
        <w:t xml:space="preserve">no tecnológico</w:t>
      </w:r>
      <w:r>
        <w:rPr>
          <w:rFonts w:ascii="Calibri" w:cs="Calibri" w:eastAsia="Calibri" w:hAnsi="Calibri"/>
          <w:sz w:val="21"/>
          <w:szCs w:val="21"/>
        </w:rPr>
        <w:t xml:space="preserve"> —mantenerse en situación de no incurso en prohibición de contratar, e integridad y lucha contra el fraude en la ejecución—, y no cláusulas tecnológicas. Lo que se traslada es el criterio sobre la acumulación de consecuencias, que es de aplicación general.</w:t>
      </w:r>
    </w:p>
    <w:p>
      <w:pPr>
        <w:spacing w:after="140" w:line="276"/>
      </w:pPr>
      <w:r>
        <w:rPr>
          <w:rFonts w:ascii="Calibri" w:cs="Calibri" w:eastAsia="Calibri" w:hAnsi="Calibri"/>
          <w:sz w:val="21"/>
          <w:szCs w:val="21"/>
        </w:rPr>
        <w:t xml:space="preserve">De la misma resolución, y de las Resoluciones 1071/2018, 1113/2022 y 1287/2022 del mismo Tribunal, se toma el estándar que </w:t>
      </w:r>
      <w:r>
        <w:rPr>
          <w:rFonts w:ascii="Calibri" w:cs="Calibri" w:eastAsia="Calibri" w:hAnsi="Calibri"/>
          <w:b/>
          <w:bCs/>
          <w:sz w:val="21"/>
          <w:szCs w:val="21"/>
        </w:rPr>
        <w:t xml:space="preserve">sí</w:t>
      </w:r>
      <w:r>
        <w:rPr>
          <w:rFonts w:ascii="Calibri" w:cs="Calibri" w:eastAsia="Calibri" w:hAnsi="Calibri"/>
          <w:sz w:val="21"/>
          <w:szCs w:val="21"/>
        </w:rPr>
        <w:t xml:space="preserve"> amenaza a este catálogo y que ha determinado la reescritura de ADM-2·v3 y ADM-6·v3: una condición especial de ejecución </w:t>
      </w:r>
      <w:r>
        <w:rPr>
          <w:rFonts w:ascii="Calibri" w:cs="Calibri" w:eastAsia="Calibri" w:hAnsi="Calibri"/>
          <w:i/>
          <w:iCs/>
          <w:sz w:val="21"/>
          <w:szCs w:val="21"/>
        </w:rPr>
        <w:t xml:space="preserve">«demasiado amplia y genérica»</w:t>
      </w:r>
      <w:r>
        <w:rPr>
          <w:rFonts w:ascii="Calibri" w:cs="Calibri" w:eastAsia="Calibri" w:hAnsi="Calibri"/>
          <w:sz w:val="21"/>
          <w:szCs w:val="21"/>
        </w:rPr>
        <w:t xml:space="preserve"> equivale a no haber establecido condición alguna, y </w:t>
      </w:r>
      <w:r>
        <w:rPr>
          <w:rFonts w:ascii="Calibri" w:cs="Calibri" w:eastAsia="Calibri" w:hAnsi="Calibri"/>
          <w:i/>
          <w:iCs/>
          <w:sz w:val="21"/>
          <w:szCs w:val="21"/>
        </w:rPr>
        <w:t xml:space="preserve">«las obligaciones genéricas o imprecisas no pueden configurarse como propias de un contrato […]; menos aún pueden elevarse a categoría de obligaciones esenciales»</w:t>
      </w:r>
      <w:r>
        <w:rPr>
          <w:rFonts w:ascii="Calibri" w:cs="Calibri" w:eastAsia="Calibri" w:hAnsi="Calibri"/>
          <w:sz w:val="21"/>
          <w:szCs w:val="21"/>
        </w:rPr>
        <w:t xml:space="preserve"> (Res. 1113/2022, FD Séptimo). También aquí la traslación es por analogía y, en el caso de la Res. 1113/2022, es además </w:t>
      </w:r>
      <w:r>
        <w:rPr>
          <w:rFonts w:ascii="Calibri" w:cs="Calibri" w:eastAsia="Calibri" w:hAnsi="Calibri"/>
          <w:b/>
          <w:bCs/>
          <w:sz w:val="21"/>
          <w:szCs w:val="21"/>
        </w:rPr>
        <w:t xml:space="preserve">de régimen</w:t>
      </w:r>
      <w:r>
        <w:rPr>
          <w:rFonts w:ascii="Calibri" w:cs="Calibri" w:eastAsia="Calibri" w:hAnsi="Calibri"/>
          <w:sz w:val="21"/>
          <w:szCs w:val="21"/>
        </w:rPr>
        <w:t xml:space="preserve">: se dicta en una reclamación en sectores excluidos resuelta bajo el Real Decreto-ley 3/2020, y el propio Tribunal advierte que la cláusula impugnada no remitía al art. 211 LCSP sino a las causas generales del Derecho privado.</w:t>
      </w:r>
    </w:p>
    <w:p>
      <w:pPr>
        <w:pStyle w:val="Heading3"/>
        <w:keepNext/>
        <w:spacing w:after="140" w:before="320"/>
      </w:pPr>
      <w:r>
        <w:rPr>
          <w:rFonts w:ascii="Georgia" w:cs="Georgia" w:eastAsia="Georgia" w:hAnsi="Georgia"/>
          <w:b/>
          <w:bCs/>
          <w:color w:val="2F5496"/>
          <w:sz w:val="22"/>
          <w:szCs w:val="22"/>
        </w:rPr>
        <w:t xml:space="preserve">M5.3 · Las tres cautelas que el pliego debe conservar</w:t>
      </w:r>
    </w:p>
    <w:p>
      <w:pPr>
        <w:pStyle w:val="ListParagraph"/>
        <w:numPr>
          <w:ilvl w:val="0"/>
          <w:numId w:val="2"/>
        </w:numPr>
        <w:spacing w:after="70" w:line="268"/>
      </w:pPr>
      <w:r>
        <w:rPr>
          <w:rFonts w:ascii="Calibri" w:cs="Calibri" w:eastAsia="Calibri" w:hAnsi="Calibri"/>
          <w:b/>
          <w:bCs/>
          <w:sz w:val="21"/>
          <w:szCs w:val="21"/>
        </w:rPr>
        <w:t xml:space="preserve">Esencialidad tasada y condicionada.</w:t>
      </w:r>
      <w:r>
        <w:rPr>
          <w:rFonts w:ascii="Calibri" w:cs="Calibri" w:eastAsia="Calibri" w:hAnsi="Calibri"/>
          <w:sz w:val="21"/>
          <w:szCs w:val="21"/>
        </w:rPr>
        <w:t xml:space="preserve"> El bloque de obligaciones esenciales </w:t>
      </w:r>
      <w:r>
        <w:rPr>
          <w:rFonts w:ascii="Calibri" w:cs="Calibri" w:eastAsia="Calibri" w:hAnsi="Calibri"/>
          <w:i/>
          <w:iCs/>
          <w:sz w:val="21"/>
          <w:szCs w:val="21"/>
        </w:rPr>
        <w:t xml:space="preserve">ex lege</w:t>
      </w:r>
      <w:r>
        <w:rPr>
          <w:rFonts w:ascii="Calibri" w:cs="Calibri" w:eastAsia="Calibri" w:hAnsi="Calibri"/>
          <w:sz w:val="21"/>
          <w:szCs w:val="21"/>
        </w:rPr>
        <w:t xml:space="preserve"> sólo existe cuando concurre su presupuesto: la condición especial de ejecución de protección de datos, cuando la ejecución implique </w:t>
      </w:r>
      <w:r>
        <w:rPr>
          <w:rFonts w:ascii="Calibri" w:cs="Calibri" w:eastAsia="Calibri" w:hAnsi="Calibri"/>
          <w:b/>
          <w:bCs/>
          <w:sz w:val="21"/>
          <w:szCs w:val="21"/>
        </w:rPr>
        <w:t xml:space="preserve">cesión de datos</w:t>
      </w:r>
      <w:r>
        <w:rPr>
          <w:rFonts w:ascii="Calibri" w:cs="Calibri" w:eastAsia="Calibri" w:hAnsi="Calibri"/>
          <w:sz w:val="21"/>
          <w:szCs w:val="21"/>
        </w:rPr>
        <w:t xml:space="preserve"> (art. 202.1, párr. 3.º); las obligaciones sobre ubicación de servidores y su subcontratación, cuando la ejecución requiera </w:t>
      </w:r>
      <w:r>
        <w:rPr>
          <w:rFonts w:ascii="Calibri" w:cs="Calibri" w:eastAsia="Calibri" w:hAnsi="Calibri"/>
          <w:b/>
          <w:bCs/>
          <w:sz w:val="21"/>
          <w:szCs w:val="21"/>
        </w:rPr>
        <w:t xml:space="preserve">tratamiento de datos personales por cuenta del responsable</w:t>
      </w:r>
      <w:r>
        <w:rPr>
          <w:rFonts w:ascii="Calibri" w:cs="Calibri" w:eastAsia="Calibri" w:hAnsi="Calibri"/>
          <w:sz w:val="21"/>
          <w:szCs w:val="21"/>
        </w:rPr>
        <w:t xml:space="preserve"> (art. 122.2). En un contrato sin encargo de tratamiento, ese bloque no existe y no puede figurar en el PCAP. Declarar esenciales obligaciones improcedentes es precisamente lo que sanciona el art. 211.1.f).2.º.</w:t>
      </w:r>
    </w:p>
    <w:p>
      <w:pPr>
        <w:pStyle w:val="ListParagraph"/>
        <w:numPr>
          <w:ilvl w:val="0"/>
          <w:numId w:val="2"/>
        </w:numPr>
        <w:spacing w:after="70" w:line="268"/>
      </w:pPr>
      <w:r>
        <w:rPr>
          <w:rFonts w:ascii="Calibri" w:cs="Calibri" w:eastAsia="Calibri" w:hAnsi="Calibri"/>
          <w:b/>
          <w:bCs/>
          <w:sz w:val="21"/>
          <w:szCs w:val="21"/>
        </w:rPr>
        <w:t xml:space="preserve">Cláusula de cierre bien redactada.</w:t>
      </w:r>
      <w:r>
        <w:rPr>
          <w:rFonts w:ascii="Calibri" w:cs="Calibri" w:eastAsia="Calibri" w:hAnsi="Calibri"/>
          <w:sz w:val="21"/>
          <w:szCs w:val="21"/>
        </w:rPr>
        <w:t xml:space="preserve"> La fórmula que se copia al PCAP debe decir </w:t>
      </w:r>
      <w:r>
        <w:rPr>
          <w:rFonts w:ascii="Calibri" w:cs="Calibri" w:eastAsia="Calibri" w:hAnsi="Calibri"/>
          <w:i/>
          <w:iCs/>
          <w:sz w:val="21"/>
          <w:szCs w:val="21"/>
        </w:rPr>
        <w:t xml:space="preserve">«ninguna otra de las obligaciones incorporadas en virtud del catálogo [denominación y versión] tendrá carácter esencial»</w:t>
      </w:r>
      <w:r>
        <w:rPr>
          <w:rFonts w:ascii="Calibri" w:cs="Calibri" w:eastAsia="Calibri" w:hAnsi="Calibri"/>
          <w:sz w:val="21"/>
          <w:szCs w:val="21"/>
        </w:rPr>
        <w:t xml:space="preserve">, y no «ninguna otra obligación de este clausulado». Un PCAP tiene otras obligaciones esenciales propias —adscripción de medios, condiciones salariales— y una cláusula de cierre mal escrita las desactivaría.</w:t>
      </w:r>
    </w:p>
    <w:p>
      <w:pPr>
        <w:pStyle w:val="ListParagraph"/>
        <w:numPr>
          <w:ilvl w:val="0"/>
          <w:numId w:val="2"/>
        </w:numPr>
        <w:spacing w:after="70" w:line="268"/>
      </w:pPr>
      <w:r>
        <w:rPr>
          <w:rFonts w:ascii="Calibri" w:cs="Calibri" w:eastAsia="Calibri" w:hAnsi="Calibri"/>
          <w:b/>
          <w:bCs/>
          <w:sz w:val="21"/>
          <w:szCs w:val="21"/>
        </w:rPr>
        <w:t xml:space="preserve">Juicio comparativo de perjuicios.</w:t>
      </w:r>
      <w:r>
        <w:rPr>
          <w:rFonts w:ascii="Calibri" w:cs="Calibri" w:eastAsia="Calibri" w:hAnsi="Calibri"/>
          <w:sz w:val="21"/>
          <w:szCs w:val="21"/>
        </w:rPr>
        <w:t xml:space="preserve"> La resolución se acuerda sólo cuando el perjuicio derivado de ella no sea superior al del mantenimiento del contrato, previa audiencia y requerimiento de subsanación (art. 212 LCSP). Es una cautela de proporcionalidad que conviene escribir en el pliego, porque anticipa la alegación de desproporción.</w:t>
      </w:r>
    </w:p>
    <w:p>
      <w:pPr>
        <w:pStyle w:val="Heading3"/>
        <w:keepNext/>
        <w:spacing w:after="140" w:before="320"/>
      </w:pPr>
      <w:r>
        <w:rPr>
          <w:rFonts w:ascii="Georgia" w:cs="Georgia" w:eastAsia="Georgia" w:hAnsi="Georgia"/>
          <w:b/>
          <w:bCs/>
          <w:color w:val="2F5496"/>
          <w:sz w:val="22"/>
          <w:szCs w:val="22"/>
        </w:rPr>
        <w:t xml:space="preserve">M5.4 · Plazo de garantía y reversión: advertencia de redacción</w:t>
      </w:r>
    </w:p>
    <w:p>
      <w:pPr>
        <w:spacing w:after="140" w:line="276"/>
      </w:pPr>
      <w:r>
        <w:rPr>
          <w:rFonts w:ascii="Calibri" w:cs="Calibri" w:eastAsia="Calibri" w:hAnsi="Calibri"/>
          <w:sz w:val="21"/>
          <w:szCs w:val="21"/>
        </w:rPr>
        <w:t xml:space="preserve">Vincular el plazo de garantía a un acto del Ayuntamiento que puede no producirse nunca —una certificación municipal de la reversión— </w:t>
      </w:r>
      <w:r>
        <w:rPr>
          <w:rFonts w:ascii="Calibri" w:cs="Calibri" w:eastAsia="Calibri" w:hAnsi="Calibri"/>
          <w:b/>
          <w:bCs/>
          <w:sz w:val="21"/>
          <w:szCs w:val="21"/>
        </w:rPr>
        <w:t xml:space="preserve">no produce un plazo</w:t>
      </w:r>
      <w:r>
        <w:rPr>
          <w:rFonts w:ascii="Calibri" w:cs="Calibri" w:eastAsia="Calibri" w:hAnsi="Calibri"/>
          <w:sz w:val="21"/>
          <w:szCs w:val="21"/>
        </w:rPr>
        <w:t xml:space="preserve">. Por eso el catálogo abandonó esa redacción. El mecanismo vigente es el del </w:t>
      </w:r>
      <w:r>
        <w:rPr>
          <w:rFonts w:ascii="Calibri" w:cs="Calibri" w:eastAsia="Calibri" w:hAnsi="Calibri"/>
          <w:b/>
          <w:bCs/>
          <w:sz w:val="21"/>
          <w:szCs w:val="21"/>
        </w:rPr>
        <w:t xml:space="preserve">apartado 8 de DT-8·v3</w:t>
      </w:r>
      <w:r>
        <w:rPr>
          <w:rFonts w:ascii="Calibri" w:cs="Calibri" w:eastAsia="Calibri" w:hAnsi="Calibri"/>
          <w:sz w:val="21"/>
          <w:szCs w:val="21"/>
        </w:rPr>
        <w:t xml:space="preserve">: acta de reversión levantada en un plazo cierto, con silencio a favor del contratista si no se levanta, de modo que el día inicial del plazo de garantía es determinable en todo caso.</w:t>
      </w:r>
    </w:p>
    <w:p>
      <w:pPr>
        <w:spacing w:after="140" w:line="276"/>
      </w:pPr>
      <w:r>
        <w:rPr>
          <w:rFonts w:ascii="Calibri" w:cs="Calibri" w:eastAsia="Calibri" w:hAnsi="Calibri"/>
          <w:sz w:val="21"/>
          <w:szCs w:val="21"/>
        </w:rPr>
        <w:t xml:space="preserve">Lo que esta memoria pide al órgano que informe jurídicamente es que verifique expresamente dos extremos: que el PCAP fija un plazo de garantía con día inicial determinable conforme a ese apartado, y que la devolución de la garantía respeta el régimen del art. 111 LCSP. Ninguna cláusula de este catálogo configura la reversión como prórroga indefinida de la garantía; un pliego que lo hiciera se habría apartado del modelo.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M6 · Coste, crédito y estabilidad presupuestaria</w:t>
      </w:r>
    </w:p>
    <w:p>
      <w:pPr>
        <w:pStyle w:val="Heading3"/>
        <w:keepNext/>
        <w:spacing w:after="140" w:before="320"/>
      </w:pPr>
      <w:r>
        <w:rPr>
          <w:rFonts w:ascii="Georgia" w:cs="Georgia" w:eastAsia="Georgia" w:hAnsi="Georgia"/>
          <w:b/>
          <w:bCs/>
          <w:color w:val="2F5496"/>
          <w:sz w:val="22"/>
          <w:szCs w:val="22"/>
        </w:rPr>
        <w:t xml:space="preserve">M6.1 · Por qué este apartado existe</w:t>
      </w:r>
    </w:p>
    <w:p>
      <w:pPr>
        <w:spacing w:after="140" w:line="276"/>
      </w:pPr>
      <w:r>
        <w:rPr>
          <w:rFonts w:ascii="Calibri" w:cs="Calibri" w:eastAsia="Calibri" w:hAnsi="Calibri"/>
          <w:sz w:val="21"/>
          <w:szCs w:val="21"/>
        </w:rPr>
        <w:t xml:space="preserve">Este catálogo genera gasto real. Depósito de código, bolsa de servicios evolutivos, entorno de pruebas, desarrollo de la interfaz cuando no forma parte del producto, horas de comisión de seguimiento y horas de verificación. Un expediente que incorpore estas cláusulas y no lleve ni una cifra se devuelve, y con motivo.</w:t>
      </w:r>
    </w:p>
    <w:p>
      <w:pPr>
        <w:spacing w:after="140" w:line="276"/>
      </w:pPr>
      <w:r>
        <w:rPr>
          <w:rFonts w:ascii="Calibri" w:cs="Calibri" w:eastAsia="Calibri" w:hAnsi="Calibri"/>
          <w:b/>
          <w:bCs/>
          <w:sz w:val="21"/>
          <w:szCs w:val="21"/>
        </w:rPr>
        <w:t xml:space="preserve">Advertencia sobre las cifras que siguen.</w:t>
      </w:r>
      <w:r>
        <w:rPr>
          <w:rFonts w:ascii="Calibri" w:cs="Calibri" w:eastAsia="Calibri" w:hAnsi="Calibri"/>
          <w:sz w:val="21"/>
          <w:szCs w:val="21"/>
        </w:rPr>
        <w:t xml:space="preserve"> Son </w:t>
      </w:r>
      <w:r>
        <w:rPr>
          <w:rFonts w:ascii="Calibri" w:cs="Calibri" w:eastAsia="Calibri" w:hAnsi="Calibri"/>
          <w:b/>
          <w:bCs/>
          <w:sz w:val="21"/>
          <w:szCs w:val="21"/>
        </w:rPr>
        <w:t xml:space="preserve">órdenes de magnitud para dimensionar</w:t>
      </w:r>
      <w:r>
        <w:rPr>
          <w:rFonts w:ascii="Calibri" w:cs="Calibri" w:eastAsia="Calibri" w:hAnsi="Calibri"/>
          <w:sz w:val="21"/>
          <w:szCs w:val="21"/>
        </w:rPr>
        <w:t xml:space="preserve">, no precios de mercado. No proceden de una consulta de mercado ni de una oferta, y </w:t>
      </w:r>
      <w:r>
        <w:rPr>
          <w:rFonts w:ascii="Calibri" w:cs="Calibri" w:eastAsia="Calibri" w:hAnsi="Calibri"/>
          <w:b/>
          <w:bCs/>
          <w:sz w:val="21"/>
          <w:szCs w:val="21"/>
        </w:rPr>
        <w:t xml:space="preserve">no pueden emplearse para fijar el presupuesto base de licitación de ningún expediente</w:t>
      </w:r>
      <w:r>
        <w:rPr>
          <w:rFonts w:ascii="Calibri" w:cs="Calibri" w:eastAsia="Calibri" w:hAnsi="Calibri"/>
          <w:sz w:val="21"/>
          <w:szCs w:val="21"/>
        </w:rPr>
        <w:t xml:space="preserve">. Su única función es permitir a la Intervención y al órgano gestor saber si están hablando de cientos, de miles o de decenas de miles de euros antes de pedir los datos reales. Cada expediente obtiene sus propias cifras por presupuesto solicitado, por consulta preliminar del mercado (art. 115 LCSP) o por precios de contratos análogos, y </w:t>
      </w:r>
      <w:r>
        <w:rPr>
          <w:rFonts w:ascii="Calibri" w:cs="Calibri" w:eastAsia="Calibri" w:hAnsi="Calibri"/>
          <w:b/>
          <w:bCs/>
          <w:sz w:val="21"/>
          <w:szCs w:val="21"/>
        </w:rPr>
        <w:t xml:space="preserve">desglosa el presupuesto base de licitación en costes directos, indirectos y otros eventuales gastos conforme al art. 100.2 LCSP</w:t>
      </w:r>
      <w:r>
        <w:rPr>
          <w:rFonts w:ascii="Calibri" w:cs="Calibri" w:eastAsia="Calibri" w:hAnsi="Calibri"/>
          <w:sz w:val="21"/>
          <w:szCs w:val="21"/>
        </w:rPr>
        <w:t xml:space="preserve">.</w:t>
      </w:r>
    </w:p>
    <w:p>
      <w:pPr>
        <w:pStyle w:val="Heading3"/>
        <w:keepNext/>
        <w:spacing w:after="140" w:before="320"/>
      </w:pPr>
      <w:r>
        <w:rPr>
          <w:rFonts w:ascii="Georgia" w:cs="Georgia" w:eastAsia="Georgia" w:hAnsi="Georgia"/>
          <w:b/>
          <w:bCs/>
          <w:color w:val="2F5496"/>
          <w:sz w:val="22"/>
          <w:szCs w:val="22"/>
        </w:rPr>
        <w:t xml:space="preserve">M6.2 · Coste directo, por concepto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Concepto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Se activa con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 lo soporta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Orden de magnitud (no es precio)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Parámetro y valor por defecto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Constitución del depósito de código</w:t>
            </w:r>
            <w:r>
              <w:rPr>
                <w:rFonts w:ascii="Calibri" w:cs="Calibri" w:eastAsia="Calibri" w:hAnsi="Calibri"/>
                <w:b w:val="false"/>
                <w:bCs w:val="false"/>
                <w:sz w:val="18"/>
                <w:szCs w:val="18"/>
              </w:rPr>
              <w:t xml:space="preserve"> (notaría o entidad depositaria especializada)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Presupuesto base de licitación (art. 100.2)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Unidad de millar: [1.500–3.000] € una vez</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Custodia anual del depósito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PBL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[1.200–3.000] € por 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Verificación técnica de cada depósito</w:t>
            </w:r>
            <w:r>
              <w:rPr>
                <w:rFonts w:ascii="Calibri" w:cs="Calibri" w:eastAsia="Calibri" w:hAnsi="Calibri"/>
                <w:b w:val="false"/>
                <w:bCs w:val="false"/>
                <w:sz w:val="18"/>
                <w:szCs w:val="18"/>
              </w:rPr>
              <w:t xml:space="preserve"> (certificado de que compila y despliega)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PBL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[800–2.500] € por verificación · [X; se recomienda 1] depósito inicial y [1] actualización al 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 alza si hay versiones mayores frecuentes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Bolsa de servicios evolutivos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ADM-3·v3, bloque 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PBL y valor estimado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[X; se recomienda 200] horas/año al precio unitario ofertado. Con precios unitarios de mercado del orden de decenas de euros por hora, la magnitud es de </w:t>
            </w:r>
            <w:r>
              <w:rPr>
                <w:rFonts w:ascii="Calibri" w:cs="Calibri" w:eastAsia="Calibri" w:hAnsi="Calibri"/>
                <w:b/>
                <w:bCs/>
                <w:sz w:val="18"/>
                <w:szCs w:val="18"/>
              </w:rPr>
              <w:t xml:space="preserve">cinco cifras bajas al 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Bolsa [X; se recomienda 5] % del presupuesto base de licitación de la duración inicial, sin IVA; nunca superior al 10 % de esa misma base (§M4.2)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Entorno de pruebas / preproducción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DT-7·v3, DT-9·v3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exige </w:t>
            </w:r>
            <w:r>
              <w:rPr>
                <w:rFonts w:ascii="Calibri" w:cs="Calibri" w:eastAsia="Calibri" w:hAnsi="Calibri"/>
                <w:b/>
                <w:bCs/>
                <w:sz w:val="18"/>
                <w:szCs w:val="18"/>
              </w:rPr>
              <w:t xml:space="preserve">incluido en el precio</w:t>
            </w:r>
            <w:r>
              <w:rPr>
                <w:rFonts w:ascii="Calibri" w:cs="Calibri" w:eastAsia="Calibri" w:hAnsi="Calibri"/>
                <w:b w:val="false"/>
                <w:bCs w:val="false"/>
                <w:sz w:val="18"/>
                <w:szCs w:val="18"/>
              </w:rPr>
              <w:t xml:space="preserve">; si el mercado lo tarifica aparte, incremento del orden del [5–15] % sobre el servicio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PBL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Exigirlo incluido es la opción por defecto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Interfaz normalizada de acceso programático</w:t>
            </w:r>
            <w:r>
              <w:rPr>
                <w:rFonts w:ascii="Calibri" w:cs="Calibri" w:eastAsia="Calibri" w:hAnsi="Calibri"/>
                <w:b w:val="false"/>
                <w:bCs w:val="false"/>
                <w:sz w:val="18"/>
                <w:szCs w:val="18"/>
              </w:rPr>
              <w:t xml:space="preserve">, cuando no forma parte del producto base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PBL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Orden del [3–8] % del PBL del contrato, o cifra de cinco cifras por plataforma si es desarrollo a medida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supera el [X; se recomienda 10] % del PBL, replantear el alcance o el plazo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Conformidad y certificación ENS de la solución</w:t>
            </w:r>
            <w:r>
              <w:rPr>
                <w:rFonts w:ascii="Calibri" w:cs="Calibri" w:eastAsia="Calibri" w:hAnsi="Calibri"/>
                <w:b w:val="false"/>
                <w:bCs w:val="false"/>
                <w:sz w:val="18"/>
                <w:szCs w:val="18"/>
              </w:rPr>
              <w:t xml:space="preserve"> en categorías MEDIA o ALTA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Coste del contratista, repercutido en el precio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Cuatro a cinco cifras por ciclo de certificación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es opcional: resulta del Anexo I del RD 311/2022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Consulta preliminar del mercado y contraste del Anexo 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 centralizado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Presupuesto del servicio promotor, </w:t>
            </w: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[80–120] horas internas o asistencia técnica de cinco cifras bajas al 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hace una vez al año para todos los expedientes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9</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Horas municipales de preparación y verificación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Todas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Coste de personal (coste de oportunidad, no crédito nuevo)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Tabla única del epígrafe 5 de ADM-4·v3; lectura económica en el §M6.3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 de verificabilidad municipal (Parte I, §7.9)</w:t>
            </w:r>
          </w:p>
        </w:tc>
      </w:tr>
    </w:tbl>
    <w:p>
      <w:pPr>
        <w:spacing w:after="200"/>
      </w:pPr>
    </w:p>
    <w:p>
      <w:pPr>
        <w:spacing w:after="140" w:line="276"/>
      </w:pPr>
      <w:r>
        <w:rPr>
          <w:rFonts w:ascii="Calibri" w:cs="Calibri" w:eastAsia="Calibri" w:hAnsi="Calibri"/>
          <w:b/>
          <w:bCs/>
          <w:sz w:val="21"/>
          <w:szCs w:val="21"/>
        </w:rPr>
        <w:t xml:space="preserve">Efecto agregado.</w:t>
      </w:r>
      <w:r>
        <w:rPr>
          <w:rFonts w:ascii="Calibri" w:cs="Calibri" w:eastAsia="Calibri" w:hAnsi="Calibri"/>
          <w:sz w:val="21"/>
          <w:szCs w:val="21"/>
        </w:rPr>
        <w:t xml:space="preserve"> Para un contrato de servicios de aplicaciones de tamaño medio con el catálogo aplicado en intensidad alta, el conjunto de conceptos 1 a 6 se sitúa, como orden de magnitud, entre el </w:t>
      </w:r>
      <w:r>
        <w:rPr>
          <w:rFonts w:ascii="Calibri" w:cs="Calibri" w:eastAsia="Calibri" w:hAnsi="Calibri"/>
          <w:b/>
          <w:bCs/>
          <w:sz w:val="21"/>
          <w:szCs w:val="21"/>
        </w:rPr>
        <w:t xml:space="preserve">[4] % y el [12] % del presupuesto base de licitación</w:t>
      </w:r>
      <w:r>
        <w:rPr>
          <w:rFonts w:ascii="Calibri" w:cs="Calibri" w:eastAsia="Calibri" w:hAnsi="Calibri"/>
          <w:sz w:val="21"/>
          <w:szCs w:val="21"/>
        </w:rPr>
        <w:t xml:space="preserve">. Criterio de prudencia que se propone al órgano de contratación —no es una regla legal—: </w:t>
      </w:r>
      <w:r>
        <w:rPr>
          <w:rFonts w:ascii="Calibri" w:cs="Calibri" w:eastAsia="Calibri" w:hAnsi="Calibri"/>
          <w:b/>
          <w:bCs/>
          <w:sz w:val="21"/>
          <w:szCs w:val="21"/>
        </w:rPr>
        <w:t xml:space="preserve">si el conjunto de las exigencias de este catálogo supera el [X; se recomienda 15] % del PBL, la proporcionalidad del art. 116.4.e) LCSP deja de ser defendible sin motivación reforzada</w:t>
      </w:r>
      <w:r>
        <w:rPr>
          <w:rFonts w:ascii="Calibri" w:cs="Calibri" w:eastAsia="Calibri" w:hAnsi="Calibri"/>
          <w:sz w:val="21"/>
          <w:szCs w:val="21"/>
        </w:rPr>
        <w:t xml:space="preserve">, y procede reducir el alcance del Anexo V o elevar el umbral de activación en lugar de justificar más.</w:t>
      </w:r>
    </w:p>
    <w:p>
      <w:pPr>
        <w:pStyle w:val="Heading3"/>
        <w:keepNext/>
        <w:spacing w:after="140" w:before="320"/>
      </w:pPr>
      <w:r>
        <w:rPr>
          <w:rFonts w:ascii="Georgia" w:cs="Georgia" w:eastAsia="Georgia" w:hAnsi="Georgia"/>
          <w:b/>
          <w:bCs/>
          <w:color w:val="2F5496"/>
          <w:sz w:val="22"/>
          <w:szCs w:val="22"/>
        </w:rPr>
        <w:t xml:space="preserve">M6.3 · Carga de trabajo municipal, dimensionada</w:t>
      </w:r>
    </w:p>
    <w:p>
      <w:pPr>
        <w:spacing w:after="140" w:line="276"/>
      </w:pPr>
      <w:r>
        <w:rPr>
          <w:rFonts w:ascii="Calibri" w:cs="Calibri" w:eastAsia="Calibri" w:hAnsi="Calibri"/>
          <w:sz w:val="21"/>
          <w:szCs w:val="21"/>
        </w:rPr>
        <w:t xml:space="preserve">Es la respuesta al corolario de la objeción («son pocos los contratos en los que se haga un seguimiento real»). No se resuelve declarando que ahora sí se hará: se resuelve contando las horas y asignándolas.</w:t>
      </w:r>
    </w:p>
    <w:p>
      <w:pPr>
        <w:spacing w:after="140" w:line="276"/>
      </w:pPr>
      <w:r>
        <w:rPr>
          <w:rFonts w:ascii="Calibri" w:cs="Calibri" w:eastAsia="Calibri" w:hAnsi="Calibri"/>
          <w:b/>
          <w:bCs/>
          <w:sz w:val="21"/>
          <w:szCs w:val="21"/>
        </w:rPr>
        <w:t xml:space="preserve">El recuento no se hace aquí.</w:t>
      </w:r>
      <w:r>
        <w:rPr>
          <w:rFonts w:ascii="Calibri" w:cs="Calibri" w:eastAsia="Calibri" w:hAnsi="Calibri"/>
          <w:sz w:val="21"/>
          <w:szCs w:val="21"/>
        </w:rPr>
        <w:t xml:space="preserve"> La tabla única de carga de verificación del catálogo —construida por suma de los epígrafes «Cómo se verifica» de cada cláusula, con las filas de la Parte II y de la Parte III separadas, un total de preparación por expediente y un total recurrente por contrato y año— es la del </w:t>
      </w:r>
      <w:r>
        <w:rPr>
          <w:rFonts w:ascii="Calibri" w:cs="Calibri" w:eastAsia="Calibri" w:hAnsi="Calibri"/>
          <w:b/>
          <w:bCs/>
          <w:sz w:val="21"/>
          <w:szCs w:val="21"/>
        </w:rPr>
        <w:t xml:space="preserve">epígrafe 5 de ADM-4·v3</w:t>
      </w:r>
      <w:r>
        <w:rPr>
          <w:rFonts w:ascii="Calibri" w:cs="Calibri" w:eastAsia="Calibri" w:hAnsi="Calibri"/>
          <w:sz w:val="21"/>
          <w:szCs w:val="21"/>
        </w:rPr>
        <w:t xml:space="preserve">. Esta memoria no estima por su cuenta y no reproduce cifras propias: rige la misma regla de precedencia del §M4.2, y cualquier discrepancia se resuelve a favor de aquella tabla. El desglose por actor, documento y horas por acto está allí, y allí es donde debe consultarlo el órgano de contratación al dimensionar un expediente.</w:t>
      </w:r>
    </w:p>
    <w:p>
      <w:pPr>
        <w:spacing w:after="140" w:line="276"/>
      </w:pPr>
      <w:r>
        <w:rPr>
          <w:rFonts w:ascii="Calibri" w:cs="Calibri" w:eastAsia="Calibri" w:hAnsi="Calibri"/>
          <w:sz w:val="21"/>
          <w:szCs w:val="21"/>
        </w:rPr>
        <w:t xml:space="preserve">Lo que sí corresponde a esta memoria es la lectura económica de ese total, y es doble. </w:t>
      </w:r>
      <w:r>
        <w:rPr>
          <w:rFonts w:ascii="Calibri" w:cs="Calibri" w:eastAsia="Calibri" w:hAnsi="Calibri"/>
          <w:b/>
          <w:bCs/>
          <w:sz w:val="21"/>
          <w:szCs w:val="21"/>
        </w:rPr>
        <w:t xml:space="preserve">Primera:</w:t>
      </w:r>
      <w:r>
        <w:rPr>
          <w:rFonts w:ascii="Calibri" w:cs="Calibri" w:eastAsia="Calibri" w:hAnsi="Calibri"/>
          <w:sz w:val="21"/>
          <w:szCs w:val="21"/>
        </w:rPr>
        <w:t xml:space="preserve"> traducido a coste interno con un coste horario de personal técnico municipal del orden de las decenas de euros, la carga recurrente por contrato equivale a una magnitud de </w:t>
      </w:r>
      <w:r>
        <w:rPr>
          <w:rFonts w:ascii="Calibri" w:cs="Calibri" w:eastAsia="Calibri" w:hAnsi="Calibri"/>
          <w:b/>
          <w:bCs/>
          <w:sz w:val="21"/>
          <w:szCs w:val="21"/>
        </w:rPr>
        <w:t xml:space="preserve">cuatro cifras al año</w:t>
      </w:r>
      <w:r>
        <w:rPr>
          <w:rFonts w:ascii="Calibri" w:cs="Calibri" w:eastAsia="Calibri" w:hAnsi="Calibri"/>
          <w:sz w:val="21"/>
          <w:szCs w:val="21"/>
        </w:rPr>
        <w:t xml:space="preserve">. No consume crédito nuevo, pero sí capacidad, y la capacidad es finita y no se amplía por acuerdo. </w:t>
      </w:r>
      <w:r>
        <w:rPr>
          <w:rFonts w:ascii="Calibri" w:cs="Calibri" w:eastAsia="Calibri" w:hAnsi="Calibri"/>
          <w:b/>
          <w:bCs/>
          <w:sz w:val="21"/>
          <w:szCs w:val="21"/>
        </w:rPr>
        <w:t xml:space="preserve">Segunda, y es la que debe constar en el expediente: si el Ayuntamiento no puede asignar esas horas, la respuesta correcta no es aprobar el catálogo y no verificarlo, sino reducir su intensidad</w:t>
      </w:r>
      <w:r>
        <w:rPr>
          <w:rFonts w:ascii="Calibri" w:cs="Calibri" w:eastAsia="Calibri" w:hAnsi="Calibri"/>
          <w:sz w:val="21"/>
          <w:szCs w:val="21"/>
        </w:rPr>
        <w:t xml:space="preserve"> subiendo los umbrales del §M4.2.</w:t>
      </w:r>
    </w:p>
    <w:p>
      <w:pPr>
        <w:pStyle w:val="Heading3"/>
        <w:keepNext/>
        <w:spacing w:after="140" w:before="320"/>
      </w:pPr>
      <w:r>
        <w:rPr>
          <w:rFonts w:ascii="Georgia" w:cs="Georgia" w:eastAsia="Georgia" w:hAnsi="Georgia"/>
          <w:b/>
          <w:bCs/>
          <w:color w:val="2F5496"/>
          <w:sz w:val="22"/>
          <w:szCs w:val="22"/>
        </w:rPr>
        <w:t xml:space="preserve">M6.4 · Crédito y estabilidad presupuestaria: lo que cada expediente debe incorporar</w:t>
      </w:r>
    </w:p>
    <w:p>
      <w:pPr>
        <w:spacing w:after="140" w:line="276"/>
      </w:pPr>
      <w:r>
        <w:rPr>
          <w:rFonts w:ascii="Calibri" w:cs="Calibri" w:eastAsia="Calibri" w:hAnsi="Calibri"/>
          <w:sz w:val="21"/>
          <w:szCs w:val="21"/>
        </w:rPr>
        <w:t xml:space="preserve">Se hace constar expresamente, para que no se dé por supuesto:</w:t>
      </w:r>
    </w:p>
    <w:p>
      <w:pPr>
        <w:pStyle w:val="ListParagraph"/>
        <w:numPr>
          <w:ilvl w:val="0"/>
          <w:numId w:val="2"/>
        </w:numPr>
        <w:spacing w:after="70" w:line="268"/>
      </w:pPr>
      <w:r>
        <w:rPr>
          <w:rFonts w:ascii="Calibri" w:cs="Calibri" w:eastAsia="Calibri" w:hAnsi="Calibri"/>
          <w:b/>
          <w:bCs/>
          <w:sz w:val="21"/>
          <w:szCs w:val="21"/>
        </w:rPr>
        <w:t xml:space="preserve">Certificado de existencia de crédito</w:t>
      </w:r>
      <w:r>
        <w:rPr>
          <w:rFonts w:ascii="Calibri" w:cs="Calibri" w:eastAsia="Calibri" w:hAnsi="Calibri"/>
          <w:sz w:val="21"/>
          <w:szCs w:val="21"/>
        </w:rPr>
        <w:t xml:space="preserve"> (art. 116.3 LCSP), por el importe del presupuesto base de licitación </w:t>
      </w:r>
      <w:r>
        <w:rPr>
          <w:rFonts w:ascii="Calibri" w:cs="Calibri" w:eastAsia="Calibri" w:hAnsi="Calibri"/>
          <w:b/>
          <w:bCs/>
          <w:sz w:val="21"/>
          <w:szCs w:val="21"/>
        </w:rPr>
        <w:t xml:space="preserve">incluidos</w:t>
      </w:r>
      <w:r>
        <w:rPr>
          <w:rFonts w:ascii="Calibri" w:cs="Calibri" w:eastAsia="Calibri" w:hAnsi="Calibri"/>
          <w:sz w:val="21"/>
          <w:szCs w:val="21"/>
        </w:rPr>
        <w:t xml:space="preserve"> los conceptos del §M6.2 que se incorporen. Si el depósito de código o la bolsa de evolutivos están en el PBL, están en el certificado.</w:t>
      </w:r>
    </w:p>
    <w:p>
      <w:pPr>
        <w:pStyle w:val="ListParagraph"/>
        <w:numPr>
          <w:ilvl w:val="0"/>
          <w:numId w:val="2"/>
        </w:numPr>
        <w:spacing w:after="70" w:line="268"/>
      </w:pPr>
      <w:r>
        <w:rPr>
          <w:rFonts w:ascii="Calibri" w:cs="Calibri" w:eastAsia="Calibri" w:hAnsi="Calibri"/>
          <w:b/>
          <w:bCs/>
          <w:sz w:val="21"/>
          <w:szCs w:val="21"/>
        </w:rPr>
        <w:t xml:space="preserve">Fiscalización previa</w:t>
      </w:r>
      <w:r>
        <w:rPr>
          <w:rFonts w:ascii="Calibri" w:cs="Calibri" w:eastAsia="Calibri" w:hAnsi="Calibri"/>
          <w:sz w:val="21"/>
          <w:szCs w:val="21"/>
        </w:rPr>
        <w:t xml:space="preserve"> de la Intervención (art. 116.3 LCSP y RD 424/2017).</w:t>
      </w:r>
    </w:p>
    <w:p>
      <w:pPr>
        <w:pStyle w:val="ListParagraph"/>
        <w:numPr>
          <w:ilvl w:val="0"/>
          <w:numId w:val="2"/>
        </w:numPr>
        <w:spacing w:after="70" w:line="268"/>
      </w:pPr>
      <w:r>
        <w:rPr>
          <w:rFonts w:ascii="Calibri" w:cs="Calibri" w:eastAsia="Calibri" w:hAnsi="Calibri"/>
          <w:b/>
          <w:bCs/>
          <w:sz w:val="21"/>
          <w:szCs w:val="21"/>
        </w:rPr>
        <w:t xml:space="preserve">Informe sobre las repercusiones del contrato en el cumplimiento de los principios de estabilidad presupuestaria y sostenibilidad financiera</w:t>
      </w:r>
      <w:r>
        <w:rPr>
          <w:rFonts w:ascii="Calibri" w:cs="Calibri" w:eastAsia="Calibri" w:hAnsi="Calibri"/>
          <w:sz w:val="21"/>
          <w:szCs w:val="21"/>
        </w:rPr>
        <w:t xml:space="preserve">, conforme a la </w:t>
      </w:r>
      <w:r>
        <w:rPr>
          <w:rFonts w:ascii="Calibri" w:cs="Calibri" w:eastAsia="Calibri" w:hAnsi="Calibri"/>
          <w:b/>
          <w:bCs/>
          <w:sz w:val="21"/>
          <w:szCs w:val="21"/>
        </w:rPr>
        <w:t xml:space="preserve">DA 3.ª.3 LCSP</w:t>
      </w:r>
      <w:r>
        <w:rPr>
          <w:rFonts w:ascii="Calibri" w:cs="Calibri" w:eastAsia="Calibri" w:hAnsi="Calibri"/>
          <w:sz w:val="21"/>
          <w:szCs w:val="21"/>
        </w:rPr>
        <w:t xml:space="preserve"> en relación con el art. 7.3 de la Ley Orgánica 2/2012. Es un documento distinto del certificado de crédito y su ausencia es motivo de devolución por sí sola.</w:t>
      </w:r>
    </w:p>
    <w:p>
      <w:pPr>
        <w:pStyle w:val="ListParagraph"/>
        <w:numPr>
          <w:ilvl w:val="0"/>
          <w:numId w:val="2"/>
        </w:numPr>
        <w:spacing w:after="70" w:line="268"/>
      </w:pPr>
      <w:r>
        <w:rPr>
          <w:rFonts w:ascii="Calibri" w:cs="Calibri" w:eastAsia="Calibri" w:hAnsi="Calibri"/>
          <w:b/>
          <w:bCs/>
          <w:sz w:val="21"/>
          <w:szCs w:val="21"/>
        </w:rPr>
        <w:t xml:space="preserve">Compromisos de gasto de carácter plurianual</w:t>
      </w:r>
      <w:r>
        <w:rPr>
          <w:rFonts w:ascii="Calibri" w:cs="Calibri" w:eastAsia="Calibri" w:hAnsi="Calibri"/>
          <w:sz w:val="21"/>
          <w:szCs w:val="21"/>
        </w:rPr>
        <w:t xml:space="preserve">, cuando la duración exceda del ejercicio, conforme al régimen de la legislación reguladora de las haciendas locales. Un contrato de cuatro años con bolsa de evolutivos anual y custodia de depósito anual es gasto plurianual, no gasto del ejercicio.</w:t>
      </w:r>
    </w:p>
    <w:p>
      <w:pPr>
        <w:pStyle w:val="ListParagraph"/>
        <w:numPr>
          <w:ilvl w:val="0"/>
          <w:numId w:val="2"/>
        </w:numPr>
        <w:spacing w:after="70" w:line="268"/>
      </w:pPr>
      <w:r>
        <w:rPr>
          <w:rFonts w:ascii="Calibri" w:cs="Calibri" w:eastAsia="Calibri" w:hAnsi="Calibri"/>
          <w:b/>
          <w:bCs/>
          <w:sz w:val="21"/>
          <w:szCs w:val="21"/>
        </w:rPr>
        <w:t xml:space="preserve">Valor estimado calculado y con su método expreso en el PCAP</w:t>
      </w:r>
      <w:r>
        <w:rPr>
          <w:rFonts w:ascii="Calibri" w:cs="Calibri" w:eastAsia="Calibri" w:hAnsi="Calibri"/>
          <w:sz w:val="21"/>
          <w:szCs w:val="21"/>
        </w:rPr>
        <w:t xml:space="preserve"> (arts. 101.2.c y 101.5 LCSP). Dos advertencias aritméticas que cuestan dinero y umbrales:</w:t>
      </w:r>
    </w:p>
    <w:p>
      <w:pPr>
        <w:pStyle w:val="ListParagraph"/>
        <w:numPr>
          <w:ilvl w:val="1"/>
          <w:numId w:val="1"/>
        </w:numPr>
        <w:spacing w:after="70" w:line="268"/>
      </w:pPr>
      <w:r>
        <w:rPr>
          <w:rFonts w:ascii="Calibri" w:cs="Calibri" w:eastAsia="Calibri" w:hAnsi="Calibri"/>
          <w:sz w:val="21"/>
          <w:szCs w:val="21"/>
        </w:rPr>
        <w:t xml:space="preserve">La bolsa de servicios evolutivos y cualquier reserva de modificación </w:t>
      </w:r>
      <w:r>
        <w:rPr>
          <w:rFonts w:ascii="Calibri" w:cs="Calibri" w:eastAsia="Calibri" w:hAnsi="Calibri"/>
          <w:b/>
          <w:bCs/>
          <w:sz w:val="21"/>
          <w:szCs w:val="21"/>
        </w:rPr>
        <w:t xml:space="preserve">computan en el valor estimado</w:t>
      </w:r>
      <w:r>
        <w:rPr>
          <w:rFonts w:ascii="Calibri" w:cs="Calibri" w:eastAsia="Calibri" w:hAnsi="Calibri"/>
          <w:sz w:val="21"/>
          <w:szCs w:val="21"/>
        </w:rPr>
        <w:t xml:space="preserve">. Está prohibido escribir en un expediente que no lo inflan. El efecto sobre los umbrales —cruce del umbral del recurso especial del art. 44.1.a) LCSP y pérdida del procedimiento abierto simplificado— está trabajado con números en la Parte 0, §0.2, y en ADM-14·v3, y no se repite aquí.</w:t>
      </w:r>
    </w:p>
    <w:p>
      <w:pPr>
        <w:pStyle w:val="ListParagraph"/>
        <w:numPr>
          <w:ilvl w:val="1"/>
          <w:numId w:val="1"/>
        </w:numPr>
        <w:spacing w:after="70" w:line="268"/>
      </w:pPr>
      <w:r>
        <w:rPr>
          <w:rFonts w:ascii="Calibri" w:cs="Calibri" w:eastAsia="Calibri" w:hAnsi="Calibri"/>
          <w:sz w:val="21"/>
          <w:szCs w:val="21"/>
        </w:rPr>
        <w:t xml:space="preserve">El porcentaje no se calcula sobre la misma base en preparación y en ejecución: para el valor estimado se aplica sobre el presupuesto base de licitación; en ejecución, sobre el precio de adjudicación. Una baja del 15 % reduce en un 15 % el dinero realmente disponible.</w:t>
      </w:r>
    </w:p>
    <w:p>
      <w:pPr>
        <w:pStyle w:val="ListParagraph"/>
        <w:numPr>
          <w:ilvl w:val="0"/>
          <w:numId w:val="2"/>
        </w:numPr>
        <w:spacing w:after="70" w:line="268"/>
      </w:pPr>
      <w:r>
        <w:rPr>
          <w:rFonts w:ascii="Calibri" w:cs="Calibri" w:eastAsia="Calibri" w:hAnsi="Calibri"/>
          <w:b/>
          <w:bCs/>
          <w:sz w:val="21"/>
          <w:szCs w:val="21"/>
        </w:rPr>
        <w:t xml:space="preserve">Consulta previa al directorio general de aplicaciones</w:t>
      </w:r>
      <w:r>
        <w:rPr>
          <w:rFonts w:ascii="Calibri" w:cs="Calibri" w:eastAsia="Calibri" w:hAnsi="Calibri"/>
          <w:sz w:val="21"/>
          <w:szCs w:val="21"/>
        </w:rPr>
        <w:t xml:space="preserve"> antes de adquirir, desarrollar o mantener una aplicación, y justificación en términos de eficiencia cuando no se reutilice una existente (</w:t>
      </w:r>
      <w:r>
        <w:rPr>
          <w:rFonts w:ascii="Calibri" w:cs="Calibri" w:eastAsia="Calibri" w:hAnsi="Calibri"/>
          <w:b/>
          <w:bCs/>
          <w:sz w:val="21"/>
          <w:szCs w:val="21"/>
        </w:rPr>
        <w:t xml:space="preserve">art. 157.3 Ley 40/2015</w:t>
      </w:r>
      <w:r>
        <w:rPr>
          <w:rFonts w:ascii="Calibri" w:cs="Calibri" w:eastAsia="Calibri" w:hAnsi="Calibri"/>
          <w:sz w:val="21"/>
          <w:szCs w:val="21"/>
        </w:rPr>
        <w:t xml:space="preserve">). Es preceptiva y opera antes que todo lo anterior.</w:t>
      </w:r>
    </w:p>
    <w:p>
      <w:pPr>
        <w:pStyle w:val="Heading3"/>
        <w:keepNext/>
        <w:spacing w:after="140" w:before="320"/>
      </w:pPr>
      <w:r>
        <w:rPr>
          <w:rFonts w:ascii="Georgia" w:cs="Georgia" w:eastAsia="Georgia" w:hAnsi="Georgia"/>
          <w:b/>
          <w:bCs/>
          <w:color w:val="2F5496"/>
          <w:sz w:val="22"/>
          <w:szCs w:val="22"/>
        </w:rPr>
        <w:t xml:space="preserve">M6.5 · La bolsa de servicios evolutivos: cómo se fiscaliza</w:t>
      </w:r>
    </w:p>
    <w:p>
      <w:pPr>
        <w:spacing w:after="140" w:line="276"/>
      </w:pPr>
      <w:r>
        <w:rPr>
          <w:rFonts w:ascii="Calibri" w:cs="Calibri" w:eastAsia="Calibri" w:hAnsi="Calibri"/>
          <w:sz w:val="21"/>
          <w:szCs w:val="21"/>
        </w:rPr>
        <w:t xml:space="preserve">Es el concepto que más preguntas genera y merece respuesta expresa, porque de ella depende que se apruebe o se suprima.</w:t>
      </w:r>
    </w:p>
    <w:p>
      <w:pPr>
        <w:pStyle w:val="ListParagraph"/>
        <w:numPr>
          <w:ilvl w:val="0"/>
          <w:numId w:val="1"/>
        </w:numPr>
        <w:spacing w:after="70" w:line="268"/>
      </w:pPr>
      <w:r>
        <w:rPr>
          <w:rFonts w:ascii="Calibri" w:cs="Calibri" w:eastAsia="Calibri" w:hAnsi="Calibri"/>
          <w:b/>
          <w:bCs/>
          <w:sz w:val="21"/>
          <w:szCs w:val="21"/>
        </w:rPr>
        <w:t xml:space="preserve">Fundamento.</w:t>
      </w:r>
      <w:r>
        <w:rPr>
          <w:rFonts w:ascii="Calibri" w:cs="Calibri" w:eastAsia="Calibri" w:hAnsi="Calibri"/>
          <w:sz w:val="21"/>
          <w:szCs w:val="21"/>
        </w:rPr>
        <w:t xml:space="preserve"> Art. 308.3 LCSP: en los contratos de servicios que impliquen desarrollo o mantenimiento de aplicaciones informáticas, el objeto puede definirse por componentes de prestación, con precio referido a unidades de actividad definidas en términos de categorías profesionales o coste, </w:t>
      </w:r>
      <w:r>
        <w:rPr>
          <w:rFonts w:ascii="Calibri" w:cs="Calibri" w:eastAsia="Calibri" w:hAnsi="Calibri"/>
          <w:i/>
          <w:iCs/>
          <w:sz w:val="21"/>
          <w:szCs w:val="21"/>
        </w:rPr>
        <w:t xml:space="preserve">«sin perjuicio de que puedan concretarse dichas funcionalidades por la Administración atendiendo a consideraciones técnicas, económicas o necesidades del usuario durante el período de ejecución, en los términos en que se prevean en el pliego de cláusulas administrativas particulares»</w:t>
      </w:r>
      <w:r>
        <w:rPr>
          <w:rFonts w:ascii="Calibri" w:cs="Calibri" w:eastAsia="Calibri" w:hAnsi="Calibri"/>
          <w:sz w:val="21"/>
          <w:szCs w:val="21"/>
        </w:rPr>
        <w:t xml:space="preserve">. La figura tiene precepto propio; no necesita doctrina.</w:t>
      </w:r>
    </w:p>
    <w:p>
      <w:pPr>
        <w:pStyle w:val="ListParagraph"/>
        <w:numPr>
          <w:ilvl w:val="0"/>
          <w:numId w:val="1"/>
        </w:numPr>
        <w:spacing w:after="70" w:line="268"/>
      </w:pPr>
      <w:r>
        <w:rPr>
          <w:rFonts w:ascii="Calibri" w:cs="Calibri" w:eastAsia="Calibri" w:hAnsi="Calibri"/>
          <w:b/>
          <w:bCs/>
          <w:sz w:val="21"/>
          <w:szCs w:val="21"/>
        </w:rPr>
        <w:t xml:space="preserve">Certeza del precio.</w:t>
      </w:r>
      <w:r>
        <w:rPr>
          <w:rFonts w:ascii="Calibri" w:cs="Calibri" w:eastAsia="Calibri" w:hAnsi="Calibri"/>
          <w:sz w:val="21"/>
          <w:szCs w:val="21"/>
        </w:rPr>
        <w:t xml:space="preserve"> El precio es cierto porque viene determinado por precios unitarios ofertados por el licitador (Anexo X.3) y por un número máximo de unidades fijado en el pliego. El máximo es un techo, no un derecho del contratista.</w:t>
      </w:r>
    </w:p>
    <w:p>
      <w:pPr>
        <w:pStyle w:val="ListParagraph"/>
        <w:numPr>
          <w:ilvl w:val="0"/>
          <w:numId w:val="1"/>
        </w:numPr>
        <w:spacing w:after="70" w:line="268"/>
      </w:pPr>
      <w:r>
        <w:rPr>
          <w:rFonts w:ascii="Calibri" w:cs="Calibri" w:eastAsia="Calibri" w:hAnsi="Calibri"/>
          <w:b/>
          <w:bCs/>
          <w:sz w:val="21"/>
          <w:szCs w:val="21"/>
        </w:rPr>
        <w:t xml:space="preserve">Horas no consumidas: no se abonan.</w:t>
      </w:r>
      <w:r>
        <w:rPr>
          <w:rFonts w:ascii="Calibri" w:cs="Calibri" w:eastAsia="Calibri" w:hAnsi="Calibri"/>
          <w:sz w:val="21"/>
          <w:szCs w:val="21"/>
        </w:rPr>
        <w:t xml:space="preserve"> Se retribuye la actividad efectivamente prestada y certificada. Esto tiene que estar escrito en el PCAP con esas palabras, o el expediente no se fiscaliza.</w:t>
      </w:r>
    </w:p>
    <w:p>
      <w:pPr>
        <w:pStyle w:val="ListParagraph"/>
        <w:numPr>
          <w:ilvl w:val="0"/>
          <w:numId w:val="1"/>
        </w:numPr>
        <w:spacing w:after="70" w:line="268"/>
      </w:pPr>
      <w:r>
        <w:rPr>
          <w:rFonts w:ascii="Calibri" w:cs="Calibri" w:eastAsia="Calibri" w:hAnsi="Calibri"/>
          <w:b/>
          <w:bCs/>
          <w:sz w:val="21"/>
          <w:szCs w:val="21"/>
        </w:rPr>
        <w:t xml:space="preserve">Valor estimado.</w:t>
      </w:r>
      <w:r>
        <w:rPr>
          <w:rFonts w:ascii="Calibri" w:cs="Calibri" w:eastAsia="Calibri" w:hAnsi="Calibri"/>
          <w:sz w:val="21"/>
          <w:szCs w:val="21"/>
        </w:rPr>
        <w:t xml:space="preserve"> El máximo de la bolsa computa en el valor estimado (art. 101 LCSP).</w:t>
      </w:r>
    </w:p>
    <w:p>
      <w:pPr>
        <w:pStyle w:val="ListParagraph"/>
        <w:numPr>
          <w:ilvl w:val="0"/>
          <w:numId w:val="1"/>
        </w:numPr>
        <w:spacing w:after="70" w:line="268"/>
      </w:pPr>
      <w:r>
        <w:rPr>
          <w:rFonts w:ascii="Calibri" w:cs="Calibri" w:eastAsia="Calibri" w:hAnsi="Calibri"/>
          <w:b/>
          <w:bCs/>
          <w:sz w:val="21"/>
          <w:szCs w:val="21"/>
        </w:rPr>
        <w:t xml:space="preserve">Límite competencial.</w:t>
      </w:r>
      <w:r>
        <w:rPr>
          <w:rFonts w:ascii="Calibri" w:cs="Calibri" w:eastAsia="Calibri" w:hAnsi="Calibri"/>
          <w:sz w:val="21"/>
          <w:szCs w:val="21"/>
        </w:rPr>
        <w:t xml:space="preserve"> Las peticiones se cursan como </w:t>
      </w:r>
      <w:r>
        <w:rPr>
          <w:rFonts w:ascii="Calibri" w:cs="Calibri" w:eastAsia="Calibri" w:hAnsi="Calibri"/>
          <w:b/>
          <w:bCs/>
          <w:sz w:val="21"/>
          <w:szCs w:val="21"/>
        </w:rPr>
        <w:t xml:space="preserve">peticiones de servicio del responsable del contrato</w:t>
      </w:r>
      <w:r>
        <w:rPr>
          <w:rFonts w:ascii="Calibri" w:cs="Calibri" w:eastAsia="Calibri" w:hAnsi="Calibri"/>
          <w:sz w:val="21"/>
          <w:szCs w:val="21"/>
        </w:rPr>
        <w:t xml:space="preserve">, con entregable y aceptación. Nunca como dirección del personal del contratista: el art. 308.2 LCSP obliga a los responsables de la Administración a abstenerse de ejercer facultades que corresponden a la empresa contratista. La expresión «horas dirigidas por el Ayuntamiento» está prohibida en el articulado y en la memoria de cualquier expediente.</w:t>
      </w:r>
    </w:p>
    <w:p>
      <w:pPr>
        <w:pStyle w:val="ListParagraph"/>
        <w:numPr>
          <w:ilvl w:val="0"/>
          <w:numId w:val="1"/>
        </w:numPr>
        <w:spacing w:after="70" w:line="268"/>
      </w:pPr>
      <w:r>
        <w:rPr>
          <w:rFonts w:ascii="Calibri" w:cs="Calibri" w:eastAsia="Calibri" w:hAnsi="Calibri"/>
          <w:b/>
          <w:bCs/>
          <w:sz w:val="21"/>
          <w:szCs w:val="21"/>
        </w:rPr>
        <w:t xml:space="preserve">Ámbito.</w:t>
      </w:r>
      <w:r>
        <w:rPr>
          <w:rFonts w:ascii="Calibri" w:cs="Calibri" w:eastAsia="Calibri" w:hAnsi="Calibri"/>
          <w:sz w:val="21"/>
          <w:szCs w:val="21"/>
        </w:rPr>
        <w:t xml:space="preserve"> Sólo contratos de desarrollo o mantenimiento de aplicaciones. No es cláusula general.</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M7 · Conflicto de interés y participación previa en la preparación (arts. 64 y 70 LCSP)</w:t>
      </w:r>
    </w:p>
    <w:p>
      <w:pPr>
        <w:pStyle w:val="Heading3"/>
        <w:keepNext/>
        <w:spacing w:after="140" w:before="320"/>
      </w:pPr>
      <w:r>
        <w:rPr>
          <w:rFonts w:ascii="Georgia" w:cs="Georgia" w:eastAsia="Georgia" w:hAnsi="Georgia"/>
          <w:b/>
          <w:bCs/>
          <w:color w:val="2F5496"/>
          <w:sz w:val="22"/>
          <w:szCs w:val="22"/>
        </w:rPr>
        <w:t xml:space="preserve">M7.1 · Por qué esta declaración se hace por iniciativa propia y por escrito</w:t>
      </w:r>
    </w:p>
    <w:p>
      <w:pPr>
        <w:spacing w:after="140" w:line="276"/>
      </w:pPr>
      <w:r>
        <w:rPr>
          <w:rFonts w:ascii="Calibri" w:cs="Calibri" w:eastAsia="Calibri" w:hAnsi="Calibri"/>
          <w:sz w:val="21"/>
          <w:szCs w:val="21"/>
        </w:rPr>
        <w:t xml:space="preserve">El art. 64 LCSP obliga al órgano de contratación a tomar medidas adecuadas para prevenir, detectar y solucionar los conflictos de intereses, y define el concepto de forma deliberadamente amplia: </w:t>
      </w:r>
      <w:r>
        <w:rPr>
          <w:rFonts w:ascii="Calibri" w:cs="Calibri" w:eastAsia="Calibri" w:hAnsi="Calibri"/>
          <w:i/>
          <w:iCs/>
          <w:sz w:val="21"/>
          <w:szCs w:val="21"/>
        </w:rPr>
        <w:t xml:space="preserve">«cualquier situación en la que el personal al servicio del órgano de contratación, que además participe en el desarrollo del procedimiento de licitación o pueda influir en el resultado del mismo, tenga directa o indirectamente un interés financiero, económico o personal que pudiera parecer que compromete su imparcialidad e independencia»</w:t>
      </w:r>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Este catálogo ha sido elaborado con asesoramiento externo de personas y entidades que operan en el mercado tecnológico al que las especificaciones se refieren. </w:t>
      </w:r>
      <w:r>
        <w:rPr>
          <w:rFonts w:ascii="Calibri" w:cs="Calibri" w:eastAsia="Calibri" w:hAnsi="Calibri"/>
          <w:b/>
          <w:bCs/>
          <w:sz w:val="21"/>
          <w:szCs w:val="21"/>
        </w:rPr>
        <w:t xml:space="preserve">Ese hecho es el único riesgo capaz de tumbar el proyecto al margen del articulado</w:t>
      </w:r>
      <w:r>
        <w:rPr>
          <w:rFonts w:ascii="Calibri" w:cs="Calibri" w:eastAsia="Calibri" w:hAnsi="Calibri"/>
          <w:sz w:val="21"/>
          <w:szCs w:val="21"/>
        </w:rPr>
        <w:t xml:space="preserve">, porque no se discute como un defecto técnico sino como una acusación de favorecimiento. Declarado entero y neutralizado por el propio texto, es un activo. Descubierto por un recurrente, es la anulación.</w:t>
      </w:r>
    </w:p>
    <w:p>
      <w:pPr>
        <w:pStyle w:val="Heading3"/>
        <w:keepNext/>
        <w:spacing w:after="140" w:before="320"/>
      </w:pPr>
      <w:r>
        <w:rPr>
          <w:rFonts w:ascii="Georgia" w:cs="Georgia" w:eastAsia="Georgia" w:hAnsi="Georgia"/>
          <w:b/>
          <w:bCs/>
          <w:color w:val="2F5496"/>
          <w:sz w:val="22"/>
          <w:szCs w:val="22"/>
        </w:rPr>
        <w:t xml:space="preserve">M7.2 · Intervinientes y su papel</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Persona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Papel en este documento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Vinculación relevante a efectos de los arts. 64 y 70 LCSP</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Delfina Lafuente</w:t>
            </w:r>
            <w:r>
              <w:rPr>
                <w:rFonts w:ascii="Calibri" w:cs="Calibri" w:eastAsia="Calibri" w:hAnsi="Calibri"/>
                <w:b w:val="false"/>
                <w:bCs w:val="false"/>
                <w:sz w:val="18"/>
                <w:szCs w:val="18"/>
              </w:rPr>
              <w:t xml:space="preserve">, Concejal de Administración Digital, Calidad e Innovación del Ayuntamiento de Pozuelo de Alarcón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Impulso institucional del proyecto; definición del alcance y validación funcional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Cargo público municipal. Declaración de ausencia de interés financiero, económico o personal en las tecnologías objeto del catálogo, en los términos del Anexo IX</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José Antonio Ondiviela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Asesoramiento externo en la definición de exigencias tecnológicas y en el mecanismo de revisión anual del Anexo 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Operador y profesional del sector tecnológico. La naturaleza exacta de su vinculación —relación laboral, societaria, de asesoramiento o de participación en asociaciones o consorcios del sector— se consigna en su declaración firmada del Anexo IX, que se incorpora al expediente antes de la aprobación</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Miguel Ángel Domínguez</w:t>
            </w:r>
            <w:r>
              <w:rPr>
                <w:rFonts w:ascii="Calibri" w:cs="Calibri" w:eastAsia="Calibri" w:hAnsi="Calibri"/>
                <w:b w:val="false"/>
                <w:bCs w:val="false"/>
                <w:sz w:val="18"/>
                <w:szCs w:val="18"/>
              </w:rPr>
              <w:t xml:space="preserve">, firmante del documento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Redacción, refundición y responsabilidad del texto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Profesional vinculado al sector del software para la Administración local. La naturaleza exacta de la vinculación —incluida, en su caso, la condición de proveedor actual o pasado de administraciones públicas y la pertenencia a asociaciones o consorcios tecnológicos— se consigna en su declaración firmada del Anexo IX</w:t>
            </w:r>
          </w:p>
        </w:tc>
      </w:tr>
    </w:tbl>
    <w:p>
      <w:pPr>
        <w:spacing w:after="200"/>
      </w:pPr>
    </w:p>
    <w:p>
      <w:pPr>
        <w:spacing w:after="140" w:line="276"/>
      </w:pPr>
      <w:r>
        <w:rPr>
          <w:rFonts w:ascii="Calibri" w:cs="Calibri" w:eastAsia="Calibri" w:hAnsi="Calibri"/>
          <w:b/>
          <w:bCs/>
          <w:sz w:val="21"/>
          <w:szCs w:val="21"/>
        </w:rPr>
        <w:t xml:space="preserve">Constancia expresa:</w:t>
      </w:r>
      <w:r>
        <w:rPr>
          <w:rFonts w:ascii="Calibri" w:cs="Calibri" w:eastAsia="Calibri" w:hAnsi="Calibri"/>
          <w:sz w:val="21"/>
          <w:szCs w:val="21"/>
        </w:rPr>
        <w:t xml:space="preserve"> a la fecha de esta memoria, las declaraciones del Anexo IX </w:t>
      </w:r>
      <w:r>
        <w:rPr>
          <w:rFonts w:ascii="Calibri" w:cs="Calibri" w:eastAsia="Calibri" w:hAnsi="Calibri"/>
          <w:b/>
          <w:bCs/>
          <w:sz w:val="21"/>
          <w:szCs w:val="21"/>
        </w:rPr>
        <w:t xml:space="preserve">no están firmadas</w:t>
      </w:r>
      <w:r>
        <w:rPr>
          <w:rFonts w:ascii="Calibri" w:cs="Calibri" w:eastAsia="Calibri" w:hAnsi="Calibri"/>
          <w:sz w:val="21"/>
          <w:szCs w:val="21"/>
        </w:rPr>
        <w:t xml:space="preserve">. Mientras no lo estén y no se incorporen al expediente, este apartado M7 es una intención y no una medida, y así debe hacerse constar en el informe jurídico y en la nota de fiscalización. Es la segunda condición suspensiva del §M11.</w:t>
      </w:r>
    </w:p>
    <w:p>
      <w:pPr>
        <w:pStyle w:val="Heading3"/>
        <w:keepNext/>
        <w:spacing w:after="140" w:before="320"/>
      </w:pPr>
      <w:r>
        <w:rPr>
          <w:rFonts w:ascii="Georgia" w:cs="Georgia" w:eastAsia="Georgia" w:hAnsi="Georgia"/>
          <w:b/>
          <w:bCs/>
          <w:color w:val="2F5496"/>
          <w:sz w:val="22"/>
          <w:szCs w:val="22"/>
        </w:rPr>
        <w:t xml:space="preserve">M7.3 · Las medidas adoptadas</w:t>
      </w:r>
    </w:p>
    <w:p>
      <w:pPr>
        <w:spacing w:after="140" w:line="276"/>
      </w:pPr>
      <w:r>
        <w:rPr>
          <w:rFonts w:ascii="Calibri" w:cs="Calibri" w:eastAsia="Calibri" w:hAnsi="Calibri"/>
          <w:sz w:val="21"/>
          <w:szCs w:val="21"/>
        </w:rPr>
        <w:t xml:space="preserve">Ésta es la parte que importa. El art. 70.1 LCSP no pide declarar: pide </w:t>
      </w:r>
      <w:r>
        <w:rPr>
          <w:rFonts w:ascii="Calibri" w:cs="Calibri" w:eastAsia="Calibri" w:hAnsi="Calibri"/>
          <w:b/>
          <w:bCs/>
          <w:sz w:val="21"/>
          <w:szCs w:val="21"/>
        </w:rPr>
        <w:t xml:space="preserve">tomar las medidas adecuadas</w:t>
      </w:r>
      <w:r>
        <w:rPr>
          <w:rFonts w:ascii="Calibri" w:cs="Calibri" w:eastAsia="Calibri" w:hAnsi="Calibri"/>
          <w:sz w:val="21"/>
          <w:szCs w:val="21"/>
        </w:rPr>
        <w:t xml:space="preserve"> para garantizar que la participación previa en la preparación no falsee la competencia, y dejar constancia de ellas. Una declaración sin medidas es una confesión sin defensa. Las medidas adoptadas son las siguientes, y todas son verificables en el propio texto:</w:t>
      </w:r>
    </w:p>
    <w:p>
      <w:pPr>
        <w:pStyle w:val="ListParagraph"/>
        <w:numPr>
          <w:ilvl w:val="0"/>
          <w:numId w:val="2"/>
        </w:numPr>
        <w:spacing w:after="70" w:line="268"/>
      </w:pPr>
      <w:r>
        <w:rPr>
          <w:rFonts w:ascii="Calibri" w:cs="Calibri" w:eastAsia="Calibri" w:hAnsi="Calibri"/>
          <w:b/>
          <w:bCs/>
          <w:sz w:val="21"/>
          <w:szCs w:val="21"/>
        </w:rPr>
        <w:t xml:space="preserve">Eliminación material de la preferencia tecnológica.</w:t>
      </w:r>
      <w:r>
        <w:rPr>
          <w:rFonts w:ascii="Calibri" w:cs="Calibri" w:eastAsia="Calibri" w:hAnsi="Calibri"/>
          <w:sz w:val="21"/>
          <w:szCs w:val="21"/>
        </w:rPr>
        <w:t xml:space="preserve"> La cláusula que preferenciaba una infraestructura concreta se ha reformulado íntegramente por capacidades funcionales, se ha marcado NO APLICA por defecto, se ha suprimido su motivación territorial y estratégica y se ha eliminado el inciso que permitía reintroducirla («salvo justificación motivada en el expediente»). Es la medida principal: sin ella, ninguna declaración sería creíble.</w:t>
      </w:r>
    </w:p>
    <w:p>
      <w:pPr>
        <w:pStyle w:val="ListParagraph"/>
        <w:numPr>
          <w:ilvl w:val="0"/>
          <w:numId w:val="2"/>
        </w:numPr>
        <w:spacing w:after="70" w:line="268"/>
      </w:pPr>
      <w:r>
        <w:rPr>
          <w:rFonts w:ascii="Calibri" w:cs="Calibri" w:eastAsia="Calibri" w:hAnsi="Calibri"/>
          <w:b/>
          <w:bCs/>
          <w:sz w:val="21"/>
          <w:szCs w:val="21"/>
        </w:rPr>
        <w:t xml:space="preserve">Prohibición expresa de puntuar la pertenencia a una red o infraestructura nominada</w:t>
      </w:r>
      <w:r>
        <w:rPr>
          <w:rFonts w:ascii="Calibri" w:cs="Calibri" w:eastAsia="Calibri" w:hAnsi="Calibri"/>
          <w:sz w:val="21"/>
          <w:szCs w:val="21"/>
        </w:rPr>
        <w:t xml:space="preserve"> y de configurarla como requisito o criterio de solvencia (ADM-7·v3).</w:t>
      </w:r>
    </w:p>
    <w:p>
      <w:pPr>
        <w:pStyle w:val="ListParagraph"/>
        <w:numPr>
          <w:ilvl w:val="0"/>
          <w:numId w:val="2"/>
        </w:numPr>
        <w:spacing w:after="70" w:line="268"/>
      </w:pPr>
      <w:r>
        <w:rPr>
          <w:rFonts w:ascii="Calibri" w:cs="Calibri" w:eastAsia="Calibri" w:hAnsi="Calibri"/>
          <w:b/>
          <w:bCs/>
          <w:sz w:val="21"/>
          <w:szCs w:val="21"/>
        </w:rPr>
        <w:t xml:space="preserve">Supresión de toda mención nominativa operativa en el articulado.</w:t>
      </w:r>
      <w:r>
        <w:rPr>
          <w:rFonts w:ascii="Calibri" w:cs="Calibri" w:eastAsia="Calibri" w:hAnsi="Calibri"/>
          <w:sz w:val="21"/>
          <w:szCs w:val="21"/>
        </w:rPr>
        <w:t xml:space="preserve"> Los protocolos, redes, productos e infraestructuras concretos viven fuera del articulado, como referencias ilustrativas del estado del arte sin efectos obligacionales. Las </w:t>
      </w:r>
      <w:r>
        <w:rPr>
          <w:rFonts w:ascii="Calibri" w:cs="Calibri" w:eastAsia="Calibri" w:hAnsi="Calibri"/>
          <w:b/>
          <w:bCs/>
          <w:sz w:val="21"/>
          <w:szCs w:val="21"/>
        </w:rPr>
        <w:t xml:space="preserve">normas técnicas</w:t>
      </w:r>
      <w:r>
        <w:rPr>
          <w:rFonts w:ascii="Calibri" w:cs="Calibri" w:eastAsia="Calibri" w:hAnsi="Calibri"/>
          <w:sz w:val="21"/>
          <w:szCs w:val="21"/>
        </w:rPr>
        <w:t xml:space="preserve"> citadas nominativamente (UNE-EN ISO/IEC 42001:2026, 27001, 27701) lo son al amparo del art. 126.5.b) LCSP, con admisión expresa de equivalentes y de las pruebas del art. 93.2. El barrido documental se ha ejecutado sobre el texto completo y su resultado se incorpora al expediente.</w:t>
      </w:r>
    </w:p>
    <w:p>
      <w:pPr>
        <w:pStyle w:val="ListParagraph"/>
        <w:numPr>
          <w:ilvl w:val="0"/>
          <w:numId w:val="2"/>
        </w:numPr>
        <w:spacing w:after="70" w:line="268"/>
      </w:pPr>
      <w:r>
        <w:rPr>
          <w:rFonts w:ascii="Calibri" w:cs="Calibri" w:eastAsia="Calibri" w:hAnsi="Calibri"/>
          <w:b/>
          <w:bCs/>
          <w:sz w:val="21"/>
          <w:szCs w:val="21"/>
        </w:rPr>
        <w:t xml:space="preserve">Supresión de toda puntuación de la tenencia previa</w:t>
      </w:r>
      <w:r>
        <w:rPr>
          <w:rFonts w:ascii="Calibri" w:cs="Calibri" w:eastAsia="Calibri" w:hAnsi="Calibri"/>
          <w:sz w:val="21"/>
          <w:szCs w:val="21"/>
        </w:rPr>
        <w:t xml:space="preserve">: ni certificaciones, ni experiencia, ni disponibilidad presente de medios a fecha de licitación (art. 40.b LCSP). Es la medida que más directamente elimina la ventaja de quien ya conocía el contenido del catálogo.</w:t>
      </w:r>
    </w:p>
    <w:p>
      <w:pPr>
        <w:pStyle w:val="ListParagraph"/>
        <w:numPr>
          <w:ilvl w:val="0"/>
          <w:numId w:val="2"/>
        </w:numPr>
        <w:spacing w:after="70" w:line="268"/>
      </w:pPr>
      <w:r>
        <w:rPr>
          <w:rFonts w:ascii="Calibri" w:cs="Calibri" w:eastAsia="Calibri" w:hAnsi="Calibri"/>
          <w:b/>
          <w:bCs/>
          <w:sz w:val="21"/>
          <w:szCs w:val="21"/>
        </w:rPr>
        <w:t xml:space="preserve">Abstención en los procedimientos derivados.</w:t>
      </w:r>
      <w:r>
        <w:rPr>
          <w:rFonts w:ascii="Calibri" w:cs="Calibri" w:eastAsia="Calibri" w:hAnsi="Calibri"/>
          <w:sz w:val="21"/>
          <w:szCs w:val="21"/>
        </w:rPr>
        <w:t xml:space="preserve"> Ninguno de los asesores externos que han participado en la elaboración de este catálogo puede formar parte de mesas de contratación, comités de expertos ni intervenir en la valoración de ofertas de los expedientes que lo apliquen. Constancia en cada expediente.</w:t>
      </w:r>
    </w:p>
    <w:p>
      <w:pPr>
        <w:pStyle w:val="ListParagraph"/>
        <w:numPr>
          <w:ilvl w:val="0"/>
          <w:numId w:val="2"/>
        </w:numPr>
        <w:spacing w:after="70" w:line="268"/>
      </w:pPr>
      <w:r>
        <w:rPr>
          <w:rFonts w:ascii="Calibri" w:cs="Calibri" w:eastAsia="Calibri" w:hAnsi="Calibri"/>
          <w:b/>
          <w:bCs/>
          <w:sz w:val="21"/>
          <w:szCs w:val="21"/>
        </w:rPr>
        <w:t xml:space="preserve">Publicación íntegra y anticipada del catálogo en abierto.</w:t>
      </w:r>
      <w:r>
        <w:rPr>
          <w:rFonts w:ascii="Calibri" w:cs="Calibri" w:eastAsia="Calibri" w:hAnsi="Calibri"/>
          <w:sz w:val="21"/>
          <w:szCs w:val="21"/>
        </w:rPr>
        <w:t xml:space="preserve"> Es, materialmente, la medida más eficaz del art. 70: toda la información de la que dispusieron quienes asesoraron está a disposición de todo el mercado, con antelación a cualquier licitación y sin necesidad de solicitarla. La asimetría informativa que el art. 70 quiere corregir queda eliminada por publicación. Adviértase el límite de esta medida, para que no se le atribuya más de lo que hace: elimina la ventaja informativa, </w:t>
      </w:r>
      <w:r>
        <w:rPr>
          <w:rFonts w:ascii="Calibri" w:cs="Calibri" w:eastAsia="Calibri" w:hAnsi="Calibri"/>
          <w:b/>
          <w:bCs/>
          <w:sz w:val="21"/>
          <w:szCs w:val="21"/>
        </w:rPr>
        <w:t xml:space="preserve">no neutraliza el interés económico de quien asesora o firma</w:t>
      </w:r>
      <w:r>
        <w:rPr>
          <w:rFonts w:ascii="Calibri" w:cs="Calibri" w:eastAsia="Calibri" w:hAnsi="Calibri"/>
          <w:sz w:val="21"/>
          <w:szCs w:val="21"/>
        </w:rPr>
        <w:t xml:space="preserve">. Eso sólo lo neutralizan las declaraciones firmadas del Anexo IX y la autolimitación de la medida 8.</w:t>
      </w:r>
    </w:p>
    <w:p>
      <w:pPr>
        <w:pStyle w:val="ListParagraph"/>
        <w:numPr>
          <w:ilvl w:val="0"/>
          <w:numId w:val="2"/>
        </w:numPr>
        <w:spacing w:after="70" w:line="268"/>
      </w:pPr>
      <w:r>
        <w:rPr>
          <w:rFonts w:ascii="Calibri" w:cs="Calibri" w:eastAsia="Calibri" w:hAnsi="Calibri"/>
          <w:b/>
          <w:bCs/>
          <w:sz w:val="21"/>
          <w:szCs w:val="21"/>
        </w:rPr>
        <w:t xml:space="preserve">Consulta preliminar del mercado publicada y abierta</w:t>
      </w:r>
      <w:r>
        <w:rPr>
          <w:rFonts w:ascii="Calibri" w:cs="Calibri" w:eastAsia="Calibri" w:hAnsi="Calibri"/>
          <w:sz w:val="21"/>
          <w:szCs w:val="21"/>
        </w:rPr>
        <w:t xml:space="preserve"> (art. 115 LCSP, §M3.2), con anuncio en el perfil de contratante y publicación del informe de conclusiones, de modo que cualquier operador pueda aportar en las mismas condiciones.</w:t>
      </w:r>
    </w:p>
    <w:p>
      <w:pPr>
        <w:pStyle w:val="ListParagraph"/>
        <w:numPr>
          <w:ilvl w:val="0"/>
          <w:numId w:val="2"/>
        </w:numPr>
        <w:spacing w:after="70" w:line="268"/>
      </w:pPr>
      <w:r>
        <w:rPr>
          <w:rFonts w:ascii="Calibri" w:cs="Calibri" w:eastAsia="Calibri" w:hAnsi="Calibri"/>
          <w:b/>
          <w:bCs/>
          <w:sz w:val="21"/>
          <w:szCs w:val="21"/>
        </w:rPr>
        <w:t xml:space="preserve">Lo que la declaración NO hace: limitar el derecho a licitar.</w:t>
      </w:r>
      <w:r>
        <w:rPr>
          <w:rFonts w:ascii="Calibri" w:cs="Calibri" w:eastAsia="Calibri" w:hAnsi="Calibri"/>
          <w:sz w:val="21"/>
          <w:szCs w:val="21"/>
        </w:rPr>
        <w:t xml:space="preserve"> Conviene decirlo expresamente, porque se presume lo contrario. Las declaraciones del Anexo IX se firman para que </w:t>
      </w:r>
      <w:r>
        <w:rPr>
          <w:rFonts w:ascii="Calibri" w:cs="Calibri" w:eastAsia="Calibri" w:hAnsi="Calibri"/>
          <w:b/>
          <w:bCs/>
          <w:sz w:val="21"/>
          <w:szCs w:val="21"/>
        </w:rPr>
        <w:t xml:space="preserve">nadie pueda pedir, ni obtener, ventaja en un pliego</w:t>
      </w:r>
      <w:r>
        <w:rPr>
          <w:rFonts w:ascii="Calibri" w:cs="Calibri" w:eastAsia="Calibri" w:hAnsi="Calibri"/>
          <w:sz w:val="21"/>
          <w:szCs w:val="21"/>
        </w:rPr>
        <w:t xml:space="preserve"> —ni puntuación a favor, ni requisitos escritos a su medida—, y para que el conflicto esté sobre la mesa antes de que nadie tenga que preguntarlo. </w:t>
      </w:r>
      <w:r>
        <w:rPr>
          <w:rFonts w:ascii="Calibri" w:cs="Calibri" w:eastAsia="Calibri" w:hAnsi="Calibri"/>
          <w:b/>
          <w:bCs/>
          <w:sz w:val="21"/>
          <w:szCs w:val="21"/>
        </w:rPr>
        <w:t xml:space="preserve">No excluyen a ningún colaborador de presentarse a una licitación que aplique este catálogo</w:t>
      </w:r>
      <w:r>
        <w:rPr>
          <w:rFonts w:ascii="Calibri" w:cs="Calibri" w:eastAsia="Calibri" w:hAnsi="Calibri"/>
          <w:sz w:val="21"/>
          <w:szCs w:val="21"/>
        </w:rPr>
        <w:t xml:space="preserve">, ni por sí ni en unión temporal de empresas. Una autolimitación de ese alcance no la exige la ley, restringiría la concurrencia que este catálogo quiere ensanchar y castigaría precisamente a quien ha puesto su conocimiento en abierto. Lo que sí se exige es lo de los puntos 2, 4 y 10: que ninguna exigencia esté escrita para favorecer a nadie, que no se puntúe la tenencia previa y que conste quién propuso cada cosa.</w:t>
      </w:r>
    </w:p>
    <w:p>
      <w:pPr>
        <w:pStyle w:val="ListParagraph"/>
        <w:numPr>
          <w:ilvl w:val="0"/>
          <w:numId w:val="2"/>
        </w:numPr>
        <w:spacing w:after="70" w:line="268"/>
      </w:pPr>
      <w:r>
        <w:rPr>
          <w:rFonts w:ascii="Calibri" w:cs="Calibri" w:eastAsia="Calibri" w:hAnsi="Calibri"/>
          <w:b/>
          <w:bCs/>
          <w:sz w:val="21"/>
          <w:szCs w:val="21"/>
        </w:rPr>
        <w:t xml:space="preserve">Si pese a lo anterior alguno concurriera</w:t>
      </w:r>
      <w:r>
        <w:rPr>
          <w:rFonts w:ascii="Calibri" w:cs="Calibri" w:eastAsia="Calibri" w:hAnsi="Calibri"/>
          <w:sz w:val="21"/>
          <w:szCs w:val="21"/>
        </w:rPr>
        <w:t xml:space="preserve">, se aplicará el régimen del art. 70 LCSP en sus propios términos: puesta a disposición de todos los licitadores de la información intercambiada y de la que se derive de la participación previa, plazos suficientes para la presentación de ofertas y, </w:t>
      </w:r>
      <w:r>
        <w:rPr>
          <w:rFonts w:ascii="Calibri" w:cs="Calibri" w:eastAsia="Calibri" w:hAnsi="Calibri"/>
          <w:b/>
          <w:bCs/>
          <w:sz w:val="21"/>
          <w:szCs w:val="21"/>
        </w:rPr>
        <w:t xml:space="preserve">antes de cualquier exclusión, audiencia al interesado</w:t>
      </w:r>
      <w:r>
        <w:rPr>
          <w:rFonts w:ascii="Calibri" w:cs="Calibri" w:eastAsia="Calibri" w:hAnsi="Calibri"/>
          <w:sz w:val="21"/>
          <w:szCs w:val="21"/>
        </w:rPr>
        <w:t xml:space="preserve"> para que acredite que su participación no falsea la competencia. La exclusión es el último recurso, no el primero.</w:t>
      </w:r>
    </w:p>
    <w:p>
      <w:pPr>
        <w:pStyle w:val="ListParagraph"/>
        <w:numPr>
          <w:ilvl w:val="0"/>
          <w:numId w:val="2"/>
        </w:numPr>
        <w:spacing w:after="70" w:line="268"/>
      </w:pPr>
      <w:r>
        <w:rPr>
          <w:rFonts w:ascii="Calibri" w:cs="Calibri" w:eastAsia="Calibri" w:hAnsi="Calibri"/>
          <w:b/>
          <w:bCs/>
          <w:sz w:val="21"/>
          <w:szCs w:val="21"/>
        </w:rPr>
        <w:t xml:space="preserve">Trazabilidad de la autoría.</w:t>
      </w:r>
      <w:r>
        <w:rPr>
          <w:rFonts w:ascii="Calibri" w:cs="Calibri" w:eastAsia="Calibri" w:hAnsi="Calibri"/>
          <w:sz w:val="21"/>
          <w:szCs w:val="21"/>
        </w:rPr>
        <w:t xml:space="preserve"> Cuando una previsión del catálogo se refiera a una tecnología en la que un interviniente tenga interés declarado, se hará constar en el expediente quién la propuso.</w:t>
      </w:r>
    </w:p>
    <w:p>
      <w:pPr>
        <w:pStyle w:val="ListParagraph"/>
        <w:numPr>
          <w:ilvl w:val="0"/>
          <w:numId w:val="2"/>
        </w:numPr>
        <w:spacing w:after="70" w:line="268"/>
      </w:pPr>
      <w:r>
        <w:rPr>
          <w:rFonts w:ascii="Calibri" w:cs="Calibri" w:eastAsia="Calibri" w:hAnsi="Calibri"/>
          <w:b/>
          <w:bCs/>
          <w:sz w:val="21"/>
          <w:szCs w:val="21"/>
        </w:rPr>
        <w:t xml:space="preserve">Revisión previa por los órganos de control con el conflicto ya sobre la mesa</w:t>
      </w:r>
      <w:r>
        <w:rPr>
          <w:rFonts w:ascii="Calibri" w:cs="Calibri" w:eastAsia="Calibri" w:hAnsi="Calibri"/>
          <w:sz w:val="21"/>
          <w:szCs w:val="21"/>
        </w:rPr>
        <w:t xml:space="preserve">: informe jurídico y nota de fiscalización se emiten conociendo esta declaración, no después.</w:t>
      </w:r>
    </w:p>
    <w:p>
      <w:pPr>
        <w:pStyle w:val="ListParagraph"/>
        <w:numPr>
          <w:ilvl w:val="0"/>
          <w:numId w:val="2"/>
        </w:numPr>
        <w:spacing w:after="70" w:line="268"/>
      </w:pPr>
      <w:r>
        <w:rPr>
          <w:rFonts w:ascii="Calibri" w:cs="Calibri" w:eastAsia="Calibri" w:hAnsi="Calibri"/>
          <w:b/>
          <w:bCs/>
          <w:sz w:val="21"/>
          <w:szCs w:val="21"/>
        </w:rPr>
        <w:t xml:space="preserve">Regla de reutilización.</w:t>
      </w:r>
      <w:r>
        <w:rPr>
          <w:rFonts w:ascii="Calibri" w:cs="Calibri" w:eastAsia="Calibri" w:hAnsi="Calibri"/>
          <w:sz w:val="21"/>
          <w:szCs w:val="21"/>
        </w:rPr>
        <w:t xml:space="preserve"> Cualquier administración que copie este catálogo debe repetir la declaración con sus propios intervinientes. Copiar el documento sin repetir la declaración no traslada la protección: traslada el riesgo.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M8 · Estado de la doctrina, con fecha de corte</w:t>
      </w:r>
    </w:p>
    <w:p>
      <w:pPr>
        <w:pStyle w:val="Heading3"/>
        <w:keepNext/>
        <w:spacing w:after="140" w:before="320"/>
      </w:pPr>
      <w:r>
        <w:rPr>
          <w:rFonts w:ascii="Georgia" w:cs="Georgia" w:eastAsia="Georgia" w:hAnsi="Georgia"/>
          <w:b/>
          <w:bCs/>
          <w:color w:val="2F5496"/>
          <w:sz w:val="22"/>
          <w:szCs w:val="22"/>
        </w:rPr>
        <w:t xml:space="preserve">M8.1 · Lo que no existe</w:t>
      </w:r>
    </w:p>
    <w:p>
      <w:pPr>
        <w:spacing w:after="140" w:line="276"/>
      </w:pPr>
      <w:r>
        <w:rPr>
          <w:rFonts w:ascii="Calibri" w:cs="Calibri" w:eastAsia="Calibri" w:hAnsi="Calibri"/>
          <w:b/>
          <w:bCs/>
          <w:sz w:val="21"/>
          <w:szCs w:val="21"/>
        </w:rPr>
        <w:t xml:space="preserve">A fecha de 1 de septiembre de 2026, y tras búsqueda dirigida en los repositorios de resoluciones del Tribunal Administrativo Central de Recursos Contractuales, del Tribunal Administrativo de Contratación Pública de la Comunidad de Madrid, del Órgano Administrativo de Recursos Contractuales de Euskadi y en los informes publicados de las juntas consultivas de contratación, no consta doctrina sobre:</w:t>
      </w:r>
    </w:p>
    <w:p>
      <w:pPr>
        <w:pStyle w:val="ListParagraph"/>
        <w:numPr>
          <w:ilvl w:val="0"/>
          <w:numId w:val="1"/>
        </w:numPr>
        <w:spacing w:after="70" w:line="268"/>
      </w:pPr>
      <w:r>
        <w:rPr>
          <w:rFonts w:ascii="Calibri" w:cs="Calibri" w:eastAsia="Calibri" w:hAnsi="Calibri"/>
          <w:sz w:val="21"/>
          <w:szCs w:val="21"/>
        </w:rPr>
        <w:t xml:space="preserve">condiciones especiales de ejecución de contenido tecnológico-evolutivo (actualización de versiones, anti-obsolescencia, evolución tecnológica comprometida);</w:t>
      </w:r>
    </w:p>
    <w:p>
      <w:pPr>
        <w:pStyle w:val="ListParagraph"/>
        <w:numPr>
          <w:ilvl w:val="0"/>
          <w:numId w:val="1"/>
        </w:numPr>
        <w:spacing w:after="70" w:line="268"/>
      </w:pPr>
      <w:r>
        <w:rPr>
          <w:rFonts w:ascii="Calibri" w:cs="Calibri" w:eastAsia="Calibri" w:hAnsi="Calibri"/>
          <w:sz w:val="21"/>
          <w:szCs w:val="21"/>
        </w:rPr>
        <w:t xml:space="preserve">interfaces de acceso programático para agentes de inteligencia artificial, ni sobre el protocolo concreto que hoy es referencia de mercado en esa materia;</w:t>
      </w:r>
    </w:p>
    <w:p>
      <w:pPr>
        <w:pStyle w:val="ListParagraph"/>
        <w:numPr>
          <w:ilvl w:val="0"/>
          <w:numId w:val="1"/>
        </w:numPr>
        <w:spacing w:after="70" w:line="268"/>
      </w:pPr>
      <w:r>
        <w:rPr>
          <w:rFonts w:ascii="Calibri" w:cs="Calibri" w:eastAsia="Calibri" w:hAnsi="Calibri"/>
          <w:sz w:val="21"/>
          <w:szCs w:val="21"/>
        </w:rPr>
        <w:t xml:space="preserve">normas de sistemas de gestión de inteligencia artificial empleadas como criterio de adjudicación;</w:t>
      </w:r>
    </w:p>
    <w:p>
      <w:pPr>
        <w:pStyle w:val="ListParagraph"/>
        <w:numPr>
          <w:ilvl w:val="0"/>
          <w:numId w:val="1"/>
        </w:numPr>
        <w:spacing w:after="70" w:line="268"/>
      </w:pPr>
      <w:r>
        <w:rPr>
          <w:rFonts w:ascii="Calibri" w:cs="Calibri" w:eastAsia="Calibri" w:hAnsi="Calibri"/>
          <w:sz w:val="21"/>
          <w:szCs w:val="21"/>
        </w:rPr>
        <w:t xml:space="preserve">demostraciones funcionales de software en el seno de un procedimiento de licitación;</w:t>
      </w:r>
    </w:p>
    <w:p>
      <w:pPr>
        <w:pStyle w:val="ListParagraph"/>
        <w:numPr>
          <w:ilvl w:val="0"/>
          <w:numId w:val="1"/>
        </w:numPr>
        <w:spacing w:after="70" w:line="268"/>
      </w:pPr>
      <w:r>
        <w:rPr>
          <w:rFonts w:ascii="Calibri" w:cs="Calibri" w:eastAsia="Calibri" w:hAnsi="Calibri"/>
          <w:sz w:val="21"/>
          <w:szCs w:val="21"/>
        </w:rPr>
        <w:t xml:space="preserve">depósito de código fuente ante tercero como condición contractual;</w:t>
      </w:r>
    </w:p>
    <w:p>
      <w:pPr>
        <w:pStyle w:val="ListParagraph"/>
        <w:numPr>
          <w:ilvl w:val="0"/>
          <w:numId w:val="1"/>
        </w:numPr>
        <w:spacing w:after="70" w:line="268"/>
      </w:pPr>
      <w:r>
        <w:rPr>
          <w:rFonts w:ascii="Calibri" w:cs="Calibri" w:eastAsia="Calibri" w:hAnsi="Calibri"/>
          <w:sz w:val="21"/>
          <w:szCs w:val="21"/>
        </w:rPr>
        <w:t xml:space="preserve">infraestructuras de servicios de confianza nominadas en pliegos.</w:t>
      </w:r>
    </w:p>
    <w:p>
      <w:pPr>
        <w:spacing w:after="140" w:line="276"/>
      </w:pPr>
      <w:r>
        <w:rPr>
          <w:rFonts w:ascii="Calibri" w:cs="Calibri" w:eastAsia="Calibri" w:hAnsi="Calibri"/>
          <w:b/>
          <w:bCs/>
          <w:sz w:val="21"/>
          <w:szCs w:val="21"/>
        </w:rPr>
        <w:t xml:space="preserve">Cautela sobre esta afirmación.</w:t>
      </w:r>
      <w:r>
        <w:rPr>
          <w:rFonts w:ascii="Calibri" w:cs="Calibri" w:eastAsia="Calibri" w:hAnsi="Calibri"/>
          <w:sz w:val="21"/>
          <w:szCs w:val="21"/>
        </w:rPr>
        <w:t xml:space="preserve"> Es una afirmación negativa y no es demostrable de forma exhaustiva. Lo que se afirma es lo que se ha hecho: la búsqueda descrita, con la fecha indicada, sin resultados. No se afirma que la doctrina no exista en ningún repositorio.</w:t>
      </w:r>
    </w:p>
    <w:p>
      <w:pPr>
        <w:pStyle w:val="Heading3"/>
        <w:keepNext/>
        <w:spacing w:after="140" w:before="320"/>
      </w:pPr>
      <w:r>
        <w:rPr>
          <w:rFonts w:ascii="Georgia" w:cs="Georgia" w:eastAsia="Georgia" w:hAnsi="Georgia"/>
          <w:b/>
          <w:bCs/>
          <w:color w:val="2F5496"/>
          <w:sz w:val="22"/>
          <w:szCs w:val="22"/>
        </w:rPr>
        <w:t xml:space="preserve">M8.2 · Lo que sí se cita, y con qué valor</w:t>
      </w:r>
    </w:p>
    <w:p>
      <w:pPr>
        <w:spacing w:after="140" w:line="276"/>
      </w:pPr>
      <w:r>
        <w:rPr>
          <w:rFonts w:ascii="Calibri" w:cs="Calibri" w:eastAsia="Calibri" w:hAnsi="Calibri"/>
          <w:sz w:val="21"/>
          <w:szCs w:val="21"/>
        </w:rPr>
        <w:t xml:space="preserve">Esta tabla recoge </w:t>
      </w:r>
      <w:r>
        <w:rPr>
          <w:rFonts w:ascii="Calibri" w:cs="Calibri" w:eastAsia="Calibri" w:hAnsi="Calibri"/>
          <w:b/>
          <w:bCs/>
          <w:sz w:val="21"/>
          <w:szCs w:val="21"/>
        </w:rPr>
        <w:t xml:space="preserve">todas</w:t>
      </w:r>
      <w:r>
        <w:rPr>
          <w:rFonts w:ascii="Calibri" w:cs="Calibri" w:eastAsia="Calibri" w:hAnsi="Calibri"/>
          <w:sz w:val="21"/>
          <w:szCs w:val="21"/>
        </w:rPr>
        <w:t xml:space="preserve"> las resoluciones, acuerdos, informes y sentencias citados en el catálogo, con el valor que se atribuye a cada uno. Salvo la Resolución 383/2024 del TACP de Madrid —precedente directo, del tribunal competente y sobre el supuesto exacto de DT-6·v3—, </w:t>
      </w:r>
      <w:r>
        <w:rPr>
          <w:rFonts w:ascii="Calibri" w:cs="Calibri" w:eastAsia="Calibri" w:hAnsi="Calibri"/>
          <w:b/>
          <w:bCs/>
          <w:sz w:val="21"/>
          <w:szCs w:val="21"/>
        </w:rPr>
        <w:t xml:space="preserve">todos se citan como doctrina general trasladada por analogía</w:t>
      </w:r>
      <w:r>
        <w:rPr>
          <w:rFonts w:ascii="Calibri" w:cs="Calibri" w:eastAsia="Calibri" w:hAnsi="Calibri"/>
          <w:sz w:val="21"/>
          <w:szCs w:val="21"/>
        </w:rPr>
        <w:t xml:space="preserve">, y así se dice en cada cita. Ninguno versa sobre cláusulas de inteligencia artificial. El catálogo no se ampara en precedente favorable, porque no lo hay; y tampoco tiene precedente contrario que temer. Cuando una cita se toma de la reproducción hecha por otra resolución, se dice; y cuando una resolución es desestimatoria, se dice también, porque una desestimatoria no avala nada: sólo deja las cosas como estaban.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Resolución, acuerdo, informe o sentencia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aporta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Valor</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TACP Madrid 383/2024</w:t>
            </w:r>
            <w:r>
              <w:rPr>
                <w:rFonts w:ascii="Calibri" w:cs="Calibri" w:eastAsia="Calibri" w:hAnsi="Calibri"/>
                <w:b w:val="false"/>
                <w:bCs w:val="false"/>
                <w:sz w:val="18"/>
                <w:szCs w:val="18"/>
              </w:rPr>
              <w:t xml:space="preserve">, de 03/10/2024, expte. y rec. 383/2024 (TEVA c. pliegos del Ayto. de Parla; </w:t>
            </w:r>
            <w:r>
              <w:rPr>
                <w:rFonts w:ascii="Calibri" w:cs="Calibri" w:eastAsia="Calibri" w:hAnsi="Calibri"/>
                <w:b/>
                <w:bCs/>
                <w:sz w:val="18"/>
                <w:szCs w:val="18"/>
              </w:rPr>
              <w:t xml:space="preserve">estimatoria</w:t>
            </w:r>
            <w:r>
              <w:rPr>
                <w:rFonts w:ascii="Calibri" w:cs="Calibri" w:eastAsia="Calibri" w:hAnsi="Calibri"/>
                <w:b w:val="false"/>
                <w:bCs w:val="false"/>
                <w:sz w:val="18"/>
                <w:szCs w:val="18"/>
              </w:rPr>
              <w:t xml:space="preserve">; la anulación de los pliegos consta en el FD Quinto)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justificación de una exigencia técnica debe estar en la memoria justificativa del expediente, sin que sea admisible la justificación en sede de recurso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Precedente directo</w:t>
            </w:r>
            <w:r>
              <w:rPr>
                <w:rFonts w:ascii="Calibri" w:cs="Calibri" w:eastAsia="Calibri" w:hAnsi="Calibri"/>
                <w:b w:val="false"/>
                <w:bCs w:val="false"/>
                <w:sz w:val="18"/>
                <w:szCs w:val="18"/>
              </w:rPr>
              <w:t xml:space="preserve">: mismo tribunal competente, mismo supuesto (exigencia de conformidad ENS de nivel alto), mismo tipo de entidad</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TACP Madrid 535/2025</w:t>
            </w:r>
            <w:r>
              <w:rPr>
                <w:rFonts w:ascii="Calibri" w:cs="Calibri" w:eastAsia="Calibri" w:hAnsi="Calibri"/>
                <w:b w:val="false"/>
                <w:bCs w:val="false"/>
                <w:sz w:val="18"/>
                <w:szCs w:val="18"/>
              </w:rPr>
              <w:t xml:space="preserve">, de 18/12/2025, rec. 526/2025 (SOPRA STERIA c. Agencia de Ciberseguridad de la Comunidad de Madrid; </w:t>
            </w:r>
            <w:r>
              <w:rPr>
                <w:rFonts w:ascii="Calibri" w:cs="Calibri" w:eastAsia="Calibri" w:hAnsi="Calibri"/>
                <w:b/>
                <w:bCs/>
                <w:sz w:val="18"/>
                <w:szCs w:val="18"/>
              </w:rPr>
              <w:t xml:space="preserve">desestimatoria</w:t>
            </w:r>
            <w:r>
              <w:rPr>
                <w:rFonts w:ascii="Calibri" w:cs="Calibri" w:eastAsia="Calibri" w:hAnsi="Calibri"/>
                <w:b w:val="false"/>
                <w:bCs w:val="false"/>
                <w:sz w:val="18"/>
                <w:szCs w:val="18"/>
              </w:rPr>
              <w:t xml:space="preserve">, por discrecionalidad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Que la carga de acreditar la equivalencia recae sobre el licitador y que su apreciación corresponde al órgano de contratación. La definición de equivalencia en tres condiciones acumulativas que reproduce procede del pliego de un sistema dinámico de adquisición autonómico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Cláusula de un pliego autonómico, aplicada y no impugnada. </w:t>
            </w:r>
            <w:r>
              <w:rPr>
                <w:rFonts w:ascii="Calibri" w:cs="Calibri" w:eastAsia="Calibri" w:hAnsi="Calibri"/>
                <w:b/>
                <w:bCs/>
                <w:sz w:val="18"/>
                <w:szCs w:val="18"/>
              </w:rPr>
              <w:t xml:space="preserve">No es convalidación de nuestra redacción</w:t>
            </w:r>
            <w:r>
              <w:rPr>
                <w:rFonts w:ascii="Calibri" w:cs="Calibri" w:eastAsia="Calibri" w:hAnsi="Calibri"/>
                <w:b w:val="false"/>
                <w:bCs w:val="false"/>
                <w:sz w:val="18"/>
                <w:szCs w:val="18"/>
              </w:rPr>
              <w:t xml:space="preserve">, y no puede citarse como tal</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TACP Madrid 007/2024</w:t>
            </w:r>
            <w:r>
              <w:rPr>
                <w:rFonts w:ascii="Calibri" w:cs="Calibri" w:eastAsia="Calibri" w:hAnsi="Calibri"/>
                <w:b w:val="false"/>
                <w:bCs w:val="false"/>
                <w:sz w:val="18"/>
                <w:szCs w:val="18"/>
              </w:rPr>
              <w:t xml:space="preserve">, de 11/01/2024, expte. 451/2023 (CIVAGEN, S.A. c. pliegos del Hospital Universitario Severo Ochoa; </w:t>
            </w:r>
            <w:r>
              <w:rPr>
                <w:rFonts w:ascii="Calibri" w:cs="Calibri" w:eastAsia="Calibri" w:hAnsi="Calibri"/>
                <w:b/>
                <w:bCs/>
                <w:sz w:val="18"/>
                <w:szCs w:val="18"/>
              </w:rPr>
              <w:t xml:space="preserve">desestimatoria</w:t>
            </w:r>
            <w:r>
              <w:rPr>
                <w:rFonts w:ascii="Calibri" w:cs="Calibri" w:eastAsia="Calibri" w:hAnsi="Calibri"/>
                <w:b w:val="false"/>
                <w:bCs w:val="false"/>
                <w:sz w:val="18"/>
                <w:szCs w:val="18"/>
              </w:rPr>
              <w:t xml:space="preserve">). Enlace: &lt;https://www.comunidad.madrid/tacp/sites/default/files/expte_451-2023_resolucion_web.pdf&gt;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mayor o menor apertura de los contratos públicos a la competencia no supone, en todo caso, una infracción de los principios de libre concurrencia y de igualdad de trato cuando la supuesta menor apertura encuentra su fundamento en las necesidades o fines a satisfacer […] y dichas necesidades están además debidamente justificadas en el expediente»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Cita de segunda mano</w:t>
            </w:r>
            <w:r>
              <w:rPr>
                <w:rFonts w:ascii="Calibri" w:cs="Calibri" w:eastAsia="Calibri" w:hAnsi="Calibri"/>
                <w:b w:val="false"/>
                <w:bCs w:val="false"/>
                <w:sz w:val="18"/>
                <w:szCs w:val="18"/>
              </w:rPr>
              <w:t xml:space="preserve">: la proposición no es del TACP de Madrid, que la transcribe de su propia Resolución 091/2023, de 2 de marzo, la cual a su vez la toma del Tribunal Administrativo de Contratos Públicos de Canarias, Res. 128/2020. Doctrina general por analogía. Es el reverso exacto de 383/2024</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TACP Madrid 92/2024</w:t>
            </w:r>
            <w:r>
              <w:rPr>
                <w:rFonts w:ascii="Calibri" w:cs="Calibri" w:eastAsia="Calibri" w:hAnsi="Calibri"/>
                <w:b w:val="false"/>
                <w:bCs w:val="false"/>
                <w:sz w:val="18"/>
                <w:szCs w:val="18"/>
              </w:rPr>
              <w:t xml:space="preserve">, de 07/03/2024, rec. 70/2024 (PALEX MEDICAL c. pliegos del Hospital Universitario de Fuenlabrada; </w:t>
            </w:r>
            <w:r>
              <w:rPr>
                <w:rFonts w:ascii="Calibri" w:cs="Calibri" w:eastAsia="Calibri" w:hAnsi="Calibri"/>
                <w:b/>
                <w:bCs/>
                <w:sz w:val="18"/>
                <w:szCs w:val="18"/>
              </w:rPr>
              <w:t xml:space="preserve">desestimatoria</w:t>
            </w: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estándar de prueba de la restricción de la concurrencia recae sobre el recurrente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Doctrina general por analogía. El propio Tribunal atribuye el criterio a resoluciones anteriores suyas («valga por todas la 273/2017»). Exime de probar lo imposible, no de motivar lo exigido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TACP Madrid 115/2025</w:t>
            </w:r>
            <w:r>
              <w:rPr>
                <w:rFonts w:ascii="Calibri" w:cs="Calibri" w:eastAsia="Calibri" w:hAnsi="Calibri"/>
                <w:b w:val="false"/>
                <w:bCs w:val="false"/>
                <w:sz w:val="18"/>
                <w:szCs w:val="18"/>
              </w:rPr>
              <w:t xml:space="preserve">, de 20/03/2025, rec. 080/2025 (</w:t>
            </w:r>
            <w:r>
              <w:rPr>
                <w:rFonts w:ascii="Calibri" w:cs="Calibri" w:eastAsia="Calibri" w:hAnsi="Calibri"/>
                <w:b/>
                <w:bCs/>
                <w:sz w:val="18"/>
                <w:szCs w:val="18"/>
              </w:rPr>
              <w:t xml:space="preserve">desestimatoria</w:t>
            </w: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recordatorio, tomado de la STS 813/2017, de que la discrecionalidad técnica «no ampara cualquier decisión que pretenda fundarse en ella»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contiene pronunciamiento que valide la prueba de un producto por el personal que va a utilizarlo</w:t>
            </w:r>
            <w:r>
              <w:rPr>
                <w:rFonts w:ascii="Calibri" w:cs="Calibri" w:eastAsia="Calibri" w:hAnsi="Calibri"/>
                <w:b w:val="false"/>
                <w:bCs w:val="false"/>
                <w:sz w:val="18"/>
                <w:szCs w:val="18"/>
              </w:rPr>
              <w:t xml:space="preserve">: esa consideración figura en las alegaciones del órgano de contratación, no en el razonamiento del Tribunal, que resuelve por discrecionalidad técnica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TACRC 1111/2022 (Pleno)</w:t>
            </w:r>
            <w:r>
              <w:rPr>
                <w:rFonts w:ascii="Calibri" w:cs="Calibri" w:eastAsia="Calibri" w:hAnsi="Calibri"/>
                <w:b w:val="false"/>
                <w:bCs w:val="false"/>
                <w:sz w:val="18"/>
                <w:szCs w:val="18"/>
              </w:rPr>
              <w:t xml:space="preserve">, de 27/09/2022, rec. 842/2022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Compatibilidad de penalidad, resolución potestativa e indemnización; y estándar de precisión de las condiciones especiales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Doctrina general por analogía. Las condiciones impugnadas eran de contenido </w:t>
            </w:r>
            <w:r>
              <w:rPr>
                <w:rFonts w:ascii="Calibri" w:cs="Calibri" w:eastAsia="Calibri" w:hAnsi="Calibri"/>
                <w:b/>
                <w:bCs/>
                <w:sz w:val="18"/>
                <w:szCs w:val="18"/>
              </w:rPr>
              <w:t xml:space="preserve">no tecnológico</w:t>
            </w:r>
            <w:r>
              <w:rPr>
                <w:rFonts w:ascii="Calibri" w:cs="Calibri" w:eastAsia="Calibri" w:hAnsi="Calibri"/>
                <w:b w:val="false"/>
                <w:bCs w:val="false"/>
                <w:sz w:val="18"/>
                <w:szCs w:val="18"/>
              </w:rPr>
              <w:t xml:space="preserve"> (prohibición de contratar e integridad en la ejecución)</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TACRC 1113/2022</w:t>
            </w:r>
            <w:r>
              <w:rPr>
                <w:rFonts w:ascii="Calibri" w:cs="Calibri" w:eastAsia="Calibri" w:hAnsi="Calibri"/>
                <w:b w:val="false"/>
                <w:bCs w:val="false"/>
                <w:sz w:val="18"/>
                <w:szCs w:val="18"/>
              </w:rPr>
              <w:t xml:space="preserve">, de 27/09/2022, rec. 998/2022 (ADIF Alta Velocidad)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Las obligaciones genéricas o imprecisas no pueden ser obligaciones contractuales, y menos aún esenciales con efecto resolutorio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Doctrina general por analogía, </w:t>
            </w:r>
            <w:r>
              <w:rPr>
                <w:rFonts w:ascii="Calibri" w:cs="Calibri" w:eastAsia="Calibri" w:hAnsi="Calibri"/>
                <w:b/>
                <w:bCs/>
                <w:sz w:val="18"/>
                <w:szCs w:val="18"/>
              </w:rPr>
              <w:t xml:space="preserve">y con traslación de régimen</w:t>
            </w:r>
            <w:r>
              <w:rPr>
                <w:rFonts w:ascii="Calibri" w:cs="Calibri" w:eastAsia="Calibri" w:hAnsi="Calibri"/>
                <w:b w:val="false"/>
                <w:bCs w:val="false"/>
                <w:sz w:val="18"/>
                <w:szCs w:val="18"/>
              </w:rPr>
              <w:t xml:space="preserve">: es una reclamación en sectores excluidos resuelta bajo el Real Decreto-ley 3/2020</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TACRC 1287/2022</w:t>
            </w:r>
            <w:r>
              <w:rPr>
                <w:rFonts w:ascii="Calibri" w:cs="Calibri" w:eastAsia="Calibri" w:hAnsi="Calibri"/>
                <w:b w:val="false"/>
                <w:bCs w:val="false"/>
                <w:sz w:val="18"/>
                <w:szCs w:val="18"/>
              </w:rPr>
              <w:t xml:space="preserve">, de 20/10/2022, rec. 846/2022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falta de concreción de una CEE conduce por sí sola a su anulación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Doctrina general por analogía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TACRC 1071/2018</w:t>
            </w:r>
            <w:r>
              <w:rPr>
                <w:rFonts w:ascii="Calibri" w:cs="Calibri" w:eastAsia="Calibri" w:hAnsi="Calibri"/>
                <w:b w:val="false"/>
                <w:bCs w:val="false"/>
                <w:sz w:val="18"/>
                <w:szCs w:val="18"/>
              </w:rPr>
              <w:t xml:space="preserve">, de 23/11/2018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CEE «demasiado amplia y genérica» equivale a no haber establecido condición alguna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Doctrina general por analogía, </w:t>
            </w:r>
            <w:r>
              <w:rPr>
                <w:rFonts w:ascii="Calibri" w:cs="Calibri" w:eastAsia="Calibri" w:hAnsi="Calibri"/>
                <w:b/>
                <w:bCs/>
                <w:sz w:val="18"/>
                <w:szCs w:val="18"/>
              </w:rPr>
              <w:t xml:space="preserve">tomada de su reproducción literal en la Res. 1111/2022</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TACRC 1727/2021</w:t>
            </w:r>
            <w:r>
              <w:rPr>
                <w:rFonts w:ascii="Calibri" w:cs="Calibri" w:eastAsia="Calibri" w:hAnsi="Calibri"/>
                <w:b w:val="false"/>
                <w:bCs w:val="false"/>
                <w:sz w:val="18"/>
                <w:szCs w:val="18"/>
              </w:rPr>
              <w:t xml:space="preserve">, de 02/12/2021, rec. 1372/2021 (Ayto. de Cofrentes)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Los certificados referidos a la actividad global de la empresa no son aptos como criterios de adjudicación; el Tribunal declara la nulidad del pliego en ese punto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Doctrina general por analogía. Sostiene la primera de las tres separaciones de instrumentos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TACRC 786/2019</w:t>
            </w:r>
            <w:r>
              <w:rPr>
                <w:rFonts w:ascii="Calibri" w:cs="Calibri" w:eastAsia="Calibri" w:hAnsi="Calibri"/>
                <w:b w:val="false"/>
                <w:bCs w:val="false"/>
                <w:sz w:val="18"/>
                <w:szCs w:val="18"/>
              </w:rPr>
              <w:t xml:space="preserve">, de 11/07/2019, rec. 557/2019 (Ayto. de Sagunto)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Anula la cláusula del PCAP que puntuaba disponer de certificaciones de sistemas de gestión y de conformidad con el ENS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Doctrina general por analogía. Es la razón de que en este catálogo ninguna certificación se puntúe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TACRC 549/2020</w:t>
            </w:r>
            <w:r>
              <w:rPr>
                <w:rFonts w:ascii="Calibri" w:cs="Calibri" w:eastAsia="Calibri" w:hAnsi="Calibri"/>
                <w:b w:val="false"/>
                <w:bCs w:val="false"/>
                <w:sz w:val="18"/>
                <w:szCs w:val="18"/>
              </w:rPr>
              <w:t xml:space="preserve">, de 17/04/2020, rec. 323/2020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falta de motivación del vínculo entre un criterio y el objeto del contrato produce por sí sola su invalidez</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Doctrina general por analogía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TACRC 823/2019</w:t>
            </w:r>
            <w:r>
              <w:rPr>
                <w:rFonts w:ascii="Calibri" w:cs="Calibri" w:eastAsia="Calibri" w:hAnsi="Calibri"/>
                <w:b w:val="false"/>
                <w:bCs w:val="false"/>
                <w:sz w:val="18"/>
                <w:szCs w:val="18"/>
              </w:rPr>
              <w:t xml:space="preserve">, de 11/07/2019, recs. 565 y 568/2019 (COAC y CSCAE c. pliegos de AENA; </w:t>
            </w:r>
            <w:r>
              <w:rPr>
                <w:rFonts w:ascii="Calibri" w:cs="Calibri" w:eastAsia="Calibri" w:hAnsi="Calibri"/>
                <w:b/>
                <w:bCs/>
                <w:sz w:val="18"/>
                <w:szCs w:val="18"/>
              </w:rPr>
              <w:t xml:space="preserve">desestimatoria</w:t>
            </w: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cesión de derechos de propiedad intelectual es cláusula habitual y, en los contratos de servicios cuyo objeto es un producto protegido, obligada salvo pacto expreso en contrario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Doctrina general por analogía, </w:t>
            </w:r>
            <w:r>
              <w:rPr>
                <w:rFonts w:ascii="Calibri" w:cs="Calibri" w:eastAsia="Calibri" w:hAnsi="Calibri"/>
                <w:b/>
                <w:bCs/>
                <w:sz w:val="18"/>
                <w:szCs w:val="18"/>
              </w:rPr>
              <w:t xml:space="preserve">y con traslación de régimen</w:t>
            </w:r>
            <w:r>
              <w:rPr>
                <w:rFonts w:ascii="Calibri" w:cs="Calibri" w:eastAsia="Calibri" w:hAnsi="Calibri"/>
                <w:b w:val="false"/>
                <w:bCs w:val="false"/>
                <w:sz w:val="18"/>
                <w:szCs w:val="18"/>
              </w:rPr>
              <w:t xml:space="preserve">: se dicta bajo la Ley 31/2007 (LCSE), no bajo la LCSP</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TACRC 62/2023</w:t>
            </w:r>
            <w:r>
              <w:rPr>
                <w:rFonts w:ascii="Calibri" w:cs="Calibri" w:eastAsia="Calibri" w:hAnsi="Calibri"/>
                <w:b w:val="false"/>
                <w:bCs w:val="false"/>
                <w:sz w:val="18"/>
                <w:szCs w:val="18"/>
              </w:rPr>
              <w:t xml:space="preserve">, de 02/02/2023, rec. 1634/2022 C (Servei de Salut de les Illes Balears; </w:t>
            </w:r>
            <w:r>
              <w:rPr>
                <w:rFonts w:ascii="Calibri" w:cs="Calibri" w:eastAsia="Calibri" w:hAnsi="Calibri"/>
                <w:b/>
                <w:bCs/>
                <w:sz w:val="18"/>
                <w:szCs w:val="18"/>
              </w:rPr>
              <w:t xml:space="preserve">estimatoria</w:t>
            </w: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Único pronunciamiento localizado sobre demostraciones de producto: el vicio está en no especificar en los pliegos los motivos de su exigencia ni los efectos de la demostración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Doctrina general por analogía. </w:t>
            </w:r>
            <w:r>
              <w:rPr>
                <w:rFonts w:ascii="Calibri" w:cs="Calibri" w:eastAsia="Calibri" w:hAnsi="Calibri"/>
                <w:b/>
                <w:bCs/>
                <w:sz w:val="18"/>
                <w:szCs w:val="18"/>
              </w:rPr>
              <w:t xml:space="preserve">Se cita con la limitación expresa</w:t>
            </w:r>
            <w:r>
              <w:rPr>
                <w:rFonts w:ascii="Calibri" w:cs="Calibri" w:eastAsia="Calibri" w:hAnsi="Calibri"/>
                <w:b w:val="false"/>
                <w:bCs w:val="false"/>
                <w:sz w:val="18"/>
                <w:szCs w:val="18"/>
              </w:rPr>
              <w:t xml:space="preserve"> de que no se localizó el PDF oficial y sólo se dispone de reproducción secundaria (§M8.3)</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OARC/KEAO 160/2018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CEE se salva cuando el pliego, además del alcance, dice </w:t>
            </w:r>
            <w:r>
              <w:rPr>
                <w:rFonts w:ascii="Calibri" w:cs="Calibri" w:eastAsia="Calibri" w:hAnsi="Calibri"/>
                <w:b/>
                <w:bCs/>
                <w:sz w:val="18"/>
                <w:szCs w:val="18"/>
              </w:rPr>
              <w:t xml:space="preserve">cómo se acredita</w:t>
            </w:r>
            <w:r>
              <w:rPr>
                <w:rFonts w:ascii="Calibri" w:cs="Calibri" w:eastAsia="Calibri" w:hAnsi="Calibri"/>
                <w:b w:val="false"/>
                <w:bCs w:val="false"/>
                <w:sz w:val="18"/>
                <w:szCs w:val="18"/>
              </w:rPr>
              <w:t xml:space="preserve"> su cumplimiento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Doctrina general por analogía. Versa sobre una CEE de contenido medioambiental</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OARC/KEAO 181/2018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Exigir a todos los licitadores un desembolso material costoso no es medida proporcionada cuando existen medidas menos gravosas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Doctrina general por analogía. </w:t>
            </w:r>
            <w:r>
              <w:rPr>
                <w:rFonts w:ascii="Calibri" w:cs="Calibri" w:eastAsia="Calibri" w:hAnsi="Calibri"/>
                <w:b/>
                <w:bCs/>
                <w:sz w:val="18"/>
                <w:szCs w:val="18"/>
              </w:rPr>
              <w:t xml:space="preserve">Conocida únicamente a través del compendio oficial de doctrina 2018-2023 del propio órgano</w:t>
            </w:r>
            <w:r>
              <w:rPr>
                <w:rFonts w:ascii="Calibri" w:cs="Calibri" w:eastAsia="Calibri" w:hAnsi="Calibri"/>
                <w:b w:val="false"/>
                <w:bCs w:val="false"/>
                <w:sz w:val="18"/>
                <w:szCs w:val="18"/>
              </w:rPr>
              <w:t xml:space="preserve">: no consta el número de recurso ni la fecha, y se cita con esa limitación expresa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OARC/KEAO 069/2023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 que se muestra en una demostración forma parte de la oferta y no es subsanable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Igual limitación de fuente que la anterior</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TACPA, Acuerdo 76/2015</w:t>
            </w:r>
            <w:r>
              <w:rPr>
                <w:rFonts w:ascii="Calibri" w:cs="Calibri" w:eastAsia="Calibri" w:hAnsi="Calibri"/>
                <w:b w:val="false"/>
                <w:bCs w:val="false"/>
                <w:sz w:val="18"/>
                <w:szCs w:val="18"/>
              </w:rPr>
              <w:t xml:space="preserve">, de 20/07/2015, FD Tercero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Anula por ilegal la cláusula que hace al contratista asumir sin retribución adicional el impacto económico de una modificación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Doctrina general por analogía. Es la razón de que la evolución exigible esté determinada y fechada antes de licitar</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Servicio de Asesoramiento y Normalización de los Procedimientos de Contratación de la Junta de Comunidades de Castilla-La Mancha, consulta 019/2022</w:t>
            </w:r>
            <w:r>
              <w:rPr>
                <w:rFonts w:ascii="Calibri" w:cs="Calibri" w:eastAsia="Calibri" w:hAnsi="Calibri"/>
                <w:b w:val="false"/>
                <w:bCs w:val="false"/>
                <w:sz w:val="18"/>
                <w:szCs w:val="18"/>
              </w:rPr>
              <w:t xml:space="preserve"> (citada en otras fuentes como «JCCA Castilla-La Mancha»)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puede calificarse como esencial la CEE debidamente delimitada y configurada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Respuesta de asesoramiento </w:t>
            </w:r>
            <w:r>
              <w:rPr>
                <w:rFonts w:ascii="Calibri" w:cs="Calibri" w:eastAsia="Calibri" w:hAnsi="Calibri"/>
                <w:b/>
                <w:bCs/>
                <w:sz w:val="18"/>
                <w:szCs w:val="18"/>
              </w:rPr>
              <w:t xml:space="preserve">no vinculante por declaración propia</w:t>
            </w:r>
            <w:r>
              <w:rPr>
                <w:rFonts w:ascii="Calibri" w:cs="Calibri" w:eastAsia="Calibri" w:hAnsi="Calibri"/>
                <w:b w:val="false"/>
                <w:bCs w:val="false"/>
                <w:sz w:val="18"/>
                <w:szCs w:val="18"/>
              </w:rPr>
              <w:t xml:space="preserve">, y </w:t>
            </w:r>
            <w:r>
              <w:rPr>
                <w:rFonts w:ascii="Calibri" w:cs="Calibri" w:eastAsia="Calibri" w:hAnsi="Calibri"/>
                <w:b/>
                <w:bCs/>
                <w:sz w:val="18"/>
                <w:szCs w:val="18"/>
              </w:rPr>
              <w:t xml:space="preserve">cita de segunda mano</w:t>
            </w:r>
            <w:r>
              <w:rPr>
                <w:rFonts w:ascii="Calibri" w:cs="Calibri" w:eastAsia="Calibri" w:hAnsi="Calibri"/>
                <w:b w:val="false"/>
                <w:bCs w:val="false"/>
                <w:sz w:val="18"/>
                <w:szCs w:val="18"/>
              </w:rPr>
              <w:t xml:space="preserve">: la consulta entrecomilla la frase como cita de una resolución del TACRC que no identifica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JCCPE, Informes 1/2020 y 12/2021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Concepto de CEE y límites de la libertad para calificar obligaciones como esenciales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citan </w:t>
            </w:r>
            <w:r>
              <w:rPr>
                <w:rFonts w:ascii="Calibri" w:cs="Calibri" w:eastAsia="Calibri" w:hAnsi="Calibri"/>
                <w:b/>
                <w:bCs/>
                <w:sz w:val="18"/>
                <w:szCs w:val="18"/>
              </w:rPr>
              <w:t xml:space="preserve">según su reproducción literal</w:t>
            </w:r>
            <w:r>
              <w:rPr>
                <w:rFonts w:ascii="Calibri" w:cs="Calibri" w:eastAsia="Calibri" w:hAnsi="Calibri"/>
                <w:b w:val="false"/>
                <w:bCs w:val="false"/>
                <w:sz w:val="18"/>
                <w:szCs w:val="18"/>
              </w:rPr>
              <w:t xml:space="preserve"> en las resoluciones del TACRC anteriores, y así debe decirse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JCCPE, expediente 58/18</w:t>
            </w:r>
            <w:r>
              <w:rPr>
                <w:rFonts w:ascii="Calibri" w:cs="Calibri" w:eastAsia="Calibri" w:hAnsi="Calibri"/>
                <w:b w:val="false"/>
                <w:bCs w:val="false"/>
                <w:sz w:val="18"/>
                <w:szCs w:val="18"/>
              </w:rPr>
              <w:t xml:space="preserve"> (interpretación del art. 9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adquisición de programas de ordenador es contrato de suministro, salvo programas confeccionados a medida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Criterio consultivo, por analogía. Delimita el ámbito de ADM-8·v3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r>
              <w:rPr>
                <w:rFonts w:ascii="Calibri" w:cs="Calibri" w:eastAsia="Calibri" w:hAnsi="Calibri"/>
                <w:b w:val="false"/>
                <w:bCs w:val="false"/>
                <w:i/>
                <w:iCs/>
                <w:sz w:val="18"/>
                <w:szCs w:val="18"/>
              </w:rPr>
              <w:t xml:space="preserve">STJUE 16/01/2025, C-424/23, </w:t>
            </w:r>
            <w:r>
              <w:rPr>
                <w:rFonts w:ascii="Calibri" w:cs="Calibri" w:eastAsia="Calibri" w:hAnsi="Calibri"/>
                <w:b w:val="false"/>
                <w:bCs w:val="false"/>
                <w:sz w:val="18"/>
                <w:szCs w:val="18"/>
              </w:rPr>
              <w:t xml:space="preserve">DYKA Plastics</w:t>
            </w:r>
            <w:r>
              <w:rPr>
                <w:rFonts w:ascii="Calibri" w:cs="Calibri" w:eastAsia="Calibri" w:hAnsi="Calibri"/>
                <w:b w:val="false"/>
                <w:bCs w:val="false"/>
                <w:i/>
                <w:iCs/>
                <w:sz w:val="18"/>
                <w:szCs w:val="18"/>
              </w:rPr>
              <w:t xml:space="preserve">, ap. 61</w:t>
            </w: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Fuera de los casos en que el material resulta inevitablemente del objeto, no cabe exigir un material determinado sin la mención «o equivalente»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Interpretación del Tribunal de Justicia, invocada en la Parte I §7.2 y en DT-0·v3</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STJUE 12/07/2018, C-14/17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poder adjudicador debe exigir que la prueba de la equivalencia se aporte </w:t>
            </w:r>
            <w:r>
              <w:rPr>
                <w:rFonts w:ascii="Calibri" w:cs="Calibri" w:eastAsia="Calibri" w:hAnsi="Calibri"/>
                <w:b/>
                <w:bCs/>
                <w:sz w:val="18"/>
                <w:szCs w:val="18"/>
              </w:rPr>
              <w:t xml:space="preserve">ya en la oferta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Interpreta el art. 34.8 de la Directiva 2004/17, hoy derogada, y se emplea aquí para fundar una obligación del art. 126.6 LCSP: la traslación es también de régimen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r>
              <w:rPr>
                <w:rFonts w:ascii="Calibri" w:cs="Calibri" w:eastAsia="Calibri" w:hAnsi="Calibri"/>
                <w:b w:val="false"/>
                <w:bCs w:val="false"/>
                <w:i/>
                <w:iCs/>
                <w:sz w:val="18"/>
                <w:szCs w:val="18"/>
              </w:rPr>
              <w:t xml:space="preserve">STJUE 24/01/2008, C-532/06, </w:t>
            </w:r>
            <w:r>
              <w:rPr>
                <w:rFonts w:ascii="Calibri" w:cs="Calibri" w:eastAsia="Calibri" w:hAnsi="Calibri"/>
                <w:b w:val="false"/>
                <w:bCs w:val="false"/>
                <w:sz w:val="18"/>
                <w:szCs w:val="18"/>
              </w:rPr>
              <w:t xml:space="preserve">Lianakis</w:t>
            </w:r>
            <w:r>
              <w:rPr>
                <w:rFonts w:ascii="Calibri" w:cs="Calibri" w:eastAsia="Calibri" w:hAnsi="Calibri"/>
                <w:b w:val="false"/>
                <w:bCs w:val="false"/>
                <w:i/>
                <w:iCs/>
                <w:sz w:val="18"/>
                <w:szCs w:val="18"/>
              </w:rPr>
              <w:t xml:space="preserve">, aps. 30-31</w:t>
            </w: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Los criterios que versan sobre la aptitud del licitador no son criterios de adjudicación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fallo formal versa sobre la fijación </w:t>
            </w:r>
            <w:r>
              <w:rPr>
                <w:rFonts w:ascii="Calibri" w:cs="Calibri" w:eastAsia="Calibri" w:hAnsi="Calibri"/>
                <w:b w:val="false"/>
                <w:bCs w:val="false"/>
                <w:i/>
                <w:iCs/>
                <w:sz w:val="18"/>
                <w:szCs w:val="18"/>
              </w:rPr>
              <w:t xml:space="preserve">a posteriori</w:t>
            </w:r>
            <w:r>
              <w:rPr>
                <w:rFonts w:ascii="Calibri" w:cs="Calibri" w:eastAsia="Calibri" w:hAnsi="Calibri"/>
                <w:b w:val="false"/>
                <w:bCs w:val="false"/>
                <w:sz w:val="18"/>
                <w:szCs w:val="18"/>
              </w:rPr>
              <w:t xml:space="preserve"> de subcriterios: lo que se traslada es la </w:t>
            </w:r>
            <w:r>
              <w:rPr>
                <w:rFonts w:ascii="Calibri" w:cs="Calibri" w:eastAsia="Calibri" w:hAnsi="Calibri"/>
                <w:b w:val="false"/>
                <w:bCs w:val="false"/>
                <w:i/>
                <w:iCs/>
                <w:sz w:val="18"/>
                <w:szCs w:val="18"/>
              </w:rPr>
              <w:t xml:space="preserve">ratio</w:t>
            </w:r>
            <w:r>
              <w:rPr>
                <w:rFonts w:ascii="Calibri" w:cs="Calibri" w:eastAsia="Calibri" w:hAnsi="Calibri"/>
                <w:b w:val="false"/>
                <w:bCs w:val="false"/>
                <w:sz w:val="18"/>
                <w:szCs w:val="18"/>
              </w:rPr>
              <w:t xml:space="preserve"> de esos apartados, no el fallo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r>
              <w:rPr>
                <w:rFonts w:ascii="Calibri" w:cs="Calibri" w:eastAsia="Calibri" w:hAnsi="Calibri"/>
                <w:b w:val="false"/>
                <w:bCs w:val="false"/>
                <w:i/>
                <w:iCs/>
                <w:sz w:val="18"/>
                <w:szCs w:val="18"/>
              </w:rPr>
              <w:t xml:space="preserve">STJUE 26/03/2015, C-601/13, </w:t>
            </w:r>
            <w:r>
              <w:rPr>
                <w:rFonts w:ascii="Calibri" w:cs="Calibri" w:eastAsia="Calibri" w:hAnsi="Calibri"/>
                <w:b w:val="false"/>
                <w:bCs w:val="false"/>
                <w:sz w:val="18"/>
                <w:szCs w:val="18"/>
              </w:rPr>
              <w:t xml:space="preserve">Ambisig***</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cabe valorar el equipo concreto propuesto para ejecutar 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Matización de </w:t>
            </w:r>
            <w:r>
              <w:rPr>
                <w:rFonts w:ascii="Calibri" w:cs="Calibri" w:eastAsia="Calibri" w:hAnsi="Calibri"/>
                <w:b w:val="false"/>
                <w:bCs w:val="false"/>
                <w:i/>
                <w:iCs/>
                <w:sz w:val="18"/>
                <w:szCs w:val="18"/>
              </w:rPr>
              <w:t xml:space="preserve">Lianakis</w:t>
            </w:r>
            <w:r>
              <w:rPr>
                <w:rFonts w:ascii="Calibri" w:cs="Calibri" w:eastAsia="Calibri" w:hAnsi="Calibri"/>
                <w:b w:val="false"/>
                <w:bCs w:val="false"/>
                <w:sz w:val="18"/>
                <w:szCs w:val="18"/>
              </w:rPr>
              <w:t xml:space="preserve">, y fundamento de que se valore el equipo y no la empresa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STC 68/2021</w:t>
            </w:r>
            <w:r>
              <w:rPr>
                <w:rFonts w:ascii="Calibri" w:cs="Calibri" w:eastAsia="Calibri" w:hAnsi="Calibri"/>
                <w:b w:val="false"/>
                <w:bCs w:val="false"/>
                <w:sz w:val="18"/>
                <w:szCs w:val="18"/>
              </w:rPr>
              <w:t xml:space="preserve">, de 18/03/2021, rec. de inconstitucionalidad 4261-2018 (BOE-A-2021-6614)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 inconstitucional y nulo el párrafo segundo del art. 46.4 LCSP —de modo que no existe regla estatal supletoria sobre el órgano competente para resolver el recurso especial—, declara no conformes con el orden constitucional de competencias determinados incisos del art. 52.3 e interpreta el art. 58.2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es doctrina por analogía, sino declaración de inconstitucionalidad directamente aplicable.</w:t>
            </w:r>
            <w:r>
              <w:rPr>
                <w:rFonts w:ascii="Calibri" w:cs="Calibri" w:eastAsia="Calibri" w:hAnsi="Calibri"/>
                <w:b w:val="false"/>
                <w:bCs w:val="false"/>
                <w:sz w:val="18"/>
                <w:szCs w:val="18"/>
              </w:rPr>
              <w:t xml:space="preserve"> Sostiene la cautela de reutilización de la Parte V, V.5.4: quien copie este documento debe identificar su propio órgano competente</w:t>
            </w:r>
          </w:p>
        </w:tc>
      </w:tr>
    </w:tbl>
    <w:p>
      <w:pPr>
        <w:spacing w:after="200"/>
      </w:pPr>
    </w:p>
    <w:p>
      <w:pPr>
        <w:spacing w:after="140" w:line="276"/>
      </w:pPr>
      <w:r>
        <w:rPr>
          <w:rFonts w:ascii="Calibri" w:cs="Calibri" w:eastAsia="Calibri" w:hAnsi="Calibri"/>
          <w:sz w:val="21"/>
          <w:szCs w:val="21"/>
        </w:rPr>
        <w:t xml:space="preserve">Las normas, guías y documentos institucionales citados en el catálogo no figuran en esta tabla: su régimen de cita y de incorporación al expediente es el del §M8.3.</w:t>
      </w:r>
    </w:p>
    <w:p>
      <w:pPr>
        <w:pStyle w:val="Heading3"/>
        <w:keepNext/>
        <w:spacing w:after="140" w:before="320"/>
      </w:pPr>
      <w:r>
        <w:rPr>
          <w:rFonts w:ascii="Georgia" w:cs="Georgia" w:eastAsia="Georgia" w:hAnsi="Georgia"/>
          <w:b/>
          <w:bCs/>
          <w:color w:val="2F5496"/>
          <w:sz w:val="22"/>
          <w:szCs w:val="22"/>
        </w:rPr>
        <w:t xml:space="preserve">M8.3 · Regla de expediente sobre las citas</w:t>
      </w:r>
    </w:p>
    <w:p>
      <w:pPr>
        <w:spacing w:after="140" w:line="276"/>
      </w:pPr>
      <w:r>
        <w:rPr>
          <w:rFonts w:ascii="Calibri" w:cs="Calibri" w:eastAsia="Calibri" w:hAnsi="Calibri"/>
          <w:b/>
          <w:bCs/>
          <w:sz w:val="21"/>
          <w:szCs w:val="21"/>
        </w:rPr>
        <w:t xml:space="preserve">De cada resolución, informe o guía citada en el catálogo se incorpora copia al expediente de aprobación.</w:t>
      </w:r>
      <w:r>
        <w:rPr>
          <w:rFonts w:ascii="Calibri" w:cs="Calibri" w:eastAsia="Calibri" w:hAnsi="Calibri"/>
          <w:sz w:val="21"/>
          <w:szCs w:val="21"/>
        </w:rPr>
        <w:t xml:space="preserve"> La que no tenga copia incorporada se retira del texto. La regla se aplica también, y con más razón, por tratarse de un documento que se publica en abierto: una sola cita que no resista la comprobación desacredita las demás.</w:t>
      </w:r>
    </w:p>
    <w:p>
      <w:pPr>
        <w:spacing w:after="140" w:line="276"/>
      </w:pPr>
      <w:r>
        <w:rPr>
          <w:rFonts w:ascii="Calibri" w:cs="Calibri" w:eastAsia="Calibri" w:hAnsi="Calibri"/>
          <w:sz w:val="21"/>
          <w:szCs w:val="21"/>
        </w:rPr>
        <w:t xml:space="preserve">Las citas literales se toman del texto consolidado publicado en el Boletín Oficial del Estado o del documento original de la resolución, no de reproducciones secundarias. Se ha comprobado que alguna cita de trabajo circulante difería del literal oficial.</w:t>
      </w:r>
    </w:p>
    <w:p>
      <w:pPr>
        <w:pStyle w:val="Heading3"/>
        <w:keepNext/>
        <w:spacing w:after="140" w:before="320"/>
      </w:pPr>
      <w:r>
        <w:rPr>
          <w:rFonts w:ascii="Georgia" w:cs="Georgia" w:eastAsia="Georgia" w:hAnsi="Georgia"/>
          <w:b/>
          <w:bCs/>
          <w:color w:val="2F5496"/>
          <w:sz w:val="22"/>
          <w:szCs w:val="22"/>
        </w:rPr>
        <w:t xml:space="preserve">M8.4 · Vigencia normativa</w:t>
      </w:r>
    </w:p>
    <w:p>
      <w:pPr>
        <w:spacing w:after="140" w:line="276"/>
      </w:pPr>
      <w:r>
        <w:rPr>
          <w:rFonts w:ascii="Calibri" w:cs="Calibri" w:eastAsia="Calibri" w:hAnsi="Calibri"/>
          <w:sz w:val="21"/>
          <w:szCs w:val="21"/>
        </w:rPr>
        <w:t xml:space="preserve">El calendario de aplicación del Reglamento (UE) 2024/1689 </w:t>
      </w:r>
      <w:r>
        <w:rPr>
          <w:rFonts w:ascii="Calibri" w:cs="Calibri" w:eastAsia="Calibri" w:hAnsi="Calibri"/>
          <w:b/>
          <w:bCs/>
          <w:sz w:val="21"/>
          <w:szCs w:val="21"/>
        </w:rPr>
        <w:t xml:space="preserve">ha cambiado</w:t>
      </w:r>
      <w:r>
        <w:rPr>
          <w:rFonts w:ascii="Calibri" w:cs="Calibri" w:eastAsia="Calibri" w:hAnsi="Calibri"/>
          <w:sz w:val="21"/>
          <w:szCs w:val="21"/>
        </w:rPr>
        <w:t xml:space="preserve">. El Reglamento (UE) 2026/1744 del Parlamento Europeo y del Consejo, de 8 de julio de 2026, por el que se modifican los Reglamentos (UE) 2024/1689, (UE) 2018/1139 y (UE) 2023/1230, publicado en el DOUE de 24 de julio de 2026, fija la fecha de aplicación del capítulo III, secciones 1, 2 y 3, </w:t>
      </w:r>
      <w:r>
        <w:rPr>
          <w:rFonts w:ascii="Calibri" w:cs="Calibri" w:eastAsia="Calibri" w:hAnsi="Calibri"/>
          <w:b/>
          <w:bCs/>
          <w:sz w:val="21"/>
          <w:szCs w:val="21"/>
        </w:rPr>
        <w:t xml:space="preserve">el 2 de diciembre de 2027</w:t>
      </w:r>
      <w:r>
        <w:rPr>
          <w:rFonts w:ascii="Calibri" w:cs="Calibri" w:eastAsia="Calibri" w:hAnsi="Calibri"/>
          <w:sz w:val="21"/>
          <w:szCs w:val="21"/>
        </w:rPr>
        <w:t xml:space="preserve"> para los sistemas de alto riesgo del art. 6.2 y anexo III, y </w:t>
      </w:r>
      <w:r>
        <w:rPr>
          <w:rFonts w:ascii="Calibri" w:cs="Calibri" w:eastAsia="Calibri" w:hAnsi="Calibri"/>
          <w:b/>
          <w:bCs/>
          <w:sz w:val="21"/>
          <w:szCs w:val="21"/>
        </w:rPr>
        <w:t xml:space="preserve">el 2 de agosto de 2028</w:t>
      </w:r>
      <w:r>
        <w:rPr>
          <w:rFonts w:ascii="Calibri" w:cs="Calibri" w:eastAsia="Calibri" w:hAnsi="Calibri"/>
          <w:sz w:val="21"/>
          <w:szCs w:val="21"/>
        </w:rPr>
        <w:t xml:space="preserve"> para los del art. 6.1 y anexo I.</w:t>
      </w:r>
    </w:p>
    <w:p>
      <w:pPr>
        <w:spacing w:after="140" w:line="276"/>
      </w:pPr>
      <w:r>
        <w:rPr>
          <w:rFonts w:ascii="Calibri" w:cs="Calibri" w:eastAsia="Calibri" w:hAnsi="Calibri"/>
          <w:sz w:val="21"/>
          <w:szCs w:val="21"/>
        </w:rPr>
        <w:t xml:space="preserve">Consecuencias que gobiernan todo el catálogo:</w:t>
      </w:r>
    </w:p>
    <w:p>
      <w:pPr>
        <w:pStyle w:val="ListParagraph"/>
        <w:numPr>
          <w:ilvl w:val="0"/>
          <w:numId w:val="1"/>
        </w:numPr>
        <w:spacing w:after="70" w:line="268"/>
      </w:pPr>
      <w:r>
        <w:rPr>
          <w:rFonts w:ascii="Calibri" w:cs="Calibri" w:eastAsia="Calibri" w:hAnsi="Calibri"/>
          <w:sz w:val="21"/>
          <w:szCs w:val="21"/>
        </w:rPr>
        <w:t xml:space="preserve">Las obligaciones del responsable del despliegue y la evaluación de impacto en derechos fundamentales están en la sección 3 del capítulo III: </w:t>
      </w:r>
      <w:r>
        <w:rPr>
          <w:rFonts w:ascii="Calibri" w:cs="Calibri" w:eastAsia="Calibri" w:hAnsi="Calibri"/>
          <w:b/>
          <w:bCs/>
          <w:sz w:val="21"/>
          <w:szCs w:val="21"/>
        </w:rPr>
        <w:t xml:space="preserve">a fecha de esta memoria no son exigibles</w:t>
      </w:r>
      <w:r>
        <w:rPr>
          <w:rFonts w:ascii="Calibri" w:cs="Calibri" w:eastAsia="Calibri" w:hAnsi="Calibri"/>
          <w:sz w:val="21"/>
          <w:szCs w:val="21"/>
        </w:rPr>
        <w:t xml:space="preserve">. No pueden figurar como «norma que impone la necesidad» sin decir desde cuándo.</w:t>
      </w:r>
    </w:p>
    <w:p>
      <w:pPr>
        <w:pStyle w:val="ListParagraph"/>
        <w:numPr>
          <w:ilvl w:val="0"/>
          <w:numId w:val="1"/>
        </w:numPr>
        <w:spacing w:after="70" w:line="268"/>
      </w:pPr>
      <w:r>
        <w:rPr>
          <w:rFonts w:ascii="Calibri" w:cs="Calibri" w:eastAsia="Calibri" w:hAnsi="Calibri"/>
          <w:sz w:val="21"/>
          <w:szCs w:val="21"/>
        </w:rPr>
        <w:t xml:space="preserve">Toda cita se hace como «Reglamento (UE) 2024/1689, </w:t>
      </w:r>
      <w:r>
        <w:rPr>
          <w:rFonts w:ascii="Calibri" w:cs="Calibri" w:eastAsia="Calibri" w:hAnsi="Calibri"/>
          <w:b/>
          <w:bCs/>
          <w:sz w:val="21"/>
          <w:szCs w:val="21"/>
        </w:rPr>
        <w:t xml:space="preserve">en su redacción vigente</w:t>
      </w:r>
      <w:r>
        <w:rPr>
          <w:rFonts w:ascii="Calibri" w:cs="Calibri" w:eastAsia="Calibri" w:hAnsi="Calibri"/>
          <w:sz w:val="21"/>
          <w:szCs w:val="21"/>
        </w:rPr>
        <w:t xml:space="preserve">», sin fechas en el articulado.</w:t>
      </w:r>
    </w:p>
    <w:p>
      <w:pPr>
        <w:pStyle w:val="ListParagraph"/>
        <w:numPr>
          <w:ilvl w:val="0"/>
          <w:numId w:val="1"/>
        </w:numPr>
        <w:spacing w:after="70" w:line="268"/>
      </w:pPr>
      <w:r>
        <w:rPr>
          <w:rFonts w:ascii="Calibri" w:cs="Calibri" w:eastAsia="Calibri" w:hAnsi="Calibri"/>
          <w:sz w:val="21"/>
          <w:szCs w:val="21"/>
        </w:rPr>
        <w:t xml:space="preserve">Los sistemas de alto riesgo ya introducidos en el mercado o puestos en servicio y </w:t>
      </w:r>
      <w:r>
        <w:rPr>
          <w:rFonts w:ascii="Calibri" w:cs="Calibri" w:eastAsia="Calibri" w:hAnsi="Calibri"/>
          <w:b/>
          <w:bCs/>
          <w:sz w:val="21"/>
          <w:szCs w:val="21"/>
        </w:rPr>
        <w:t xml:space="preserve">destinados a ser utilizados por autoridades públicas</w:t>
      </w:r>
      <w:r>
        <w:rPr>
          <w:rFonts w:ascii="Calibri" w:cs="Calibri" w:eastAsia="Calibri" w:hAnsi="Calibri"/>
          <w:sz w:val="21"/>
          <w:szCs w:val="21"/>
        </w:rPr>
        <w:t xml:space="preserve"> tienen regla propia en el art. 111.2 del Reglamento, con fecha de 2 de agosto de 2030. Es la fila que más afecta a un ayuntamiento y consta en el Anexo XI.</w:t>
      </w:r>
    </w:p>
    <w:p>
      <w:pPr>
        <w:pStyle w:val="ListParagraph"/>
        <w:numPr>
          <w:ilvl w:val="0"/>
          <w:numId w:val="1"/>
        </w:numPr>
        <w:spacing w:after="70" w:line="268"/>
      </w:pPr>
      <w:r>
        <w:rPr>
          <w:rFonts w:ascii="Calibri" w:cs="Calibri" w:eastAsia="Calibri" w:hAnsi="Calibri"/>
          <w:sz w:val="21"/>
          <w:szCs w:val="21"/>
        </w:rPr>
        <w:t xml:space="preserve">El Anexo XI separa en dos columnas lo que es </w:t>
      </w:r>
      <w:r>
        <w:rPr>
          <w:rFonts w:ascii="Calibri" w:cs="Calibri" w:eastAsia="Calibri" w:hAnsi="Calibri"/>
          <w:b/>
          <w:bCs/>
          <w:sz w:val="21"/>
          <w:szCs w:val="21"/>
        </w:rPr>
        <w:t xml:space="preserve">obligación legal ya exigible</w:t>
      </w:r>
      <w:r>
        <w:rPr>
          <w:rFonts w:ascii="Calibri" w:cs="Calibri" w:eastAsia="Calibri" w:hAnsi="Calibri"/>
          <w:sz w:val="21"/>
          <w:szCs w:val="21"/>
        </w:rPr>
        <w:t xml:space="preserve"> de lo que es </w:t>
      </w:r>
      <w:r>
        <w:rPr>
          <w:rFonts w:ascii="Calibri" w:cs="Calibri" w:eastAsia="Calibri" w:hAnsi="Calibri"/>
          <w:b/>
          <w:bCs/>
          <w:sz w:val="21"/>
          <w:szCs w:val="21"/>
        </w:rPr>
        <w:t xml:space="preserve">exigencia contractual anticipada voluntariamente por el Ayuntamiento</w:t>
      </w:r>
      <w:r>
        <w:rPr>
          <w:rFonts w:ascii="Calibri" w:cs="Calibri" w:eastAsia="Calibri" w:hAnsi="Calibri"/>
          <w:sz w:val="21"/>
          <w:szCs w:val="21"/>
        </w:rPr>
        <w:t xml:space="preserve">. Confundir ambas cosas es, además de un error, un problema de proporcionalidad: se estaría exigiendo como obligación legal vigente lo que la norma todavía no exige.</w:t>
      </w:r>
    </w:p>
    <w:p>
      <w:pPr>
        <w:pStyle w:val="ListParagraph"/>
        <w:numPr>
          <w:ilvl w:val="0"/>
          <w:numId w:val="1"/>
        </w:numPr>
        <w:spacing w:after="70" w:line="268"/>
      </w:pPr>
      <w:r>
        <w:rPr>
          <w:rFonts w:ascii="Calibri" w:cs="Calibri" w:eastAsia="Calibri" w:hAnsi="Calibri"/>
          <w:sz w:val="21"/>
          <w:szCs w:val="21"/>
        </w:rPr>
        <w:t xml:space="preserve">El clausulado de junio de 2026 y el resumen ejecutivo describen el calendario original y </w:t>
      </w:r>
      <w:r>
        <w:rPr>
          <w:rFonts w:ascii="Calibri" w:cs="Calibri" w:eastAsia="Calibri" w:hAnsi="Calibri"/>
          <w:b/>
          <w:bCs/>
          <w:sz w:val="21"/>
          <w:szCs w:val="21"/>
        </w:rPr>
        <w:t xml:space="preserve">quedan desactualizados en ese punto</w:t>
      </w:r>
      <w:r>
        <w:rPr>
          <w:rFonts w:ascii="Calibri" w:cs="Calibri" w:eastAsia="Calibri" w:hAnsi="Calibri"/>
          <w:sz w:val="21"/>
          <w:szCs w:val="21"/>
        </w:rPr>
        <w:t xml:space="preserve">. La tabla de correspondencias del Anexo XII lo hace constar.</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M9 · Competencia, ventana procesal y carpeta de defensa</w:t>
      </w:r>
    </w:p>
    <w:p>
      <w:pPr>
        <w:spacing w:after="140" w:line="276"/>
      </w:pPr>
      <w:r>
        <w:rPr>
          <w:rFonts w:ascii="Calibri" w:cs="Calibri" w:eastAsia="Calibri" w:hAnsi="Calibri"/>
          <w:b/>
          <w:bCs/>
          <w:sz w:val="21"/>
          <w:szCs w:val="21"/>
        </w:rPr>
        <w:t xml:space="preserve">Quién resuelve.</w:t>
      </w:r>
      <w:r>
        <w:rPr>
          <w:rFonts w:ascii="Calibri" w:cs="Calibri" w:eastAsia="Calibri" w:hAnsi="Calibri"/>
          <w:sz w:val="21"/>
          <w:szCs w:val="21"/>
        </w:rPr>
        <w:t xml:space="preserve"> El recurso especial contra los pliegos de un ayuntamiento de la Comunidad de Madrid lo resuelve el </w:t>
      </w:r>
      <w:r>
        <w:rPr>
          <w:rFonts w:ascii="Calibri" w:cs="Calibri" w:eastAsia="Calibri" w:hAnsi="Calibri"/>
          <w:b/>
          <w:bCs/>
          <w:sz w:val="21"/>
          <w:szCs w:val="21"/>
        </w:rPr>
        <w:t xml:space="preserve">Tribunal Administrativo de Contratación Pública de la Comunidad de Madrid</w:t>
      </w:r>
      <w:r>
        <w:rPr>
          <w:rFonts w:ascii="Calibri" w:cs="Calibri" w:eastAsia="Calibri" w:hAnsi="Calibri"/>
          <w:sz w:val="21"/>
          <w:szCs w:val="21"/>
        </w:rPr>
        <w:t xml:space="preserve"> (art. 3 de la Ley 9/2010, en la redacción dada por la Ley 5/2016, que le atribuye la competencia sobre las entidades locales del ámbito territorial de la Comunidad y sus entes vinculados o dependientes con la consideración de poder adjudicador), no el Tribunal Administrativo Central. Por eso la Resolución 383/2024 pesa, para este catálogo, más que cualquier doctrina estatal. </w:t>
      </w:r>
      <w:r>
        <w:rPr>
          <w:rFonts w:ascii="Calibri" w:cs="Calibri" w:eastAsia="Calibri" w:hAnsi="Calibri"/>
          <w:b/>
          <w:bCs/>
          <w:sz w:val="21"/>
          <w:szCs w:val="21"/>
        </w:rPr>
        <w:t xml:space="preserve">Cada administración que reutilice el documento debe sustituir esta referencia por la del tribunal competente en su territorio.</w:t>
      </w:r>
    </w:p>
    <w:p>
      <w:pPr>
        <w:spacing w:after="140" w:line="276"/>
      </w:pPr>
      <w:r>
        <w:rPr>
          <w:rFonts w:ascii="Calibri" w:cs="Calibri" w:eastAsia="Calibri" w:hAnsi="Calibri"/>
          <w:b/>
          <w:bCs/>
          <w:sz w:val="21"/>
          <w:szCs w:val="21"/>
        </w:rPr>
        <w:t xml:space="preserve">Cuándo.</w:t>
      </w:r>
      <w:r>
        <w:rPr>
          <w:rFonts w:ascii="Calibri" w:cs="Calibri" w:eastAsia="Calibri" w:hAnsi="Calibri"/>
          <w:sz w:val="21"/>
          <w:szCs w:val="21"/>
        </w:rPr>
        <w:t xml:space="preserve"> Son susceptibles de recurso especial los contratos de servicios y suministros con valor estimado superior a 100.000 € (art. 44.1.a LCSP), y </w:t>
      </w:r>
      <w:r>
        <w:rPr>
          <w:rFonts w:ascii="Calibri" w:cs="Calibri" w:eastAsia="Calibri" w:hAnsi="Calibri"/>
          <w:b/>
          <w:bCs/>
          <w:sz w:val="21"/>
          <w:szCs w:val="21"/>
        </w:rPr>
        <w:t xml:space="preserve">los pliegos son directamente recurribles</w:t>
      </w:r>
      <w:r>
        <w:rPr>
          <w:rFonts w:ascii="Calibri" w:cs="Calibri" w:eastAsia="Calibri" w:hAnsi="Calibri"/>
          <w:sz w:val="21"/>
          <w:szCs w:val="21"/>
        </w:rPr>
        <w:t xml:space="preserve"> (art. 44.2.a). El plazo es de quince días hábiles. Publicado el pliego y transcurrido ese plazo sin recurso, deviene firme: el recurso posterior contra la exclusión o la adjudicación no es cauce para impugnarlo, salvo supuestos de nulidad de pleno derecho.</w:t>
      </w:r>
    </w:p>
    <w:p>
      <w:pPr>
        <w:spacing w:after="140" w:line="276"/>
      </w:pPr>
      <w:r>
        <w:rPr>
          <w:rFonts w:ascii="Calibri" w:cs="Calibri" w:eastAsia="Calibri" w:hAnsi="Calibri"/>
          <w:b/>
          <w:bCs/>
          <w:sz w:val="21"/>
          <w:szCs w:val="21"/>
        </w:rPr>
        <w:t xml:space="preserve">Consecuencia operativa.</w:t>
      </w:r>
      <w:r>
        <w:rPr>
          <w:rFonts w:ascii="Calibri" w:cs="Calibri" w:eastAsia="Calibri" w:hAnsi="Calibri"/>
          <w:sz w:val="21"/>
          <w:szCs w:val="21"/>
        </w:rPr>
        <w:t xml:space="preserve"> La defensa de este catálogo se juega en las dos primeras semanas de cada licitación, y </w:t>
      </w:r>
      <w:r>
        <w:rPr>
          <w:rFonts w:ascii="Calibri" w:cs="Calibri" w:eastAsia="Calibri" w:hAnsi="Calibri"/>
          <w:b/>
          <w:bCs/>
          <w:sz w:val="21"/>
          <w:szCs w:val="21"/>
        </w:rPr>
        <w:t xml:space="preserve">con lo que en ese momento conste en el expediente</w:t>
      </w:r>
      <w:r>
        <w:rPr>
          <w:rFonts w:ascii="Calibri" w:cs="Calibri" w:eastAsia="Calibri" w:hAnsi="Calibri"/>
          <w:sz w:val="21"/>
          <w:szCs w:val="21"/>
        </w:rPr>
        <w:t xml:space="preserve">. No hay margen para completar. Por eso la </w:t>
      </w:r>
      <w:r>
        <w:rPr>
          <w:rFonts w:ascii="Calibri" w:cs="Calibri" w:eastAsia="Calibri" w:hAnsi="Calibri"/>
          <w:b/>
          <w:bCs/>
          <w:sz w:val="21"/>
          <w:szCs w:val="21"/>
        </w:rPr>
        <w:t xml:space="preserve">carpeta de defensa</w:t>
      </w:r>
      <w:r>
        <w:rPr>
          <w:rFonts w:ascii="Calibri" w:cs="Calibri" w:eastAsia="Calibri" w:hAnsi="Calibri"/>
          <w:sz w:val="21"/>
          <w:szCs w:val="21"/>
        </w:rPr>
        <w:t xml:space="preserve"> se prepara antes de publicar el anuncio, no después del recurso, y contiene, ordenados: informe de necesidad; ficha de aplicabilidad firmada; determinación de la categoría ENS y análisis de riesgos; memoria de criterios y hoja de comprobación del baremo; cálculo del valor estimado con su método; informe de la consulta preliminar del mercado y contraste del Anexo V; acuerdo de aprobación del catálogo y del Anexo V del ejercicio, con fecha, versión y órgano; declaraciones de conflicto de interés; certificado de crédito, fiscalización previa e informe de estabilidad presupuestaria; y copia de cada resolución citada.</w:t>
      </w:r>
    </w:p>
    <w:p>
      <w:pPr>
        <w:spacing w:after="140" w:line="276"/>
      </w:pPr>
      <w:r>
        <w:rPr>
          <w:rFonts w:ascii="Calibri" w:cs="Calibri" w:eastAsia="Calibri" w:hAnsi="Calibri"/>
          <w:b/>
          <w:bCs/>
          <w:sz w:val="21"/>
          <w:szCs w:val="21"/>
        </w:rPr>
        <w:t xml:space="preserve">Comunicación a la autoridad de competencia.</w:t>
      </w:r>
      <w:r>
        <w:rPr>
          <w:rFonts w:ascii="Calibri" w:cs="Calibri" w:eastAsia="Calibri" w:hAnsi="Calibri"/>
          <w:sz w:val="21"/>
          <w:szCs w:val="21"/>
        </w:rPr>
        <w:t xml:space="preserve"> El art. 132.3 LCSP obliga a los órganos de contratación, a las juntas consultivas y a los órganos competentes para resolver el recurso especial a comunicar a la Comisión Nacional de los Mercados y la Competencia los hechos que puedan constituir infracción de la legislación de defensa de la competencia; el precepto se refiere en particular a los indicios de colusión entre licitadores. Se menciona aquí a un solo efecto: un pliego que preferencie una red o un producto puede acabar, además de anulado, comunicado.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M10 · Advertencias y recomendaciones</w:t>
      </w:r>
    </w:p>
    <w:p>
      <w:pPr>
        <w:pStyle w:val="Heading3"/>
        <w:keepNext/>
        <w:spacing w:after="140" w:before="320"/>
      </w:pPr>
      <w:r>
        <w:rPr>
          <w:rFonts w:ascii="Georgia" w:cs="Georgia" w:eastAsia="Georgia" w:hAnsi="Georgia"/>
          <w:b/>
          <w:bCs/>
          <w:color w:val="2F5496"/>
          <w:sz w:val="22"/>
          <w:szCs w:val="22"/>
        </w:rPr>
        <w:t xml:space="preserve">M10.1 · Para el órgano al que corresponda el informe jurídico preceptivo</w:t>
      </w:r>
    </w:p>
    <w:p>
      <w:pPr>
        <w:spacing w:after="140" w:line="276"/>
      </w:pPr>
      <w:r>
        <w:rPr>
          <w:rFonts w:ascii="Calibri" w:cs="Calibri" w:eastAsia="Calibri" w:hAnsi="Calibri"/>
          <w:sz w:val="21"/>
          <w:szCs w:val="21"/>
        </w:rPr>
        <w:t xml:space="preserve">En municipios de gran población, el informe jurídico de los expedientes de contratación corresponde al titular de la </w:t>
      </w:r>
      <w:r>
        <w:rPr>
          <w:rFonts w:ascii="Calibri" w:cs="Calibri" w:eastAsia="Calibri" w:hAnsi="Calibri"/>
          <w:b/>
          <w:bCs/>
          <w:sz w:val="21"/>
          <w:szCs w:val="21"/>
        </w:rPr>
        <w:t xml:space="preserve">Asesoría Jurídica</w:t>
      </w:r>
      <w:r>
        <w:rPr>
          <w:rFonts w:ascii="Calibri" w:cs="Calibri" w:eastAsia="Calibri" w:hAnsi="Calibri"/>
          <w:sz w:val="21"/>
          <w:szCs w:val="21"/>
        </w:rPr>
        <w:t xml:space="preserve"> (DA 3.ª.8 LCSP en relación con la DA 8.ª LBRL); en el régimen común, a la </w:t>
      </w:r>
      <w:r>
        <w:rPr>
          <w:rFonts w:ascii="Calibri" w:cs="Calibri" w:eastAsia="Calibri" w:hAnsi="Calibri"/>
          <w:b/>
          <w:bCs/>
          <w:sz w:val="21"/>
          <w:szCs w:val="21"/>
        </w:rPr>
        <w:t xml:space="preserve">Secretaría</w:t>
      </w:r>
      <w:r>
        <w:rPr>
          <w:rFonts w:ascii="Calibri" w:cs="Calibri" w:eastAsia="Calibri" w:hAnsi="Calibri"/>
          <w:sz w:val="21"/>
          <w:szCs w:val="21"/>
        </w:rPr>
        <w:t xml:space="preserve">. Toda administración que reutilice este documento debe verificar cuál es su caso: es el primer error que un lector hostil detecta.</w:t>
      </w:r>
    </w:p>
    <w:p>
      <w:pPr>
        <w:spacing w:after="140" w:line="276"/>
      </w:pPr>
      <w:r>
        <w:rPr>
          <w:rFonts w:ascii="Calibri" w:cs="Calibri" w:eastAsia="Calibri" w:hAnsi="Calibri"/>
          <w:sz w:val="21"/>
          <w:szCs w:val="21"/>
        </w:rPr>
        <w:t xml:space="preserve">Extremos a verificar antes de informar favorablemente un expediente que aplique el catálogo:</w:t>
      </w:r>
    </w:p>
    <w:p>
      <w:pPr>
        <w:pStyle w:val="ListParagraph"/>
        <w:numPr>
          <w:ilvl w:val="0"/>
          <w:numId w:val="2"/>
        </w:numPr>
        <w:spacing w:after="70" w:line="268"/>
      </w:pPr>
      <w:r>
        <w:rPr>
          <w:rFonts w:ascii="Calibri" w:cs="Calibri" w:eastAsia="Calibri" w:hAnsi="Calibri"/>
          <w:sz w:val="21"/>
          <w:szCs w:val="21"/>
        </w:rPr>
        <w:t xml:space="preserve">Que la memoria justificativa del expediente </w:t>
      </w:r>
      <w:r>
        <w:rPr>
          <w:rFonts w:ascii="Calibri" w:cs="Calibri" w:eastAsia="Calibri" w:hAnsi="Calibri"/>
          <w:b/>
          <w:bCs/>
          <w:sz w:val="21"/>
          <w:szCs w:val="21"/>
        </w:rPr>
        <w:t xml:space="preserve">contiene la justificación propia</w:t>
      </w:r>
      <w:r>
        <w:rPr>
          <w:rFonts w:ascii="Calibri" w:cs="Calibri" w:eastAsia="Calibri" w:hAnsi="Calibri"/>
          <w:sz w:val="21"/>
          <w:szCs w:val="21"/>
        </w:rPr>
        <w:t xml:space="preserve"> de cada exigencia incorporada, y no una remisión a este documento.</w:t>
      </w:r>
    </w:p>
    <w:p>
      <w:pPr>
        <w:pStyle w:val="ListParagraph"/>
        <w:numPr>
          <w:ilvl w:val="0"/>
          <w:numId w:val="2"/>
        </w:numPr>
        <w:spacing w:after="70" w:line="268"/>
      </w:pPr>
      <w:r>
        <w:rPr>
          <w:rFonts w:ascii="Calibri" w:cs="Calibri" w:eastAsia="Calibri" w:hAnsi="Calibri"/>
          <w:sz w:val="21"/>
          <w:szCs w:val="21"/>
        </w:rPr>
        <w:t xml:space="preserve">Que la ficha del Anexo II está firmada por la vía que corresponde al origen de la necesidad (§M1.3).</w:t>
      </w:r>
    </w:p>
    <w:p>
      <w:pPr>
        <w:pStyle w:val="ListParagraph"/>
        <w:numPr>
          <w:ilvl w:val="0"/>
          <w:numId w:val="2"/>
        </w:numPr>
        <w:spacing w:after="70" w:line="268"/>
      </w:pPr>
      <w:r>
        <w:rPr>
          <w:rFonts w:ascii="Calibri" w:cs="Calibri" w:eastAsia="Calibri" w:hAnsi="Calibri"/>
          <w:sz w:val="21"/>
          <w:szCs w:val="21"/>
        </w:rPr>
        <w:t xml:space="preserve">Que la categoría ENS consta determinada conforme al Anexo I del RD 311/2022 </w:t>
      </w:r>
      <w:r>
        <w:rPr>
          <w:rFonts w:ascii="Calibri" w:cs="Calibri" w:eastAsia="Calibri" w:hAnsi="Calibri"/>
          <w:b/>
          <w:bCs/>
          <w:sz w:val="21"/>
          <w:szCs w:val="21"/>
        </w:rPr>
        <w:t xml:space="preserve">antes</w:t>
      </w:r>
      <w:r>
        <w:rPr>
          <w:rFonts w:ascii="Calibri" w:cs="Calibri" w:eastAsia="Calibri" w:hAnsi="Calibri"/>
          <w:sz w:val="21"/>
          <w:szCs w:val="21"/>
        </w:rPr>
        <w:t xml:space="preserve"> de la aprobación del pliego, y que la exigencia de certificación se ajusta al art. 38.1.</w:t>
      </w:r>
    </w:p>
    <w:p>
      <w:pPr>
        <w:pStyle w:val="ListParagraph"/>
        <w:numPr>
          <w:ilvl w:val="0"/>
          <w:numId w:val="2"/>
        </w:numPr>
        <w:spacing w:after="70" w:line="268"/>
      </w:pPr>
      <w:r>
        <w:rPr>
          <w:rFonts w:ascii="Calibri" w:cs="Calibri" w:eastAsia="Calibri" w:hAnsi="Calibri"/>
          <w:sz w:val="21"/>
          <w:szCs w:val="21"/>
        </w:rPr>
        <w:t xml:space="preserve">Que se ha aplicado la regla de separación de instrumentos en sus tres combinaciones prohibidas, en los términos de la Parte I, §7.3, y con la hoja de comprobación del Anexo IV.</w:t>
      </w:r>
    </w:p>
    <w:p>
      <w:pPr>
        <w:pStyle w:val="ListParagraph"/>
        <w:numPr>
          <w:ilvl w:val="0"/>
          <w:numId w:val="2"/>
        </w:numPr>
        <w:spacing w:after="70" w:line="268"/>
      </w:pPr>
      <w:r>
        <w:rPr>
          <w:rFonts w:ascii="Calibri" w:cs="Calibri" w:eastAsia="Calibri" w:hAnsi="Calibri"/>
          <w:sz w:val="21"/>
          <w:szCs w:val="21"/>
        </w:rPr>
        <w:t xml:space="preserve">Que la lista de obligaciones esenciales es cerrada, que el bloque </w:t>
      </w:r>
      <w:r>
        <w:rPr>
          <w:rFonts w:ascii="Calibri" w:cs="Calibri" w:eastAsia="Calibri" w:hAnsi="Calibri"/>
          <w:i/>
          <w:iCs/>
          <w:sz w:val="21"/>
          <w:szCs w:val="21"/>
        </w:rPr>
        <w:t xml:space="preserve">ex lege</w:t>
      </w:r>
      <w:r>
        <w:rPr>
          <w:rFonts w:ascii="Calibri" w:cs="Calibri" w:eastAsia="Calibri" w:hAnsi="Calibri"/>
          <w:sz w:val="21"/>
          <w:szCs w:val="21"/>
        </w:rPr>
        <w:t xml:space="preserve"> sólo se ha incluido si concurre su presupuesto y que la cláusula de cierre está redactada como «obligaciones incorporadas en virtud del catálogo [denominación y versión]».</w:t>
      </w:r>
    </w:p>
    <w:p>
      <w:pPr>
        <w:pStyle w:val="ListParagraph"/>
        <w:numPr>
          <w:ilvl w:val="0"/>
          <w:numId w:val="2"/>
        </w:numPr>
        <w:spacing w:after="70" w:line="268"/>
      </w:pPr>
      <w:r>
        <w:rPr>
          <w:rFonts w:ascii="Calibri" w:cs="Calibri" w:eastAsia="Calibri" w:hAnsi="Calibri"/>
          <w:sz w:val="21"/>
          <w:szCs w:val="21"/>
        </w:rPr>
        <w:t xml:space="preserve">Que el baremo del contrato </w:t>
      </w:r>
      <w:r>
        <w:rPr>
          <w:rFonts w:ascii="Calibri" w:cs="Calibri" w:eastAsia="Calibri" w:hAnsi="Calibri"/>
          <w:b/>
          <w:bCs/>
          <w:sz w:val="21"/>
          <w:szCs w:val="21"/>
        </w:rPr>
        <w:t xml:space="preserve">incluye el precio y los criterios funcionales de la prestación principal</w:t>
      </w:r>
      <w:r>
        <w:rPr>
          <w:rFonts w:ascii="Calibri" w:cs="Calibri" w:eastAsia="Calibri" w:hAnsi="Calibri"/>
          <w:sz w:val="21"/>
          <w:szCs w:val="21"/>
        </w:rPr>
        <w:t xml:space="preserve">, que el bloque tecnológico no absorbe el baremo, que la ponderación de los criterios de juicio de valor no supera la de los automáticos —y que, si la supera, el comité de expertos del art. 146.2.a) está identificado en el PCAP antes de licitar—, y que el procedimiento elegido admite esa proporción (arts. 159.1.b y 159.6).</w:t>
      </w:r>
    </w:p>
    <w:p>
      <w:pPr>
        <w:pStyle w:val="ListParagraph"/>
        <w:numPr>
          <w:ilvl w:val="0"/>
          <w:numId w:val="2"/>
        </w:numPr>
        <w:spacing w:after="70" w:line="268"/>
      </w:pPr>
      <w:r>
        <w:rPr>
          <w:rFonts w:ascii="Calibri" w:cs="Calibri" w:eastAsia="Calibri" w:hAnsi="Calibri"/>
          <w:sz w:val="21"/>
          <w:szCs w:val="21"/>
        </w:rPr>
        <w:t xml:space="preserve">Que el Anexo V del ejercicio está </w:t>
      </w:r>
      <w:r>
        <w:rPr>
          <w:rFonts w:ascii="Calibri" w:cs="Calibri" w:eastAsia="Calibri" w:hAnsi="Calibri"/>
          <w:b/>
          <w:bCs/>
          <w:sz w:val="21"/>
          <w:szCs w:val="21"/>
        </w:rPr>
        <w:t xml:space="preserve">transcrito físicamente en el PPT</w:t>
      </w:r>
      <w:r>
        <w:rPr>
          <w:rFonts w:ascii="Calibri" w:cs="Calibri" w:eastAsia="Calibri" w:hAnsi="Calibri"/>
          <w:sz w:val="21"/>
          <w:szCs w:val="21"/>
        </w:rPr>
        <w:t xml:space="preserve">, con número de versión, fecha y órgano aprobante, y no incorporado por remisión a un documento de contenido variable.</w:t>
      </w:r>
    </w:p>
    <w:p>
      <w:pPr>
        <w:pStyle w:val="ListParagraph"/>
        <w:numPr>
          <w:ilvl w:val="0"/>
          <w:numId w:val="2"/>
        </w:numPr>
        <w:spacing w:after="70" w:line="268"/>
      </w:pPr>
      <w:r>
        <w:rPr>
          <w:rFonts w:ascii="Calibri" w:cs="Calibri" w:eastAsia="Calibri" w:hAnsi="Calibri"/>
          <w:sz w:val="21"/>
          <w:szCs w:val="21"/>
        </w:rPr>
        <w:t xml:space="preserve">Que la cláusula de reversibilidad fija plazo de garantía cierto y respeta el art. 111 LCSP (§M5.4).</w:t>
      </w:r>
    </w:p>
    <w:p>
      <w:pPr>
        <w:pStyle w:val="ListParagraph"/>
        <w:numPr>
          <w:ilvl w:val="0"/>
          <w:numId w:val="2"/>
        </w:numPr>
        <w:spacing w:after="70" w:line="268"/>
      </w:pPr>
      <w:r>
        <w:rPr>
          <w:rFonts w:ascii="Calibri" w:cs="Calibri" w:eastAsia="Calibri" w:hAnsi="Calibri"/>
          <w:sz w:val="21"/>
          <w:szCs w:val="21"/>
        </w:rPr>
        <w:t xml:space="preserve">Que si se ha marcado alguna cláusula como NO APLICA, se han eliminado todas las menciones que arrastra en el resto del pliego (tabla de dependencias del </w:t>
      </w:r>
      <w:r>
        <w:rPr>
          <w:rFonts w:ascii="Calibri" w:cs="Calibri" w:eastAsia="Calibri" w:hAnsi="Calibri"/>
          <w:b/>
          <w:bCs/>
          <w:sz w:val="21"/>
          <w:szCs w:val="21"/>
        </w:rPr>
        <w:t xml:space="preserve">Anexo VI</w:t>
      </w:r>
      <w:r>
        <w:rPr>
          <w:rFonts w:ascii="Calibri" w:cs="Calibri" w:eastAsia="Calibri" w:hAnsi="Calibri"/>
          <w:sz w:val="21"/>
          <w:szCs w:val="21"/>
        </w:rPr>
        <w:t xml:space="preserve">). Un pliego que penaliza el incumplimiento de una cláusula que no ha incorporado es un pliego contradictorio.</w:t>
      </w:r>
    </w:p>
    <w:p>
      <w:pPr>
        <w:pStyle w:val="ListParagraph"/>
        <w:numPr>
          <w:ilvl w:val="0"/>
          <w:numId w:val="2"/>
        </w:numPr>
        <w:spacing w:after="70" w:line="268"/>
      </w:pPr>
      <w:r>
        <w:rPr>
          <w:rFonts w:ascii="Calibri" w:cs="Calibri" w:eastAsia="Calibri" w:hAnsi="Calibri"/>
          <w:sz w:val="21"/>
          <w:szCs w:val="21"/>
        </w:rPr>
        <w:t xml:space="preserve">Que las declaraciones de conflicto de interés están firmadas e incorporadas.</w:t>
      </w:r>
    </w:p>
    <w:p>
      <w:pPr>
        <w:pStyle w:val="ListParagraph"/>
        <w:numPr>
          <w:ilvl w:val="0"/>
          <w:numId w:val="2"/>
        </w:numPr>
        <w:spacing w:after="70" w:line="268"/>
      </w:pPr>
      <w:r>
        <w:rPr>
          <w:rFonts w:ascii="Calibri" w:cs="Calibri" w:eastAsia="Calibri" w:hAnsi="Calibri"/>
          <w:sz w:val="21"/>
          <w:szCs w:val="21"/>
        </w:rPr>
        <w:t xml:space="preserve">Que </w:t>
      </w:r>
      <w:r>
        <w:rPr>
          <w:rFonts w:ascii="Calibri" w:cs="Calibri" w:eastAsia="Calibri" w:hAnsi="Calibri"/>
          <w:b/>
          <w:bCs/>
          <w:sz w:val="21"/>
          <w:szCs w:val="21"/>
        </w:rPr>
        <w:t xml:space="preserve">todas</w:t>
      </w:r>
      <w:r>
        <w:rPr>
          <w:rFonts w:ascii="Calibri" w:cs="Calibri" w:eastAsia="Calibri" w:hAnsi="Calibri"/>
          <w:sz w:val="21"/>
          <w:szCs w:val="21"/>
        </w:rPr>
        <w:t xml:space="preserve"> las condiciones especiales de ejecución incorporadas —incluidas las de ADM-1·v3 modalidad B, ADM-2·v3, ADM-10·v3, ADM-11·v3, ADM-12·v3, ADM-13·v3 y el bloque A de ADM-6·v3— figuran indicadas </w:t>
      </w:r>
      <w:r>
        <w:rPr>
          <w:rFonts w:ascii="Calibri" w:cs="Calibri" w:eastAsia="Calibri" w:hAnsi="Calibri"/>
          <w:b/>
          <w:bCs/>
          <w:sz w:val="21"/>
          <w:szCs w:val="21"/>
        </w:rPr>
        <w:t xml:space="preserve">una por una en el anuncio de licitación</w:t>
      </w:r>
      <w:r>
        <w:rPr>
          <w:rFonts w:ascii="Calibri" w:cs="Calibri" w:eastAsia="Calibri" w:hAnsi="Calibri"/>
          <w:sz w:val="21"/>
          <w:szCs w:val="21"/>
        </w:rPr>
        <w:t xml:space="preserve">, además de en los pliegos (art. 202.1 LCSP). Su omisión en el anuncio no se subsana después y arrastra la esencialidad de las que el pliego haya calificado como tales.</w:t>
      </w:r>
    </w:p>
    <w:p>
      <w:pPr>
        <w:pStyle w:val="Heading3"/>
        <w:keepNext/>
        <w:spacing w:after="140" w:before="320"/>
      </w:pPr>
      <w:r>
        <w:rPr>
          <w:rFonts w:ascii="Georgia" w:cs="Georgia" w:eastAsia="Georgia" w:hAnsi="Georgia"/>
          <w:b/>
          <w:bCs/>
          <w:color w:val="2F5496"/>
          <w:sz w:val="22"/>
          <w:szCs w:val="22"/>
        </w:rPr>
        <w:t xml:space="preserve">M10.2 · Para la Intervención</w:t>
      </w:r>
    </w:p>
    <w:p>
      <w:pPr>
        <w:spacing w:after="140" w:line="276"/>
      </w:pPr>
      <w:r>
        <w:rPr>
          <w:rFonts w:ascii="Calibri" w:cs="Calibri" w:eastAsia="Calibri" w:hAnsi="Calibri"/>
          <w:sz w:val="21"/>
          <w:szCs w:val="21"/>
        </w:rPr>
        <w:t xml:space="preserve">Extremos a comprobar en fiscalización previa, además de los ordinarios:</w:t>
      </w:r>
    </w:p>
    <w:p>
      <w:pPr>
        <w:pStyle w:val="ListParagraph"/>
        <w:numPr>
          <w:ilvl w:val="0"/>
          <w:numId w:val="2"/>
        </w:numPr>
        <w:spacing w:after="70" w:line="268"/>
      </w:pPr>
      <w:r>
        <w:rPr>
          <w:rFonts w:ascii="Calibri" w:cs="Calibri" w:eastAsia="Calibri" w:hAnsi="Calibri"/>
          <w:b/>
          <w:bCs/>
          <w:sz w:val="21"/>
          <w:szCs w:val="21"/>
        </w:rPr>
        <w:t xml:space="preserve">Certificado de existencia de crédito</w:t>
      </w:r>
      <w:r>
        <w:rPr>
          <w:rFonts w:ascii="Calibri" w:cs="Calibri" w:eastAsia="Calibri" w:hAnsi="Calibri"/>
          <w:sz w:val="21"/>
          <w:szCs w:val="21"/>
        </w:rPr>
        <w:t xml:space="preserve"> por el importe del PBL con los conceptos del §M6.2 incluidos, y </w:t>
      </w:r>
      <w:r>
        <w:rPr>
          <w:rFonts w:ascii="Calibri" w:cs="Calibri" w:eastAsia="Calibri" w:hAnsi="Calibri"/>
          <w:b/>
          <w:bCs/>
          <w:sz w:val="21"/>
          <w:szCs w:val="21"/>
        </w:rPr>
        <w:t xml:space="preserve">fiscalización previa</w:t>
      </w:r>
      <w:r>
        <w:rPr>
          <w:rFonts w:ascii="Calibri" w:cs="Calibri" w:eastAsia="Calibri" w:hAnsi="Calibri"/>
          <w:sz w:val="21"/>
          <w:szCs w:val="21"/>
        </w:rPr>
        <w:t xml:space="preserve"> (art. 116.3 LCSP).</w:t>
      </w:r>
    </w:p>
    <w:p>
      <w:pPr>
        <w:pStyle w:val="ListParagraph"/>
        <w:numPr>
          <w:ilvl w:val="0"/>
          <w:numId w:val="2"/>
        </w:numPr>
        <w:spacing w:after="70" w:line="268"/>
      </w:pPr>
      <w:r>
        <w:rPr>
          <w:rFonts w:ascii="Calibri" w:cs="Calibri" w:eastAsia="Calibri" w:hAnsi="Calibri"/>
          <w:b/>
          <w:bCs/>
          <w:sz w:val="21"/>
          <w:szCs w:val="21"/>
        </w:rPr>
        <w:t xml:space="preserve">Informe de repercusiones en estabilidad presupuestaria y sostenibilidad financiera</w:t>
      </w:r>
      <w:r>
        <w:rPr>
          <w:rFonts w:ascii="Calibri" w:cs="Calibri" w:eastAsia="Calibri" w:hAnsi="Calibri"/>
          <w:sz w:val="21"/>
          <w:szCs w:val="21"/>
        </w:rPr>
        <w:t xml:space="preserve"> (DA 3.ª.3 LCSP, art. 7.3 LOEPSF).</w:t>
      </w:r>
    </w:p>
    <w:p>
      <w:pPr>
        <w:pStyle w:val="ListParagraph"/>
        <w:numPr>
          <w:ilvl w:val="0"/>
          <w:numId w:val="2"/>
        </w:numPr>
        <w:spacing w:after="70" w:line="268"/>
      </w:pPr>
      <w:r>
        <w:rPr>
          <w:rFonts w:ascii="Calibri" w:cs="Calibri" w:eastAsia="Calibri" w:hAnsi="Calibri"/>
          <w:b/>
          <w:bCs/>
          <w:sz w:val="21"/>
          <w:szCs w:val="21"/>
        </w:rPr>
        <w:t xml:space="preserve">Valor estimado</w:t>
      </w:r>
      <w:r>
        <w:rPr>
          <w:rFonts w:ascii="Calibri" w:cs="Calibri" w:eastAsia="Calibri" w:hAnsi="Calibri"/>
          <w:sz w:val="21"/>
          <w:szCs w:val="21"/>
        </w:rPr>
        <w:t xml:space="preserve"> correctamente calculado, con su método en el PCAP, computando bolsa de evolutivos, prórrogas y reservas de modificación (arts. 101.2.c y 101.5).</w:t>
      </w:r>
    </w:p>
    <w:p>
      <w:pPr>
        <w:pStyle w:val="ListParagraph"/>
        <w:numPr>
          <w:ilvl w:val="0"/>
          <w:numId w:val="2"/>
        </w:numPr>
        <w:spacing w:after="70" w:line="268"/>
      </w:pPr>
      <w:r>
        <w:rPr>
          <w:rFonts w:ascii="Calibri" w:cs="Calibri" w:eastAsia="Calibri" w:hAnsi="Calibri"/>
          <w:b/>
          <w:bCs/>
          <w:sz w:val="21"/>
          <w:szCs w:val="21"/>
        </w:rPr>
        <w:t xml:space="preserve">Compromisos plurianuales</w:t>
      </w:r>
      <w:r>
        <w:rPr>
          <w:rFonts w:ascii="Calibri" w:cs="Calibri" w:eastAsia="Calibri" w:hAnsi="Calibri"/>
          <w:sz w:val="21"/>
          <w:szCs w:val="21"/>
        </w:rPr>
        <w:t xml:space="preserve"> cuando proceda.</w:t>
      </w:r>
    </w:p>
    <w:p>
      <w:pPr>
        <w:pStyle w:val="ListParagraph"/>
        <w:numPr>
          <w:ilvl w:val="0"/>
          <w:numId w:val="2"/>
        </w:numPr>
        <w:spacing w:after="70" w:line="268"/>
      </w:pPr>
      <w:r>
        <w:rPr>
          <w:rFonts w:ascii="Calibri" w:cs="Calibri" w:eastAsia="Calibri" w:hAnsi="Calibri"/>
          <w:b/>
          <w:bCs/>
          <w:sz w:val="21"/>
          <w:szCs w:val="21"/>
        </w:rPr>
        <w:t xml:space="preserve">Consulta al directorio general de aplicaciones</w:t>
      </w:r>
      <w:r>
        <w:rPr>
          <w:rFonts w:ascii="Calibri" w:cs="Calibri" w:eastAsia="Calibri" w:hAnsi="Calibri"/>
          <w:sz w:val="21"/>
          <w:szCs w:val="21"/>
        </w:rPr>
        <w:t xml:space="preserve"> (art. 157.3 Ley 40/2015) y, en su defecto, justificación de eficiencia.</w:t>
      </w:r>
    </w:p>
    <w:p>
      <w:pPr>
        <w:pStyle w:val="ListParagraph"/>
        <w:numPr>
          <w:ilvl w:val="0"/>
          <w:numId w:val="2"/>
        </w:numPr>
        <w:spacing w:after="70" w:line="268"/>
      </w:pPr>
      <w:r>
        <w:rPr>
          <w:rFonts w:ascii="Calibri" w:cs="Calibri" w:eastAsia="Calibri" w:hAnsi="Calibri"/>
          <w:sz w:val="21"/>
          <w:szCs w:val="21"/>
        </w:rPr>
        <w:t xml:space="preserve">Que la bolsa de evolutivos, si se incorpora, dice expresamente que </w:t>
      </w:r>
      <w:r>
        <w:rPr>
          <w:rFonts w:ascii="Calibri" w:cs="Calibri" w:eastAsia="Calibri" w:hAnsi="Calibri"/>
          <w:b/>
          <w:bCs/>
          <w:sz w:val="21"/>
          <w:szCs w:val="21"/>
        </w:rPr>
        <w:t xml:space="preserve">no se abonan horas no consumidas</w:t>
      </w:r>
      <w:r>
        <w:rPr>
          <w:rFonts w:ascii="Calibri" w:cs="Calibri" w:eastAsia="Calibri" w:hAnsi="Calibri"/>
          <w:sz w:val="21"/>
          <w:szCs w:val="21"/>
        </w:rPr>
        <w:t xml:space="preserve"> y que las peticiones son de servicio y no de dirección de personal (art. 308.2 y 308.3 LCSP).</w:t>
      </w:r>
    </w:p>
    <w:p>
      <w:pPr>
        <w:pStyle w:val="ListParagraph"/>
        <w:numPr>
          <w:ilvl w:val="0"/>
          <w:numId w:val="2"/>
        </w:numPr>
        <w:spacing w:after="70" w:line="268"/>
      </w:pPr>
      <w:r>
        <w:rPr>
          <w:rFonts w:ascii="Calibri" w:cs="Calibri" w:eastAsia="Calibri" w:hAnsi="Calibri"/>
          <w:sz w:val="21"/>
          <w:szCs w:val="21"/>
        </w:rPr>
        <w:t xml:space="preserve">Que el coste del depósito de código está en el presupuesto base de licitación y no en la oferta económica (art. 100.2 LCSP).</w:t>
      </w:r>
    </w:p>
    <w:p>
      <w:pPr>
        <w:pStyle w:val="ListParagraph"/>
        <w:numPr>
          <w:ilvl w:val="0"/>
          <w:numId w:val="2"/>
        </w:numPr>
        <w:spacing w:after="70" w:line="268"/>
      </w:pPr>
      <w:r>
        <w:rPr>
          <w:rFonts w:ascii="Calibri" w:cs="Calibri" w:eastAsia="Calibri" w:hAnsi="Calibri"/>
          <w:sz w:val="21"/>
          <w:szCs w:val="21"/>
        </w:rPr>
        <w:t xml:space="preserve">Que existe </w:t>
      </w:r>
      <w:r>
        <w:rPr>
          <w:rFonts w:ascii="Calibri" w:cs="Calibri" w:eastAsia="Calibri" w:hAnsi="Calibri"/>
          <w:b/>
          <w:bCs/>
          <w:sz w:val="21"/>
          <w:szCs w:val="21"/>
        </w:rPr>
        <w:t xml:space="preserve">actor municipal designado y periodicidad</w:t>
      </w:r>
      <w:r>
        <w:rPr>
          <w:rFonts w:ascii="Calibri" w:cs="Calibri" w:eastAsia="Calibri" w:hAnsi="Calibri"/>
          <w:sz w:val="21"/>
          <w:szCs w:val="21"/>
        </w:rPr>
        <w:t xml:space="preserve"> para la verificación de cada obligación que el pliego califique como esencial. Si no lo hay, procede reparo por creación de obligaciones inverificables.</w:t>
      </w:r>
    </w:p>
    <w:p>
      <w:pPr>
        <w:pStyle w:val="ListParagraph"/>
        <w:numPr>
          <w:ilvl w:val="0"/>
          <w:numId w:val="2"/>
        </w:numPr>
        <w:spacing w:after="70" w:line="268"/>
      </w:pPr>
      <w:r>
        <w:rPr>
          <w:rFonts w:ascii="Calibri" w:cs="Calibri" w:eastAsia="Calibri" w:hAnsi="Calibri"/>
          <w:sz w:val="21"/>
          <w:szCs w:val="21"/>
        </w:rPr>
        <w:t xml:space="preserve">Que el acceso de los órganos de control interno de ADM-12·v3, cuando se incorpore, incluye número de accesos en el precio, diccionario de datos, exportación en formato abierto y permanencia en prórrogas y reversión.</w:t>
      </w:r>
    </w:p>
    <w:p>
      <w:pPr>
        <w:pStyle w:val="Heading3"/>
        <w:keepNext/>
        <w:spacing w:after="140" w:before="320"/>
      </w:pPr>
      <w:r>
        <w:rPr>
          <w:rFonts w:ascii="Georgia" w:cs="Georgia" w:eastAsia="Georgia" w:hAnsi="Georgia"/>
          <w:b/>
          <w:bCs/>
          <w:color w:val="2F5496"/>
          <w:sz w:val="22"/>
          <w:szCs w:val="22"/>
        </w:rPr>
        <w:t xml:space="preserve">M10.3 · Para el órgano de contratación y para la Concejalía promotora</w:t>
      </w:r>
    </w:p>
    <w:p>
      <w:pPr>
        <w:pStyle w:val="ListParagraph"/>
        <w:numPr>
          <w:ilvl w:val="0"/>
          <w:numId w:val="2"/>
        </w:numPr>
        <w:spacing w:after="70" w:line="268"/>
      </w:pPr>
      <w:r>
        <w:rPr>
          <w:rFonts w:ascii="Calibri" w:cs="Calibri" w:eastAsia="Calibri" w:hAnsi="Calibri"/>
          <w:b/>
          <w:bCs/>
          <w:sz w:val="21"/>
          <w:szCs w:val="21"/>
        </w:rPr>
        <w:t xml:space="preserve">Revisión anual.</w:t>
      </w:r>
      <w:r>
        <w:rPr>
          <w:rFonts w:ascii="Calibri" w:cs="Calibri" w:eastAsia="Calibri" w:hAnsi="Calibri"/>
          <w:sz w:val="21"/>
          <w:szCs w:val="21"/>
        </w:rPr>
        <w:t xml:space="preserve"> El catálogo se revisa una vez al año. El Anexo V se aprueba cada ejercicio por resolución del órgano competente, sin reabrir el articulado. Un catálogo que no se revisa caduca sin avisar.</w:t>
      </w:r>
    </w:p>
    <w:p>
      <w:pPr>
        <w:pStyle w:val="ListParagraph"/>
        <w:numPr>
          <w:ilvl w:val="0"/>
          <w:numId w:val="2"/>
        </w:numPr>
        <w:spacing w:after="70" w:line="268"/>
      </w:pPr>
      <w:r>
        <w:rPr>
          <w:rFonts w:ascii="Calibri" w:cs="Calibri" w:eastAsia="Calibri" w:hAnsi="Calibri"/>
          <w:b/>
          <w:bCs/>
          <w:sz w:val="21"/>
          <w:szCs w:val="21"/>
        </w:rPr>
        <w:t xml:space="preserve">Asunción institucional.</w:t>
      </w:r>
      <w:r>
        <w:rPr>
          <w:rFonts w:ascii="Calibri" w:cs="Calibri" w:eastAsia="Calibri" w:hAnsi="Calibri"/>
          <w:sz w:val="21"/>
          <w:szCs w:val="21"/>
        </w:rPr>
        <w:t xml:space="preserve"> Este documento debe ser revisado, validado y asumido como propio por los servicios técnicos y jurídicos municipales antes de incorporarlo a ningún pliego. No es un documento externo que se adopta: es un documento municipal que se aprueba.</w:t>
      </w:r>
    </w:p>
    <w:p>
      <w:pPr>
        <w:pStyle w:val="ListParagraph"/>
        <w:numPr>
          <w:ilvl w:val="0"/>
          <w:numId w:val="2"/>
        </w:numPr>
        <w:spacing w:after="70" w:line="268"/>
      </w:pPr>
      <w:r>
        <w:rPr>
          <w:rFonts w:ascii="Calibri" w:cs="Calibri" w:eastAsia="Calibri" w:hAnsi="Calibri"/>
          <w:b/>
          <w:bCs/>
          <w:sz w:val="21"/>
          <w:szCs w:val="21"/>
        </w:rPr>
        <w:t xml:space="preserve">Custodia y versionado.</w:t>
      </w:r>
      <w:r>
        <w:rPr>
          <w:rFonts w:ascii="Calibri" w:cs="Calibri" w:eastAsia="Calibri" w:hAnsi="Calibri"/>
          <w:sz w:val="21"/>
          <w:szCs w:val="21"/>
        </w:rPr>
        <w:t xml:space="preserve"> Debe designarse dónde vive el ejemplar maestro, quién lo versiona y cómo comprueba un redactor que tiene el vigente. Sin eso, en seis meses circularán varias versiones distintas y ninguna será la buena.</w:t>
      </w:r>
    </w:p>
    <w:p>
      <w:pPr>
        <w:pStyle w:val="ListParagraph"/>
        <w:numPr>
          <w:ilvl w:val="0"/>
          <w:numId w:val="2"/>
        </w:numPr>
        <w:spacing w:after="70" w:line="268"/>
      </w:pPr>
      <w:r>
        <w:rPr>
          <w:rFonts w:ascii="Calibri" w:cs="Calibri" w:eastAsia="Calibri" w:hAnsi="Calibri"/>
          <w:b/>
          <w:bCs/>
          <w:sz w:val="21"/>
          <w:szCs w:val="21"/>
        </w:rPr>
        <w:t xml:space="preserve">Entregables que se usan.</w:t>
      </w:r>
      <w:r>
        <w:rPr>
          <w:rFonts w:ascii="Calibri" w:cs="Calibri" w:eastAsia="Calibri" w:hAnsi="Calibri"/>
          <w:sz w:val="21"/>
          <w:szCs w:val="21"/>
        </w:rPr>
        <w:t xml:space="preserve"> El documento doctrinal no se usa para redactar: se usa para defender. Lo que se usa un martes por la mañana son los pliegos-tipo ensamblados (PPT-tipo y PCAP-tipo) para los perfiles de contrato frecuentes, con los corchetes marcados y las fichas prerrellenadas. Sin ellos, el catálogo se lee y no se aplica. </w:t>
      </w:r>
      <w:r>
        <w:rPr>
          <w:rFonts w:ascii="Calibri" w:cs="Calibri" w:eastAsia="Calibri" w:hAnsi="Calibri"/>
          <w:b/>
          <w:bCs/>
          <w:sz w:val="21"/>
          <w:szCs w:val="21"/>
        </w:rPr>
        <w:t xml:space="preserve">Esta versión no los entrega</w:t>
      </w:r>
      <w:r>
        <w:rPr>
          <w:rFonts w:ascii="Calibri" w:cs="Calibri" w:eastAsia="Calibri" w:hAnsi="Calibri"/>
          <w:sz w:val="21"/>
          <w:szCs w:val="21"/>
        </w:rPr>
        <w:t xml:space="preserve">: así consta en la nota de alcance de la Parte VII y en la fila 14 del §M11, con el compromiso abierto.</w:t>
      </w:r>
    </w:p>
    <w:p>
      <w:pPr>
        <w:pStyle w:val="ListParagraph"/>
        <w:numPr>
          <w:ilvl w:val="0"/>
          <w:numId w:val="2"/>
        </w:numPr>
        <w:spacing w:after="70" w:line="268"/>
      </w:pPr>
      <w:r>
        <w:rPr>
          <w:rFonts w:ascii="Calibri" w:cs="Calibri" w:eastAsia="Calibri" w:hAnsi="Calibri"/>
          <w:b/>
          <w:bCs/>
          <w:sz w:val="21"/>
          <w:szCs w:val="21"/>
        </w:rPr>
        <w:t xml:space="preserve">Piloto.</w:t>
      </w:r>
      <w:r>
        <w:rPr>
          <w:rFonts w:ascii="Calibri" w:cs="Calibri" w:eastAsia="Calibri" w:hAnsi="Calibri"/>
          <w:sz w:val="21"/>
          <w:szCs w:val="21"/>
        </w:rPr>
        <w:t xml:space="preserve"> El expediente que ya se redactó con el clausulado anterior debe rehacerse con este texto e informarse </w:t>
      </w:r>
      <w:r>
        <w:rPr>
          <w:rFonts w:ascii="Calibri" w:cs="Calibri" w:eastAsia="Calibri" w:hAnsi="Calibri"/>
          <w:b/>
          <w:bCs/>
          <w:sz w:val="21"/>
          <w:szCs w:val="21"/>
        </w:rPr>
        <w:t xml:space="preserve">antes</w:t>
      </w:r>
      <w:r>
        <w:rPr>
          <w:rFonts w:ascii="Calibri" w:cs="Calibri" w:eastAsia="Calibri" w:hAnsi="Calibri"/>
          <w:sz w:val="21"/>
          <w:szCs w:val="21"/>
        </w:rPr>
        <w:t xml:space="preserve"> de publicar el catálogo en abierto. Publicar un modelo cuya primera aplicación arrastra los defectos que el propio modelo corrige es la forma más rápida de convertirse en el ejemplo de lo que no hay que hacer.</w:t>
      </w:r>
    </w:p>
    <w:p>
      <w:pPr>
        <w:pStyle w:val="ListParagraph"/>
        <w:numPr>
          <w:ilvl w:val="0"/>
          <w:numId w:val="2"/>
        </w:numPr>
        <w:spacing w:after="70" w:line="268"/>
      </w:pPr>
      <w:r>
        <w:rPr>
          <w:rFonts w:ascii="Calibri" w:cs="Calibri" w:eastAsia="Calibri" w:hAnsi="Calibri"/>
          <w:b/>
          <w:bCs/>
          <w:sz w:val="21"/>
          <w:szCs w:val="21"/>
        </w:rPr>
        <w:t xml:space="preserve">Evaluación.</w:t>
      </w:r>
      <w:r>
        <w:rPr>
          <w:rFonts w:ascii="Calibri" w:cs="Calibri" w:eastAsia="Calibri" w:hAnsi="Calibri"/>
          <w:sz w:val="21"/>
          <w:szCs w:val="21"/>
        </w:rPr>
        <w:t xml:space="preserve"> Informe a los seis y a los doce meses de la primera aplicación sobre concurrencia obtenida (número de licitadores frente a licitaciones comparables anteriores), incidencias en ejecución, recursos interpuestos y su resultado, y propuesta de ajuste del catálogo y del Anexo V.</w:t>
      </w:r>
    </w:p>
    <w:p>
      <w:pPr>
        <w:pStyle w:val="Heading3"/>
        <w:keepNext/>
        <w:spacing w:after="140" w:before="320"/>
      </w:pPr>
      <w:r>
        <w:rPr>
          <w:rFonts w:ascii="Georgia" w:cs="Georgia" w:eastAsia="Georgia" w:hAnsi="Georgia"/>
          <w:b/>
          <w:bCs/>
          <w:color w:val="2F5496"/>
          <w:sz w:val="22"/>
          <w:szCs w:val="22"/>
        </w:rPr>
        <w:t xml:space="preserve">M10.4 · Para cualquier administración que reutilice este documento</w:t>
      </w:r>
    </w:p>
    <w:p>
      <w:pPr>
        <w:spacing w:after="140" w:line="276"/>
      </w:pPr>
      <w:r>
        <w:rPr>
          <w:rFonts w:ascii="Calibri" w:cs="Calibri" w:eastAsia="Calibri" w:hAnsi="Calibri"/>
          <w:sz w:val="21"/>
          <w:szCs w:val="21"/>
        </w:rPr>
        <w:t xml:space="preserve">Copiarlo literalmente sin sustituir lo que sigue </w:t>
      </w:r>
      <w:r>
        <w:rPr>
          <w:rFonts w:ascii="Calibri" w:cs="Calibri" w:eastAsia="Calibri" w:hAnsi="Calibri"/>
          <w:b/>
          <w:bCs/>
          <w:sz w:val="21"/>
          <w:szCs w:val="21"/>
        </w:rPr>
        <w:t xml:space="preserve">reproduce el vicio, no la protección</w:t>
      </w:r>
      <w:r>
        <w:rPr>
          <w:rFonts w:ascii="Calibri" w:cs="Calibri" w:eastAsia="Calibri" w:hAnsi="Calibri"/>
          <w:sz w:val="21"/>
          <w:szCs w:val="21"/>
        </w:rPr>
        <w:t xml:space="preserv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hay que sustituir obligatoriamente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Dónde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que emite el informe jurídico preceptivo (Asesoría Jurídica / Secretaría, según régimen)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§M10.1 y Parte V</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gobierno competente para aprobar el catálogo y el Anexo V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§M1.2 y Anexos VIII y XV</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Tribunal competente para el recurso especial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§M9</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Categoría ENS de cada sistema, determinada conforme al Anexo I del RD 311/2022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Todos los valores entre corchetes del §M4.2 y del Anexo X</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Todo el documento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V del ejercicio, con su contraste de mercado propio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V</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Declaraciones de conflicto de interés, con sus propios intervinientes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§M7 y Anexo IX</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Umbrales económicos vigentes en la fecha de la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X, apartado X.2</w:t>
            </w:r>
          </w:p>
        </w:tc>
      </w:tr>
    </w:tbl>
    <w:p>
      <w:pPr>
        <w:spacing w:after="200"/>
      </w:pP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M11 · Lo que esta memoria no acredita</w:t>
      </w:r>
    </w:p>
    <w:p>
      <w:pPr>
        <w:spacing w:after="140" w:line="276"/>
      </w:pPr>
      <w:r>
        <w:rPr>
          <w:rFonts w:ascii="Calibri" w:cs="Calibri" w:eastAsia="Calibri" w:hAnsi="Calibri"/>
          <w:sz w:val="21"/>
          <w:szCs w:val="21"/>
        </w:rPr>
        <w:t xml:space="preserve">Se enumera por escrito, con fecha, para que no lo enumere primero un recurrente. Los tres primeros puntos son </w:t>
      </w:r>
      <w:r>
        <w:rPr>
          <w:rFonts w:ascii="Calibri" w:cs="Calibri" w:eastAsia="Calibri" w:hAnsi="Calibri"/>
          <w:b/>
          <w:bCs/>
          <w:sz w:val="21"/>
          <w:szCs w:val="21"/>
        </w:rPr>
        <w:t xml:space="preserve">condiciones suspensivas de aplicación</w:t>
      </w:r>
      <w:r>
        <w:rPr>
          <w:rFonts w:ascii="Calibri" w:cs="Calibri" w:eastAsia="Calibri" w:hAnsi="Calibri"/>
          <w:sz w:val="21"/>
          <w:szCs w:val="21"/>
        </w:rPr>
        <w:t xml:space="preserve">: mientras no se cumplan, ninguna cláusula de este catálogo debe incorporarse a un expediente de contratación, y en particular a ninguno que supere el umbral del recurso especial.</w:t>
      </w:r>
    </w:p>
    <w:p>
      <w:pPr>
        <w:spacing w:after="140" w:line="276"/>
      </w:pPr>
      <w:r>
        <w:rPr>
          <w:rFonts w:ascii="Calibri" w:cs="Calibri" w:eastAsia="Calibri" w:hAnsi="Calibri"/>
          <w:b/>
          <w:bCs/>
          <w:sz w:val="21"/>
          <w:szCs w:val="21"/>
        </w:rPr>
        <w:t xml:space="preserve">Publicar no es aplicar, y aquí no es lo mismo.</w:t>
      </w:r>
      <w:r>
        <w:rPr>
          <w:rFonts w:ascii="Calibri" w:cs="Calibri" w:eastAsia="Calibri" w:hAnsi="Calibri"/>
          <w:sz w:val="21"/>
          <w:szCs w:val="21"/>
        </w:rPr>
        <w:t xml:space="preserve"> Estas condiciones no impiden la publicación del catálogo en abierto; impiden su incorporación a un expediente. La distinción no es cómoda, es la que se sigue del propio §M7.3, medida 6: la publicación íntegra y anticipada es </w:t>
      </w:r>
      <w:r>
        <w:rPr>
          <w:rFonts w:ascii="Calibri" w:cs="Calibri" w:eastAsia="Calibri" w:hAnsi="Calibri"/>
          <w:b/>
          <w:bCs/>
          <w:sz w:val="21"/>
          <w:szCs w:val="21"/>
        </w:rPr>
        <w:t xml:space="preserve">una de las medidas del artículo 70 LCSP que este documento adopta</w:t>
      </w:r>
      <w:r>
        <w:rPr>
          <w:rFonts w:ascii="Calibri" w:cs="Calibri" w:eastAsia="Calibri" w:hAnsi="Calibri"/>
          <w:sz w:val="21"/>
          <w:szCs w:val="21"/>
        </w:rPr>
        <w:t xml:space="preserve">, porque pone a disposición de todo el mercado, y antes de cualquier licitación, la misma información de la que dispusieron quienes lo elaboraron. Retrasar la publicación hasta que las condiciones se cumplan agravaría la asimetría informativa en lugar de corregirla, y dejaría durante meses en manos de unos pocos lo que ahora está en las de todos.</w:t>
      </w:r>
    </w:p>
    <w:p>
      <w:pPr>
        <w:spacing w:after="140" w:line="276"/>
      </w:pPr>
      <w:r>
        <w:rPr>
          <w:rFonts w:ascii="Calibri" w:cs="Calibri" w:eastAsia="Calibri" w:hAnsi="Calibri"/>
          <w:sz w:val="21"/>
          <w:szCs w:val="21"/>
        </w:rPr>
        <w:t xml:space="preserve">Por eso el catálogo se publica </w:t>
      </w:r>
      <w:r>
        <w:rPr>
          <w:rFonts w:ascii="Calibri" w:cs="Calibri" w:eastAsia="Calibri" w:hAnsi="Calibri"/>
          <w:b/>
          <w:bCs/>
          <w:sz w:val="21"/>
          <w:szCs w:val="21"/>
        </w:rPr>
        <w:t xml:space="preserve">para el debate</w:t>
      </w:r>
      <w:r>
        <w:rPr>
          <w:rFonts w:ascii="Calibri" w:cs="Calibri" w:eastAsia="Calibri" w:hAnsi="Calibri"/>
          <w:sz w:val="21"/>
          <w:szCs w:val="21"/>
        </w:rPr>
        <w:t xml:space="preserve">, con el estado de cada condición a la vista en la primera página y actualizado cuando cambie, y no como modelo listo para incorporarse a un expediente.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falta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Precepto o motivo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Estado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Acuerdo del órgano de gobierno</w:t>
            </w:r>
            <w:r>
              <w:rPr>
                <w:rFonts w:ascii="Calibri" w:cs="Calibri" w:eastAsia="Calibri" w:hAnsi="Calibri"/>
                <w:b w:val="false"/>
                <w:bCs w:val="false"/>
                <w:sz w:val="18"/>
                <w:szCs w:val="18"/>
              </w:rPr>
              <w:t xml:space="preserve"> que apruebe el plan municipal del que nace la necesidad institucional, el catálogo y el Anexo V del ejercicio, con fecha, versión y órgano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28.1 y 116.4.e) LCSP; art. 122.4 LCSP, conforme al cual «</w:t>
            </w:r>
            <w:r>
              <w:rPr>
                <w:rFonts w:ascii="Calibri" w:cs="Calibri" w:eastAsia="Calibri" w:hAnsi="Calibri"/>
                <w:b w:val="false"/>
                <w:bCs w:val="false"/>
                <w:i/>
                <w:iCs/>
                <w:sz w:val="18"/>
                <w:szCs w:val="18"/>
              </w:rPr>
              <w:t xml:space="preserve">los contratos se ajustarán al contenido de los pliegos de cláusulas administrativas particulares, cuyas cláusulas se consideran parte integrante de los mismos</w:t>
            </w:r>
            <w:r>
              <w:rPr>
                <w:rFonts w:ascii="Calibri" w:cs="Calibri" w:eastAsia="Calibri" w:hAnsi="Calibri"/>
                <w:b w:val="false"/>
                <w:bCs w:val="false"/>
                <w:sz w:val="18"/>
                <w:szCs w:val="18"/>
              </w:rPr>
              <w:t xml:space="preserve">», que es lo que hace del Anexo V transcrito </w:t>
            </w:r>
            <w:r>
              <w:rPr>
                <w:rFonts w:ascii="Calibri" w:cs="Calibri" w:eastAsia="Calibri" w:hAnsi="Calibri"/>
                <w:b w:val="false"/>
                <w:bCs w:val="false"/>
                <w:i/>
                <w:iCs/>
                <w:sz w:val="18"/>
                <w:szCs w:val="18"/>
              </w:rPr>
              <w:t xml:space="preserve">lex contractus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Pendiente. Condición suspensiva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Consulta preliminar del mercado publicada y contraste documentado del Anexo 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115 LCSP; §M3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Pendiente. Condición suspensiva.</w:t>
            </w:r>
            <w:r>
              <w:rPr>
                <w:rFonts w:ascii="Calibri" w:cs="Calibri" w:eastAsia="Calibri" w:hAnsi="Calibri"/>
                <w:b w:val="false"/>
                <w:bCs w:val="false"/>
                <w:sz w:val="18"/>
                <w:szCs w:val="18"/>
              </w:rPr>
              <w:t xml:space="preserve"> Sin ella, M3 afirma la neutralidad sin probarla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Declaraciones de conflicto de interés firmadas</w:t>
            </w:r>
            <w:r>
              <w:rPr>
                <w:rFonts w:ascii="Calibri" w:cs="Calibri" w:eastAsia="Calibri" w:hAnsi="Calibri"/>
                <w:b w:val="false"/>
                <w:bCs w:val="false"/>
                <w:sz w:val="18"/>
                <w:szCs w:val="18"/>
              </w:rPr>
              <w:t xml:space="preserve">, con nombres, incorporadas al expediente antes de la aprobación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64 y 70 LCSP; §M7</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Pendiente. Condición suspensiva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Informe firmado y fechado</w:t>
            </w:r>
            <w:r>
              <w:rPr>
                <w:rFonts w:ascii="Calibri" w:cs="Calibri" w:eastAsia="Calibri" w:hAnsi="Calibri"/>
                <w:b w:val="false"/>
                <w:bCs w:val="false"/>
                <w:sz w:val="18"/>
                <w:szCs w:val="18"/>
              </w:rPr>
              <w:t xml:space="preserve"> de los servicios competentes sobre el catálogo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§M1.1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Pendiente. Solicitar antes de aplicar el catálogo a un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Copia de cada resolución, informe y guía citada</w:t>
            </w:r>
            <w:r>
              <w:rPr>
                <w:rFonts w:ascii="Calibri" w:cs="Calibri" w:eastAsia="Calibri" w:hAnsi="Calibri"/>
                <w:b w:val="false"/>
                <w:bCs w:val="false"/>
                <w:sz w:val="18"/>
                <w:szCs w:val="18"/>
              </w:rPr>
              <w:t xml:space="preserve">, incorporada al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§M8.3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Pendiente. Lo que no se incorpore, se retira del texto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Cifras reales de coste</w:t>
            </w:r>
            <w:r>
              <w:rPr>
                <w:rFonts w:ascii="Calibri" w:cs="Calibri" w:eastAsia="Calibri" w:hAnsi="Calibri"/>
                <w:b w:val="false"/>
                <w:bCs w:val="false"/>
                <w:sz w:val="18"/>
                <w:szCs w:val="18"/>
              </w:rPr>
              <w:t xml:space="preserve"> por presupuesto solicitado o consulta de mercado, sustituyendo los órdenes de magnitud del §M6.2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100.2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Pendiente por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Certificado de crédito, fiscalización previa e informe de estabilidad presupuestaria</w:t>
            </w:r>
            <w:r>
              <w:rPr>
                <w:rFonts w:ascii="Calibri" w:cs="Calibri" w:eastAsia="Calibri" w:hAnsi="Calibri"/>
                <w:b w:val="false"/>
                <w:bCs w:val="false"/>
                <w:sz w:val="18"/>
                <w:szCs w:val="18"/>
              </w:rPr>
              <w:t xml:space="preserve"> de cada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116.3 y DA 3.ª.3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Determinación de la categoría ENS y análisis de riesgos</w:t>
            </w:r>
            <w:r>
              <w:rPr>
                <w:rFonts w:ascii="Calibri" w:cs="Calibri" w:eastAsia="Calibri" w:hAnsi="Calibri"/>
                <w:b w:val="false"/>
                <w:bCs w:val="false"/>
                <w:sz w:val="18"/>
                <w:szCs w:val="18"/>
              </w:rPr>
              <w:t xml:space="preserve"> de cada sistema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2.3, 38.1 y 40 RD 311/2022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9</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Consulta al directorio general de aplicaciones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157.3 Ley 40/2015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Informe de insuficiencia de medios</w:t>
            </w:r>
            <w:r>
              <w:rPr>
                <w:rFonts w:ascii="Calibri" w:cs="Calibri" w:eastAsia="Calibri" w:hAnsi="Calibri"/>
                <w:b w:val="false"/>
                <w:bCs w:val="false"/>
                <w:sz w:val="18"/>
                <w:szCs w:val="18"/>
              </w:rPr>
              <w:t xml:space="preserve"> en los contratos de servicios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116.4.f)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11</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Estado de los expedientes que ya se hayan redactado con el clausulado anterior</w:t>
            </w:r>
            <w:r>
              <w:rPr>
                <w:rFonts w:ascii="Calibri" w:cs="Calibri" w:eastAsia="Calibri" w:hAnsi="Calibri"/>
                <w:b w:val="false"/>
                <w:bCs w:val="false"/>
                <w:sz w:val="18"/>
                <w:szCs w:val="18"/>
              </w:rPr>
              <w:t xml:space="preserve">: si están aprobados, procede rectificación previa a licitar, no simple revisión (tabla VI.6)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§M10.3.5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comprobar por cada administración que adopte el catálogo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Comprobación, antes de cada expediente, de que sigue vigente la designación de las normas técnicas citadas</w:t>
            </w:r>
            <w:r>
              <w:rPr>
                <w:rFonts w:ascii="Calibri" w:cs="Calibri" w:eastAsia="Calibri" w:hAnsi="Calibri"/>
                <w:b w:val="false"/>
                <w:bCs w:val="false"/>
                <w:sz w:val="18"/>
                <w:szCs w:val="18"/>
              </w:rPr>
              <w:t xml:space="preserve"> —la designación está fijada en ADM-1·v3 y las equivalencias admisibles, en el Anexo XXI— y de que ninguna afirmación sobre presunción de conformidad se hace sin fuente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93.2 LCSP; Anexo XI, apartado XI.3; Anexo XXI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Verificación de la fecha e instrumento</w:t>
            </w:r>
            <w:r>
              <w:rPr>
                <w:rFonts w:ascii="Calibri" w:cs="Calibri" w:eastAsia="Calibri" w:hAnsi="Calibri"/>
                <w:b w:val="false"/>
                <w:bCs w:val="false"/>
                <w:sz w:val="18"/>
                <w:szCs w:val="18"/>
              </w:rPr>
              <w:t xml:space="preserve"> por el que el municipio se rige por el régimen de gran población, tomada del expediente municipal y no de fuentes secundarias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§M10.1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Pendiente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14</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Pliegos-tipo ensamblados</w:t>
            </w:r>
            <w:r>
              <w:rPr>
                <w:rFonts w:ascii="Calibri" w:cs="Calibri" w:eastAsia="Calibri" w:hAnsi="Calibri"/>
                <w:b w:val="false"/>
                <w:bCs w:val="false"/>
                <w:sz w:val="18"/>
                <w:szCs w:val="18"/>
              </w:rPr>
              <w:t xml:space="preserve"> (PPT-tipo y PCAP-tipo) para los perfiles de contrato frecuentes, con los corchetes marcados y las fichas prerrellenadas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§M10.3.4; nota de alcance de la Parte VII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Pendiente. Compromiso abierto: sin ellos el catálogo se lee y no se aplica</w:t>
            </w:r>
          </w:p>
        </w:tc>
      </w:tr>
    </w:tbl>
    <w:p>
      <w:pPr>
        <w:spacing w:after="200"/>
      </w:pPr>
    </w:p>
    <w:p>
      <w:pPr>
        <w:spacing w:after="140" w:line="276"/>
      </w:pPr>
      <w:r>
        <w:rPr>
          <w:rFonts w:ascii="Calibri" w:cs="Calibri" w:eastAsia="Calibri" w:hAnsi="Calibri"/>
          <w:b/>
          <w:bCs/>
          <w:sz w:val="21"/>
          <w:szCs w:val="21"/>
        </w:rPr>
        <w:t xml:space="preserve">Efecto de este cuadro.</w:t>
      </w:r>
      <w:r>
        <w:rPr>
          <w:rFonts w:ascii="Calibri" w:cs="Calibri" w:eastAsia="Calibri" w:hAnsi="Calibri"/>
          <w:sz w:val="21"/>
          <w:szCs w:val="21"/>
        </w:rPr>
        <w:t xml:space="preserve"> No debilita el catálogo: lo hace fiscalizable. Un órgano de control puede informar favorablemente un instrumento cuyas carencias están enumeradas, fechadas y asignadas. No puede informar favorablemente uno que se presenta como completo y no lo está.</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PARTE V · CIRCUITO DEL EXPEDIENTE Y DOCUMENTOS EXIGIBLES</w:t>
      </w:r>
    </w:p>
    <w:p>
      <w:pPr>
        <w:spacing w:after="140" w:line="276"/>
      </w:pPr>
      <w:r>
        <w:rPr>
          <w:rFonts w:ascii="Calibri" w:cs="Calibri" w:eastAsia="Calibri" w:hAnsi="Calibri"/>
          <w:sz w:val="21"/>
          <w:szCs w:val="21"/>
        </w:rPr>
        <w:t xml:space="preserve">Esta Parte no contiene cláusulas. Contiene el expediente: qué papeles hay que producir para que las cláusulas de las Partes II y III puedan incorporarse a un pliego sin que la incorporación sea, ella misma, el vicio.</w:t>
      </w:r>
    </w:p>
    <w:p>
      <w:pPr>
        <w:spacing w:after="140" w:line="276"/>
      </w:pPr>
      <w:r>
        <w:rPr>
          <w:rFonts w:ascii="Calibri" w:cs="Calibri" w:eastAsia="Calibri" w:hAnsi="Calibri"/>
          <w:sz w:val="21"/>
          <w:szCs w:val="21"/>
        </w:rPr>
        <w:t xml:space="preserve">Está escrita para dos lectores concretos. El primero es el funcionario de Administración local con habilitación de carácter nacional que tiene que informar o fiscalizar el expediente: encontrará aquí, documento por documento, el precepto que lo impone, quién lo firma, qué debe decir y qué se publica. El segundo es el técnico de contratación que tiene que redactar un pliego un martes por la mañana: encontrará el orden de los pasos, los valores por defecto de cada parámetro y la lista de comprobación final.</w:t>
      </w:r>
    </w:p>
    <w:p>
      <w:pPr>
        <w:spacing w:after="140" w:line="276"/>
      </w:pPr>
      <w:r>
        <w:rPr>
          <w:rFonts w:ascii="Calibri" w:cs="Calibri" w:eastAsia="Calibri" w:hAnsi="Calibri"/>
          <w:sz w:val="21"/>
          <w:szCs w:val="21"/>
        </w:rPr>
        <w:t xml:space="preserve">La Parte IV justifica el catálogo ante los órganos de control. Esta Parte V hace lo contrario: da por justificado el catálogo y describe el trabajo que hay que hacer </w:t>
      </w:r>
      <w:r>
        <w:rPr>
          <w:rFonts w:ascii="Calibri" w:cs="Calibri" w:eastAsia="Calibri" w:hAnsi="Calibri"/>
          <w:b/>
          <w:bCs/>
          <w:sz w:val="21"/>
          <w:szCs w:val="21"/>
        </w:rPr>
        <w:t xml:space="preserve">en cada expediente</w:t>
      </w:r>
      <w:r>
        <w:rPr>
          <w:rFonts w:ascii="Calibri" w:cs="Calibri" w:eastAsia="Calibri" w:hAnsi="Calibri"/>
          <w:sz w:val="21"/>
          <w:szCs w:val="21"/>
        </w:rPr>
        <w:t xml:space="preserve">. Son cosas distintas y no se sustituyen. La memoria del catálogo no es la memoria justificativa de ningún contrato.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V.1 · Cómo se usa esta Parte</w:t>
      </w:r>
    </w:p>
    <w:p>
      <w:pPr>
        <w:pStyle w:val="Heading3"/>
        <w:keepNext/>
        <w:spacing w:after="140" w:before="320"/>
      </w:pPr>
      <w:r>
        <w:rPr>
          <w:rFonts w:ascii="Georgia" w:cs="Georgia" w:eastAsia="Georgia" w:hAnsi="Georgia"/>
          <w:b/>
          <w:bCs/>
          <w:color w:val="2F5496"/>
          <w:sz w:val="22"/>
          <w:szCs w:val="22"/>
        </w:rPr>
        <w:t xml:space="preserve">V.1.1 · Convención de bloques</w:t>
      </w:r>
    </w:p>
    <w:p>
      <w:pPr>
        <w:spacing w:after="140" w:line="276"/>
      </w:pPr>
      <w:r>
        <w:rPr>
          <w:rFonts w:ascii="Calibri" w:cs="Calibri" w:eastAsia="Calibri" w:hAnsi="Calibri"/>
          <w:sz w:val="21"/>
          <w:szCs w:val="21"/>
        </w:rPr>
        <w:t xml:space="preserve">En las Partes II y III el bloque </w:t>
      </w:r>
      <w:r>
        <w:rPr>
          <w:rFonts w:ascii="Calibri" w:cs="Calibri" w:eastAsia="Calibri" w:hAnsi="Calibri"/>
          <w:color w:val="2F5496"/>
          <w:sz w:val="21"/>
          <w:szCs w:val="21"/>
        </w:rPr>
        <w:t xml:space="preserve">:::pliego</w:t>
      </w:r>
      <w:r>
        <w:rPr>
          <w:rFonts w:ascii="Calibri" w:cs="Calibri" w:eastAsia="Calibri" w:hAnsi="Calibri"/>
          <w:sz w:val="21"/>
          <w:szCs w:val="21"/>
        </w:rPr>
        <w:t xml:space="preserve"> delimita el texto que se copia literalmente a un PPT o a un PCAP. En esta Parte casi nada se copia a un pliego, porque los documentos del expediente no son pliego: son expediente. Por eso:</w:t>
      </w:r>
    </w:p>
    <w:p>
      <w:pPr>
        <w:pStyle w:val="ListParagraph"/>
        <w:numPr>
          <w:ilvl w:val="0"/>
          <w:numId w:val="1"/>
        </w:numPr>
        <w:spacing w:after="70" w:line="268"/>
      </w:pPr>
      <w:r>
        <w:rPr>
          <w:rFonts w:ascii="Calibri" w:cs="Calibri" w:eastAsia="Calibri" w:hAnsi="Calibri"/>
          <w:sz w:val="21"/>
          <w:szCs w:val="21"/>
        </w:rPr>
        <w:t xml:space="preserve">Los </w:t>
      </w:r>
      <w:r>
        <w:rPr>
          <w:rFonts w:ascii="Calibri" w:cs="Calibri" w:eastAsia="Calibri" w:hAnsi="Calibri"/>
          <w:b/>
          <w:bCs/>
          <w:sz w:val="21"/>
          <w:szCs w:val="21"/>
        </w:rPr>
        <w:t xml:space="preserve">modelos de texto de documentos del expediente</w:t>
      </w:r>
      <w:r>
        <w:rPr>
          <w:rFonts w:ascii="Calibri" w:cs="Calibri" w:eastAsia="Calibri" w:hAnsi="Calibri"/>
          <w:sz w:val="21"/>
          <w:szCs w:val="21"/>
        </w:rPr>
        <w:t xml:space="preserve"> (párrafo de cierre del informe de necesidad, parte dispositiva del acuerdo del órgano de gobierno) van delimitados por las marcas </w:t>
      </w:r>
      <w:r>
        <w:rPr>
          <w:rFonts w:ascii="Calibri" w:cs="Calibri" w:eastAsia="Calibri" w:hAnsi="Calibri"/>
          <w:color w:val="2F5496"/>
          <w:sz w:val="21"/>
          <w:szCs w:val="21"/>
        </w:rPr>
        <w:t xml:space="preserve">---- INICIO DEL MODELO ----</w:t>
      </w:r>
      <w:r>
        <w:rPr>
          <w:rFonts w:ascii="Calibri" w:cs="Calibri" w:eastAsia="Calibri" w:hAnsi="Calibri"/>
          <w:sz w:val="21"/>
          <w:szCs w:val="21"/>
        </w:rPr>
        <w:t xml:space="preserve"> y </w:t>
      </w:r>
      <w:r>
        <w:rPr>
          <w:rFonts w:ascii="Calibri" w:cs="Calibri" w:eastAsia="Calibri" w:hAnsi="Calibri"/>
          <w:color w:val="2F5496"/>
          <w:sz w:val="21"/>
          <w:szCs w:val="21"/>
        </w:rPr>
        <w:t xml:space="preserve">---- FIN DEL MODELO ----</w:t>
      </w:r>
      <w:r>
        <w:rPr>
          <w:rFonts w:ascii="Calibri" w:cs="Calibri" w:eastAsia="Calibri" w:hAnsi="Calibri"/>
          <w:sz w:val="21"/>
          <w:szCs w:val="21"/>
        </w:rPr>
        <w:t xml:space="preserve">, que es la convención única de modelo en todo el documento, y </w:t>
      </w:r>
      <w:r>
        <w:rPr>
          <w:rFonts w:ascii="Calibri" w:cs="Calibri" w:eastAsia="Calibri" w:hAnsi="Calibri"/>
          <w:b/>
          <w:bCs/>
          <w:sz w:val="21"/>
          <w:szCs w:val="21"/>
        </w:rPr>
        <w:t xml:space="preserve">no</w:t>
      </w:r>
      <w:r>
        <w:rPr>
          <w:rFonts w:ascii="Calibri" w:cs="Calibri" w:eastAsia="Calibri" w:hAnsi="Calibri"/>
          <w:sz w:val="21"/>
          <w:szCs w:val="21"/>
        </w:rPr>
        <w:t xml:space="preserve"> llevan la marca </w:t>
      </w:r>
      <w:r>
        <w:rPr>
          <w:rFonts w:ascii="Calibri" w:cs="Calibri" w:eastAsia="Calibri" w:hAnsi="Calibri"/>
          <w:color w:val="2F5496"/>
          <w:sz w:val="21"/>
          <w:szCs w:val="21"/>
        </w:rPr>
        <w:t xml:space="preserve">:::pliego</w:t>
      </w:r>
      <w:r>
        <w:rPr>
          <w:rFonts w:ascii="Calibri" w:cs="Calibri" w:eastAsia="Calibri" w:hAnsi="Calibri"/>
          <w:sz w:val="21"/>
          <w:szCs w:val="21"/>
        </w:rPr>
        <w:t xml:space="preserve">. Se adaptan; no se copian a ciegas.</w:t>
      </w:r>
    </w:p>
    <w:p>
      <w:pPr>
        <w:pStyle w:val="ListParagraph"/>
        <w:numPr>
          <w:ilvl w:val="0"/>
          <w:numId w:val="1"/>
        </w:numPr>
        <w:spacing w:after="70" w:line="268"/>
      </w:pPr>
      <w:r>
        <w:rPr>
          <w:rFonts w:ascii="Calibri" w:cs="Calibri" w:eastAsia="Calibri" w:hAnsi="Calibri"/>
          <w:sz w:val="21"/>
          <w:szCs w:val="21"/>
        </w:rPr>
        <w:t xml:space="preserve">Sólo hay </w:t>
      </w:r>
      <w:r>
        <w:rPr>
          <w:rFonts w:ascii="Calibri" w:cs="Calibri" w:eastAsia="Calibri" w:hAnsi="Calibri"/>
          <w:b/>
          <w:bCs/>
          <w:sz w:val="21"/>
          <w:szCs w:val="21"/>
        </w:rPr>
        <w:t xml:space="preserve">tres bloques </w:t>
      </w:r>
      <w:r>
        <w:rPr>
          <w:rFonts w:ascii="Calibri" w:cs="Calibri" w:eastAsia="Calibri" w:hAnsi="Calibri"/>
          <w:b/>
          <w:bCs/>
          <w:color w:val="2F5496"/>
          <w:sz w:val="21"/>
          <w:szCs w:val="21"/>
        </w:rPr>
        <w:t xml:space="preserve">:::pliego</w:t>
      </w:r>
      <w:r>
        <w:rPr>
          <w:rFonts w:ascii="Calibri" w:cs="Calibri" w:eastAsia="Calibri" w:hAnsi="Calibri"/>
          <w:sz w:val="21"/>
          <w:szCs w:val="21"/>
        </w:rPr>
        <w:t xml:space="preserve"> en toda la Parte V, y son los tres únicos textos de esta Parte que sí van dentro de un pliego: el método de cálculo del valor estimado (V.4.10), la identificación de la versión del catálogo aplicada (V.8.4) y la transcripción del Anexo V con cierre de versión (V.8.5).</w:t>
      </w:r>
    </w:p>
    <w:p>
      <w:pPr>
        <w:pStyle w:val="Heading3"/>
        <w:keepNext/>
        <w:spacing w:after="140" w:before="320"/>
      </w:pPr>
      <w:r>
        <w:rPr>
          <w:rFonts w:ascii="Georgia" w:cs="Georgia" w:eastAsia="Georgia" w:hAnsi="Georgia"/>
          <w:b/>
          <w:bCs/>
          <w:color w:val="2F5496"/>
          <w:sz w:val="22"/>
          <w:szCs w:val="22"/>
        </w:rPr>
        <w:t xml:space="preserve">V.1.2 · Los actores, escritos de forma reutilizable</w:t>
      </w:r>
    </w:p>
    <w:p>
      <w:pPr>
        <w:spacing w:after="140" w:line="276"/>
      </w:pPr>
      <w:r>
        <w:rPr>
          <w:rFonts w:ascii="Calibri" w:cs="Calibri" w:eastAsia="Calibri" w:hAnsi="Calibri"/>
          <w:sz w:val="21"/>
          <w:szCs w:val="21"/>
        </w:rPr>
        <w:t xml:space="preserve">Este documento se publica para que lo reutilice cualquier administración española. Los órganos se nombran, por tanto, por su función, y el régimen de un municipio de gran población aparece en la última columna como ejemplo. Quien copie el documento sustituye el paréntesis y no toca el resto.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Función en el circuito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Denominación reutilizable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En un municipio de gran población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Determina la necesidad y aprueba el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 (DA 2.ª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Junta de Gobierno Local, cualquiera que sea el importe y la duración (DA 2.ª.4 LCSP, por ser municipio de gran población del Título X LBRL)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Aprueba los pliegos de cláusulas administrativas </w:t>
            </w:r>
            <w:r>
              <w:rPr>
                <w:rFonts w:ascii="Calibri" w:cs="Calibri" w:eastAsia="Calibri" w:hAnsi="Calibri"/>
                <w:b/>
                <w:bCs/>
                <w:sz w:val="18"/>
                <w:szCs w:val="18"/>
              </w:rPr>
              <w:t xml:space="preserve">generales</w:t>
            </w:r>
            <w:r>
              <w:rPr>
                <w:rFonts w:ascii="Calibri" w:cs="Calibri" w:eastAsia="Calibri" w:hAnsi="Calibri"/>
                <w:b w:val="false"/>
                <w:bCs w:val="false"/>
                <w:sz w:val="18"/>
                <w:szCs w:val="18"/>
              </w:rPr>
              <w:t xml:space="preserve">, si se aprobaran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Pleno, previo dictamen del órgano consultivo autonómico o del Consejo de Estado (arts. 121.2 LCSP y DA 2.ª.4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Pleno — </w:t>
            </w:r>
            <w:r>
              <w:rPr>
                <w:rFonts w:ascii="Calibri" w:cs="Calibri" w:eastAsia="Calibri" w:hAnsi="Calibri"/>
                <w:b/>
                <w:bCs/>
                <w:sz w:val="18"/>
                <w:szCs w:val="18"/>
              </w:rPr>
              <w:t xml:space="preserve">véase la advertencia de V.8.2: el catálogo NO se aprueba como pliego general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Formula la necesidad funcional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o unidad gestora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Área gestora del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Formula la necesidad normativa o institucional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competente por razón de la materia (informática y seguridad, protección de datos, órgano interventor) o acuerdo del órgano de gobierno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Concejalía de Administración Digital, Calidad e Innovación; Intervención General; órgano de gobierno municipal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Valora la información y los servicios a efectos del ENS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o responsables de la información y de los servicios (art. 41.1 RD 311/2022)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Los que designe la política de seguridad municipal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Determina la categoría de seguridad del sistema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o responsables de la seguridad (art. 41.2 RD 311/2022)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Ídem</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Emite el informe jurídico preceptivo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El órgano al que corresponda el informe jurídico preceptivo: el titular de la Asesoría Jurídica en municipios acogidos al Título X LBRL; el Secretario en el régimen común</w:t>
            </w:r>
            <w:r>
              <w:rPr>
                <w:rFonts w:ascii="Calibri" w:cs="Calibri" w:eastAsia="Calibri" w:hAnsi="Calibri"/>
                <w:b w:val="false"/>
                <w:bCs w:val="false"/>
                <w:sz w:val="18"/>
                <w:szCs w:val="18"/>
              </w:rPr>
              <w:t xml:space="preserve"> (DA 3.ª.8 LCSP y DA 8.ª.e LBRL)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Titular de la Asesoría Jurídica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Fiscaliza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interventor de la entidad local (DA 3.ª.3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Intervención General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Supervisa la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(art. 62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designado en el PCAP</w:t>
            </w:r>
          </w:p>
        </w:tc>
      </w:tr>
    </w:tbl>
    <w:p>
      <w:pPr>
        <w:spacing w:after="200"/>
      </w:pPr>
    </w:p>
    <w:p>
      <w:pPr>
        <w:spacing w:after="140" w:line="276"/>
      </w:pPr>
      <w:r>
        <w:rPr>
          <w:rFonts w:ascii="Calibri" w:cs="Calibri" w:eastAsia="Calibri" w:hAnsi="Calibri"/>
          <w:sz w:val="21"/>
          <w:szCs w:val="21"/>
        </w:rPr>
        <w:t xml:space="preserve">Dos precisiones que evitan errores caros:</w:t>
      </w:r>
    </w:p>
    <w:p>
      <w:pPr>
        <w:pStyle w:val="ListParagraph"/>
        <w:numPr>
          <w:ilvl w:val="0"/>
          <w:numId w:val="1"/>
        </w:numPr>
        <w:spacing w:after="70" w:line="268"/>
      </w:pPr>
      <w:r>
        <w:rPr>
          <w:rFonts w:ascii="Calibri" w:cs="Calibri" w:eastAsia="Calibri" w:hAnsi="Calibri"/>
          <w:b/>
          <w:bCs/>
          <w:sz w:val="21"/>
          <w:szCs w:val="21"/>
        </w:rPr>
        <w:t xml:space="preserve">No es la Secretaría.</w:t>
      </w:r>
      <w:r>
        <w:rPr>
          <w:rFonts w:ascii="Calibri" w:cs="Calibri" w:eastAsia="Calibri" w:hAnsi="Calibri"/>
          <w:sz w:val="21"/>
          <w:szCs w:val="21"/>
        </w:rPr>
        <w:t xml:space="preserve"> En los municipios acogidos al Título X de la Ley 7/1985, la disposición adicional octava, letra e), de esa Ley dispone que «las funciones que la legislación sobre contratos de las Administraciones públicas asigna a los secretarios de los ayuntamientos, corresponderán al titular de asesoría jurídica, salvo las de formalización de los contratos en documento administrativo». La DA 3.ª.8 LCSP lo reitera en su párrafo segundo. Todo informe jurídico de esta Parte se dirige, en un municipio de gran población, a la Asesoría Jurídica. Un ayuntamiento de régimen común lo dirige a su Secretaría, y sólo tiene que cambiar esa palabra.</w:t>
      </w:r>
    </w:p>
    <w:p>
      <w:pPr>
        <w:pStyle w:val="ListParagraph"/>
        <w:numPr>
          <w:ilvl w:val="0"/>
          <w:numId w:val="1"/>
        </w:numPr>
        <w:spacing w:after="70" w:line="268"/>
      </w:pPr>
      <w:r>
        <w:rPr>
          <w:rFonts w:ascii="Calibri" w:cs="Calibri" w:eastAsia="Calibri" w:hAnsi="Calibri"/>
          <w:b/>
          <w:bCs/>
          <w:sz w:val="21"/>
          <w:szCs w:val="21"/>
        </w:rPr>
        <w:t xml:space="preserve">La formalización sigue teniendo su propio circuito.</w:t>
      </w:r>
      <w:r>
        <w:rPr>
          <w:rFonts w:ascii="Calibri" w:cs="Calibri" w:eastAsia="Calibri" w:hAnsi="Calibri"/>
          <w:sz w:val="21"/>
          <w:szCs w:val="21"/>
        </w:rPr>
        <w:t xml:space="preserve"> La excepción de la DA 8.ª.e) LBRL alcanza a la formalización del contrato en documento administrativo, que no cambia de manos.</w:t>
      </w:r>
    </w:p>
    <w:p>
      <w:pPr>
        <w:pStyle w:val="Heading3"/>
        <w:keepNext/>
        <w:spacing w:after="140" w:before="320"/>
      </w:pPr>
      <w:r>
        <w:rPr>
          <w:rFonts w:ascii="Georgia" w:cs="Georgia" w:eastAsia="Georgia" w:hAnsi="Georgia"/>
          <w:b/>
          <w:bCs/>
          <w:color w:val="2F5496"/>
          <w:sz w:val="22"/>
          <w:szCs w:val="22"/>
        </w:rPr>
        <w:t xml:space="preserve">V.1.3 · Las cinco reglas de cierre de esta Parte</w:t>
      </w:r>
    </w:p>
    <w:p>
      <w:pPr>
        <w:pStyle w:val="ListParagraph"/>
        <w:numPr>
          <w:ilvl w:val="0"/>
          <w:numId w:val="2"/>
        </w:numPr>
        <w:spacing w:after="70" w:line="268"/>
      </w:pPr>
      <w:r>
        <w:rPr>
          <w:rFonts w:ascii="Calibri" w:cs="Calibri" w:eastAsia="Calibri" w:hAnsi="Calibri"/>
          <w:b/>
          <w:bCs/>
          <w:sz w:val="21"/>
          <w:szCs w:val="21"/>
        </w:rPr>
        <w:t xml:space="preserve">Primero la necesidad, después la ficha.</w:t>
      </w:r>
      <w:r>
        <w:rPr>
          <w:rFonts w:ascii="Calibri" w:cs="Calibri" w:eastAsia="Calibri" w:hAnsi="Calibri"/>
          <w:sz w:val="21"/>
          <w:szCs w:val="21"/>
        </w:rPr>
        <w:t xml:space="preserve"> La Ficha de Aplicabilidad no crea la necesidad: la documenta y la traduce en cláusulas. Rellenarla antes es rellenar el resultado antes que la causa, y produce exactamente la justificación estereotipada que anula expedientes.</w:t>
      </w:r>
    </w:p>
    <w:p>
      <w:pPr>
        <w:pStyle w:val="ListParagraph"/>
        <w:numPr>
          <w:ilvl w:val="0"/>
          <w:numId w:val="2"/>
        </w:numPr>
        <w:spacing w:after="70" w:line="268"/>
      </w:pPr>
      <w:r>
        <w:rPr>
          <w:rFonts w:ascii="Calibri" w:cs="Calibri" w:eastAsia="Calibri" w:hAnsi="Calibri"/>
          <w:b/>
          <w:bCs/>
          <w:sz w:val="21"/>
          <w:szCs w:val="21"/>
        </w:rPr>
        <w:t xml:space="preserve">Lo que no está en el expediente antes de publicar, no existe.</w:t>
      </w:r>
      <w:r>
        <w:rPr>
          <w:rFonts w:ascii="Calibri" w:cs="Calibri" w:eastAsia="Calibri" w:hAnsi="Calibri"/>
          <w:sz w:val="21"/>
          <w:szCs w:val="21"/>
        </w:rPr>
        <w:t xml:space="preserve"> No se puede justificar en sede de recurso lo que la memoria no dijo (V.5.6).</w:t>
      </w:r>
    </w:p>
    <w:p>
      <w:pPr>
        <w:pStyle w:val="ListParagraph"/>
        <w:numPr>
          <w:ilvl w:val="0"/>
          <w:numId w:val="2"/>
        </w:numPr>
        <w:spacing w:after="70" w:line="268"/>
      </w:pPr>
      <w:r>
        <w:rPr>
          <w:rFonts w:ascii="Calibri" w:cs="Calibri" w:eastAsia="Calibri" w:hAnsi="Calibri"/>
          <w:b/>
          <w:bCs/>
          <w:sz w:val="21"/>
          <w:szCs w:val="21"/>
        </w:rPr>
        <w:t xml:space="preserve">Se escribe sabiendo que se publica.</w:t>
      </w:r>
      <w:r>
        <w:rPr>
          <w:rFonts w:ascii="Calibri" w:cs="Calibri" w:eastAsia="Calibri" w:hAnsi="Calibri"/>
          <w:sz w:val="21"/>
          <w:szCs w:val="21"/>
        </w:rPr>
        <w:t xml:space="preserve"> La motivación de la necesidad y la memoria justificativa son documento público en el perfil de contratante desde el primer día (V.3).</w:t>
      </w:r>
    </w:p>
    <w:p>
      <w:pPr>
        <w:pStyle w:val="ListParagraph"/>
        <w:numPr>
          <w:ilvl w:val="0"/>
          <w:numId w:val="2"/>
        </w:numPr>
        <w:spacing w:after="70" w:line="268"/>
      </w:pPr>
      <w:r>
        <w:rPr>
          <w:rFonts w:ascii="Calibri" w:cs="Calibri" w:eastAsia="Calibri" w:hAnsi="Calibri"/>
          <w:b/>
          <w:bCs/>
          <w:sz w:val="21"/>
          <w:szCs w:val="21"/>
        </w:rPr>
        <w:t xml:space="preserve">Ninguna cláusula entra si su verificación no tiene actor municipal designado y periodicidad.</w:t>
      </w:r>
      <w:r>
        <w:rPr>
          <w:rFonts w:ascii="Calibri" w:cs="Calibri" w:eastAsia="Calibri" w:hAnsi="Calibri"/>
          <w:sz w:val="21"/>
          <w:szCs w:val="21"/>
        </w:rPr>
        <w:t xml:space="preserve"> La regla se enuncia en la Parte I, §7.9, y se cuantifica una sola vez en ADM-4·v3, apartado 5. Aquí sólo se aplica.</w:t>
      </w:r>
    </w:p>
    <w:p>
      <w:pPr>
        <w:pStyle w:val="ListParagraph"/>
        <w:numPr>
          <w:ilvl w:val="0"/>
          <w:numId w:val="2"/>
        </w:numPr>
        <w:spacing w:after="70" w:line="268"/>
      </w:pPr>
      <w:r>
        <w:rPr>
          <w:rFonts w:ascii="Calibri" w:cs="Calibri" w:eastAsia="Calibri" w:hAnsi="Calibri"/>
          <w:b/>
          <w:bCs/>
          <w:sz w:val="21"/>
          <w:szCs w:val="21"/>
        </w:rPr>
        <w:t xml:space="preserve">La carpeta de defensa se prepara antes de publicar, no después del recurso.</w:t>
      </w:r>
      <w:r>
        <w:rPr>
          <w:rFonts w:ascii="Calibri" w:cs="Calibri" w:eastAsia="Calibri" w:hAnsi="Calibri"/>
          <w:sz w:val="21"/>
          <w:szCs w:val="21"/>
        </w:rPr>
        <w:t xml:space="preserve"> El plazo para remitir el expediente con informe es de dos días hábiles (art. 56.2 LCSP). Véase V.6.</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V.2 · El circuito completo, paso a paso</w:t>
      </w:r>
    </w:p>
    <w:p>
      <w:pPr>
        <w:pStyle w:val="Heading3"/>
        <w:keepNext/>
        <w:spacing w:after="140" w:before="320"/>
      </w:pPr>
      <w:r>
        <w:rPr>
          <w:rFonts w:ascii="Georgia" w:cs="Georgia" w:eastAsia="Georgia" w:hAnsi="Georgia"/>
          <w:b/>
          <w:bCs/>
          <w:color w:val="2F5496"/>
          <w:sz w:val="22"/>
          <w:szCs w:val="22"/>
        </w:rPr>
        <w:t xml:space="preserve">V.2.1 · El orden y sus razones</w:t>
      </w:r>
    </w:p>
    <w:p>
      <w:pPr>
        <w:spacing w:after="140" w:line="276"/>
      </w:pPr>
      <w:r>
        <w:rPr>
          <w:rFonts w:ascii="Calibri" w:cs="Calibri" w:eastAsia="Calibri" w:hAnsi="Calibri"/>
          <w:sz w:val="21"/>
          <w:szCs w:val="21"/>
        </w:rPr>
        <w:t xml:space="preserve">El circuito tiene tres tramos. El primero decide </w:t>
      </w:r>
      <w:r>
        <w:rPr>
          <w:rFonts w:ascii="Calibri" w:cs="Calibri" w:eastAsia="Calibri" w:hAnsi="Calibri"/>
          <w:b/>
          <w:bCs/>
          <w:sz w:val="21"/>
          <w:szCs w:val="21"/>
        </w:rPr>
        <w:t xml:space="preserve">si se contrata y qué</w:t>
      </w:r>
      <w:r>
        <w:rPr>
          <w:rFonts w:ascii="Calibri" w:cs="Calibri" w:eastAsia="Calibri" w:hAnsi="Calibri"/>
          <w:sz w:val="21"/>
          <w:szCs w:val="21"/>
        </w:rPr>
        <w:t xml:space="preserve">; el segundo decide </w:t>
      </w:r>
      <w:r>
        <w:rPr>
          <w:rFonts w:ascii="Calibri" w:cs="Calibri" w:eastAsia="Calibri" w:hAnsi="Calibri"/>
          <w:b/>
          <w:bCs/>
          <w:sz w:val="21"/>
          <w:szCs w:val="21"/>
        </w:rPr>
        <w:t xml:space="preserve">cómo</w:t>
      </w:r>
      <w:r>
        <w:rPr>
          <w:rFonts w:ascii="Calibri" w:cs="Calibri" w:eastAsia="Calibri" w:hAnsi="Calibri"/>
          <w:sz w:val="21"/>
          <w:szCs w:val="21"/>
        </w:rPr>
        <w:t xml:space="preserve">; el tercero </w:t>
      </w:r>
      <w:r>
        <w:rPr>
          <w:rFonts w:ascii="Calibri" w:cs="Calibri" w:eastAsia="Calibri" w:hAnsi="Calibri"/>
          <w:b/>
          <w:bCs/>
          <w:sz w:val="21"/>
          <w:szCs w:val="21"/>
        </w:rPr>
        <w:t xml:space="preserve">valida y publica</w:t>
      </w:r>
      <w:r>
        <w:rPr>
          <w:rFonts w:ascii="Calibri" w:cs="Calibri" w:eastAsia="Calibri" w:hAnsi="Calibri"/>
          <w:sz w:val="21"/>
          <w:szCs w:val="21"/>
        </w:rPr>
        <w:t xml:space="preserve">. Los pasos dentro de un tramo pueden solaparse; los tramos, no.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Paso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 que produce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 lo firma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¿Se publica?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Tramo A · Qué se necesita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identifica la necesidad y se determina con precisión su naturaleza y extensión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Informe/propuesta de inicio con motivación de la necesidad (arts. 28.1 y 116.1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 a propuesta del servicio gestor o del servicio competente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(art. 116.1)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consulta el directorio general de aplicaciones y se decide si se reutiliza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consulta y, en su caso, justificación de no reutilización en términos de eficiencia (art. 157.3 Ley 40/2015)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 con conformidad del gestor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Recomendado: sí, como anexo de la memoria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recorta el catálogo al contrato: qué cláusulas aplican y por qué</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Ficha de Aplicabilidad (Anexo II), con doble vía de firma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Gestor (necesidad funcional) / servicio competente o remisión al acuerdo de gobierno (necesidad normativa o institucional)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 de hecho</w:t>
            </w:r>
            <w:r>
              <w:rPr>
                <w:rFonts w:ascii="Calibri" w:cs="Calibri" w:eastAsia="Calibri" w:hAnsi="Calibri"/>
                <w:b w:val="false"/>
                <w:bCs w:val="false"/>
                <w:sz w:val="18"/>
                <w:szCs w:val="18"/>
              </w:rPr>
              <w:t xml:space="preserve">: se incorpora a la memoria, que se publica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valora la información y los servicios y se determina la categoría de seguridad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Documento de categorización ENS y análisis de riesgos (arts. 40, 41 y 28 RD 311/2022)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Responsables de la información y del servicio; categoría, responsable de la seguridad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resultado y su motivación, sí, a través de la memoria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procede, se consulta al mercado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Anuncio previo e informe de consultas preliminares (art. 115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 obligatoriamente</w:t>
            </w:r>
            <w:r>
              <w:rPr>
                <w:rFonts w:ascii="Calibri" w:cs="Calibri" w:eastAsia="Calibri" w:hAnsi="Calibri"/>
                <w:b w:val="false"/>
                <w:bCs w:val="false"/>
                <w:sz w:val="18"/>
                <w:szCs w:val="18"/>
              </w:rPr>
              <w:t xml:space="preserve">, con la misma publicidad que los pliegos (art. 115.3)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la carga estimada de verificación del contrato supera el umbral del §7.9.2 de la Parte I, se recaba la conformidad del servicio que ha de verificar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Conformidad expresa del servicio verificador (Parte I, §7.9.2)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Jefe del servicio verificador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consta en el expediente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Tramo B · Cómo se contrata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calcula el valor estimado y se comprueban los umbrales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Cálculo y justificación del valor estimado (arts. 101 y 116.4.d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gestor y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través de la memoria y del PCAP (art. 101.5)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elige el procedimiento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Justificación de la elección del procedimiento (art. 116.4.a)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w:t>
            </w:r>
            <w:r>
              <w:rPr>
                <w:rFonts w:ascii="Calibri" w:cs="Calibri" w:eastAsia="Calibri" w:hAnsi="Calibri"/>
                <w:b/>
                <w:bCs/>
                <w:sz w:val="18"/>
                <w:szCs w:val="18"/>
              </w:rPr>
              <w:t xml:space="preserve">si el procedimiento es distinto del abierto o del restringido</w:t>
            </w:r>
            <w:r>
              <w:rPr>
                <w:rFonts w:ascii="Calibri" w:cs="Calibri" w:eastAsia="Calibri" w:hAnsi="Calibri"/>
                <w:b w:val="false"/>
                <w:bCs w:val="false"/>
                <w:sz w:val="18"/>
                <w:szCs w:val="18"/>
              </w:rPr>
              <w:t xml:space="preserve"> (art. 63.3.a)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decide sobre la división en lotes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Justificación de la decisión de no dividir, si no se divide (art. 116.4.g)</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través de la memoria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contratos de servicios, se acredita que no hay medios propios suficientes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insuficiencia de medios (art. 116.4.f)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gestor</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(art. 63.3.a)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justifican solvencia, criterios de adjudicación y condiciones especiales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de criterios y hoja de comprobación del baremo (art. 116.4.c; Anexo IV)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gestor y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través de la memoria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declaran conflictos de interés y participación previa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Declaraciones del art. 64 y medidas del art. 70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Cada interviniente, individualmente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Las medidas del art. 70, a través del expediente; la existencia de la declaración debe constar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redactan los pliegos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 y PPT (art. 116.3)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PPT: servicio gestor. PCAP: contratación. Aprobación: órgano de contratación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(art. 63.3.a)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cierra la memoria justificativa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justificativa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 / servicio proponente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(art. 63.3.a)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Tramo C · Validación y publicación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jurídico preceptivo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jurídico preceptivo (DA 3.ª.8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Asesoría Jurídica en los municipios acogidos al Título X LBRL; Secretaría en el régimen común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obligatorio; recomendable incorporarlo al expediente que se remite en caso de recurso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Existencia de crédito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Certificado de existencia de crédito o documento equivalente (art. 116.3)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Intervención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Fiscalización previa, incluida la valoración de repercusiones en estabilidad presupuestaria y sostenibilidad financiera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fiscalización (art. 116.3 y DA 3.ª.3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interventor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Aprobación del expediente, apertura del procedimiento y aprobación del gasto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Resolución o acuerdo motivado (art. 117.1)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(arts. 117.1 y 63.3.a)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Publicación del anuncio de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Anuncio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cierra la carpeta de defensa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Índice y carpeta (V.6)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w:t>
            </w:r>
          </w:p>
        </w:tc>
      </w:tr>
    </w:tbl>
    <w:p>
      <w:pPr>
        <w:spacing w:after="200"/>
      </w:pPr>
    </w:p>
    <w:p>
      <w:pPr>
        <w:spacing w:after="140" w:line="276"/>
      </w:pPr>
      <w:r>
        <w:rPr>
          <w:rFonts w:ascii="Calibri" w:cs="Calibri" w:eastAsia="Calibri" w:hAnsi="Calibri"/>
          <w:sz w:val="21"/>
          <w:szCs w:val="21"/>
        </w:rPr>
        <w:t xml:space="preserve">Son </w:t>
      </w:r>
      <w:r>
        <w:rPr>
          <w:rFonts w:ascii="Calibri" w:cs="Calibri" w:eastAsia="Calibri" w:hAnsi="Calibri"/>
          <w:b/>
          <w:bCs/>
          <w:sz w:val="21"/>
          <w:szCs w:val="21"/>
        </w:rPr>
        <w:t xml:space="preserve">veinte pasos</w:t>
      </w:r>
      <w:r>
        <w:rPr>
          <w:rFonts w:ascii="Calibri" w:cs="Calibri" w:eastAsia="Calibri" w:hAnsi="Calibri"/>
          <w:sz w:val="21"/>
          <w:szCs w:val="21"/>
        </w:rPr>
        <w:t xml:space="preserve">, que producen </w:t>
      </w:r>
      <w:r>
        <w:rPr>
          <w:rFonts w:ascii="Calibri" w:cs="Calibri" w:eastAsia="Calibri" w:hAnsi="Calibri"/>
          <w:b/>
          <w:bCs/>
          <w:sz w:val="21"/>
          <w:szCs w:val="21"/>
        </w:rPr>
        <w:t xml:space="preserve">veintiún documentos</w:t>
      </w:r>
      <w:r>
        <w:rPr>
          <w:rFonts w:ascii="Calibri" w:cs="Calibri" w:eastAsia="Calibri" w:hAnsi="Calibri"/>
          <w:sz w:val="21"/>
          <w:szCs w:val="21"/>
        </w:rPr>
        <w:t xml:space="preserve"> —el paso B-7 produce dos, el PPT y el PCAP—, no doce. </w:t>
      </w:r>
      <w:r>
        <w:rPr>
          <w:rFonts w:ascii="Calibri" w:cs="Calibri" w:eastAsia="Calibri" w:hAnsi="Calibri"/>
          <w:b/>
          <w:bCs/>
          <w:sz w:val="21"/>
          <w:szCs w:val="21"/>
        </w:rPr>
        <w:t xml:space="preserve">Dieciocho de esos veintiún documentos los impone la norma</w:t>
      </w:r>
      <w:r>
        <w:rPr>
          <w:rFonts w:ascii="Calibri" w:cs="Calibri" w:eastAsia="Calibri" w:hAnsi="Calibri"/>
          <w:sz w:val="21"/>
          <w:szCs w:val="21"/>
        </w:rPr>
        <w:t xml:space="preserve"> con independencia de este catálogo; los tres restantes los añade este catálogo, y son la Ficha de Aplicabilidad (A-3), la conformidad del servicio verificador (A-6) y la carpeta de defensa (C-6). Cinco pasos son condicionales: A-2 sólo si el objeto comprende adquisición, desarrollo o mantenimiento de una aplicación; A-5 sólo si hay consulta; A-6 sólo cuando la carga estimada de verificación supere el umbral del §7.9.2; B-2 sólo si el procedimiento no es abierto ni restringido, a efectos de publicidad; B-4 sólo en contratos de servicios.</w:t>
      </w:r>
    </w:p>
    <w:p>
      <w:pPr>
        <w:spacing w:after="140" w:line="276"/>
      </w:pPr>
      <w:r>
        <w:rPr>
          <w:rFonts w:ascii="Calibri" w:cs="Calibri" w:eastAsia="Calibri" w:hAnsi="Calibri"/>
          <w:sz w:val="21"/>
          <w:szCs w:val="21"/>
        </w:rPr>
        <w:t xml:space="preserve">Este recuento es el del expediente y manda sobre cualquier otro del documento. Quedan </w:t>
      </w:r>
      <w:r>
        <w:rPr>
          <w:rFonts w:ascii="Calibri" w:cs="Calibri" w:eastAsia="Calibri" w:hAnsi="Calibri"/>
          <w:b/>
          <w:bCs/>
          <w:sz w:val="21"/>
          <w:szCs w:val="21"/>
        </w:rPr>
        <w:t xml:space="preserve">fuera</w:t>
      </w:r>
      <w:r>
        <w:rPr>
          <w:rFonts w:ascii="Calibri" w:cs="Calibri" w:eastAsia="Calibri" w:hAnsi="Calibri"/>
          <w:sz w:val="21"/>
          <w:szCs w:val="21"/>
        </w:rPr>
        <w:t xml:space="preserve"> de él, por no ser pasos de un expediente concreto, dos piezas que sí aparecen en la Parte 0, §0.5: el acuerdo anual del órgano de gobierno, que es previo a todo expediente, y la lista de comprobación de V.10, que se pasa antes de recabar el informe jurídico (C-1).</w:t>
      </w:r>
    </w:p>
    <w:p>
      <w:pPr>
        <w:pStyle w:val="Heading3"/>
        <w:keepNext/>
        <w:spacing w:after="140" w:before="320"/>
      </w:pPr>
      <w:r>
        <w:rPr>
          <w:rFonts w:ascii="Georgia" w:cs="Georgia" w:eastAsia="Georgia" w:hAnsi="Georgia"/>
          <w:b/>
          <w:bCs/>
          <w:color w:val="2F5496"/>
          <w:sz w:val="22"/>
          <w:szCs w:val="22"/>
        </w:rPr>
        <w:t xml:space="preserve">V.2.2 · Por qué el informe de necesidad va antes que la ficha</w:t>
      </w:r>
    </w:p>
    <w:p>
      <w:pPr>
        <w:spacing w:after="140" w:line="276"/>
      </w:pPr>
      <w:r>
        <w:rPr>
          <w:rFonts w:ascii="Calibri" w:cs="Calibri" w:eastAsia="Calibri" w:hAnsi="Calibri"/>
          <w:sz w:val="21"/>
          <w:szCs w:val="21"/>
        </w:rPr>
        <w:t xml:space="preserve">Porque la ficha es consecuencia de la necesidad y no al revés. El artículo 28.1 LCSP exige que «la naturaleza y extensión de las necesidades que pretenden cubrirse mediante el contrato proyectado, así como la idoneidad de su objeto y contenido para satisfacerlas […] deben ser determinadas con precisión, dejando constancia de ello en la documentación preparatoria, </w:t>
      </w:r>
      <w:r>
        <w:rPr>
          <w:rFonts w:ascii="Calibri" w:cs="Calibri" w:eastAsia="Calibri" w:hAnsi="Calibri"/>
          <w:b/>
          <w:bCs/>
          <w:sz w:val="21"/>
          <w:szCs w:val="21"/>
        </w:rPr>
        <w:t xml:space="preserve">antes de iniciar el procedimiento</w:t>
      </w:r>
      <w:r>
        <w:rPr>
          <w:rFonts w:ascii="Calibri" w:cs="Calibri" w:eastAsia="Calibri" w:hAnsi="Calibri"/>
          <w:sz w:val="21"/>
          <w:szCs w:val="21"/>
        </w:rPr>
        <w:t xml:space="preserve"> encaminado a su adjudicación». Y el artículo 116.4.e) exige justificar «la necesidad de la Administración a la que se pretende dar satisfacción mediante la contratación de las prestaciones correspondientes; y su relación con el objeto del contrato, </w:t>
      </w:r>
      <w:r>
        <w:rPr>
          <w:rFonts w:ascii="Calibri" w:cs="Calibri" w:eastAsia="Calibri" w:hAnsi="Calibri"/>
          <w:b/>
          <w:bCs/>
          <w:sz w:val="21"/>
          <w:szCs w:val="21"/>
        </w:rPr>
        <w:t xml:space="preserve">que deberá ser directa, clara y proporcional</w:t>
      </w:r>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Si la ficha se rellena primero, el redactor marca casillas y después busca la necesidad que las sostenga. Eso produce una motivación construida hacia atrás, que es reconocible a simple vista y es el material con el que se ganan los recursos contra pliegos. Si el informe de necesidad se escribe primero, la ficha se limita a traducir cada necesidad ya escrita en la cláusula que la satisface, y el nexo del art. 116.4.e) queda documentado sin esfuerzo adicional.</w:t>
      </w:r>
    </w:p>
    <w:p>
      <w:pPr>
        <w:spacing w:after="140" w:line="276"/>
      </w:pPr>
      <w:r>
        <w:rPr>
          <w:rFonts w:ascii="Calibri" w:cs="Calibri" w:eastAsia="Calibri" w:hAnsi="Calibri"/>
          <w:sz w:val="21"/>
          <w:szCs w:val="21"/>
        </w:rPr>
        <w:t xml:space="preserve">Este orden coincide con el de la Parte 0, §0.4, que ya sitúa el informe de necesidad antes de la Ficha de Aplicabilidad. Conviene decir por qué, porque es el punto del circuito que con más frecuencia se invierte en la práctica: </w:t>
      </w:r>
      <w:r>
        <w:rPr>
          <w:rFonts w:ascii="Calibri" w:cs="Calibri" w:eastAsia="Calibri" w:hAnsi="Calibri"/>
          <w:b/>
          <w:bCs/>
          <w:sz w:val="21"/>
          <w:szCs w:val="21"/>
        </w:rPr>
        <w:t xml:space="preserve">el paso «informe de necesidad» precede al paso «ficha de aplicabilidad»</w:t>
      </w:r>
      <w:r>
        <w:rPr>
          <w:rFonts w:ascii="Calibri" w:cs="Calibri" w:eastAsia="Calibri" w:hAnsi="Calibri"/>
          <w:sz w:val="21"/>
          <w:szCs w:val="21"/>
        </w:rPr>
        <w:t xml:space="preserve">.</w:t>
      </w:r>
    </w:p>
    <w:p>
      <w:pPr>
        <w:pStyle w:val="Heading3"/>
        <w:keepNext/>
        <w:spacing w:after="140" w:before="320"/>
      </w:pPr>
      <w:r>
        <w:rPr>
          <w:rFonts w:ascii="Georgia" w:cs="Georgia" w:eastAsia="Georgia" w:hAnsi="Georgia"/>
          <w:b/>
          <w:bCs/>
          <w:color w:val="2F5496"/>
          <w:sz w:val="22"/>
          <w:szCs w:val="22"/>
        </w:rPr>
        <w:t xml:space="preserve">V.2.3 · Quién tiene la pluma, y el punto donde nadie la tiene</w:t>
      </w:r>
    </w:p>
    <w:p>
      <w:pPr>
        <w:spacing w:after="140" w:line="276"/>
      </w:pPr>
      <w:r>
        <w:rPr>
          <w:rFonts w:ascii="Calibri" w:cs="Calibri" w:eastAsia="Calibri" w:hAnsi="Calibri"/>
          <w:sz w:val="21"/>
          <w:szCs w:val="21"/>
        </w:rPr>
        <w:t xml:space="preserve">El reparto ordinario es conocido: el PPT lo escribe el área gestora, el PCAP lo escribe contratación. El problema de este catálogo es que </w:t>
      </w:r>
      <w:r>
        <w:rPr>
          <w:rFonts w:ascii="Calibri" w:cs="Calibri" w:eastAsia="Calibri" w:hAnsi="Calibri"/>
          <w:b/>
          <w:bCs/>
          <w:sz w:val="21"/>
          <w:szCs w:val="21"/>
        </w:rPr>
        <w:t xml:space="preserve">sus cláusulas cruzan los dos documentos</w:t>
      </w:r>
      <w:r>
        <w:rPr>
          <w:rFonts w:ascii="Calibri" w:cs="Calibri" w:eastAsia="Calibri" w:hAnsi="Calibri"/>
          <w:sz w:val="21"/>
          <w:szCs w:val="21"/>
        </w:rPr>
        <w:t xml:space="preserve">: DT-0·v3 a DT-9·v3 son PPT, ADM-1·v3 a ADM-14·v3 son PCAP, y varias parejas sólo funcionan juntas (la prescripción técnica en el PPT y su penalidad en el PCAP; la obligación en el PPT y su carácter esencial en el PCAP). Si nadie coordina, aparecen los dos defectos clásicos: la obligación sin consecuencia y la penalidad sin obligación.</w:t>
      </w:r>
    </w:p>
    <w:p>
      <w:pPr>
        <w:spacing w:after="140" w:line="276"/>
      </w:pPr>
      <w:r>
        <w:rPr>
          <w:rFonts w:ascii="Calibri" w:cs="Calibri" w:eastAsia="Calibri" w:hAnsi="Calibri"/>
          <w:sz w:val="21"/>
          <w:szCs w:val="21"/>
        </w:rPr>
        <w:t xml:space="preserve">Regla operativa: </w:t>
      </w:r>
      <w:r>
        <w:rPr>
          <w:rFonts w:ascii="Calibri" w:cs="Calibri" w:eastAsia="Calibri" w:hAnsi="Calibri"/>
          <w:b/>
          <w:bCs/>
          <w:sz w:val="21"/>
          <w:szCs w:val="21"/>
        </w:rPr>
        <w:t xml:space="preserve">se designa un responsable único de la coherencia PPT-PCAP para cada expediente que use el catálogo</w:t>
      </w:r>
      <w:r>
        <w:rPr>
          <w:rFonts w:ascii="Calibri" w:cs="Calibri" w:eastAsia="Calibri" w:hAnsi="Calibri"/>
          <w:sz w:val="21"/>
          <w:szCs w:val="21"/>
        </w:rPr>
        <w:t xml:space="preserve">, antes de empezar a redactar, y se hace constar su nombre en la Ficha de Aplicabilidad. Recomendación por defecto: el técnico de contratación que redacta el PCAP, con obligación del área gestora de remitirle la Ficha firmada antes de redactar el PPT.</w:t>
      </w:r>
    </w:p>
    <w:p>
      <w:pPr>
        <w:spacing w:after="140" w:line="276"/>
      </w:pPr>
      <w:r>
        <w:rPr>
          <w:rFonts w:ascii="Calibri" w:cs="Calibri" w:eastAsia="Calibri" w:hAnsi="Calibri"/>
          <w:sz w:val="21"/>
          <w:szCs w:val="21"/>
        </w:rPr>
        <w:t xml:space="preserve">Punto de control mínimo, en una sola pasada, antes de elevar a informe jurídico:</w:t>
      </w:r>
    </w:p>
    <w:p>
      <w:pPr>
        <w:pStyle w:val="ListParagraph"/>
        <w:numPr>
          <w:ilvl w:val="0"/>
          <w:numId w:val="2"/>
        </w:numPr>
        <w:spacing w:after="70" w:line="268"/>
      </w:pPr>
      <w:r>
        <w:rPr>
          <w:rFonts w:ascii="Calibri" w:cs="Calibri" w:eastAsia="Calibri" w:hAnsi="Calibri"/>
          <w:sz w:val="21"/>
          <w:szCs w:val="21"/>
        </w:rPr>
        <w:t xml:space="preserve">Toda cláusula marcada SÍ en la ficha aparece una vez, y sólo una, en el pliego que le corresponde.</w:t>
      </w:r>
    </w:p>
    <w:p>
      <w:pPr>
        <w:pStyle w:val="ListParagraph"/>
        <w:numPr>
          <w:ilvl w:val="0"/>
          <w:numId w:val="2"/>
        </w:numPr>
        <w:spacing w:after="70" w:line="268"/>
      </w:pPr>
      <w:r>
        <w:rPr>
          <w:rFonts w:ascii="Calibri" w:cs="Calibri" w:eastAsia="Calibri" w:hAnsi="Calibri"/>
          <w:sz w:val="21"/>
          <w:szCs w:val="21"/>
        </w:rPr>
        <w:t xml:space="preserve">Toda cláusula marcada NO APLICA ha desaparecido </w:t>
      </w:r>
      <w:r>
        <w:rPr>
          <w:rFonts w:ascii="Calibri" w:cs="Calibri" w:eastAsia="Calibri" w:hAnsi="Calibri"/>
          <w:b/>
          <w:bCs/>
          <w:sz w:val="21"/>
          <w:szCs w:val="21"/>
        </w:rPr>
        <w:t xml:space="preserve">también de las menciones que arrastra</w:t>
      </w:r>
      <w:r>
        <w:rPr>
          <w:rFonts w:ascii="Calibri" w:cs="Calibri" w:eastAsia="Calibri" w:hAnsi="Calibri"/>
          <w:sz w:val="21"/>
          <w:szCs w:val="21"/>
        </w:rPr>
        <w:t xml:space="preserve"> (tabla de dependencias del </w:t>
      </w:r>
      <w:r>
        <w:rPr>
          <w:rFonts w:ascii="Calibri" w:cs="Calibri" w:eastAsia="Calibri" w:hAnsi="Calibri"/>
          <w:b/>
          <w:bCs/>
          <w:sz w:val="21"/>
          <w:szCs w:val="21"/>
        </w:rPr>
        <w:t xml:space="preserve">Anexo VI</w:t>
      </w:r>
      <w:r>
        <w:rPr>
          <w:rFonts w:ascii="Calibri" w:cs="Calibri" w:eastAsia="Calibri" w:hAnsi="Calibri"/>
          <w:sz w:val="21"/>
          <w:szCs w:val="21"/>
        </w:rPr>
        <w:t xml:space="preserve">). Una cláusula borrada que sigue citada en la lista de obligaciones esenciales o en el cuadro de penalidades produce un pliego contradictorio, y la contradicción entre PCAP y PPT es un motivo de recurso acreditado (véase V.5.6).</w:t>
      </w:r>
    </w:p>
    <w:p>
      <w:pPr>
        <w:pStyle w:val="ListParagraph"/>
        <w:numPr>
          <w:ilvl w:val="0"/>
          <w:numId w:val="2"/>
        </w:numPr>
        <w:spacing w:after="70" w:line="268"/>
      </w:pPr>
      <w:r>
        <w:rPr>
          <w:rFonts w:ascii="Calibri" w:cs="Calibri" w:eastAsia="Calibri" w:hAnsi="Calibri"/>
          <w:sz w:val="21"/>
          <w:szCs w:val="21"/>
        </w:rPr>
        <w:t xml:space="preserve">Ninguna exigencia se computa a la vez como solvencia y como criterio de adjudicación, ni como prescripción obligatoria y como criterio, ni como criterio y como condición especial de ejecución.</w:t>
      </w:r>
    </w:p>
    <w:p>
      <w:pPr>
        <w:pStyle w:val="ListParagraph"/>
        <w:numPr>
          <w:ilvl w:val="0"/>
          <w:numId w:val="2"/>
        </w:numPr>
        <w:spacing w:after="70" w:line="268"/>
      </w:pPr>
      <w:r>
        <w:rPr>
          <w:rFonts w:ascii="Calibri" w:cs="Calibri" w:eastAsia="Calibri" w:hAnsi="Calibri"/>
          <w:sz w:val="21"/>
          <w:szCs w:val="21"/>
        </w:rPr>
        <w:t xml:space="preserve">Toda cláusula incorporada tiene, en la ficha, actor y periodicidad de verificación.</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V.3 · Publicidad: el expediente se lee desde fuera desde el primer día</w:t>
      </w:r>
    </w:p>
    <w:p>
      <w:pPr>
        <w:spacing w:after="140" w:line="276"/>
      </w:pPr>
      <w:r>
        <w:rPr>
          <w:rFonts w:ascii="Calibri" w:cs="Calibri" w:eastAsia="Calibri" w:hAnsi="Calibri"/>
          <w:sz w:val="21"/>
          <w:szCs w:val="21"/>
        </w:rPr>
        <w:t xml:space="preserve">Este apartado corrige un error de planteamiento del diseño de la Fase 1, que trataba la Ficha de Aplicabilidad y el Informe de Necesidad como papel interno. </w:t>
      </w:r>
      <w:r>
        <w:rPr>
          <w:rFonts w:ascii="Calibri" w:cs="Calibri" w:eastAsia="Calibri" w:hAnsi="Calibri"/>
          <w:b/>
          <w:bCs/>
          <w:sz w:val="21"/>
          <w:szCs w:val="21"/>
        </w:rPr>
        <w:t xml:space="preserve">No lo son.</w:t>
      </w:r>
      <w:r>
        <w:rPr>
          <w:rFonts w:ascii="Calibri" w:cs="Calibri" w:eastAsia="Calibri" w:hAnsi="Calibri"/>
          <w:sz w:val="21"/>
          <w:szCs w:val="21"/>
        </w:rPr>
        <w:t xml:space="preserve"> La motivación de la necesidad se publica por mandato legal, y la memoria justificativa también. Todo lo que se escriba en ellos lo leerá, antes que ningún tribunal, el abogado del licitador que esté decidiendo si recurre.</w:t>
      </w:r>
    </w:p>
    <w:p>
      <w:pPr>
        <w:pStyle w:val="Heading3"/>
        <w:keepNext/>
        <w:spacing w:after="140" w:before="320"/>
      </w:pPr>
      <w:r>
        <w:rPr>
          <w:rFonts w:ascii="Georgia" w:cs="Georgia" w:eastAsia="Georgia" w:hAnsi="Georgia"/>
          <w:b/>
          <w:bCs/>
          <w:color w:val="2F5496"/>
          <w:sz w:val="22"/>
          <w:szCs w:val="22"/>
        </w:rPr>
        <w:t xml:space="preserve">V.3.1 · Qué se publica, por mandato de qué precepto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¿Publicación obligatoria?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Precepto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Motivación de la necesidad del contrato con la que se inicia el expediente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116.1 LCSP: el expediente «se iniciará por el órgano de contratación motivando la necesidad del contrato en los términos previstos en el artículo 28 de esta Ley y </w:t>
            </w:r>
            <w:r>
              <w:rPr>
                <w:rFonts w:ascii="Calibri" w:cs="Calibri" w:eastAsia="Calibri" w:hAnsi="Calibri"/>
                <w:b/>
                <w:bCs/>
                <w:sz w:val="18"/>
                <w:szCs w:val="18"/>
              </w:rPr>
              <w:t xml:space="preserve">que deberá ser publicado en el perfil de contratante</w:t>
            </w: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justificativa del contrato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63.3.a)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insuficiencia de medios, en contratos de servicios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63.3.a)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Justificación del procedimiento utilizado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 cuando se utilice un procedimiento distinto del abierto o del restringido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63.3.a)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 y PPT, o documentos equivalentes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63.3.a)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Documento de aprobación del expediente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63.3.a) y 117.1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las consultas preliminares del mercado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con las mismas obligaciones de publicidad que los pliegos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115.3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Objeto de la consulta preliminar, fecha de inicio y denominación de los terceros participantes, </w:t>
            </w:r>
            <w:r>
              <w:rPr>
                <w:rFonts w:ascii="Calibri" w:cs="Calibri" w:eastAsia="Calibri" w:hAnsi="Calibri"/>
                <w:b/>
                <w:bCs/>
                <w:sz w:val="18"/>
                <w:szCs w:val="18"/>
              </w:rPr>
              <w:t xml:space="preserve">antes de iniciarla</w:t>
            </w:r>
            <w:r>
              <w:rPr>
                <w:rFonts w:ascii="Calibri" w:cs="Calibri" w:eastAsia="Calibri" w:hAnsi="Calibri"/>
                <w:b w:val="false"/>
                <w:bCs w:val="false"/>
                <w:sz w:val="18"/>
                <w:szCs w:val="18"/>
              </w:rPr>
              <w:t xml:space="preserve">; y razones de la elección de los asesores externos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115.1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Composición de la mesa de contratación y designación de los miembros del comité de expertos, con expresión del cargo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63.5 y DA 2.ª.7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Actas de la mesa, informe de valoración de los criterios sujetos a juicio de valor y resolución de adjudicación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63.3.e)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Interposición de recursos y eventual suspensión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63.3.e), último párrafo,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Ficha de Aplicabilidad (Anexo 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por sí misma; </w:t>
            </w:r>
            <w:r>
              <w:rPr>
                <w:rFonts w:ascii="Calibri" w:cs="Calibri" w:eastAsia="Calibri" w:hAnsi="Calibri"/>
                <w:b/>
                <w:bCs/>
                <w:sz w:val="18"/>
                <w:szCs w:val="18"/>
              </w:rPr>
              <w:t xml:space="preserve">sí de hecho</w:t>
            </w:r>
            <w:r>
              <w:rPr>
                <w:rFonts w:ascii="Calibri" w:cs="Calibri" w:eastAsia="Calibri" w:hAnsi="Calibri"/>
                <w:b w:val="false"/>
                <w:bCs w:val="false"/>
                <w:sz w:val="18"/>
                <w:szCs w:val="18"/>
              </w:rPr>
              <w:t xml:space="preserve">, porque su contenido se vuelca en la memoria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63.3.a) y 116.4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Categorización ENS y análisis de riesgos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documento técnico, no; </w:t>
            </w:r>
            <w:r>
              <w:rPr>
                <w:rFonts w:ascii="Calibri" w:cs="Calibri" w:eastAsia="Calibri" w:hAnsi="Calibri"/>
                <w:b/>
                <w:bCs/>
                <w:sz w:val="18"/>
                <w:szCs w:val="18"/>
              </w:rPr>
              <w:t xml:space="preserve">su resultado y su motivación, sí</w:t>
            </w:r>
            <w:r>
              <w:rPr>
                <w:rFonts w:ascii="Calibri" w:cs="Calibri" w:eastAsia="Calibri" w:hAnsi="Calibri"/>
                <w:b w:val="false"/>
                <w:bCs w:val="false"/>
                <w:sz w:val="18"/>
                <w:szCs w:val="18"/>
              </w:rPr>
              <w:t xml:space="preserve">, a través de la memoria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116.4 LCSP y 2.3 RD 311/2022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Certificado de crédito, informe de fiscalización, informe jurídico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bl>
    <w:p>
      <w:pPr>
        <w:spacing w:after="200"/>
      </w:pPr>
    </w:p>
    <w:p>
      <w:pPr>
        <w:spacing w:after="140" w:line="276"/>
      </w:pPr>
      <w:r>
        <w:rPr>
          <w:rFonts w:ascii="Calibri" w:cs="Calibri" w:eastAsia="Calibri" w:hAnsi="Calibri"/>
          <w:sz w:val="21"/>
          <w:szCs w:val="21"/>
        </w:rPr>
        <w:t xml:space="preserve">Condiciones de la publicación que conviene tener presentes: el acceso al perfil es libre y no requiere identificación previa; la información se publica en formatos abiertos y reutilizables; permanece accesible </w:t>
      </w:r>
      <w:r>
        <w:rPr>
          <w:rFonts w:ascii="Calibri" w:cs="Calibri" w:eastAsia="Calibri" w:hAnsi="Calibri"/>
          <w:b/>
          <w:bCs/>
          <w:sz w:val="21"/>
          <w:szCs w:val="21"/>
        </w:rPr>
        <w:t xml:space="preserve">no menos de cinco años</w:t>
      </w:r>
      <w:r>
        <w:rPr>
          <w:rFonts w:ascii="Calibri" w:cs="Calibri" w:eastAsia="Calibri" w:hAnsi="Calibri"/>
          <w:sz w:val="21"/>
          <w:szCs w:val="21"/>
        </w:rPr>
        <w:t xml:space="preserve">; y el sistema debe contar con un dispositivo que acredite fehacientemente el momento de inicio de la difusión pública (art. 63.1 y 63.7 LCSP). Ese último dato no es decorativo: de él depende el cómputo del plazo de recurso contra los pliegos (V.5.3).</w:t>
      </w:r>
    </w:p>
    <w:p>
      <w:pPr>
        <w:spacing w:after="140" w:line="276"/>
      </w:pPr>
      <w:r>
        <w:rPr>
          <w:rFonts w:ascii="Calibri" w:cs="Calibri" w:eastAsia="Calibri" w:hAnsi="Calibri"/>
          <w:sz w:val="21"/>
          <w:szCs w:val="21"/>
        </w:rPr>
        <w:t xml:space="preserve">Puede excluirse de publicación determinada información en los supuestos del art. 154.7 LCSP, pero </w:t>
      </w:r>
      <w:r>
        <w:rPr>
          <w:rFonts w:ascii="Calibri" w:cs="Calibri" w:eastAsia="Calibri" w:hAnsi="Calibri"/>
          <w:b/>
          <w:bCs/>
          <w:sz w:val="21"/>
          <w:szCs w:val="21"/>
        </w:rPr>
        <w:t xml:space="preserve">cada exclusión debe justificarse en el expediente</w:t>
      </w:r>
      <w:r>
        <w:rPr>
          <w:rFonts w:ascii="Calibri" w:cs="Calibri" w:eastAsia="Calibri" w:hAnsi="Calibri"/>
          <w:sz w:val="21"/>
          <w:szCs w:val="21"/>
        </w:rPr>
        <w:t xml:space="preserve"> (art. 63.8 LCSP). La confidencialidad no es una casilla: es una decisión motivada.</w:t>
      </w:r>
    </w:p>
    <w:p>
      <w:pPr>
        <w:pStyle w:val="Heading3"/>
        <w:keepNext/>
        <w:spacing w:after="140" w:before="320"/>
      </w:pPr>
      <w:r>
        <w:rPr>
          <w:rFonts w:ascii="Georgia" w:cs="Georgia" w:eastAsia="Georgia" w:hAnsi="Georgia"/>
          <w:b/>
          <w:bCs/>
          <w:color w:val="2F5496"/>
          <w:sz w:val="22"/>
          <w:szCs w:val="22"/>
        </w:rPr>
        <w:t xml:space="preserve">V.3.2 · Siete reglas de redacción para documentos que nacen públicos</w:t>
      </w:r>
    </w:p>
    <w:p>
      <w:pPr>
        <w:pStyle w:val="ListParagraph"/>
        <w:numPr>
          <w:ilvl w:val="0"/>
          <w:numId w:val="2"/>
        </w:numPr>
        <w:spacing w:after="70" w:line="268"/>
      </w:pPr>
      <w:r>
        <w:rPr>
          <w:rFonts w:ascii="Calibri" w:cs="Calibri" w:eastAsia="Calibri" w:hAnsi="Calibri"/>
          <w:b/>
          <w:bCs/>
          <w:sz w:val="21"/>
          <w:szCs w:val="21"/>
        </w:rPr>
        <w:t xml:space="preserve">Nada de justificación circular.</w:t>
      </w:r>
      <w:r>
        <w:rPr>
          <w:rFonts w:ascii="Calibri" w:cs="Calibri" w:eastAsia="Calibri" w:hAnsi="Calibri"/>
          <w:sz w:val="21"/>
          <w:szCs w:val="21"/>
        </w:rPr>
        <w:t xml:space="preserve"> «Se exige X porque el catálogo lo prevé» no es una motivación. La motivación es la necesidad municipal concreta; el catálogo es sólo el instrumento que la traduce.</w:t>
      </w:r>
    </w:p>
    <w:p>
      <w:pPr>
        <w:pStyle w:val="ListParagraph"/>
        <w:numPr>
          <w:ilvl w:val="0"/>
          <w:numId w:val="2"/>
        </w:numPr>
        <w:spacing w:after="70" w:line="268"/>
      </w:pPr>
      <w:r>
        <w:rPr>
          <w:rFonts w:ascii="Calibri" w:cs="Calibri" w:eastAsia="Calibri" w:hAnsi="Calibri"/>
          <w:b/>
          <w:bCs/>
          <w:sz w:val="21"/>
          <w:szCs w:val="21"/>
        </w:rPr>
        <w:t xml:space="preserve">Una necesidad, una norma o un acuerdo, una cláusula.</w:t>
      </w:r>
      <w:r>
        <w:rPr>
          <w:rFonts w:ascii="Calibri" w:cs="Calibri" w:eastAsia="Calibri" w:hAnsi="Calibri"/>
          <w:sz w:val="21"/>
          <w:szCs w:val="21"/>
        </w:rPr>
        <w:t xml:space="preserve"> Si una exigencia no puede escribirse en esa forma, no entra.</w:t>
      </w:r>
    </w:p>
    <w:p>
      <w:pPr>
        <w:pStyle w:val="ListParagraph"/>
        <w:numPr>
          <w:ilvl w:val="0"/>
          <w:numId w:val="2"/>
        </w:numPr>
        <w:spacing w:after="70" w:line="268"/>
      </w:pPr>
      <w:r>
        <w:rPr>
          <w:rFonts w:ascii="Calibri" w:cs="Calibri" w:eastAsia="Calibri" w:hAnsi="Calibri"/>
          <w:b/>
          <w:bCs/>
          <w:sz w:val="21"/>
          <w:szCs w:val="21"/>
        </w:rPr>
        <w:t xml:space="preserve">Nada de adjetivos.</w:t>
      </w:r>
      <w:r>
        <w:rPr>
          <w:rFonts w:ascii="Calibri" w:cs="Calibri" w:eastAsia="Calibri" w:hAnsi="Calibri"/>
          <w:sz w:val="21"/>
          <w:szCs w:val="21"/>
        </w:rPr>
        <w:t xml:space="preserve"> «Puntero», «de última generación», «avanzado» no significan nada en un procedimiento contradictorio y sí sugieren que se está describiendo un producto.</w:t>
      </w:r>
    </w:p>
    <w:p>
      <w:pPr>
        <w:pStyle w:val="ListParagraph"/>
        <w:numPr>
          <w:ilvl w:val="0"/>
          <w:numId w:val="2"/>
        </w:numPr>
        <w:spacing w:after="70" w:line="268"/>
      </w:pPr>
      <w:r>
        <w:rPr>
          <w:rFonts w:ascii="Calibri" w:cs="Calibri" w:eastAsia="Calibri" w:hAnsi="Calibri"/>
          <w:b/>
          <w:bCs/>
          <w:sz w:val="21"/>
          <w:szCs w:val="21"/>
        </w:rPr>
        <w:t xml:space="preserve">Ni una sola marca, producto, protocolo o red citados sin su formulación funcional y sin la admisión de equivalentes</w:t>
      </w:r>
      <w:r>
        <w:rPr>
          <w:rFonts w:ascii="Calibri" w:cs="Calibri" w:eastAsia="Calibri" w:hAnsi="Calibri"/>
          <w:sz w:val="21"/>
          <w:szCs w:val="21"/>
        </w:rPr>
        <w:t xml:space="preserve"> (regla de prevalencia funcional, Parte I, §7).</w:t>
      </w:r>
    </w:p>
    <w:p>
      <w:pPr>
        <w:pStyle w:val="ListParagraph"/>
        <w:numPr>
          <w:ilvl w:val="0"/>
          <w:numId w:val="2"/>
        </w:numPr>
        <w:spacing w:after="70" w:line="268"/>
      </w:pPr>
      <w:r>
        <w:rPr>
          <w:rFonts w:ascii="Calibri" w:cs="Calibri" w:eastAsia="Calibri" w:hAnsi="Calibri"/>
          <w:b/>
          <w:bCs/>
          <w:sz w:val="21"/>
          <w:szCs w:val="21"/>
        </w:rPr>
        <w:t xml:space="preserve">Cifras, no impresiones.</w:t>
      </w:r>
      <w:r>
        <w:rPr>
          <w:rFonts w:ascii="Calibri" w:cs="Calibri" w:eastAsia="Calibri" w:hAnsi="Calibri"/>
          <w:sz w:val="21"/>
          <w:szCs w:val="21"/>
        </w:rPr>
        <w:t xml:space="preserve"> Si se afirma que hay concurrencia, se dice cuántos operadores se identificaron y de dónde salió el dato. Si no se sabe, se hace la consulta preliminar (V.4.13) o no se afirma.</w:t>
      </w:r>
    </w:p>
    <w:p>
      <w:pPr>
        <w:pStyle w:val="ListParagraph"/>
        <w:numPr>
          <w:ilvl w:val="0"/>
          <w:numId w:val="2"/>
        </w:numPr>
        <w:spacing w:after="70" w:line="268"/>
      </w:pPr>
      <w:r>
        <w:rPr>
          <w:rFonts w:ascii="Calibri" w:cs="Calibri" w:eastAsia="Calibri" w:hAnsi="Calibri"/>
          <w:b/>
          <w:bCs/>
          <w:sz w:val="21"/>
          <w:szCs w:val="21"/>
        </w:rPr>
        <w:t xml:space="preserve">No se copia el párrafo del expediente anterior.</w:t>
      </w:r>
      <w:r>
        <w:rPr>
          <w:rFonts w:ascii="Calibri" w:cs="Calibri" w:eastAsia="Calibri" w:hAnsi="Calibri"/>
          <w:sz w:val="21"/>
          <w:szCs w:val="21"/>
        </w:rPr>
        <w:t xml:space="preserve"> La motivación repetida literalmente en varios expedientes es la prueba documental de la motivación estereotipada, y es trivial de detectar cuando todos los expedientes están publicados en el mismo perfil.</w:t>
      </w:r>
    </w:p>
    <w:p>
      <w:pPr>
        <w:pStyle w:val="ListParagraph"/>
        <w:numPr>
          <w:ilvl w:val="0"/>
          <w:numId w:val="2"/>
        </w:numPr>
        <w:spacing w:after="70" w:line="268"/>
      </w:pPr>
      <w:r>
        <w:rPr>
          <w:rFonts w:ascii="Calibri" w:cs="Calibri" w:eastAsia="Calibri" w:hAnsi="Calibri"/>
          <w:b/>
          <w:bCs/>
          <w:sz w:val="21"/>
          <w:szCs w:val="21"/>
        </w:rPr>
        <w:t xml:space="preserve">Se escribe pensando en el párrafo que el recurrente citará.</w:t>
      </w:r>
      <w:r>
        <w:rPr>
          <w:rFonts w:ascii="Calibri" w:cs="Calibri" w:eastAsia="Calibri" w:hAnsi="Calibri"/>
          <w:sz w:val="21"/>
          <w:szCs w:val="21"/>
        </w:rPr>
        <w:t xml:space="preserve"> Antes de firmar, léase el documento buscando la frase que un abogado subrayaría. Si existe, reescríbase antes de publicar, porque después no se puede (V.5.6).</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V.4 · Los documentos del expediente, uno por uno</w:t>
      </w:r>
    </w:p>
    <w:p>
      <w:pPr>
        <w:spacing w:after="140" w:line="276"/>
      </w:pPr>
      <w:r>
        <w:rPr>
          <w:rFonts w:ascii="Calibri" w:cs="Calibri" w:eastAsia="Calibri" w:hAnsi="Calibri"/>
          <w:sz w:val="21"/>
          <w:szCs w:val="21"/>
        </w:rPr>
        <w:t xml:space="preserve">Cada documento se describe con el mismo esquema: qué es, precepto, quién lo firma, momento, publicidad, contenido mínimo y el error que anula.</w:t>
      </w:r>
    </w:p>
    <w:p>
      <w:pPr>
        <w:pStyle w:val="Heading3"/>
        <w:keepNext/>
        <w:spacing w:after="140" w:before="320"/>
      </w:pPr>
      <w:r>
        <w:rPr>
          <w:rFonts w:ascii="Georgia" w:cs="Georgia" w:eastAsia="Georgia" w:hAnsi="Georgia"/>
          <w:b/>
          <w:bCs/>
          <w:color w:val="2F5496"/>
          <w:sz w:val="22"/>
          <w:szCs w:val="22"/>
        </w:rPr>
        <w:t xml:space="preserve">V.4.1 · Informe de necesidad y motivación del inicio del expediente</w:t>
      </w:r>
    </w:p>
    <w:p>
      <w:pPr>
        <w:spacing w:after="140" w:line="276"/>
      </w:pPr>
      <w:r>
        <w:rPr>
          <w:rFonts w:ascii="Calibri" w:cs="Calibri" w:eastAsia="Calibri" w:hAnsi="Calibri"/>
          <w:b/>
          <w:bCs/>
          <w:sz w:val="21"/>
          <w:szCs w:val="21"/>
        </w:rPr>
        <w:t xml:space="preserve">Precepto.</w:t>
      </w:r>
      <w:r>
        <w:rPr>
          <w:rFonts w:ascii="Calibri" w:cs="Calibri" w:eastAsia="Calibri" w:hAnsi="Calibri"/>
          <w:sz w:val="21"/>
          <w:szCs w:val="21"/>
        </w:rPr>
        <w:t xml:space="preserve"> Arts. 28.1 y 116.1 LCSP, en relación con el art. 116.4.e).</w:t>
      </w:r>
    </w:p>
    <w:p>
      <w:pPr>
        <w:spacing w:after="140" w:line="276"/>
      </w:pPr>
      <w:r>
        <w:rPr>
          <w:rFonts w:ascii="Calibri" w:cs="Calibri" w:eastAsia="Calibri" w:hAnsi="Calibri"/>
          <w:b/>
          <w:bCs/>
          <w:sz w:val="21"/>
          <w:szCs w:val="21"/>
        </w:rPr>
        <w:t xml:space="preserve">Quién lo firma.</w:t>
      </w:r>
      <w:r>
        <w:rPr>
          <w:rFonts w:ascii="Calibri" w:cs="Calibri" w:eastAsia="Calibri" w:hAnsi="Calibri"/>
          <w:sz w:val="21"/>
          <w:szCs w:val="21"/>
        </w:rPr>
        <w:t xml:space="preserve"> El órgano de contratación inicia el expediente. La propuesta y la parte técnica las suscribe quien tenga la necesidad: el servicio gestor cuando la necesidad es funcional; el servicio competente por razón de la materia cuando la necesidad es normativa (seguridad de la información, protección de datos, control interno); y se remite al acuerdo del órgano de gobierno cuando la necesidad es institucional. Véase V.4.2.</w:t>
      </w:r>
    </w:p>
    <w:p>
      <w:pPr>
        <w:spacing w:after="140" w:line="276"/>
      </w:pPr>
      <w:r>
        <w:rPr>
          <w:rFonts w:ascii="Calibri" w:cs="Calibri" w:eastAsia="Calibri" w:hAnsi="Calibri"/>
          <w:b/>
          <w:bCs/>
          <w:sz w:val="21"/>
          <w:szCs w:val="21"/>
        </w:rPr>
        <w:t xml:space="preserve">Momento.</w:t>
      </w:r>
      <w:r>
        <w:rPr>
          <w:rFonts w:ascii="Calibri" w:cs="Calibri" w:eastAsia="Calibri" w:hAnsi="Calibri"/>
          <w:sz w:val="21"/>
          <w:szCs w:val="21"/>
        </w:rPr>
        <w:t xml:space="preserve"> El primero. Antes de la ficha, antes del pliego, antes de cualquier contacto con el mercado que no sea una consulta preliminar formalizada.</w:t>
      </w:r>
    </w:p>
    <w:p>
      <w:pPr>
        <w:spacing w:after="140" w:line="276"/>
      </w:pPr>
      <w:r>
        <w:rPr>
          <w:rFonts w:ascii="Calibri" w:cs="Calibri" w:eastAsia="Calibri" w:hAnsi="Calibri"/>
          <w:b/>
          <w:bCs/>
          <w:sz w:val="21"/>
          <w:szCs w:val="21"/>
        </w:rPr>
        <w:t xml:space="preserve">Publicidad.</w:t>
      </w:r>
      <w:r>
        <w:rPr>
          <w:rFonts w:ascii="Calibri" w:cs="Calibri" w:eastAsia="Calibri" w:hAnsi="Calibri"/>
          <w:sz w:val="21"/>
          <w:szCs w:val="21"/>
        </w:rPr>
        <w:t xml:space="preserve"> Obligatoria (art. 116.1).</w:t>
      </w:r>
    </w:p>
    <w:p>
      <w:pPr>
        <w:spacing w:after="140" w:line="276"/>
      </w:pPr>
      <w:r>
        <w:rPr>
          <w:rFonts w:ascii="Calibri" w:cs="Calibri" w:eastAsia="Calibri" w:hAnsi="Calibri"/>
          <w:b/>
          <w:bCs/>
          <w:sz w:val="21"/>
          <w:szCs w:val="21"/>
        </w:rPr>
        <w:t xml:space="preserve">Contenido mínimo.</w:t>
      </w:r>
    </w:p>
    <w:p>
      <w:pPr>
        <w:pStyle w:val="ListParagraph"/>
        <w:numPr>
          <w:ilvl w:val="0"/>
          <w:numId w:val="2"/>
        </w:numPr>
        <w:spacing w:after="70" w:line="268"/>
      </w:pPr>
      <w:r>
        <w:rPr>
          <w:rFonts w:ascii="Calibri" w:cs="Calibri" w:eastAsia="Calibri" w:hAnsi="Calibri"/>
          <w:sz w:val="21"/>
          <w:szCs w:val="21"/>
        </w:rPr>
        <w:t xml:space="preserve">Objeto proyectado, en términos funcionales.</w:t>
      </w:r>
    </w:p>
    <w:p>
      <w:pPr>
        <w:pStyle w:val="ListParagraph"/>
        <w:numPr>
          <w:ilvl w:val="0"/>
          <w:numId w:val="2"/>
        </w:numPr>
        <w:spacing w:after="70" w:line="268"/>
      </w:pPr>
      <w:r>
        <w:rPr>
          <w:rFonts w:ascii="Calibri" w:cs="Calibri" w:eastAsia="Calibri" w:hAnsi="Calibri"/>
          <w:sz w:val="21"/>
          <w:szCs w:val="21"/>
        </w:rPr>
        <w:t xml:space="preserve">Naturaleza y extensión de la necesidad, determinada con precisión (art. 28.1). No basta con enunciarla: hay que dimensionarla.</w:t>
      </w:r>
    </w:p>
    <w:p>
      <w:pPr>
        <w:pStyle w:val="ListParagraph"/>
        <w:numPr>
          <w:ilvl w:val="0"/>
          <w:numId w:val="2"/>
        </w:numPr>
        <w:spacing w:after="70" w:line="268"/>
      </w:pPr>
      <w:r>
        <w:rPr>
          <w:rFonts w:ascii="Calibri" w:cs="Calibri" w:eastAsia="Calibri" w:hAnsi="Calibri"/>
          <w:sz w:val="21"/>
          <w:szCs w:val="21"/>
        </w:rPr>
        <w:t xml:space="preserve">Idoneidad del objeto y del contenido para satisfacerla.</w:t>
      </w:r>
    </w:p>
    <w:p>
      <w:pPr>
        <w:pStyle w:val="ListParagraph"/>
        <w:numPr>
          <w:ilvl w:val="0"/>
          <w:numId w:val="2"/>
        </w:numPr>
        <w:spacing w:after="70" w:line="268"/>
      </w:pPr>
      <w:r>
        <w:rPr>
          <w:rFonts w:ascii="Calibri" w:cs="Calibri" w:eastAsia="Calibri" w:hAnsi="Calibri"/>
          <w:sz w:val="21"/>
          <w:szCs w:val="21"/>
        </w:rPr>
        <w:t xml:space="preserve">Relación necesidad-objeto, argumentada en los tres términos que la ley exige: </w:t>
      </w:r>
      <w:r>
        <w:rPr>
          <w:rFonts w:ascii="Calibri" w:cs="Calibri" w:eastAsia="Calibri" w:hAnsi="Calibri"/>
          <w:b/>
          <w:bCs/>
          <w:sz w:val="21"/>
          <w:szCs w:val="21"/>
        </w:rPr>
        <w:t xml:space="preserve">directa, clara y proporcional</w:t>
      </w:r>
      <w:r>
        <w:rPr>
          <w:rFonts w:ascii="Calibri" w:cs="Calibri" w:eastAsia="Calibri" w:hAnsi="Calibri"/>
          <w:sz w:val="21"/>
          <w:szCs w:val="21"/>
        </w:rPr>
        <w:t xml:space="preserve"> (art. 116.4.e).</w:t>
      </w:r>
    </w:p>
    <w:p>
      <w:pPr>
        <w:pStyle w:val="ListParagraph"/>
        <w:numPr>
          <w:ilvl w:val="0"/>
          <w:numId w:val="2"/>
        </w:numPr>
        <w:spacing w:after="70" w:line="268"/>
      </w:pPr>
      <w:r>
        <w:rPr>
          <w:rFonts w:ascii="Calibri" w:cs="Calibri" w:eastAsia="Calibri" w:hAnsi="Calibri"/>
          <w:sz w:val="21"/>
          <w:szCs w:val="21"/>
        </w:rPr>
        <w:t xml:space="preserve">Por qué el mantenimiento ordinario, la prórroga del contrato vigente o la reutilización de una aplicación existente no cubren la necesidad. Este apartado se apoya en el informe de consulta al directorio general de aplicaciones (V.4.3).</w:t>
      </w:r>
    </w:p>
    <w:p>
      <w:pPr>
        <w:pStyle w:val="ListParagraph"/>
        <w:numPr>
          <w:ilvl w:val="0"/>
          <w:numId w:val="2"/>
        </w:numPr>
        <w:spacing w:after="70" w:line="268"/>
      </w:pPr>
      <w:r>
        <w:rPr>
          <w:rFonts w:ascii="Calibri" w:cs="Calibri" w:eastAsia="Calibri" w:hAnsi="Calibri"/>
          <w:sz w:val="21"/>
          <w:szCs w:val="21"/>
        </w:rPr>
        <w:t xml:space="preserve">Coste de la no actuación, cuando lo haya y sea acreditable.</w:t>
      </w:r>
    </w:p>
    <w:p>
      <w:pPr>
        <w:pStyle w:val="ListParagraph"/>
        <w:numPr>
          <w:ilvl w:val="0"/>
          <w:numId w:val="2"/>
        </w:numPr>
        <w:spacing w:after="70" w:line="268"/>
      </w:pPr>
      <w:r>
        <w:rPr>
          <w:rFonts w:ascii="Calibri" w:cs="Calibri" w:eastAsia="Calibri" w:hAnsi="Calibri"/>
          <w:sz w:val="21"/>
          <w:szCs w:val="21"/>
        </w:rPr>
        <w:t xml:space="preserve">Cuando la ejecución requiera cesión de datos por el Ayuntamiento al contratista, </w:t>
      </w:r>
      <w:r>
        <w:rPr>
          <w:rFonts w:ascii="Calibri" w:cs="Calibri" w:eastAsia="Calibri" w:hAnsi="Calibri"/>
          <w:b/>
          <w:bCs/>
          <w:sz w:val="21"/>
          <w:szCs w:val="21"/>
        </w:rPr>
        <w:t xml:space="preserve">finalidad del tratamiento de los datos que vayan a ser cedidos</w:t>
      </w:r>
      <w:r>
        <w:rPr>
          <w:rFonts w:ascii="Calibri" w:cs="Calibri" w:eastAsia="Calibri" w:hAnsi="Calibri"/>
          <w:sz w:val="21"/>
          <w:szCs w:val="21"/>
        </w:rPr>
        <w:t xml:space="preserve"> (art. 116.1, párrafo segundo). Es obligatorio y se olvida sistemáticamente.</w:t>
      </w:r>
    </w:p>
    <w:p>
      <w:pPr>
        <w:pStyle w:val="ListParagraph"/>
        <w:numPr>
          <w:ilvl w:val="0"/>
          <w:numId w:val="2"/>
        </w:numPr>
        <w:spacing w:after="70" w:line="268"/>
      </w:pPr>
      <w:r>
        <w:rPr>
          <w:rFonts w:ascii="Calibri" w:cs="Calibri" w:eastAsia="Calibri" w:hAnsi="Calibri"/>
          <w:sz w:val="21"/>
          <w:szCs w:val="21"/>
        </w:rPr>
        <w:t xml:space="preserve">Origen de la necesidad, con la fuente identificada: petición del gestor, norma, acuerdo del órgano de gobierno o informe de un órgano de control. Con fecha y firma.</w:t>
      </w:r>
    </w:p>
    <w:p>
      <w:pPr>
        <w:spacing w:after="140" w:line="276"/>
      </w:pPr>
      <w:r>
        <w:rPr>
          <w:rFonts w:ascii="Calibri" w:cs="Calibri" w:eastAsia="Calibri" w:hAnsi="Calibri"/>
          <w:b/>
          <w:bCs/>
          <w:sz w:val="21"/>
          <w:szCs w:val="21"/>
        </w:rPr>
        <w:t xml:space="preserve">Error que anula.</w:t>
      </w:r>
      <w:r>
        <w:rPr>
          <w:rFonts w:ascii="Calibri" w:cs="Calibri" w:eastAsia="Calibri" w:hAnsi="Calibri"/>
          <w:sz w:val="21"/>
          <w:szCs w:val="21"/>
        </w:rPr>
        <w:t xml:space="preserve"> Enunciar la necesidad sin dimensionarla y sin conectarla con el objeto. La consecuencia no es un reparo: es la anulación de los pliegos, porque el nexo del art. 116.4.e) es el presupuesto de validez de las exigencias que restringen la concurrencia.</w:t>
      </w:r>
    </w:p>
    <w:p>
      <w:pPr>
        <w:spacing w:after="140" w:line="276"/>
      </w:pPr>
      <w:r>
        <w:rPr>
          <w:rFonts w:ascii="Calibri" w:cs="Calibri" w:eastAsia="Calibri" w:hAnsi="Calibri"/>
          <w:sz w:val="21"/>
          <w:szCs w:val="21"/>
        </w:rPr>
        <w:t xml:space="preserve">El párrafo de cierre del informe de necesidad, que no es texto de pliego:</w:t>
      </w:r>
    </w:p>
    <w:p>
      <w:pPr>
        <w:spacing w:after="140" w:line="276"/>
      </w:pPr>
      <w:r>
        <w:rPr>
          <w:rFonts w:ascii="Calibri" w:cs="Calibri" w:eastAsia="Calibri" w:hAnsi="Calibri"/>
          <w:sz w:val="21"/>
          <w:szCs w:val="21"/>
        </w:rPr>
        <w:t xml:space="preserve">---- INICIO DEL MODELO — PÁRRAFO DE CIERRE DEL INFORME DE NECESIDAD ----</w:t>
      </w:r>
    </w:p>
    <w:p>
      <w:pPr>
        <w:spacing w:after="140" w:line="276"/>
      </w:pPr>
      <w:r>
        <w:rPr>
          <w:rFonts w:ascii="Calibri" w:cs="Calibri" w:eastAsia="Calibri" w:hAnsi="Calibri"/>
          <w:sz w:val="21"/>
          <w:szCs w:val="21"/>
        </w:rPr>
        <w:t xml:space="preserve">«La necesidad descrita se relaciona con el objeto de este contrato en los términos exigidos por el artículo 116.4.e) de la Ley 9/2017: es </w:t>
      </w:r>
      <w:r>
        <w:rPr>
          <w:rFonts w:ascii="Calibri" w:cs="Calibri" w:eastAsia="Calibri" w:hAnsi="Calibri"/>
          <w:b/>
          <w:bCs/>
          <w:sz w:val="21"/>
          <w:szCs w:val="21"/>
        </w:rPr>
        <w:t xml:space="preserve">directa</w:t>
      </w:r>
      <w:r>
        <w:rPr>
          <w:rFonts w:ascii="Calibri" w:cs="Calibri" w:eastAsia="Calibri" w:hAnsi="Calibri"/>
          <w:sz w:val="21"/>
          <w:szCs w:val="21"/>
        </w:rPr>
        <w:t xml:space="preserve">, porque [los datos, funciones o sistemas afectados son los generados o soportados por la propia prestación contratada]; es </w:t>
      </w:r>
      <w:r>
        <w:rPr>
          <w:rFonts w:ascii="Calibri" w:cs="Calibri" w:eastAsia="Calibri" w:hAnsi="Calibri"/>
          <w:b/>
          <w:bCs/>
          <w:sz w:val="21"/>
          <w:szCs w:val="21"/>
        </w:rPr>
        <w:t xml:space="preserve">clara</w:t>
      </w:r>
      <w:r>
        <w:rPr>
          <w:rFonts w:ascii="Calibri" w:cs="Calibri" w:eastAsia="Calibri" w:hAnsi="Calibri"/>
          <w:sz w:val="21"/>
          <w:szCs w:val="21"/>
        </w:rPr>
        <w:t xml:space="preserve">, porque su contenido queda determinado en las cláusulas [códigos] del pliego, con criterios de comprobación tasados; y es </w:t>
      </w:r>
      <w:r>
        <w:rPr>
          <w:rFonts w:ascii="Calibri" w:cs="Calibri" w:eastAsia="Calibri" w:hAnsi="Calibri"/>
          <w:b/>
          <w:bCs/>
          <w:sz w:val="21"/>
          <w:szCs w:val="21"/>
        </w:rPr>
        <w:t xml:space="preserve">proporcional</w:t>
      </w:r>
      <w:r>
        <w:rPr>
          <w:rFonts w:ascii="Calibri" w:cs="Calibri" w:eastAsia="Calibri" w:hAnsi="Calibri"/>
          <w:sz w:val="21"/>
          <w:szCs w:val="21"/>
        </w:rPr>
        <w:t xml:space="preserve">, porque [no exige al contratista prestación distinta de la que ya realiza para ejecutar el contrato / el coste incremental estimado es de [importe] euros sobre un valor estimado de [importe] euros].»</w:t>
      </w:r>
    </w:p>
    <w:p>
      <w:pPr>
        <w:spacing w:after="140" w:line="276"/>
      </w:pPr>
      <w:r>
        <w:rPr>
          <w:rFonts w:ascii="Calibri" w:cs="Calibri" w:eastAsia="Calibri" w:hAnsi="Calibri"/>
          <w:sz w:val="21"/>
          <w:szCs w:val="21"/>
        </w:rPr>
        <w:t xml:space="preserve">---- FIN DEL MODELO ----</w:t>
      </w:r>
    </w:p>
    <w:p>
      <w:pPr>
        <w:pStyle w:val="Heading3"/>
        <w:keepNext/>
        <w:spacing w:after="140" w:before="320"/>
      </w:pPr>
      <w:r>
        <w:rPr>
          <w:rFonts w:ascii="Georgia" w:cs="Georgia" w:eastAsia="Georgia" w:hAnsi="Georgia"/>
          <w:b/>
          <w:bCs/>
          <w:color w:val="2F5496"/>
          <w:sz w:val="22"/>
          <w:szCs w:val="22"/>
        </w:rPr>
        <w:t xml:space="preserve">V.4.2 · El eslabón que falta: la necesidad institucional y su doble vía de firma</w:t>
      </w:r>
    </w:p>
    <w:p>
      <w:pPr>
        <w:spacing w:after="140" w:line="276"/>
      </w:pPr>
      <w:r>
        <w:rPr>
          <w:rFonts w:ascii="Calibri" w:cs="Calibri" w:eastAsia="Calibri" w:hAnsi="Calibri"/>
          <w:sz w:val="21"/>
          <w:szCs w:val="21"/>
        </w:rPr>
        <w:t xml:space="preserve">Hay tres orígenes posibles de una necesidad, y cada uno se acredita de forma distinta. Confundirlos es lo que produce fichas firmadas por quien no puede firmarlas.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Origen de la necesidad</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Ejemplo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 la acredita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Funcional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servicio necesita que la aplicación haga algo que hoy no hace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o unidad gestora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Ficha firmada por el gestor</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Normativa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Conformidad con el ENS del sistema del contratista y de su cadena de suministro; condición especial de ejecución de protección de datos cuando hay cesión de datos; acceso del órgano interventor a los datos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competente por razón de la materia, o el propio órgano de control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del servicio competente, incorporado al expediente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Institucional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Exigencias tecnológicas que ninguna norma impone hoy y que ningún gestor pedirá, porque no nacen de su servicio sino de una decisión de política municipal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Acuerdo del órgano de gobierno municipal</w:t>
            </w:r>
            <w:r>
              <w:rPr>
                <w:rFonts w:ascii="Calibri" w:cs="Calibri" w:eastAsia="Calibri" w:hAnsi="Calibri"/>
                <w:b w:val="false"/>
                <w:bCs w:val="false"/>
                <w:sz w:val="18"/>
                <w:szCs w:val="18"/>
              </w:rPr>
              <w:t xml:space="preserve"> que apruebe el plan y el catálogo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Remisión al acuerdo, con fecha y número</w:t>
            </w:r>
          </w:p>
        </w:tc>
      </w:tr>
    </w:tbl>
    <w:p>
      <w:pPr>
        <w:spacing w:after="200"/>
      </w:pPr>
    </w:p>
    <w:p>
      <w:pPr>
        <w:spacing w:after="140" w:line="276"/>
      </w:pPr>
      <w:r>
        <w:rPr>
          <w:rFonts w:ascii="Calibri" w:cs="Calibri" w:eastAsia="Calibri" w:hAnsi="Calibri"/>
          <w:sz w:val="21"/>
          <w:szCs w:val="21"/>
        </w:rPr>
        <w:t xml:space="preserve">La tercera fila es la que sostiene el Anexo V. Sin ella, la ficha se rellena con el mismo párrafo en todos los expedientes y la justificación vuelve a ser estereotipada. </w:t>
      </w:r>
      <w:r>
        <w:rPr>
          <w:rFonts w:ascii="Calibri" w:cs="Calibri" w:eastAsia="Calibri" w:hAnsi="Calibri"/>
          <w:b/>
          <w:bCs/>
          <w:sz w:val="21"/>
          <w:szCs w:val="21"/>
        </w:rPr>
        <w:t xml:space="preserve">Con ella</w:t>
      </w:r>
      <w:r>
        <w:rPr>
          <w:rFonts w:ascii="Calibri" w:cs="Calibri" w:eastAsia="Calibri" w:hAnsi="Calibri"/>
          <w:sz w:val="21"/>
          <w:szCs w:val="21"/>
        </w:rPr>
        <w:t xml:space="preserve">, el informe de necesidad de cada expediente no invoca un documento técnico de una concejalía: invoca un acuerdo del órgano de gobierno, y la relación con el objeto pasa a derivarse de una política municipal aprobada, publicada y con calendario.</w:t>
      </w:r>
    </w:p>
    <w:p>
      <w:pPr>
        <w:spacing w:after="140" w:line="276"/>
      </w:pPr>
      <w:r>
        <w:rPr>
          <w:rFonts w:ascii="Calibri" w:cs="Calibri" w:eastAsia="Calibri" w:hAnsi="Calibri"/>
          <w:sz w:val="21"/>
          <w:szCs w:val="21"/>
        </w:rPr>
        <w:t xml:space="preserve">Regla de firma, por tanto: </w:t>
      </w:r>
      <w:r>
        <w:rPr>
          <w:rFonts w:ascii="Calibri" w:cs="Calibri" w:eastAsia="Calibri" w:hAnsi="Calibri"/>
          <w:b/>
          <w:bCs/>
          <w:sz w:val="21"/>
          <w:szCs w:val="21"/>
        </w:rPr>
        <w:t xml:space="preserve">necesidad funcional, la firma el gestor; necesidad normativa, la firma o la informa el servicio competente; necesidad institucional, se remite al acuerdo del órgano de gobierno</w:t>
      </w:r>
      <w:r>
        <w:rPr>
          <w:rFonts w:ascii="Calibri" w:cs="Calibri" w:eastAsia="Calibri" w:hAnsi="Calibri"/>
          <w:sz w:val="21"/>
          <w:szCs w:val="21"/>
        </w:rPr>
        <w:t xml:space="preserve">. Ningún gestor firma una ficha sobre el ENS o sobre el control interno, porque no es suya y porque su firma no acredita nada.</w:t>
      </w:r>
    </w:p>
    <w:p>
      <w:pPr>
        <w:spacing w:after="140" w:line="276"/>
      </w:pPr>
      <w:r>
        <w:rPr>
          <w:rFonts w:ascii="Calibri" w:cs="Calibri" w:eastAsia="Calibri" w:hAnsi="Calibri"/>
          <w:sz w:val="21"/>
          <w:szCs w:val="21"/>
        </w:rPr>
        <w:t xml:space="preserve">Órgano competente para el acuerdo: el órgano de gobierno municipal al que corresponda la aprobación de planes y programas — en municipios de gran población, la Junta de Gobierno Local (arts. 127.1.n) LBRL y DA 2.ª.4 LCSP); en el régimen común, el órgano que tenga atribuida la competencia según el reglamento orgánico de la corporación. Es un parámetro: </w:t>
      </w:r>
      <w:r>
        <w:rPr>
          <w:rFonts w:ascii="Calibri" w:cs="Calibri" w:eastAsia="Calibri" w:hAnsi="Calibri"/>
          <w:b/>
          <w:bCs/>
          <w:sz w:val="21"/>
          <w:szCs w:val="21"/>
        </w:rPr>
        <w:t xml:space="preserve">[órgano; se recomienda el mismo órgano que sea órgano de contratación, para que la necesidad y el expediente tengan el mismo origen institucional]</w:t>
      </w:r>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El modelo de acuerdo está en el </w:t>
      </w:r>
      <w:r>
        <w:rPr>
          <w:rFonts w:ascii="Calibri" w:cs="Calibri" w:eastAsia="Calibri" w:hAnsi="Calibri"/>
          <w:b/>
          <w:bCs/>
          <w:sz w:val="21"/>
          <w:szCs w:val="21"/>
        </w:rPr>
        <w:t xml:space="preserve">Anexo VIII</w:t>
      </w:r>
      <w:r>
        <w:rPr>
          <w:rFonts w:ascii="Calibri" w:cs="Calibri" w:eastAsia="Calibri" w:hAnsi="Calibri"/>
          <w:sz w:val="21"/>
          <w:szCs w:val="21"/>
        </w:rPr>
        <w:t xml:space="preserve">. Su parte dispositiva mínima, que no es texto de pliego:</w:t>
      </w:r>
    </w:p>
    <w:p>
      <w:pPr>
        <w:spacing w:after="140" w:line="276"/>
      </w:pPr>
      <w:r>
        <w:rPr>
          <w:rFonts w:ascii="Calibri" w:cs="Calibri" w:eastAsia="Calibri" w:hAnsi="Calibri"/>
          <w:sz w:val="21"/>
          <w:szCs w:val="21"/>
        </w:rPr>
        <w:t xml:space="preserve">---- INICIO DEL MODELO — PARTE DISPOSITIVA DEL ACUERDO QUE CREA LA NECESIDAD INSTITUCIONAL ----</w:t>
      </w:r>
    </w:p>
    <w:p>
      <w:pPr>
        <w:spacing w:after="140" w:line="276"/>
      </w:pPr>
      <w:r>
        <w:rPr>
          <w:rFonts w:ascii="Calibri" w:cs="Calibri" w:eastAsia="Calibri" w:hAnsi="Calibri"/>
          <w:sz w:val="21"/>
          <w:szCs w:val="21"/>
        </w:rPr>
        <w:t xml:space="preserve">«Primero. Aprobar el Plan municipal de [denominación] para el periodo [ejercicio o periodo], con los objetivos y el calendario que figuran en el anexo.</w:t>
      </w:r>
    </w:p>
    <w:p>
      <w:pPr>
        <w:spacing w:after="140" w:line="276"/>
      </w:pPr>
      <w:r>
        <w:rPr>
          <w:rFonts w:ascii="Calibri" w:cs="Calibri" w:eastAsia="Calibri" w:hAnsi="Calibri"/>
          <w:sz w:val="21"/>
          <w:szCs w:val="21"/>
        </w:rPr>
        <w:t xml:space="preserve">Segundo. Aprobar el Catálogo de exigencias tecnológicas determinadas del ejercicio [año], que constituye el Anexo V del clausulado, en su versión [n.º], de fecha [dd/mm/aaaa].</w:t>
      </w:r>
    </w:p>
    <w:p>
      <w:pPr>
        <w:spacing w:after="140" w:line="276"/>
      </w:pPr>
      <w:r>
        <w:rPr>
          <w:rFonts w:ascii="Calibri" w:cs="Calibri" w:eastAsia="Calibri" w:hAnsi="Calibri"/>
          <w:sz w:val="21"/>
          <w:szCs w:val="21"/>
        </w:rPr>
        <w:t xml:space="preserve">Tercero. Declarar que las exigencias del Anexo V responden a una necesidad municipal de carácter institucional a los efectos de los artículos 28.1 y 116.4.e) de la Ley 9/2017, y que su incorporación a un pliego concreto requiere, en todo caso, la Ficha de Aplicabilidad y el informe de necesidad del expediente correspondiente.</w:t>
      </w:r>
    </w:p>
    <w:p>
      <w:pPr>
        <w:spacing w:after="140" w:line="276"/>
      </w:pPr>
      <w:r>
        <w:rPr>
          <w:rFonts w:ascii="Calibri" w:cs="Calibri" w:eastAsia="Calibri" w:hAnsi="Calibri"/>
          <w:sz w:val="21"/>
          <w:szCs w:val="21"/>
        </w:rPr>
        <w:t xml:space="preserve">Cuarto. Ordenar la publicación del acuerdo y de sus anexos en [sede electrónica y perfil de contratante], y su revisión antes del [fecha; se recomienda el 30 de noviembre de cada año].»</w:t>
      </w:r>
    </w:p>
    <w:p>
      <w:pPr>
        <w:spacing w:after="140" w:line="276"/>
      </w:pPr>
      <w:r>
        <w:rPr>
          <w:rFonts w:ascii="Calibri" w:cs="Calibri" w:eastAsia="Calibri" w:hAnsi="Calibri"/>
          <w:sz w:val="21"/>
          <w:szCs w:val="21"/>
        </w:rPr>
        <w:t xml:space="preserve">---- FIN DEL MODELO ----</w:t>
      </w:r>
    </w:p>
    <w:p>
      <w:pPr>
        <w:pStyle w:val="Heading3"/>
        <w:keepNext/>
        <w:spacing w:after="140" w:before="320"/>
      </w:pPr>
      <w:r>
        <w:rPr>
          <w:rFonts w:ascii="Georgia" w:cs="Georgia" w:eastAsia="Georgia" w:hAnsi="Georgia"/>
          <w:b/>
          <w:bCs/>
          <w:color w:val="2F5496"/>
          <w:sz w:val="22"/>
          <w:szCs w:val="22"/>
        </w:rPr>
        <w:t xml:space="preserve">V.4.3 · Consulta al directorio general de aplicaciones (art. 157.3 Ley 40/2015)</w:t>
      </w:r>
    </w:p>
    <w:p>
      <w:pPr>
        <w:spacing w:after="140" w:line="276"/>
      </w:pPr>
      <w:r>
        <w:rPr>
          <w:rFonts w:ascii="Calibri" w:cs="Calibri" w:eastAsia="Calibri" w:hAnsi="Calibri"/>
          <w:sz w:val="21"/>
          <w:szCs w:val="21"/>
        </w:rPr>
        <w:t xml:space="preserve">Este trámite es preceptivo, casi nadie lo documenta, y va </w:t>
      </w:r>
      <w:r>
        <w:rPr>
          <w:rFonts w:ascii="Calibri" w:cs="Calibri" w:eastAsia="Calibri" w:hAnsi="Calibri"/>
          <w:b/>
          <w:bCs/>
          <w:sz w:val="21"/>
          <w:szCs w:val="21"/>
        </w:rPr>
        <w:t xml:space="preserve">en contra</w:t>
      </w:r>
      <w:r>
        <w:rPr>
          <w:rFonts w:ascii="Calibri" w:cs="Calibri" w:eastAsia="Calibri" w:hAnsi="Calibri"/>
          <w:sz w:val="21"/>
          <w:szCs w:val="21"/>
        </w:rPr>
        <w:t xml:space="preserve"> de la presunción implícita de todo catálogo de exigencias tecnológicas, que es la de comprar algo nuevo. Precisamente por eso tiene que estar: un catálogo que exige tecnología y omite el trámite que obliga a comprobar si esa tecnología ya existe y es gratuita en otra Administración se defiende mal.</w:t>
      </w:r>
    </w:p>
    <w:p>
      <w:pPr>
        <w:spacing w:after="140" w:line="276"/>
      </w:pPr>
      <w:r>
        <w:rPr>
          <w:rFonts w:ascii="Calibri" w:cs="Calibri" w:eastAsia="Calibri" w:hAnsi="Calibri"/>
          <w:b/>
          <w:bCs/>
          <w:sz w:val="21"/>
          <w:szCs w:val="21"/>
        </w:rPr>
        <w:t xml:space="preserve">Precepto.</w:t>
      </w:r>
      <w:r>
        <w:rPr>
          <w:rFonts w:ascii="Calibri" w:cs="Calibri" w:eastAsia="Calibri" w:hAnsi="Calibri"/>
          <w:sz w:val="21"/>
          <w:szCs w:val="21"/>
        </w:rPr>
        <w:t xml:space="preserve"> Art. 157.3 de la Ley 40/2015, en relación con los arts. 157.1 y 158. Literal verificado en el texto consolidado:</w:t>
      </w:r>
    </w:p>
    <w:p>
      <w:pPr>
        <w:pBdr>
          <w:left w:val="single" w:color="BFBFBF" w:sz="12" w:space="8"/>
        </w:pBdr>
        <w:spacing w:after="140" w:line="264"/>
        <w:ind w:left="400"/>
      </w:pPr>
      <w:r>
        <w:rPr>
          <w:rFonts w:ascii="Georgia" w:cs="Georgia" w:eastAsia="Georgia" w:hAnsi="Georgia"/>
          <w:i/>
          <w:iCs/>
          <w:color w:val="595959"/>
          <w:sz w:val="20"/>
          <w:szCs w:val="20"/>
        </w:rPr>
        <w:t xml:space="preserve">«Las Administraciones Públicas, con carácter previo a la adquisición, desarrollo o al mantenimiento a lo largo de todo el ciclo de vida de una aplicación, tanto si se realiza con medios propios o por la contratación de los servicios correspondientes, deberán consultar en el directorio general de aplicaciones, dependiente de la Administración General del Estado, si existen soluciones disponibles para su reutilización, que puedan satisfacer total o parcialmente las necesidades, mejoras o actualizaciones que se pretenden cubrir, y siempre que los requisitos tecnológicos de interoperabilidad y seguridad así lo permitan.»</w:t>
      </w:r>
    </w:p>
    <w:p>
      <w:pPr>
        <w:spacing w:after="140" w:line="276"/>
      </w:pPr>
      <w:r>
        <w:rPr>
          <w:rFonts w:ascii="Calibri" w:cs="Calibri" w:eastAsia="Calibri" w:hAnsi="Calibri"/>
          <w:sz w:val="21"/>
          <w:szCs w:val="21"/>
        </w:rPr>
        <w:t xml:space="preserve">Y, en el párrafo final del mismo apartado:</w:t>
      </w:r>
    </w:p>
    <w:p>
      <w:pPr>
        <w:pBdr>
          <w:left w:val="single" w:color="BFBFBF" w:sz="12" w:space="8"/>
        </w:pBdr>
        <w:spacing w:after="140" w:line="264"/>
        <w:ind w:left="400"/>
      </w:pPr>
      <w:r>
        <w:rPr>
          <w:rFonts w:ascii="Georgia" w:cs="Georgia" w:eastAsia="Georgia" w:hAnsi="Georgia"/>
          <w:i/>
          <w:iCs/>
          <w:color w:val="595959"/>
          <w:sz w:val="20"/>
          <w:szCs w:val="20"/>
        </w:rPr>
        <w:t xml:space="preserve">«En el caso de existir una solución disponible para su reutilización total o parcial, las Administraciones Públicas estarán obligadas a su uso, salvo que la decisión de no reutilizarla se justifique en términos de eficiencia conforme al artículo 7 de la Ley Orgánica 2/2012, de 27 de abril, de Estabilidad Presupuestaria y Sostenibilidad Financiera.»</w:t>
      </w:r>
    </w:p>
    <w:p>
      <w:pPr>
        <w:spacing w:after="140" w:line="276"/>
      </w:pPr>
      <w:r>
        <w:rPr>
          <w:rFonts w:ascii="Calibri" w:cs="Calibri" w:eastAsia="Calibri" w:hAnsi="Calibri"/>
          <w:b/>
          <w:bCs/>
          <w:sz w:val="21"/>
          <w:szCs w:val="21"/>
        </w:rPr>
        <w:t xml:space="preserve">Cuándo procede.</w:t>
      </w:r>
      <w:r>
        <w:rPr>
          <w:rFonts w:ascii="Calibri" w:cs="Calibri" w:eastAsia="Calibri" w:hAnsi="Calibri"/>
          <w:sz w:val="21"/>
          <w:szCs w:val="21"/>
        </w:rPr>
        <w:t xml:space="preserve"> Siempre que el objeto comprenda adquisición, desarrollo o </w:t>
      </w:r>
      <w:r>
        <w:rPr>
          <w:rFonts w:ascii="Calibri" w:cs="Calibri" w:eastAsia="Calibri" w:hAnsi="Calibri"/>
          <w:b/>
          <w:bCs/>
          <w:sz w:val="21"/>
          <w:szCs w:val="21"/>
        </w:rPr>
        <w:t xml:space="preserve">mantenimiento</w:t>
      </w:r>
      <w:r>
        <w:rPr>
          <w:rFonts w:ascii="Calibri" w:cs="Calibri" w:eastAsia="Calibri" w:hAnsi="Calibri"/>
          <w:sz w:val="21"/>
          <w:szCs w:val="21"/>
        </w:rPr>
        <w:t xml:space="preserve"> de una aplicación. Nótese que el mantenimiento está expresamente incluido y a lo largo de todo el ciclo de vida: la prórroga de un mantenimiento no exime del trámite si se está renovando el contrato.</w:t>
      </w:r>
    </w:p>
    <w:p>
      <w:pPr>
        <w:spacing w:after="140" w:line="276"/>
      </w:pPr>
      <w:r>
        <w:rPr>
          <w:rFonts w:ascii="Calibri" w:cs="Calibri" w:eastAsia="Calibri" w:hAnsi="Calibri"/>
          <w:b/>
          <w:bCs/>
          <w:sz w:val="21"/>
          <w:szCs w:val="21"/>
        </w:rPr>
        <w:t xml:space="preserve">Quién lo hace y cuánto cuesta.</w:t>
      </w:r>
      <w:r>
        <w:rPr>
          <w:rFonts w:ascii="Calibri" w:cs="Calibri" w:eastAsia="Calibri" w:hAnsi="Calibri"/>
          <w:sz w:val="21"/>
          <w:szCs w:val="21"/>
        </w:rPr>
        <w:t xml:space="preserve"> El servicio de informática. Carga estimada: </w:t>
      </w:r>
      <w:r>
        <w:rPr>
          <w:rFonts w:ascii="Calibri" w:cs="Calibri" w:eastAsia="Calibri" w:hAnsi="Calibri"/>
          <w:b/>
          <w:bCs/>
          <w:sz w:val="21"/>
          <w:szCs w:val="21"/>
        </w:rPr>
        <w:t xml:space="preserve">20 a 40 minutos</w:t>
      </w:r>
      <w:r>
        <w:rPr>
          <w:rFonts w:ascii="Calibri" w:cs="Calibri" w:eastAsia="Calibri" w:hAnsi="Calibri"/>
          <w:sz w:val="21"/>
          <w:szCs w:val="21"/>
        </w:rPr>
        <w:t xml:space="preserve">, incluida la impresión del resultado. Es el trámite más barato del expediente y uno de los dos o tres que más se echan de menos en un recurso.</w:t>
      </w:r>
    </w:p>
    <w:p>
      <w:pPr>
        <w:spacing w:after="140" w:line="276"/>
      </w:pPr>
      <w:r>
        <w:rPr>
          <w:rFonts w:ascii="Calibri" w:cs="Calibri" w:eastAsia="Calibri" w:hAnsi="Calibri"/>
          <w:b/>
          <w:bCs/>
          <w:sz w:val="21"/>
          <w:szCs w:val="21"/>
        </w:rPr>
        <w:t xml:space="preserve">Publicidad.</w:t>
      </w:r>
      <w:r>
        <w:rPr>
          <w:rFonts w:ascii="Calibri" w:cs="Calibri" w:eastAsia="Calibri" w:hAnsi="Calibri"/>
          <w:sz w:val="21"/>
          <w:szCs w:val="21"/>
        </w:rPr>
        <w:t xml:space="preserve"> No es obligatoria de forma autónoma. Recomendación: incorporarlo como anexo de la memoria justificativa, que sí se publica. Refuerza el apartado 5 del informe de necesidad y desactiva de antemano la alegación de que se compró sin mirar.</w:t>
      </w:r>
    </w:p>
    <w:p>
      <w:pPr>
        <w:spacing w:after="140" w:line="276"/>
      </w:pPr>
      <w:r>
        <w:rPr>
          <w:rFonts w:ascii="Calibri" w:cs="Calibri" w:eastAsia="Calibri" w:hAnsi="Calibri"/>
          <w:b/>
          <w:bCs/>
          <w:sz w:val="21"/>
          <w:szCs w:val="21"/>
        </w:rPr>
        <w:t xml:space="preserve">Contenido mínimo del informe de consulta.</w:t>
      </w:r>
    </w:p>
    <w:p>
      <w:pPr>
        <w:pStyle w:val="ListParagraph"/>
        <w:numPr>
          <w:ilvl w:val="0"/>
          <w:numId w:val="2"/>
        </w:numPr>
        <w:spacing w:after="70" w:line="268"/>
      </w:pPr>
      <w:r>
        <w:rPr>
          <w:rFonts w:ascii="Calibri" w:cs="Calibri" w:eastAsia="Calibri" w:hAnsi="Calibri"/>
          <w:sz w:val="21"/>
          <w:szCs w:val="21"/>
        </w:rPr>
        <w:t xml:space="preserve">Directorio consultado, dirección exacta y </w:t>
      </w:r>
      <w:r>
        <w:rPr>
          <w:rFonts w:ascii="Calibri" w:cs="Calibri" w:eastAsia="Calibri" w:hAnsi="Calibri"/>
          <w:b/>
          <w:bCs/>
          <w:sz w:val="21"/>
          <w:szCs w:val="21"/>
        </w:rPr>
        <w:t xml:space="preserve">fecha y hora</w:t>
      </w:r>
      <w:r>
        <w:rPr>
          <w:rFonts w:ascii="Calibri" w:cs="Calibri" w:eastAsia="Calibri" w:hAnsi="Calibri"/>
          <w:sz w:val="21"/>
          <w:szCs w:val="21"/>
        </w:rPr>
        <w:t xml:space="preserve"> de la consulta.</w:t>
      </w:r>
    </w:p>
    <w:p>
      <w:pPr>
        <w:pStyle w:val="ListParagraph"/>
        <w:numPr>
          <w:ilvl w:val="0"/>
          <w:numId w:val="2"/>
        </w:numPr>
        <w:spacing w:after="70" w:line="268"/>
      </w:pPr>
      <w:r>
        <w:rPr>
          <w:rFonts w:ascii="Calibri" w:cs="Calibri" w:eastAsia="Calibri" w:hAnsi="Calibri"/>
          <w:sz w:val="21"/>
          <w:szCs w:val="21"/>
        </w:rPr>
        <w:t xml:space="preserve">Términos de búsqueda empleados y criterios de filtrado.</w:t>
      </w:r>
    </w:p>
    <w:p>
      <w:pPr>
        <w:pStyle w:val="ListParagraph"/>
        <w:numPr>
          <w:ilvl w:val="0"/>
          <w:numId w:val="2"/>
        </w:numPr>
        <w:spacing w:after="70" w:line="268"/>
      </w:pPr>
      <w:r>
        <w:rPr>
          <w:rFonts w:ascii="Calibri" w:cs="Calibri" w:eastAsia="Calibri" w:hAnsi="Calibri"/>
          <w:sz w:val="21"/>
          <w:szCs w:val="21"/>
        </w:rPr>
        <w:t xml:space="preserve">Relación de soluciones encontradas que guarden relación con el objeto, con su identificador en el directorio.</w:t>
      </w:r>
    </w:p>
    <w:p>
      <w:pPr>
        <w:pStyle w:val="ListParagraph"/>
        <w:numPr>
          <w:ilvl w:val="0"/>
          <w:numId w:val="2"/>
        </w:numPr>
        <w:spacing w:after="70" w:line="268"/>
      </w:pPr>
      <w:r>
        <w:rPr>
          <w:rFonts w:ascii="Calibri" w:cs="Calibri" w:eastAsia="Calibri" w:hAnsi="Calibri"/>
          <w:sz w:val="21"/>
          <w:szCs w:val="21"/>
        </w:rPr>
        <w:t xml:space="preserve">Por cada una: si satisface total o parcialmente la necesidad, y por qué.</w:t>
      </w:r>
    </w:p>
    <w:p>
      <w:pPr>
        <w:pStyle w:val="ListParagraph"/>
        <w:numPr>
          <w:ilvl w:val="0"/>
          <w:numId w:val="2"/>
        </w:numPr>
        <w:spacing w:after="70" w:line="268"/>
      </w:pPr>
      <w:r>
        <w:rPr>
          <w:rFonts w:ascii="Calibri" w:cs="Calibri" w:eastAsia="Calibri" w:hAnsi="Calibri"/>
          <w:sz w:val="21"/>
          <w:szCs w:val="21"/>
        </w:rPr>
        <w:t xml:space="preserve">Si ninguna la satisface: constancia expresa.</w:t>
      </w:r>
    </w:p>
    <w:p>
      <w:pPr>
        <w:pStyle w:val="ListParagraph"/>
        <w:numPr>
          <w:ilvl w:val="0"/>
          <w:numId w:val="2"/>
        </w:numPr>
        <w:spacing w:after="70" w:line="268"/>
      </w:pPr>
      <w:r>
        <w:rPr>
          <w:rFonts w:ascii="Calibri" w:cs="Calibri" w:eastAsia="Calibri" w:hAnsi="Calibri"/>
          <w:sz w:val="21"/>
          <w:szCs w:val="21"/>
        </w:rPr>
        <w:t xml:space="preserve">Si alguna la satisface y no se reutiliza: </w:t>
      </w:r>
      <w:r>
        <w:rPr>
          <w:rFonts w:ascii="Calibri" w:cs="Calibri" w:eastAsia="Calibri" w:hAnsi="Calibri"/>
          <w:b/>
          <w:bCs/>
          <w:sz w:val="21"/>
          <w:szCs w:val="21"/>
        </w:rPr>
        <w:t xml:space="preserve">justificación en términos de eficiencia</w:t>
      </w:r>
      <w:r>
        <w:rPr>
          <w:rFonts w:ascii="Calibri" w:cs="Calibri" w:eastAsia="Calibri" w:hAnsi="Calibri"/>
          <w:sz w:val="21"/>
          <w:szCs w:val="21"/>
        </w:rPr>
        <w:t xml:space="preserve"> conforme al art. 7 de la Ley Orgánica 2/2012, con el cálculo comparativo (coste de adaptación y explotación de la solución reutilizable frente a coste del contrato proyectado, en el mismo horizonte temporal).</w:t>
      </w:r>
    </w:p>
    <w:p>
      <w:pPr>
        <w:pStyle w:val="ListParagraph"/>
        <w:numPr>
          <w:ilvl w:val="0"/>
          <w:numId w:val="2"/>
        </w:numPr>
        <w:spacing w:after="70" w:line="268"/>
      </w:pPr>
      <w:r>
        <w:rPr>
          <w:rFonts w:ascii="Calibri" w:cs="Calibri" w:eastAsia="Calibri" w:hAnsi="Calibri"/>
          <w:sz w:val="21"/>
          <w:szCs w:val="21"/>
        </w:rPr>
        <w:t xml:space="preserve">Firma del responsable del servicio de informática.</w:t>
      </w:r>
    </w:p>
    <w:p>
      <w:pPr>
        <w:spacing w:after="140" w:line="276"/>
      </w:pPr>
      <w:r>
        <w:rPr>
          <w:rFonts w:ascii="Calibri" w:cs="Calibri" w:eastAsia="Calibri" w:hAnsi="Calibri"/>
          <w:b/>
          <w:bCs/>
          <w:sz w:val="21"/>
          <w:szCs w:val="21"/>
        </w:rPr>
        <w:t xml:space="preserve">Enlace con el resto del catálogo.</w:t>
      </w:r>
      <w:r>
        <w:rPr>
          <w:rFonts w:ascii="Calibri" w:cs="Calibri" w:eastAsia="Calibri" w:hAnsi="Calibri"/>
          <w:sz w:val="21"/>
          <w:szCs w:val="21"/>
        </w:rPr>
        <w:t xml:space="preserve"> El art. 157.1 sólo obliga a poner a disposición de otras Administraciones las aplicaciones «de cuyos derechos de propiedad intelectual sean titulares». Ese es el fundamento de la cláusula ADM-8·v3: sin titularidad, el Ayuntamiento no puede cumplir el art. 157.1, y quien consulta hoy el directorio se beneficia de que otros lo cumplieran ayer. Es un argumento de reciprocidad que conviene escribir en la memoria porque además es cierto.</w:t>
      </w:r>
    </w:p>
    <w:p>
      <w:pPr>
        <w:spacing w:after="140" w:line="276"/>
      </w:pPr>
      <w:r>
        <w:rPr>
          <w:rFonts w:ascii="Calibri" w:cs="Calibri" w:eastAsia="Calibri" w:hAnsi="Calibri"/>
          <w:b/>
          <w:bCs/>
          <w:sz w:val="21"/>
          <w:szCs w:val="21"/>
        </w:rPr>
        <w:t xml:space="preserve">Error que anula.</w:t>
      </w:r>
      <w:r>
        <w:rPr>
          <w:rFonts w:ascii="Calibri" w:cs="Calibri" w:eastAsia="Calibri" w:hAnsi="Calibri"/>
          <w:sz w:val="21"/>
          <w:szCs w:val="21"/>
        </w:rPr>
        <w:t xml:space="preserve"> Omitirlo cuando el objeto es una aplicación. No es un vicio menor de forma: es un trámite preceptivo cuya omisión, unida a una exigencia tecnológica restrictiva, dibuja el cuadro de un expediente que no comprobó si necesitaba comprar.</w:t>
      </w:r>
    </w:p>
    <w:p>
      <w:pPr>
        <w:pStyle w:val="Heading3"/>
        <w:keepNext/>
        <w:spacing w:after="140" w:before="320"/>
      </w:pPr>
      <w:r>
        <w:rPr>
          <w:rFonts w:ascii="Georgia" w:cs="Georgia" w:eastAsia="Georgia" w:hAnsi="Georgia"/>
          <w:b/>
          <w:bCs/>
          <w:color w:val="2F5496"/>
          <w:sz w:val="22"/>
          <w:szCs w:val="22"/>
        </w:rPr>
        <w:t xml:space="preserve">V.4.4 · Ficha de Aplicabilidad (Anexo II)</w:t>
      </w:r>
    </w:p>
    <w:p>
      <w:pPr>
        <w:spacing w:after="140" w:line="276"/>
      </w:pPr>
      <w:r>
        <w:rPr>
          <w:rFonts w:ascii="Calibri" w:cs="Calibri" w:eastAsia="Calibri" w:hAnsi="Calibri"/>
          <w:b/>
          <w:bCs/>
          <w:sz w:val="21"/>
          <w:szCs w:val="21"/>
        </w:rPr>
        <w:t xml:space="preserve">Precepto.</w:t>
      </w:r>
      <w:r>
        <w:rPr>
          <w:rFonts w:ascii="Calibri" w:cs="Calibri" w:eastAsia="Calibri" w:hAnsi="Calibri"/>
          <w:sz w:val="21"/>
          <w:szCs w:val="21"/>
        </w:rPr>
        <w:t xml:space="preserve"> No es un documento legal típico: es el instrumento interno que acredita el cumplimiento del art. 116.4.e) respecto de cada cláusula del catálogo. Su valor jurídico es el de documento del expediente.</w:t>
      </w:r>
    </w:p>
    <w:p>
      <w:pPr>
        <w:spacing w:after="140" w:line="276"/>
      </w:pPr>
      <w:r>
        <w:rPr>
          <w:rFonts w:ascii="Calibri" w:cs="Calibri" w:eastAsia="Calibri" w:hAnsi="Calibri"/>
          <w:b/>
          <w:bCs/>
          <w:sz w:val="21"/>
          <w:szCs w:val="21"/>
        </w:rPr>
        <w:t xml:space="preserve">Quién la firma.</w:t>
      </w:r>
      <w:r>
        <w:rPr>
          <w:rFonts w:ascii="Calibri" w:cs="Calibri" w:eastAsia="Calibri" w:hAnsi="Calibri"/>
          <w:sz w:val="21"/>
          <w:szCs w:val="21"/>
        </w:rPr>
        <w:t xml:space="preserve"> Doble vía (V.4.2).</w:t>
      </w:r>
    </w:p>
    <w:p>
      <w:pPr>
        <w:spacing w:after="140" w:line="276"/>
      </w:pPr>
      <w:r>
        <w:rPr>
          <w:rFonts w:ascii="Calibri" w:cs="Calibri" w:eastAsia="Calibri" w:hAnsi="Calibri"/>
          <w:b/>
          <w:bCs/>
          <w:sz w:val="21"/>
          <w:szCs w:val="21"/>
        </w:rPr>
        <w:t xml:space="preserve">Momento.</w:t>
      </w:r>
      <w:r>
        <w:rPr>
          <w:rFonts w:ascii="Calibri" w:cs="Calibri" w:eastAsia="Calibri" w:hAnsi="Calibri"/>
          <w:sz w:val="21"/>
          <w:szCs w:val="21"/>
        </w:rPr>
        <w:t xml:space="preserve"> Después del informe de necesidad, antes de redactar PPT y PCAP.</w:t>
      </w:r>
    </w:p>
    <w:p>
      <w:pPr>
        <w:spacing w:after="140" w:line="276"/>
      </w:pPr>
      <w:r>
        <w:rPr>
          <w:rFonts w:ascii="Calibri" w:cs="Calibri" w:eastAsia="Calibri" w:hAnsi="Calibri"/>
          <w:b/>
          <w:bCs/>
          <w:sz w:val="21"/>
          <w:szCs w:val="21"/>
        </w:rPr>
        <w:t xml:space="preserve">Publicidad.</w:t>
      </w:r>
      <w:r>
        <w:rPr>
          <w:rFonts w:ascii="Calibri" w:cs="Calibri" w:eastAsia="Calibri" w:hAnsi="Calibri"/>
          <w:sz w:val="21"/>
          <w:szCs w:val="21"/>
        </w:rPr>
        <w:t xml:space="preserve"> Su contenido se vuelca en la memoria justificativa, que se publica. Redáctese en consecuencia.</w:t>
      </w:r>
    </w:p>
    <w:p>
      <w:pPr>
        <w:spacing w:after="140" w:line="276"/>
      </w:pPr>
      <w:r>
        <w:rPr>
          <w:rFonts w:ascii="Calibri" w:cs="Calibri" w:eastAsia="Calibri" w:hAnsi="Calibri"/>
          <w:b/>
          <w:bCs/>
          <w:sz w:val="21"/>
          <w:szCs w:val="21"/>
        </w:rPr>
        <w:t xml:space="preserve">Contenido mínimo por cada cláusula marcada SÍ.</w:t>
      </w:r>
    </w:p>
    <w:p>
      <w:pPr>
        <w:pStyle w:val="ListParagraph"/>
        <w:numPr>
          <w:ilvl w:val="0"/>
          <w:numId w:val="2"/>
        </w:numPr>
        <w:spacing w:after="70" w:line="268"/>
      </w:pPr>
      <w:r>
        <w:rPr>
          <w:rFonts w:ascii="Calibri" w:cs="Calibri" w:eastAsia="Calibri" w:hAnsi="Calibri"/>
          <w:sz w:val="21"/>
          <w:szCs w:val="21"/>
        </w:rPr>
        <w:t xml:space="preserve">Código de la cláusula </w:t>
      </w:r>
      <w:r>
        <w:rPr>
          <w:rFonts w:ascii="Calibri" w:cs="Calibri" w:eastAsia="Calibri" w:hAnsi="Calibri"/>
          <w:b/>
          <w:bCs/>
          <w:sz w:val="21"/>
          <w:szCs w:val="21"/>
        </w:rPr>
        <w:t xml:space="preserve">con versión</w:t>
      </w:r>
      <w:r>
        <w:rPr>
          <w:rFonts w:ascii="Calibri" w:cs="Calibri" w:eastAsia="Calibri" w:hAnsi="Calibri"/>
          <w:sz w:val="21"/>
          <w:szCs w:val="21"/>
        </w:rPr>
        <w:t xml:space="preserve"> (DT-7·v3, ADM-2·v3). Sin versión, la referencia es ambigua respecto de los pliegos ya redactados con v2.</w:t>
      </w:r>
    </w:p>
    <w:p>
      <w:pPr>
        <w:pStyle w:val="ListParagraph"/>
        <w:numPr>
          <w:ilvl w:val="0"/>
          <w:numId w:val="2"/>
        </w:numPr>
        <w:spacing w:after="70" w:line="268"/>
      </w:pPr>
      <w:r>
        <w:rPr>
          <w:rFonts w:ascii="Calibri" w:cs="Calibri" w:eastAsia="Calibri" w:hAnsi="Calibri"/>
          <w:sz w:val="21"/>
          <w:szCs w:val="21"/>
        </w:rPr>
        <w:t xml:space="preserve">Necesidad municipal concreta que la justifica, con remisión al apartado del informe de necesidad.</w:t>
      </w:r>
    </w:p>
    <w:p>
      <w:pPr>
        <w:pStyle w:val="ListParagraph"/>
        <w:numPr>
          <w:ilvl w:val="0"/>
          <w:numId w:val="2"/>
        </w:numPr>
        <w:spacing w:after="70" w:line="268"/>
      </w:pPr>
      <w:r>
        <w:rPr>
          <w:rFonts w:ascii="Calibri" w:cs="Calibri" w:eastAsia="Calibri" w:hAnsi="Calibri"/>
          <w:sz w:val="21"/>
          <w:szCs w:val="21"/>
        </w:rPr>
        <w:t xml:space="preserve">Norma, acuerdo o informe del que nace.</w:t>
      </w:r>
    </w:p>
    <w:p>
      <w:pPr>
        <w:pStyle w:val="ListParagraph"/>
        <w:numPr>
          <w:ilvl w:val="0"/>
          <w:numId w:val="2"/>
        </w:numPr>
        <w:spacing w:after="70" w:line="268"/>
      </w:pPr>
      <w:r>
        <w:rPr>
          <w:rFonts w:ascii="Calibri" w:cs="Calibri" w:eastAsia="Calibri" w:hAnsi="Calibri"/>
          <w:sz w:val="21"/>
          <w:szCs w:val="21"/>
        </w:rPr>
        <w:t xml:space="preserve">Por qué la relación con el objeto de </w:t>
      </w:r>
      <w:r>
        <w:rPr>
          <w:rFonts w:ascii="Calibri" w:cs="Calibri" w:eastAsia="Calibri" w:hAnsi="Calibri"/>
          <w:b/>
          <w:bCs/>
          <w:sz w:val="21"/>
          <w:szCs w:val="21"/>
        </w:rPr>
        <w:t xml:space="preserve">este</w:t>
      </w:r>
      <w:r>
        <w:rPr>
          <w:rFonts w:ascii="Calibri" w:cs="Calibri" w:eastAsia="Calibri" w:hAnsi="Calibri"/>
          <w:sz w:val="21"/>
          <w:szCs w:val="21"/>
        </w:rPr>
        <w:t xml:space="preserve"> contrato es directa, clara y proporcional.</w:t>
      </w:r>
    </w:p>
    <w:p>
      <w:pPr>
        <w:pStyle w:val="ListParagraph"/>
        <w:numPr>
          <w:ilvl w:val="0"/>
          <w:numId w:val="2"/>
        </w:numPr>
        <w:spacing w:after="70" w:line="268"/>
      </w:pPr>
      <w:r>
        <w:rPr>
          <w:rFonts w:ascii="Calibri" w:cs="Calibri" w:eastAsia="Calibri" w:hAnsi="Calibri"/>
          <w:b/>
          <w:bCs/>
          <w:sz w:val="21"/>
          <w:szCs w:val="21"/>
        </w:rPr>
        <w:t xml:space="preserve">Actor municipal que verificará su cumplimiento y periodicidad.</w:t>
      </w:r>
      <w:r>
        <w:rPr>
          <w:rFonts w:ascii="Calibri" w:cs="Calibri" w:eastAsia="Calibri" w:hAnsi="Calibri"/>
          <w:sz w:val="21"/>
          <w:szCs w:val="21"/>
        </w:rPr>
        <w:t xml:space="preserve"> Sin esto, la cláusula no entra (regla 4 de V.1.3).</w:t>
      </w:r>
    </w:p>
    <w:p>
      <w:pPr>
        <w:pStyle w:val="ListParagraph"/>
        <w:numPr>
          <w:ilvl w:val="0"/>
          <w:numId w:val="2"/>
        </w:numPr>
        <w:spacing w:after="70" w:line="268"/>
      </w:pPr>
      <w:r>
        <w:rPr>
          <w:rFonts w:ascii="Calibri" w:cs="Calibri" w:eastAsia="Calibri" w:hAnsi="Calibri"/>
          <w:sz w:val="21"/>
          <w:szCs w:val="21"/>
        </w:rPr>
        <w:t xml:space="preserve">Carga estimada de esa verificación, en horas/año.</w:t>
      </w:r>
    </w:p>
    <w:p>
      <w:pPr>
        <w:spacing w:after="140" w:line="276"/>
      </w:pPr>
      <w:r>
        <w:rPr>
          <w:rFonts w:ascii="Calibri" w:cs="Calibri" w:eastAsia="Calibri" w:hAnsi="Calibri"/>
          <w:sz w:val="21"/>
          <w:szCs w:val="21"/>
        </w:rPr>
        <w:t xml:space="preserve">Y por cada cláusula marcada NO APLICA: motivo en una línea, y </w:t>
      </w:r>
      <w:r>
        <w:rPr>
          <w:rFonts w:ascii="Calibri" w:cs="Calibri" w:eastAsia="Calibri" w:hAnsi="Calibri"/>
          <w:b/>
          <w:bCs/>
          <w:sz w:val="21"/>
          <w:szCs w:val="21"/>
        </w:rPr>
        <w:t xml:space="preserve">comprobación de las menciones que arrastra</w:t>
      </w:r>
      <w:r>
        <w:rPr>
          <w:rFonts w:ascii="Calibri" w:cs="Calibri" w:eastAsia="Calibri" w:hAnsi="Calibri"/>
          <w:sz w:val="21"/>
          <w:szCs w:val="21"/>
        </w:rPr>
        <w:t xml:space="preserve"> según la tabla de dependencias del </w:t>
      </w:r>
      <w:r>
        <w:rPr>
          <w:rFonts w:ascii="Calibri" w:cs="Calibri" w:eastAsia="Calibri" w:hAnsi="Calibri"/>
          <w:b/>
          <w:bCs/>
          <w:sz w:val="21"/>
          <w:szCs w:val="21"/>
        </w:rPr>
        <w:t xml:space="preserve">Anexo VI</w:t>
      </w:r>
      <w:r>
        <w:rPr>
          <w:rFonts w:ascii="Calibri" w:cs="Calibri" w:eastAsia="Calibri" w:hAnsi="Calibri"/>
          <w:sz w:val="21"/>
          <w:szCs w:val="21"/>
        </w:rPr>
        <w:t xml:space="preserve">.</w:t>
      </w:r>
    </w:p>
    <w:p>
      <w:pPr>
        <w:spacing w:after="140" w:line="276"/>
      </w:pPr>
      <w:r>
        <w:rPr>
          <w:rFonts w:ascii="Calibri" w:cs="Calibri" w:eastAsia="Calibri" w:hAnsi="Calibri"/>
          <w:b/>
          <w:bCs/>
          <w:sz w:val="21"/>
          <w:szCs w:val="21"/>
        </w:rPr>
        <w:t xml:space="preserve">Error que anula.</w:t>
      </w:r>
      <w:r>
        <w:rPr>
          <w:rFonts w:ascii="Calibri" w:cs="Calibri" w:eastAsia="Calibri" w:hAnsi="Calibri"/>
          <w:sz w:val="21"/>
          <w:szCs w:val="21"/>
        </w:rPr>
        <w:t xml:space="preserve"> Marcar SÍ sin rellenar los seis campos. Una ficha con casillas y sin motivación es peor que no tener ficha: documenta que la decisión se tomó sin motivar.</w:t>
      </w:r>
    </w:p>
    <w:p>
      <w:pPr>
        <w:pStyle w:val="Heading3"/>
        <w:keepNext/>
        <w:spacing w:after="140" w:before="320"/>
      </w:pPr>
      <w:r>
        <w:rPr>
          <w:rFonts w:ascii="Georgia" w:cs="Georgia" w:eastAsia="Georgia" w:hAnsi="Georgia"/>
          <w:b/>
          <w:bCs/>
          <w:color w:val="2F5496"/>
          <w:sz w:val="22"/>
          <w:szCs w:val="22"/>
        </w:rPr>
        <w:t xml:space="preserve">V.4.5 · Memoria justificativa del contrato</w:t>
      </w:r>
    </w:p>
    <w:p>
      <w:pPr>
        <w:spacing w:after="140" w:line="276"/>
      </w:pPr>
      <w:r>
        <w:rPr>
          <w:rFonts w:ascii="Calibri" w:cs="Calibri" w:eastAsia="Calibri" w:hAnsi="Calibri"/>
          <w:b/>
          <w:bCs/>
          <w:sz w:val="21"/>
          <w:szCs w:val="21"/>
        </w:rPr>
        <w:t xml:space="preserve">Precepto.</w:t>
      </w:r>
      <w:r>
        <w:rPr>
          <w:rFonts w:ascii="Calibri" w:cs="Calibri" w:eastAsia="Calibri" w:hAnsi="Calibri"/>
          <w:sz w:val="21"/>
          <w:szCs w:val="21"/>
        </w:rPr>
        <w:t xml:space="preserve"> Arts. 116.4 y 63.3.a) LCSP.</w:t>
      </w:r>
    </w:p>
    <w:p>
      <w:pPr>
        <w:spacing w:after="140" w:line="276"/>
      </w:pPr>
      <w:r>
        <w:rPr>
          <w:rFonts w:ascii="Calibri" w:cs="Calibri" w:eastAsia="Calibri" w:hAnsi="Calibri"/>
          <w:b/>
          <w:bCs/>
          <w:sz w:val="21"/>
          <w:szCs w:val="21"/>
        </w:rPr>
        <w:t xml:space="preserve">Quién la firma.</w:t>
      </w:r>
      <w:r>
        <w:rPr>
          <w:rFonts w:ascii="Calibri" w:cs="Calibri" w:eastAsia="Calibri" w:hAnsi="Calibri"/>
          <w:sz w:val="21"/>
          <w:szCs w:val="21"/>
        </w:rPr>
        <w:t xml:space="preserve"> El servicio proponente y, en su caso, el órgano de contratación. Es el documento que agrupa y ordena las justificaciones del art. 116.4.</w:t>
      </w:r>
    </w:p>
    <w:p>
      <w:pPr>
        <w:spacing w:after="140" w:line="276"/>
      </w:pPr>
      <w:r>
        <w:rPr>
          <w:rFonts w:ascii="Calibri" w:cs="Calibri" w:eastAsia="Calibri" w:hAnsi="Calibri"/>
          <w:b/>
          <w:bCs/>
          <w:sz w:val="21"/>
          <w:szCs w:val="21"/>
        </w:rPr>
        <w:t xml:space="preserve">Publicidad.</w:t>
      </w:r>
      <w:r>
        <w:rPr>
          <w:rFonts w:ascii="Calibri" w:cs="Calibri" w:eastAsia="Calibri" w:hAnsi="Calibri"/>
          <w:sz w:val="21"/>
          <w:szCs w:val="21"/>
        </w:rPr>
        <w:t xml:space="preserve"> Obligatoria.</w:t>
      </w:r>
    </w:p>
    <w:p>
      <w:pPr>
        <w:spacing w:after="140" w:line="276"/>
      </w:pPr>
      <w:r>
        <w:rPr>
          <w:rFonts w:ascii="Calibri" w:cs="Calibri" w:eastAsia="Calibri" w:hAnsi="Calibri"/>
          <w:b/>
          <w:bCs/>
          <w:sz w:val="21"/>
          <w:szCs w:val="21"/>
        </w:rPr>
        <w:t xml:space="preserve">Contenido mínimo — es la lista del art. 116.4, y conviene seguir sus letras para que el fiscalizador las encuentre.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Letra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hay que justificar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Dónde se apoya en este catálogo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elección del procedimiento de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V.4.6</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clasificación exigida a los participantes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si se exige; en tal caso, con justificación de su proporcionalidad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Los criterios de solvencia técnica o profesional y económica y financiera, </w:t>
            </w:r>
            <w:r>
              <w:rPr>
                <w:rFonts w:ascii="Calibri" w:cs="Calibri" w:eastAsia="Calibri" w:hAnsi="Calibri"/>
                <w:b/>
                <w:bCs/>
                <w:sz w:val="18"/>
                <w:szCs w:val="18"/>
              </w:rPr>
              <w:t xml:space="preserve">los criterios de adjudicación y las condiciones especiales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V.4.7 y Anexo IV</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valor estimado, con indicación de todos los conceptos que lo integran, incluidos los costes laborales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V.4.10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necesidad y su relación </w:t>
            </w:r>
            <w:r>
              <w:rPr>
                <w:rFonts w:ascii="Calibri" w:cs="Calibri" w:eastAsia="Calibri" w:hAnsi="Calibri"/>
                <w:b/>
                <w:bCs/>
                <w:sz w:val="18"/>
                <w:szCs w:val="18"/>
              </w:rPr>
              <w:t xml:space="preserve">directa, clara y proporcional</w:t>
            </w:r>
            <w:r>
              <w:rPr>
                <w:rFonts w:ascii="Calibri" w:cs="Calibri" w:eastAsia="Calibri" w:hAnsi="Calibri"/>
                <w:b w:val="false"/>
                <w:bCs w:val="false"/>
                <w:sz w:val="18"/>
                <w:szCs w:val="18"/>
              </w:rPr>
              <w:t xml:space="preserve"> con el objeto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V.4.1 y la Ficha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contratos de servicios, el informe de insuficiencia de medios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V.4.8</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decisión de no dividir en lotes, en su caso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V.4.9</w:t>
            </w:r>
          </w:p>
        </w:tc>
      </w:tr>
    </w:tbl>
    <w:p>
      <w:pPr>
        <w:spacing w:after="200"/>
      </w:pPr>
    </w:p>
    <w:p>
      <w:pPr>
        <w:spacing w:after="140" w:line="276"/>
      </w:pPr>
      <w:r>
        <w:rPr>
          <w:rFonts w:ascii="Calibri" w:cs="Calibri" w:eastAsia="Calibri" w:hAnsi="Calibri"/>
          <w:sz w:val="21"/>
          <w:szCs w:val="21"/>
        </w:rPr>
        <w:t xml:space="preserve">Además, y aunque no figuren en la enumeración del art. 116.4, la memoria debe recoger: la categoría de seguridad determinada conforme al ENS y la motivación de las exigencias de seguridad (V.4.11); el resultado de la consulta al directorio general de aplicaciones (V.4.3); y la referencia al acuerdo del órgano de gobierno cuando alguna cláusula responda a necesidad institucional (V.4.2).</w:t>
      </w:r>
    </w:p>
    <w:p>
      <w:pPr>
        <w:spacing w:after="140" w:line="276"/>
      </w:pPr>
      <w:r>
        <w:rPr>
          <w:rFonts w:ascii="Calibri" w:cs="Calibri" w:eastAsia="Calibri" w:hAnsi="Calibri"/>
          <w:b/>
          <w:bCs/>
          <w:sz w:val="21"/>
          <w:szCs w:val="21"/>
        </w:rPr>
        <w:t xml:space="preserve">Advertencia de método.</w:t>
      </w:r>
      <w:r>
        <w:rPr>
          <w:rFonts w:ascii="Calibri" w:cs="Calibri" w:eastAsia="Calibri" w:hAnsi="Calibri"/>
          <w:sz w:val="21"/>
          <w:szCs w:val="21"/>
        </w:rPr>
        <w:t xml:space="preserve"> La memoria del catálogo (Parte IV) </w:t>
      </w:r>
      <w:r>
        <w:rPr>
          <w:rFonts w:ascii="Calibri" w:cs="Calibri" w:eastAsia="Calibri" w:hAnsi="Calibri"/>
          <w:b/>
          <w:bCs/>
          <w:sz w:val="21"/>
          <w:szCs w:val="21"/>
        </w:rPr>
        <w:t xml:space="preserve">no sustituye</w:t>
      </w:r>
      <w:r>
        <w:rPr>
          <w:rFonts w:ascii="Calibri" w:cs="Calibri" w:eastAsia="Calibri" w:hAnsi="Calibri"/>
          <w:sz w:val="21"/>
          <w:szCs w:val="21"/>
        </w:rPr>
        <w:t xml:space="preserve"> a esta memoria. Remitirse a ella es exactamente la justificación por remisión que produce la motivación estereotipada.</w:t>
      </w:r>
    </w:p>
    <w:p>
      <w:pPr>
        <w:pStyle w:val="Heading3"/>
        <w:keepNext/>
        <w:spacing w:after="140" w:before="320"/>
      </w:pPr>
      <w:r>
        <w:rPr>
          <w:rFonts w:ascii="Georgia" w:cs="Georgia" w:eastAsia="Georgia" w:hAnsi="Georgia"/>
          <w:b/>
          <w:bCs/>
          <w:color w:val="2F5496"/>
          <w:sz w:val="22"/>
          <w:szCs w:val="22"/>
        </w:rPr>
        <w:t xml:space="preserve">V.4.6 · Justificación de la elección del procedimiento</w:t>
      </w:r>
    </w:p>
    <w:p>
      <w:pPr>
        <w:spacing w:after="140" w:line="276"/>
      </w:pPr>
      <w:r>
        <w:rPr>
          <w:rFonts w:ascii="Calibri" w:cs="Calibri" w:eastAsia="Calibri" w:hAnsi="Calibri"/>
          <w:b/>
          <w:bCs/>
          <w:sz w:val="21"/>
          <w:szCs w:val="21"/>
        </w:rPr>
        <w:t xml:space="preserve">Precepto.</w:t>
      </w:r>
      <w:r>
        <w:rPr>
          <w:rFonts w:ascii="Calibri" w:cs="Calibri" w:eastAsia="Calibri" w:hAnsi="Calibri"/>
          <w:sz w:val="21"/>
          <w:szCs w:val="21"/>
        </w:rPr>
        <w:t xml:space="preserve"> Art. 116.4.a) LCSP. Publicidad: obligatoria </w:t>
      </w:r>
      <w:r>
        <w:rPr>
          <w:rFonts w:ascii="Calibri" w:cs="Calibri" w:eastAsia="Calibri" w:hAnsi="Calibri"/>
          <w:b/>
          <w:bCs/>
          <w:sz w:val="21"/>
          <w:szCs w:val="21"/>
        </w:rPr>
        <w:t xml:space="preserve">sólo cuando se utilice un procedimiento distinto del abierto o del restringido</w:t>
      </w:r>
      <w:r>
        <w:rPr>
          <w:rFonts w:ascii="Calibri" w:cs="Calibri" w:eastAsia="Calibri" w:hAnsi="Calibri"/>
          <w:sz w:val="21"/>
          <w:szCs w:val="21"/>
        </w:rPr>
        <w:t xml:space="preserve"> (art. 63.3.a). Aun así, conviene que conste siempre en la memoria: la elección de procedimiento condiciona el baremo, y el baremo es uno de los flancos del catálogo.</w:t>
      </w:r>
    </w:p>
    <w:p>
      <w:pPr>
        <w:spacing w:after="140" w:line="276"/>
      </w:pPr>
      <w:r>
        <w:rPr>
          <w:rFonts w:ascii="Calibri" w:cs="Calibri" w:eastAsia="Calibri" w:hAnsi="Calibri"/>
          <w:b/>
          <w:bCs/>
          <w:sz w:val="21"/>
          <w:szCs w:val="21"/>
        </w:rPr>
        <w:t xml:space="preserve">Lo que hay que comprobar antes de elegir.</w:t>
      </w:r>
    </w:p>
    <w:p>
      <w:pPr>
        <w:pStyle w:val="ListParagraph"/>
        <w:numPr>
          <w:ilvl w:val="0"/>
          <w:numId w:val="1"/>
        </w:numPr>
        <w:spacing w:after="70" w:line="268"/>
      </w:pPr>
      <w:r>
        <w:rPr>
          <w:rFonts w:ascii="Calibri" w:cs="Calibri" w:eastAsia="Calibri" w:hAnsi="Calibri"/>
          <w:b/>
          <w:bCs/>
          <w:sz w:val="21"/>
          <w:szCs w:val="21"/>
        </w:rPr>
        <w:t xml:space="preserve">Abierto simplificado</w:t>
      </w:r>
      <w:r>
        <w:rPr>
          <w:rFonts w:ascii="Calibri" w:cs="Calibri" w:eastAsia="Calibri" w:hAnsi="Calibri"/>
          <w:sz w:val="21"/>
          <w:szCs w:val="21"/>
        </w:rPr>
        <w:t xml:space="preserve"> (art. 159.1 LCSP): exige dos condiciones acumulativas. Valor estimado igual o inferior a 2.000.000 € en obras e igual o inferior a </w:t>
      </w:r>
      <w:r>
        <w:rPr>
          <w:rFonts w:ascii="Calibri" w:cs="Calibri" w:eastAsia="Calibri" w:hAnsi="Calibri"/>
          <w:b/>
          <w:bCs/>
          <w:sz w:val="21"/>
          <w:szCs w:val="21"/>
        </w:rPr>
        <w:t xml:space="preserve">100.000 €</w:t>
      </w:r>
      <w:r>
        <w:rPr>
          <w:rFonts w:ascii="Calibri" w:cs="Calibri" w:eastAsia="Calibri" w:hAnsi="Calibri"/>
          <w:sz w:val="21"/>
          <w:szCs w:val="21"/>
        </w:rPr>
        <w:t xml:space="preserve"> en suministros y servicios (art. 159.1.a); y que los criterios sujetos a juicio de valor </w:t>
      </w:r>
      <w:r>
        <w:rPr>
          <w:rFonts w:ascii="Calibri" w:cs="Calibri" w:eastAsia="Calibri" w:hAnsi="Calibri"/>
          <w:b/>
          <w:bCs/>
          <w:sz w:val="21"/>
          <w:szCs w:val="21"/>
        </w:rPr>
        <w:t xml:space="preserve">no superen el 25 % del total</w:t>
      </w:r>
      <w:r>
        <w:rPr>
          <w:rFonts w:ascii="Calibri" w:cs="Calibri" w:eastAsia="Calibri" w:hAnsi="Calibri"/>
          <w:sz w:val="21"/>
          <w:szCs w:val="21"/>
        </w:rPr>
        <w:t xml:space="preserve">, o el 45 % si el contrato tiene por objeto prestaciones de carácter intelectual (art. 159.1.b). La cuantía de servicios y suministros coincide con la del umbral del recurso especial: por encima de 100.000 € se pierde el simplificado y los pliegos pasan a ser directamente recurribles. Es la misma cuantía que emplean ADM-7·v3, apartado 3, y el Anexo X, apartado X.2.a; </w:t>
      </w:r>
      <w:r>
        <w:rPr>
          <w:rFonts w:ascii="Calibri" w:cs="Calibri" w:eastAsia="Calibri" w:hAnsi="Calibri"/>
          <w:b/>
          <w:bCs/>
          <w:sz w:val="21"/>
          <w:szCs w:val="21"/>
        </w:rPr>
        <w:t xml:space="preserve">no debe confundirse con las cuantías de los arts. 21.1.a) y 22.1.a) LCSP</w:t>
      </w:r>
      <w:r>
        <w:rPr>
          <w:rFonts w:ascii="Calibri" w:cs="Calibri" w:eastAsia="Calibri" w:hAnsi="Calibri"/>
          <w:sz w:val="21"/>
          <w:szCs w:val="21"/>
        </w:rPr>
        <w:t xml:space="preserve">, que son las de los contratos sujetos a regulación armonizada adjudicados por la Administración General del Estado.</w:t>
      </w:r>
    </w:p>
    <w:p>
      <w:pPr>
        <w:pStyle w:val="ListParagraph"/>
        <w:numPr>
          <w:ilvl w:val="0"/>
          <w:numId w:val="1"/>
        </w:numPr>
        <w:spacing w:after="70" w:line="268"/>
      </w:pPr>
      <w:r>
        <w:rPr>
          <w:rFonts w:ascii="Calibri" w:cs="Calibri" w:eastAsia="Calibri" w:hAnsi="Calibri"/>
          <w:b/>
          <w:bCs/>
          <w:sz w:val="21"/>
          <w:szCs w:val="21"/>
        </w:rPr>
        <w:t xml:space="preserve">Abierto simplificado abreviado</w:t>
      </w:r>
      <w:r>
        <w:rPr>
          <w:rFonts w:ascii="Calibri" w:cs="Calibri" w:eastAsia="Calibri" w:hAnsi="Calibri"/>
          <w:sz w:val="21"/>
          <w:szCs w:val="21"/>
        </w:rPr>
        <w:t xml:space="preserve"> (art. 159.6 LCSP): obras de valor estimado inferior a 80.000 € y suministros y servicios de valor estimado inferior a 60.000 €, </w:t>
      </w:r>
      <w:r>
        <w:rPr>
          <w:rFonts w:ascii="Calibri" w:cs="Calibri" w:eastAsia="Calibri" w:hAnsi="Calibri"/>
          <w:b/>
          <w:bCs/>
          <w:sz w:val="21"/>
          <w:szCs w:val="21"/>
        </w:rPr>
        <w:t xml:space="preserve">excluidas las prestaciones de carácter intelectual</w:t>
      </w:r>
      <w:r>
        <w:rPr>
          <w:rFonts w:ascii="Calibri" w:cs="Calibri" w:eastAsia="Calibri" w:hAnsi="Calibri"/>
          <w:sz w:val="21"/>
          <w:szCs w:val="21"/>
        </w:rPr>
        <w:t xml:space="preserve">; y la oferta se evalúa </w:t>
      </w:r>
      <w:r>
        <w:rPr>
          <w:rFonts w:ascii="Calibri" w:cs="Calibri" w:eastAsia="Calibri" w:hAnsi="Calibri"/>
          <w:b/>
          <w:bCs/>
          <w:sz w:val="21"/>
          <w:szCs w:val="21"/>
        </w:rPr>
        <w:t xml:space="preserve">en todo caso con criterios cuantificables mediante la mera aplicación de fórmulas</w:t>
      </w:r>
      <w:r>
        <w:rPr>
          <w:rFonts w:ascii="Calibri" w:cs="Calibri" w:eastAsia="Calibri" w:hAnsi="Calibri"/>
          <w:sz w:val="21"/>
          <w:szCs w:val="21"/>
        </w:rPr>
        <w:t xml:space="preserve">, es decir, con cero juicio de valor.</w:t>
      </w:r>
    </w:p>
    <w:p>
      <w:pPr>
        <w:spacing w:after="140" w:line="276"/>
      </w:pPr>
      <w:r>
        <w:rPr>
          <w:rFonts w:ascii="Calibri" w:cs="Calibri" w:eastAsia="Calibri" w:hAnsi="Calibri"/>
          <w:sz w:val="21"/>
          <w:szCs w:val="21"/>
        </w:rPr>
        <w:t xml:space="preserve">La calificación de un contrato como de </w:t>
      </w:r>
      <w:r>
        <w:rPr>
          <w:rFonts w:ascii="Calibri" w:cs="Calibri" w:eastAsia="Calibri" w:hAnsi="Calibri"/>
          <w:b/>
          <w:bCs/>
          <w:sz w:val="21"/>
          <w:szCs w:val="21"/>
        </w:rPr>
        <w:t xml:space="preserve">prestaciones de carácter intelectual</w:t>
      </w:r>
      <w:r>
        <w:rPr>
          <w:rFonts w:ascii="Calibri" w:cs="Calibri" w:eastAsia="Calibri" w:hAnsi="Calibri"/>
          <w:sz w:val="21"/>
          <w:szCs w:val="21"/>
        </w:rPr>
        <w:t xml:space="preserve"> no se deduce del objeto ni del sector: se motiva por escrito en el expediente conforme a la regla de motivación del </w:t>
      </w:r>
      <w:r>
        <w:rPr>
          <w:rFonts w:ascii="Calibri" w:cs="Calibri" w:eastAsia="Calibri" w:hAnsi="Calibri"/>
          <w:b/>
          <w:bCs/>
          <w:sz w:val="21"/>
          <w:szCs w:val="21"/>
        </w:rPr>
        <w:t xml:space="preserve">Anexo XXIII</w:t>
      </w:r>
      <w:r>
        <w:rPr>
          <w:rFonts w:ascii="Calibri" w:cs="Calibri" w:eastAsia="Calibri" w:hAnsi="Calibri"/>
          <w:sz w:val="21"/>
          <w:szCs w:val="21"/>
        </w:rPr>
        <w:t xml:space="preserve">. De ella dependen aquí el 45 % y la exclusión del abreviado.</w:t>
      </w:r>
    </w:p>
    <w:p>
      <w:pPr>
        <w:spacing w:after="140" w:line="276"/>
      </w:pPr>
      <w:r>
        <w:rPr>
          <w:rFonts w:ascii="Calibri" w:cs="Calibri" w:eastAsia="Calibri" w:hAnsi="Calibri"/>
          <w:sz w:val="21"/>
          <w:szCs w:val="21"/>
        </w:rPr>
        <w:t xml:space="preserve">Consecuencia directa para este catálogo: un baremo con un bloque grande de juicio de valor expulsa el contrato del simplificado. Por eso la cláusula ADM-7·v3 entrega </w:t>
      </w:r>
      <w:r>
        <w:rPr>
          <w:rFonts w:ascii="Calibri" w:cs="Calibri" w:eastAsia="Calibri" w:hAnsi="Calibri"/>
          <w:b/>
          <w:bCs/>
          <w:sz w:val="21"/>
          <w:szCs w:val="21"/>
        </w:rPr>
        <w:t xml:space="preserve">tres variantes de baremo</w:t>
      </w:r>
      <w:r>
        <w:rPr>
          <w:rFonts w:ascii="Calibri" w:cs="Calibri" w:eastAsia="Calibri" w:hAnsi="Calibri"/>
          <w:sz w:val="21"/>
          <w:szCs w:val="21"/>
        </w:rPr>
        <w:t xml:space="preserve"> —abierto (ADM-7.2), simplificado (ADM-7.3) y abreviado (ADM-7.4)— y no una, y el Anexo IV entrega la hoja de comprobación que las suma. La elección del procedimiento y la construcción del baremo son la misma decisión y se toman a la vez.</w:t>
      </w:r>
    </w:p>
    <w:p>
      <w:pPr>
        <w:pStyle w:val="Heading3"/>
        <w:keepNext/>
        <w:spacing w:after="140" w:before="320"/>
      </w:pPr>
      <w:r>
        <w:rPr>
          <w:rFonts w:ascii="Georgia" w:cs="Georgia" w:eastAsia="Georgia" w:hAnsi="Georgia"/>
          <w:b/>
          <w:bCs/>
          <w:color w:val="2F5496"/>
          <w:sz w:val="22"/>
          <w:szCs w:val="22"/>
        </w:rPr>
        <w:t xml:space="preserve">V.4.7 · Justificación de los criterios de solvencia, de adjudicación y de las condiciones especiales de ejecución</w:t>
      </w:r>
    </w:p>
    <w:p>
      <w:pPr>
        <w:spacing w:after="140" w:line="276"/>
      </w:pPr>
      <w:r>
        <w:rPr>
          <w:rFonts w:ascii="Calibri" w:cs="Calibri" w:eastAsia="Calibri" w:hAnsi="Calibri"/>
          <w:b/>
          <w:bCs/>
          <w:sz w:val="21"/>
          <w:szCs w:val="21"/>
        </w:rPr>
        <w:t xml:space="preserve">Precepto.</w:t>
      </w:r>
      <w:r>
        <w:rPr>
          <w:rFonts w:ascii="Calibri" w:cs="Calibri" w:eastAsia="Calibri" w:hAnsi="Calibri"/>
          <w:sz w:val="21"/>
          <w:szCs w:val="21"/>
        </w:rPr>
        <w:t xml:space="preserve"> Art. 116.4.c) LCSP.</w:t>
      </w:r>
    </w:p>
    <w:p>
      <w:pPr>
        <w:spacing w:after="140" w:line="276"/>
      </w:pPr>
      <w:r>
        <w:rPr>
          <w:rFonts w:ascii="Calibri" w:cs="Calibri" w:eastAsia="Calibri" w:hAnsi="Calibri"/>
          <w:sz w:val="21"/>
          <w:szCs w:val="21"/>
        </w:rPr>
        <w:t xml:space="preserve">Este es el apartado por el que se anuló el pliego de Parla (V.5.6). Su contenido mínimo:</w:t>
      </w:r>
    </w:p>
    <w:p>
      <w:pPr>
        <w:pStyle w:val="ListParagraph"/>
        <w:numPr>
          <w:ilvl w:val="0"/>
          <w:numId w:val="2"/>
        </w:numPr>
        <w:spacing w:after="70" w:line="268"/>
      </w:pPr>
      <w:r>
        <w:rPr>
          <w:rFonts w:ascii="Calibri" w:cs="Calibri" w:eastAsia="Calibri" w:hAnsi="Calibri"/>
          <w:b/>
          <w:bCs/>
          <w:sz w:val="21"/>
          <w:szCs w:val="21"/>
        </w:rPr>
        <w:t xml:space="preserve">Por cada criterio de solvencia</w:t>
      </w:r>
      <w:r>
        <w:rPr>
          <w:rFonts w:ascii="Calibri" w:cs="Calibri" w:eastAsia="Calibri" w:hAnsi="Calibri"/>
          <w:sz w:val="21"/>
          <w:szCs w:val="21"/>
        </w:rPr>
        <w:t xml:space="preserve">: qué capacidad acredita, por qué esa capacidad es necesaria para ejecutar este objeto y por qué el umbral fijado es proporcionado.</w:t>
      </w:r>
    </w:p>
    <w:p>
      <w:pPr>
        <w:pStyle w:val="ListParagraph"/>
        <w:numPr>
          <w:ilvl w:val="0"/>
          <w:numId w:val="2"/>
        </w:numPr>
        <w:spacing w:after="70" w:line="268"/>
      </w:pPr>
      <w:r>
        <w:rPr>
          <w:rFonts w:ascii="Calibri" w:cs="Calibri" w:eastAsia="Calibri" w:hAnsi="Calibri"/>
          <w:b/>
          <w:bCs/>
          <w:sz w:val="21"/>
          <w:szCs w:val="21"/>
        </w:rPr>
        <w:t xml:space="preserve">Por cada criterio de adjudicación</w:t>
      </w:r>
      <w:r>
        <w:rPr>
          <w:rFonts w:ascii="Calibri" w:cs="Calibri" w:eastAsia="Calibri" w:hAnsi="Calibri"/>
          <w:sz w:val="21"/>
          <w:szCs w:val="21"/>
        </w:rPr>
        <w:t xml:space="preserve">: qué mejora aporta a la prestación, cómo se verificará efectivamente, y por qué su peso es el que es. Un criterio que no puede verificarse con la documentación que se pide no es un criterio: es una declaración de intenciones puntuada.</w:t>
      </w:r>
    </w:p>
    <w:p>
      <w:pPr>
        <w:pStyle w:val="ListParagraph"/>
        <w:numPr>
          <w:ilvl w:val="0"/>
          <w:numId w:val="2"/>
        </w:numPr>
        <w:spacing w:after="70" w:line="268"/>
      </w:pPr>
      <w:r>
        <w:rPr>
          <w:rFonts w:ascii="Calibri" w:cs="Calibri" w:eastAsia="Calibri" w:hAnsi="Calibri"/>
          <w:b/>
          <w:bCs/>
          <w:sz w:val="21"/>
          <w:szCs w:val="21"/>
        </w:rPr>
        <w:t xml:space="preserve">Por cada condición especial de ejecución</w:t>
      </w:r>
      <w:r>
        <w:rPr>
          <w:rFonts w:ascii="Calibri" w:cs="Calibri" w:eastAsia="Calibri" w:hAnsi="Calibri"/>
          <w:sz w:val="21"/>
          <w:szCs w:val="21"/>
        </w:rPr>
        <w:t xml:space="preserve">: su vinculación al objeto y las consecuencias tasadas de su incumplimiento.</w:t>
      </w:r>
    </w:p>
    <w:p>
      <w:pPr>
        <w:pStyle w:val="ListParagraph"/>
        <w:numPr>
          <w:ilvl w:val="0"/>
          <w:numId w:val="2"/>
        </w:numPr>
        <w:spacing w:after="70" w:line="268"/>
      </w:pPr>
      <w:r>
        <w:rPr>
          <w:rFonts w:ascii="Calibri" w:cs="Calibri" w:eastAsia="Calibri" w:hAnsi="Calibri"/>
          <w:b/>
          <w:bCs/>
          <w:sz w:val="21"/>
          <w:szCs w:val="21"/>
        </w:rPr>
        <w:t xml:space="preserve">Prueba de la no duplicidad</w:t>
      </w:r>
      <w:r>
        <w:rPr>
          <w:rFonts w:ascii="Calibri" w:cs="Calibri" w:eastAsia="Calibri" w:hAnsi="Calibri"/>
          <w:sz w:val="21"/>
          <w:szCs w:val="21"/>
        </w:rPr>
        <w:t xml:space="preserve">: constancia expresa de que se ha aplicado la regla de separación de instrumentos, que se enuncia en la Parte I, §7.3, y se transcribe al pliego en ADM-7·v3, apartado 1.1, y de que ninguna exigencia se computa dos veces.</w:t>
      </w:r>
    </w:p>
    <w:p>
      <w:pPr>
        <w:pStyle w:val="ListParagraph"/>
        <w:numPr>
          <w:ilvl w:val="0"/>
          <w:numId w:val="2"/>
        </w:numPr>
        <w:spacing w:after="70" w:line="268"/>
      </w:pPr>
      <w:r>
        <w:rPr>
          <w:rFonts w:ascii="Calibri" w:cs="Calibri" w:eastAsia="Calibri" w:hAnsi="Calibri"/>
          <w:b/>
          <w:bCs/>
          <w:sz w:val="21"/>
          <w:szCs w:val="21"/>
        </w:rPr>
        <w:t xml:space="preserve">Hoja de comprobación del baremo</w:t>
      </w:r>
      <w:r>
        <w:rPr>
          <w:rFonts w:ascii="Calibri" w:cs="Calibri" w:eastAsia="Calibri" w:hAnsi="Calibri"/>
          <w:sz w:val="21"/>
          <w:szCs w:val="21"/>
        </w:rPr>
        <w:t xml:space="preserve"> (Anexo IV), que suma </w:t>
      </w:r>
      <w:r>
        <w:rPr>
          <w:rFonts w:ascii="Calibri" w:cs="Calibri" w:eastAsia="Calibri" w:hAnsi="Calibri"/>
          <w:b/>
          <w:bCs/>
          <w:sz w:val="21"/>
          <w:szCs w:val="21"/>
        </w:rPr>
        <w:t xml:space="preserve">el baremo entero del contrato, precio incluido</w:t>
      </w:r>
      <w:r>
        <w:rPr>
          <w:rFonts w:ascii="Calibri" w:cs="Calibri" w:eastAsia="Calibri" w:hAnsi="Calibri"/>
          <w:sz w:val="21"/>
          <w:szCs w:val="21"/>
        </w:rPr>
        <w:t xml:space="preserve">, y no sólo el bloque de innovación, y que avisa cuando la ponderación del juicio de valor obliga a constituir el comité de expertos o cuando expulsa el contrato del procedimiento previsto.</w:t>
      </w:r>
    </w:p>
    <w:p>
      <w:pPr>
        <w:pStyle w:val="ListParagraph"/>
        <w:numPr>
          <w:ilvl w:val="0"/>
          <w:numId w:val="2"/>
        </w:numPr>
        <w:spacing w:after="70" w:line="268"/>
      </w:pPr>
      <w:r>
        <w:rPr>
          <w:rFonts w:ascii="Calibri" w:cs="Calibri" w:eastAsia="Calibri" w:hAnsi="Calibri"/>
          <w:b/>
          <w:bCs/>
          <w:sz w:val="21"/>
          <w:szCs w:val="21"/>
        </w:rPr>
        <w:t xml:space="preserve">Por cada certificación exigida</w:t>
      </w:r>
      <w:r>
        <w:rPr>
          <w:rFonts w:ascii="Calibri" w:cs="Calibri" w:eastAsia="Calibri" w:hAnsi="Calibri"/>
          <w:sz w:val="21"/>
          <w:szCs w:val="21"/>
        </w:rPr>
        <w:t xml:space="preserve">: si se exige como habilitación, como solvencia, como prescripción de ejecución o como criterio, y la justificación de esa calificación. Es literalmente lo que faltaba en Parla.</w:t>
      </w:r>
    </w:p>
    <w:p>
      <w:pPr>
        <w:pStyle w:val="Heading3"/>
        <w:keepNext/>
        <w:spacing w:after="140" w:before="320"/>
      </w:pPr>
      <w:r>
        <w:rPr>
          <w:rFonts w:ascii="Georgia" w:cs="Georgia" w:eastAsia="Georgia" w:hAnsi="Georgia"/>
          <w:b/>
          <w:bCs/>
          <w:color w:val="2F5496"/>
          <w:sz w:val="22"/>
          <w:szCs w:val="22"/>
        </w:rPr>
        <w:t xml:space="preserve">V.4.8 · Informe de insuficiencia de medios</w:t>
      </w:r>
    </w:p>
    <w:p>
      <w:pPr>
        <w:spacing w:after="140" w:line="276"/>
      </w:pPr>
      <w:r>
        <w:rPr>
          <w:rFonts w:ascii="Calibri" w:cs="Calibri" w:eastAsia="Calibri" w:hAnsi="Calibri"/>
          <w:b/>
          <w:bCs/>
          <w:sz w:val="21"/>
          <w:szCs w:val="21"/>
        </w:rPr>
        <w:t xml:space="preserve">Precepto.</w:t>
      </w:r>
      <w:r>
        <w:rPr>
          <w:rFonts w:ascii="Calibri" w:cs="Calibri" w:eastAsia="Calibri" w:hAnsi="Calibri"/>
          <w:sz w:val="21"/>
          <w:szCs w:val="21"/>
        </w:rPr>
        <w:t xml:space="preserve"> Art. 116.4.f) LCSP. Publicidad obligatoria (art. 63.3.a).</w:t>
      </w:r>
    </w:p>
    <w:p>
      <w:pPr>
        <w:spacing w:after="140" w:line="276"/>
      </w:pPr>
      <w:r>
        <w:rPr>
          <w:rFonts w:ascii="Calibri" w:cs="Calibri" w:eastAsia="Calibri" w:hAnsi="Calibri"/>
          <w:b/>
          <w:bCs/>
          <w:sz w:val="21"/>
          <w:szCs w:val="21"/>
        </w:rPr>
        <w:t xml:space="preserve">Cuándo.</w:t>
      </w:r>
      <w:r>
        <w:rPr>
          <w:rFonts w:ascii="Calibri" w:cs="Calibri" w:eastAsia="Calibri" w:hAnsi="Calibri"/>
          <w:sz w:val="21"/>
          <w:szCs w:val="21"/>
        </w:rPr>
        <w:t xml:space="preserve"> En todos los contratos de servicios. Sin excepción.</w:t>
      </w:r>
    </w:p>
    <w:p>
      <w:pPr>
        <w:spacing w:after="140" w:line="276"/>
      </w:pPr>
      <w:r>
        <w:rPr>
          <w:rFonts w:ascii="Calibri" w:cs="Calibri" w:eastAsia="Calibri" w:hAnsi="Calibri"/>
          <w:b/>
          <w:bCs/>
          <w:sz w:val="21"/>
          <w:szCs w:val="21"/>
        </w:rPr>
        <w:t xml:space="preserve">Contenido mínimo.</w:t>
      </w:r>
      <w:r>
        <w:rPr>
          <w:rFonts w:ascii="Calibri" w:cs="Calibri" w:eastAsia="Calibri" w:hAnsi="Calibri"/>
          <w:sz w:val="21"/>
          <w:szCs w:val="21"/>
        </w:rPr>
        <w:t xml:space="preserve"> Medios personales y materiales de que dispone el Ayuntamiento para la prestación; por qué son insuficientes o inadecuados para este objeto y en esta magnitud; y por qué no procede su ampliación. La comparación se hace con datos de plantilla, no con afirmaciones generales.</w:t>
      </w:r>
    </w:p>
    <w:p>
      <w:pPr>
        <w:spacing w:after="140" w:line="276"/>
      </w:pPr>
      <w:r>
        <w:rPr>
          <w:rFonts w:ascii="Calibri" w:cs="Calibri" w:eastAsia="Calibri" w:hAnsi="Calibri"/>
          <w:b/>
          <w:bCs/>
          <w:sz w:val="21"/>
          <w:szCs w:val="21"/>
        </w:rPr>
        <w:t xml:space="preserve">Error frecuente.</w:t>
      </w:r>
      <w:r>
        <w:rPr>
          <w:rFonts w:ascii="Calibri" w:cs="Calibri" w:eastAsia="Calibri" w:hAnsi="Calibri"/>
          <w:sz w:val="21"/>
          <w:szCs w:val="21"/>
        </w:rPr>
        <w:t xml:space="preserve"> Un informe de tres líneas idéntico en todos los expedientes. Al estar publicado y ser trivialmente comparable en el mismo perfil de contratante, es una prueba documental que el recurrente obtiene sin esfuerzo.</w:t>
      </w:r>
    </w:p>
    <w:p>
      <w:pPr>
        <w:pStyle w:val="Heading3"/>
        <w:keepNext/>
        <w:spacing w:after="140" w:before="320"/>
      </w:pPr>
      <w:r>
        <w:rPr>
          <w:rFonts w:ascii="Georgia" w:cs="Georgia" w:eastAsia="Georgia" w:hAnsi="Georgia"/>
          <w:b/>
          <w:bCs/>
          <w:color w:val="2F5496"/>
          <w:sz w:val="22"/>
          <w:szCs w:val="22"/>
        </w:rPr>
        <w:t xml:space="preserve">V.4.9 · Decisión sobre la división en lotes</w:t>
      </w:r>
    </w:p>
    <w:p>
      <w:pPr>
        <w:spacing w:after="140" w:line="276"/>
      </w:pPr>
      <w:r>
        <w:rPr>
          <w:rFonts w:ascii="Calibri" w:cs="Calibri" w:eastAsia="Calibri" w:hAnsi="Calibri"/>
          <w:b/>
          <w:bCs/>
          <w:sz w:val="21"/>
          <w:szCs w:val="21"/>
        </w:rPr>
        <w:t xml:space="preserve">Precepto.</w:t>
      </w:r>
      <w:r>
        <w:rPr>
          <w:rFonts w:ascii="Calibri" w:cs="Calibri" w:eastAsia="Calibri" w:hAnsi="Calibri"/>
          <w:sz w:val="21"/>
          <w:szCs w:val="21"/>
        </w:rPr>
        <w:t xml:space="preserve"> Art. 116.4.g) LCSP.</w:t>
      </w:r>
    </w:p>
    <w:p>
      <w:pPr>
        <w:spacing w:after="140" w:line="276"/>
      </w:pPr>
      <w:r>
        <w:rPr>
          <w:rFonts w:ascii="Calibri" w:cs="Calibri" w:eastAsia="Calibri" w:hAnsi="Calibri"/>
          <w:sz w:val="21"/>
          <w:szCs w:val="21"/>
        </w:rPr>
        <w:t xml:space="preserve">Merece mención propia en este catálogo porque sus exigencias empujan hacia el lote único: si se pide una interfaz normalizada, trazabilidad y reversibilidad sobre un conjunto de módulos, la tentación es contratarlo todo junto. La justificación de no dividir tiene que ser técnica y verificable, no de comodidad de gestión, y debe examinarse expresamente si la agregación no restringe artificialmente la competencia (art. 132.2 LCSP: la contratación no será concebida «con la intención de […] restringir artificialmente la competencia»).</w:t>
      </w:r>
    </w:p>
    <w:p>
      <w:pPr>
        <w:pStyle w:val="Heading3"/>
        <w:keepNext/>
        <w:spacing w:after="140" w:before="320"/>
      </w:pPr>
      <w:r>
        <w:rPr>
          <w:rFonts w:ascii="Georgia" w:cs="Georgia" w:eastAsia="Georgia" w:hAnsi="Georgia"/>
          <w:b/>
          <w:bCs/>
          <w:color w:val="2F5496"/>
          <w:sz w:val="22"/>
          <w:szCs w:val="22"/>
        </w:rPr>
        <w:t xml:space="preserve">V.4.10 · Cálculo y justificación del valor estimado, y los cuatro umbrales</w:t>
      </w:r>
    </w:p>
    <w:p>
      <w:pPr>
        <w:spacing w:after="140" w:line="276"/>
      </w:pPr>
      <w:r>
        <w:rPr>
          <w:rFonts w:ascii="Calibri" w:cs="Calibri" w:eastAsia="Calibri" w:hAnsi="Calibri"/>
          <w:b/>
          <w:bCs/>
          <w:sz w:val="21"/>
          <w:szCs w:val="21"/>
        </w:rPr>
        <w:t xml:space="preserve">Precepto.</w:t>
      </w:r>
      <w:r>
        <w:rPr>
          <w:rFonts w:ascii="Calibri" w:cs="Calibri" w:eastAsia="Calibri" w:hAnsi="Calibri"/>
          <w:sz w:val="21"/>
          <w:szCs w:val="21"/>
        </w:rPr>
        <w:t xml:space="preserve"> Arts. 101 y 116.4.d) LCSP.</w:t>
      </w:r>
    </w:p>
    <w:p>
      <w:pPr>
        <w:spacing w:after="140" w:line="276"/>
      </w:pPr>
      <w:r>
        <w:rPr>
          <w:rFonts w:ascii="Calibri" w:cs="Calibri" w:eastAsia="Calibri" w:hAnsi="Calibri"/>
          <w:b/>
          <w:bCs/>
          <w:sz w:val="21"/>
          <w:szCs w:val="21"/>
        </w:rPr>
        <w:t xml:space="preserve">Qué debe entrar en el cálculo</w:t>
      </w:r>
      <w:r>
        <w:rPr>
          <w:rFonts w:ascii="Calibri" w:cs="Calibri" w:eastAsia="Calibri" w:hAnsi="Calibri"/>
          <w:sz w:val="21"/>
          <w:szCs w:val="21"/>
        </w:rPr>
        <w:t xml:space="preserve"> (art. 101.2, literal verificado): además de los costes derivados de la normativa laboral, los costes de ejecución material, los gastos generales de estructura y el beneficio industrial; y además:</w:t>
      </w:r>
    </w:p>
    <w:p>
      <w:pPr>
        <w:pStyle w:val="ListParagraph"/>
        <w:numPr>
          <w:ilvl w:val="0"/>
          <w:numId w:val="1"/>
        </w:numPr>
        <w:spacing w:after="70" w:line="268"/>
      </w:pPr>
      <w:r>
        <w:rPr>
          <w:rFonts w:ascii="Calibri" w:cs="Calibri" w:eastAsia="Calibri" w:hAnsi="Calibri"/>
          <w:sz w:val="21"/>
          <w:szCs w:val="21"/>
        </w:rPr>
        <w:t xml:space="preserve">a) </w:t>
      </w:r>
      <w:r>
        <w:rPr>
          <w:rFonts w:ascii="Calibri" w:cs="Calibri" w:eastAsia="Calibri" w:hAnsi="Calibri"/>
          <w:b/>
          <w:bCs/>
          <w:sz w:val="21"/>
          <w:szCs w:val="21"/>
        </w:rPr>
        <w:t xml:space="preserve">cualquier forma de opción eventual y las eventuales prórrogas</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sz w:val="21"/>
          <w:szCs w:val="21"/>
        </w:rPr>
        <w:t xml:space="preserve">b) primas o pagos a candidatos o licitadores, si se hubieran previsto;</w:t>
      </w:r>
    </w:p>
    <w:p>
      <w:pPr>
        <w:pStyle w:val="ListParagraph"/>
        <w:numPr>
          <w:ilvl w:val="0"/>
          <w:numId w:val="1"/>
        </w:numPr>
        <w:spacing w:after="70" w:line="268"/>
      </w:pPr>
      <w:r>
        <w:rPr>
          <w:rFonts w:ascii="Calibri" w:cs="Calibri" w:eastAsia="Calibri" w:hAnsi="Calibri"/>
          <w:sz w:val="21"/>
          <w:szCs w:val="21"/>
        </w:rPr>
        <w:t xml:space="preserve">c) cuando se haya previsto en el PCAP o en el anuncio la posibilidad de modificar el contrato conforme al art. 204, </w:t>
      </w:r>
      <w:r>
        <w:rPr>
          <w:rFonts w:ascii="Calibri" w:cs="Calibri" w:eastAsia="Calibri" w:hAnsi="Calibri"/>
          <w:b/>
          <w:bCs/>
          <w:sz w:val="21"/>
          <w:szCs w:val="21"/>
        </w:rPr>
        <w:t xml:space="preserve">el importe máximo que el contrato pueda alcanzar, teniendo en cuenta la totalidad de las modificaciones al alza previstas</w:t>
      </w:r>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Dos consecuencias que este catálogo no puede ocultar:</w:t>
      </w:r>
    </w:p>
    <w:p>
      <w:pPr>
        <w:pStyle w:val="ListParagraph"/>
        <w:numPr>
          <w:ilvl w:val="0"/>
          <w:numId w:val="1"/>
        </w:numPr>
        <w:spacing w:after="70" w:line="268"/>
      </w:pPr>
      <w:r>
        <w:rPr>
          <w:rFonts w:ascii="Calibri" w:cs="Calibri" w:eastAsia="Calibri" w:hAnsi="Calibri"/>
          <w:b/>
          <w:bCs/>
          <w:sz w:val="21"/>
          <w:szCs w:val="21"/>
        </w:rPr>
        <w:t xml:space="preserve">La bolsa de servicios evolutivos computa en el valor estimado.</w:t>
      </w:r>
      <w:r>
        <w:rPr>
          <w:rFonts w:ascii="Calibri" w:cs="Calibri" w:eastAsia="Calibri" w:hAnsi="Calibri"/>
          <w:sz w:val="21"/>
          <w:szCs w:val="21"/>
        </w:rPr>
        <w:t xml:space="preserve"> Si está en el presupuesto base de licitación, está en el valor estimado. Escribir que «no lo infla» es falso y la Intervención lo verá en la primera lectura.</w:t>
      </w:r>
    </w:p>
    <w:p>
      <w:pPr>
        <w:pStyle w:val="ListParagraph"/>
        <w:numPr>
          <w:ilvl w:val="0"/>
          <w:numId w:val="1"/>
        </w:numPr>
        <w:spacing w:after="70" w:line="268"/>
      </w:pPr>
      <w:r>
        <w:rPr>
          <w:rFonts w:ascii="Calibri" w:cs="Calibri" w:eastAsia="Calibri" w:hAnsi="Calibri"/>
          <w:b/>
          <w:bCs/>
          <w:sz w:val="21"/>
          <w:szCs w:val="21"/>
        </w:rPr>
        <w:t xml:space="preserve">La modificación prevista también computa, y por su importe máximo.</w:t>
      </w:r>
      <w:r>
        <w:rPr>
          <w:rFonts w:ascii="Calibri" w:cs="Calibri" w:eastAsia="Calibri" w:hAnsi="Calibri"/>
          <w:sz w:val="21"/>
          <w:szCs w:val="21"/>
        </w:rPr>
        <w:t xml:space="preserve"> Reservar un porcentaje de modificación sube el valor estimado y puede cruzar un umbral.</w:t>
      </w:r>
    </w:p>
    <w:p>
      <w:pPr>
        <w:spacing w:after="140" w:line="276"/>
      </w:pPr>
      <w:r>
        <w:rPr>
          <w:rFonts w:ascii="Calibri" w:cs="Calibri" w:eastAsia="Calibri" w:hAnsi="Calibri"/>
          <w:b/>
          <w:bCs/>
          <w:sz w:val="21"/>
          <w:szCs w:val="21"/>
        </w:rPr>
        <w:t xml:space="preserve">El método de cálculo debe figurar en el PCAP</w:t>
      </w:r>
      <w:r>
        <w:rPr>
          <w:rFonts w:ascii="Calibri" w:cs="Calibri" w:eastAsia="Calibri" w:hAnsi="Calibri"/>
          <w:sz w:val="21"/>
          <w:szCs w:val="21"/>
        </w:rPr>
        <w:t xml:space="preserve"> (art. 101.5). Este es uno de los tres textos de esta Parte que sí van al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Método de cálculo del valor estimado</w:t>
            </w:r>
            <w:r>
              <w:rPr>
                <w:rFonts w:ascii="Georgia" w:cs="Georgia" w:eastAsia="Georgia" w:hAnsi="Georgia"/>
                <w:sz w:val="20"/>
                <w:szCs w:val="20"/>
              </w:rPr>
              <w:t xml:space="preserve"> (artículo 101.5 de la Ley 9/2017).</w:t>
            </w:r>
          </w:p>
          <w:p>
            <w:pPr>
              <w:spacing w:after="100" w:line="264"/>
            </w:pPr>
            <w:r>
              <w:rPr>
                <w:rFonts w:ascii="Georgia" w:cs="Georgia" w:eastAsia="Georgia" w:hAnsi="Georgia"/>
                <w:sz w:val="20"/>
                <w:szCs w:val="20"/>
              </w:rPr>
              <w:t xml:space="preserve">El valor estimado del contrato asciende a [importe] euros, IVA excluido, y se ha calculado como suma de los siguientes conceptos:</w:t>
            </w:r>
          </w:p>
          <w:p>
            <w:pPr>
              <w:spacing w:after="100" w:line="264"/>
            </w:pPr>
            <w:r>
              <w:rPr>
                <w:rFonts w:ascii="Georgia" w:cs="Georgia" w:eastAsia="Georgia" w:hAnsi="Georgia"/>
                <w:sz w:val="20"/>
                <w:szCs w:val="20"/>
              </w:rPr>
              <w:t xml:space="preserve">a) Presupuesto base de licitación del periodo inicial, sin IVA: [importe] euros, del que corresponden a costes directos de personal [importe] euros, a otros costes directos [importe] euros, a gastos generales de estructura [importe] euros y a beneficio industrial [importe] euros.</w:t>
            </w:r>
          </w:p>
          <w:p>
            <w:pPr>
              <w:spacing w:after="100" w:line="264"/>
            </w:pPr>
            <w:r>
              <w:rPr>
                <w:rFonts w:ascii="Georgia" w:cs="Georgia" w:eastAsia="Georgia" w:hAnsi="Georgia"/>
                <w:sz w:val="20"/>
                <w:szCs w:val="20"/>
              </w:rPr>
              <w:t xml:space="preserve">b) Prórrogas previstas: [número] prórroga(s) de [duración] cada una, por importe de [importe] euros.</w:t>
            </w:r>
          </w:p>
          <w:p>
            <w:pPr>
              <w:spacing w:after="100" w:line="264"/>
            </w:pPr>
            <w:r>
              <w:rPr>
                <w:rFonts w:ascii="Georgia" w:cs="Georgia" w:eastAsia="Georgia" w:hAnsi="Georgia"/>
                <w:sz w:val="20"/>
                <w:szCs w:val="20"/>
              </w:rPr>
              <w:t xml:space="preserve">c) Bolsa de servicios evolutivos prevista en la cláusula [código]: [importe] euros.</w:t>
            </w:r>
          </w:p>
          <w:p>
            <w:pPr>
              <w:spacing w:after="100" w:line="264"/>
            </w:pPr>
            <w:r>
              <w:rPr>
                <w:rFonts w:ascii="Georgia" w:cs="Georgia" w:eastAsia="Georgia" w:hAnsi="Georgia"/>
                <w:sz w:val="20"/>
                <w:szCs w:val="20"/>
              </w:rPr>
              <w:t xml:space="preserve">d) Importe máximo de las modificaciones al alza previstas al amparo del artículo 204 de la Ley 9/2017: [X; se recomienda 0 —la modificación prevista no se utiliza por defecto—; si se utiliza, en ningún caso superior al VEINTE] por ciento del precio inicial, equivalente a [importe] euros.</w:t>
            </w:r>
          </w:p>
          <w:p>
            <w:pPr>
              <w:spacing w:after="100" w:line="264"/>
            </w:pPr>
            <w:r>
              <w:rPr>
                <w:rFonts w:ascii="Georgia" w:cs="Georgia" w:eastAsia="Georgia" w:hAnsi="Georgia"/>
                <w:sz w:val="20"/>
                <w:szCs w:val="20"/>
              </w:rPr>
              <w:t xml:space="preserve">No se han previsto opciones eventuales distintas de las anteriores ni primas o pagos a los licitadores.</w:t>
            </w:r>
          </w:p>
        </w:tc>
      </w:tr>
    </w:tbl>
    <w:p>
      <w:pPr>
        <w:spacing w:after="220"/>
      </w:pPr>
    </w:p>
    <w:p>
      <w:pPr>
        <w:spacing w:after="140" w:line="276"/>
      </w:pPr>
      <w:r>
        <w:rPr>
          <w:rFonts w:ascii="Calibri" w:cs="Calibri" w:eastAsia="Calibri" w:hAnsi="Calibri"/>
          <w:b/>
          <w:bCs/>
          <w:sz w:val="21"/>
          <w:szCs w:val="21"/>
        </w:rPr>
        <w:t xml:space="preserve">Los cuatro umbrales, con su fecha de caducidad.</w:t>
      </w:r>
      <w:r>
        <w:rPr>
          <w:rFonts w:ascii="Calibri" w:cs="Calibri" w:eastAsia="Calibri" w:hAnsi="Calibri"/>
          <w:sz w:val="21"/>
          <w:szCs w:val="21"/>
        </w:rPr>
        <w:t xml:space="preserve"> Todos ellos son valores normativos, no parámetros del órgano de contratación; pero cambian, y quien copie este documento tiene que comprobar su vigencia.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Umbral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Cuantía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desencadena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Precepto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Vigencia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Contrato menor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VE &lt; 15.000 € (servicios y suministros); &lt; 40.000 € (obras)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Régimen simplificado del art. 118; véase V.7.1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118.1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Estable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Abierto simplificado abreviado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VE &lt; 60.000 € (servicios y suministros, excluidas prestaciones intelectuales); &lt; 80.000 € (obras)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Cero criterios de 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159.6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Estable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Recurso especial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VE </w:t>
            </w:r>
            <w:r>
              <w:rPr>
                <w:rFonts w:ascii="Calibri" w:cs="Calibri" w:eastAsia="Calibri" w:hAnsi="Calibri"/>
                <w:b/>
                <w:bCs/>
                <w:sz w:val="18"/>
                <w:szCs w:val="18"/>
              </w:rPr>
              <w:t xml:space="preserve">superior a</w:t>
            </w:r>
            <w:r>
              <w:rPr>
                <w:rFonts w:ascii="Calibri" w:cs="Calibri" w:eastAsia="Calibri" w:hAnsi="Calibri"/>
                <w:b w:val="false"/>
                <w:bCs w:val="false"/>
                <w:sz w:val="18"/>
                <w:szCs w:val="18"/>
              </w:rPr>
              <w:t xml:space="preserve"> 100.000 € (servicios y suministros); superior a 3.000.000 € (obras); superior a 3.000.000 € (concesiones)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Los pliegos pasan a ser directamente recurribles ante el tribunal administrativo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44.1.a) y 44.2.a)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Estable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Regulación armonizada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VE ≥ 216.000 € (servicios y suministros adjudicados por entidades distintas de la AGE)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Publicidad en el DOUE y plazos de presentación de ofertas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21.1.b) y 22.1.b) LCSP, en la redacción dada por la Orden HAC/1517/2025, de 18 de diciembre (BOE-A-2025-26605)</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Comprobar antes de cada uso</w:t>
            </w:r>
            <w:r>
              <w:rPr>
                <w:rFonts w:ascii="Calibri" w:cs="Calibri" w:eastAsia="Calibri" w:hAnsi="Calibri"/>
                <w:b w:val="false"/>
                <w:bCs w:val="false"/>
                <w:sz w:val="18"/>
                <w:szCs w:val="18"/>
              </w:rPr>
              <w:t xml:space="preserve">: se actualiza cada dos años. El importe vigente en obras y concesiones es 5.404.000 € (art. 20.1 LCSP)</w:t>
            </w:r>
          </w:p>
        </w:tc>
      </w:tr>
    </w:tbl>
    <w:p>
      <w:pPr>
        <w:spacing w:after="200"/>
      </w:pPr>
    </w:p>
    <w:p>
      <w:pPr>
        <w:spacing w:after="140" w:line="276"/>
      </w:pPr>
      <w:r>
        <w:rPr>
          <w:rFonts w:ascii="Calibri" w:cs="Calibri" w:eastAsia="Calibri" w:hAnsi="Calibri"/>
          <w:b/>
          <w:bCs/>
          <w:sz w:val="21"/>
          <w:szCs w:val="21"/>
        </w:rPr>
        <w:t xml:space="preserve">Antes de reservar una modificación</w:t>
      </w:r>
      <w:r>
        <w:rPr>
          <w:rFonts w:ascii="Calibri" w:cs="Calibri" w:eastAsia="Calibri" w:hAnsi="Calibri"/>
          <w:sz w:val="21"/>
          <w:szCs w:val="21"/>
        </w:rPr>
        <w:t xml:space="preserve">, léase el ejemplo trabajado de la Parte 0, §0.2, y la cláusula ADM-14·v3: una reserva de modificación computa en el valor estimado por su importe máximo (art. 101.2.c) y puede cruzar el umbral del recurso especial, abriendo contra los pliegos una vía de impugnación que sin ella no existía. Regla por defecto de este catálogo: </w:t>
      </w:r>
      <w:r>
        <w:rPr>
          <w:rFonts w:ascii="Calibri" w:cs="Calibri" w:eastAsia="Calibri" w:hAnsi="Calibri"/>
          <w:b/>
          <w:bCs/>
          <w:sz w:val="21"/>
          <w:szCs w:val="21"/>
        </w:rPr>
        <w:t xml:space="preserve">la modificación prevista no se incorpora salvo justificación expresa</w:t>
      </w:r>
      <w:r>
        <w:rPr>
          <w:rFonts w:ascii="Calibri" w:cs="Calibri" w:eastAsia="Calibri" w:hAnsi="Calibri"/>
          <w:sz w:val="21"/>
          <w:szCs w:val="21"/>
        </w:rPr>
        <w:t xml:space="preserve">, y la vía preferente para la evolución retribuida es la bolsa de servicios evolutivos dentro del contrato.</w:t>
      </w:r>
    </w:p>
    <w:p>
      <w:pPr>
        <w:spacing w:after="140" w:line="276"/>
      </w:pPr>
      <w:r>
        <w:rPr>
          <w:rFonts w:ascii="Calibri" w:cs="Calibri" w:eastAsia="Calibri" w:hAnsi="Calibri"/>
          <w:b/>
          <w:bCs/>
          <w:sz w:val="21"/>
          <w:szCs w:val="21"/>
        </w:rPr>
        <w:t xml:space="preserve">Advertencia final del artículo 101.4.</w:t>
      </w:r>
      <w:r>
        <w:rPr>
          <w:rFonts w:ascii="Calibri" w:cs="Calibri" w:eastAsia="Calibri" w:hAnsi="Calibri"/>
          <w:sz w:val="21"/>
          <w:szCs w:val="21"/>
        </w:rPr>
        <w:t xml:space="preserve"> «La elección del método para calcular el valor estimado no podrá efectuarse con la intención de sustraer el contrato a la aplicación de las normas de adjudicación que correspondan.» Ajustar a la baja el valor estimado para quedarse por debajo de 100.000 € y evitar el recurso especial es, además de un fraude de ley, una decisión que se descubre sola: el importe de adjudicación se publica.</w:t>
      </w:r>
    </w:p>
    <w:p>
      <w:pPr>
        <w:pStyle w:val="Heading3"/>
        <w:keepNext/>
        <w:spacing w:after="140" w:before="320"/>
      </w:pPr>
      <w:r>
        <w:rPr>
          <w:rFonts w:ascii="Georgia" w:cs="Georgia" w:eastAsia="Georgia" w:hAnsi="Georgia"/>
          <w:b/>
          <w:bCs/>
          <w:color w:val="2F5496"/>
          <w:sz w:val="22"/>
          <w:szCs w:val="22"/>
        </w:rPr>
        <w:t xml:space="preserve">V.4.11 · Categorización ENS y análisis de riesgos</w:t>
      </w:r>
    </w:p>
    <w:p>
      <w:pPr>
        <w:spacing w:after="140" w:line="276"/>
      </w:pPr>
      <w:r>
        <w:rPr>
          <w:rFonts w:ascii="Calibri" w:cs="Calibri" w:eastAsia="Calibri" w:hAnsi="Calibri"/>
          <w:sz w:val="21"/>
          <w:szCs w:val="21"/>
        </w:rPr>
        <w:t xml:space="preserve">Este documento es el que faltaba en el expediente que el Tribunal Administrativo de Contratación Pública de la Comunidad de Madrid anuló en el caso de Parla. Se explica en V.5.6; aquí va el procedimiento.</w:t>
      </w:r>
    </w:p>
    <w:p>
      <w:pPr>
        <w:spacing w:after="140" w:line="276"/>
      </w:pPr>
      <w:r>
        <w:rPr>
          <w:rFonts w:ascii="Calibri" w:cs="Calibri" w:eastAsia="Calibri" w:hAnsi="Calibri"/>
          <w:b/>
          <w:bCs/>
          <w:sz w:val="21"/>
          <w:szCs w:val="21"/>
        </w:rPr>
        <w:t xml:space="preserve">Precepto.</w:t>
      </w:r>
      <w:r>
        <w:rPr>
          <w:rFonts w:ascii="Calibri" w:cs="Calibri" w:eastAsia="Calibri" w:hAnsi="Calibri"/>
          <w:sz w:val="21"/>
          <w:szCs w:val="21"/>
        </w:rPr>
        <w:t xml:space="preserve"> Real Decreto 311/2022: arts. 40 y 41 y anexo I (categorías), art. 28 (medidas y Declaración de Aplicabilidad), art. 38.1 (conformidad), art. 2.3 (pliegos y cadena de suministro).</w:t>
      </w:r>
    </w:p>
    <w:p>
      <w:pPr>
        <w:spacing w:after="140" w:line="276"/>
      </w:pPr>
      <w:r>
        <w:rPr>
          <w:rFonts w:ascii="Calibri" w:cs="Calibri" w:eastAsia="Calibri" w:hAnsi="Calibri"/>
          <w:b/>
          <w:bCs/>
          <w:sz w:val="21"/>
          <w:szCs w:val="21"/>
        </w:rPr>
        <w:t xml:space="preserve">La categoría no se elige: resulta.</w:t>
      </w:r>
      <w:r>
        <w:rPr>
          <w:rFonts w:ascii="Calibri" w:cs="Calibri" w:eastAsia="Calibri" w:hAnsi="Calibri"/>
          <w:sz w:val="21"/>
          <w:szCs w:val="21"/>
        </w:rPr>
        <w:t xml:space="preserve"> El art. 40.2 dispone que la determinación de la categoría «se efectuará en función de la valoración del impacto que tendría un incidente que afectase a la seguridad de la información o de los servicios con perjuicio para la disponibilidad, autenticidad, integridad, confidencialidad o trazabilidad, siguiendo el procedimiento descrito en el anexo I». Escribir «se exige ENS Nivel Alto» sin haber recorrido el anexo I es escribir una restricción sin fundamento.</w:t>
      </w:r>
    </w:p>
    <w:p>
      <w:pPr>
        <w:spacing w:after="140" w:line="276"/>
      </w:pPr>
      <w:r>
        <w:rPr>
          <w:rFonts w:ascii="Calibri" w:cs="Calibri" w:eastAsia="Calibri" w:hAnsi="Calibri"/>
          <w:b/>
          <w:bCs/>
          <w:sz w:val="21"/>
          <w:szCs w:val="21"/>
        </w:rPr>
        <w:t xml:space="preserve">Quién hace qué</w:t>
      </w:r>
      <w:r>
        <w:rPr>
          <w:rFonts w:ascii="Calibri" w:cs="Calibri" w:eastAsia="Calibri" w:hAnsi="Calibri"/>
          <w:sz w:val="21"/>
          <w:szCs w:val="21"/>
        </w:rPr>
        <w:t xml:space="preserve"> (art. 41):</w:t>
      </w:r>
    </w:p>
    <w:p>
      <w:pPr>
        <w:pStyle w:val="ListParagraph"/>
        <w:numPr>
          <w:ilvl w:val="0"/>
          <w:numId w:val="1"/>
        </w:numPr>
        <w:spacing w:after="70" w:line="268"/>
      </w:pPr>
      <w:r>
        <w:rPr>
          <w:rFonts w:ascii="Calibri" w:cs="Calibri" w:eastAsia="Calibri" w:hAnsi="Calibri"/>
          <w:sz w:val="21"/>
          <w:szCs w:val="21"/>
        </w:rPr>
        <w:t xml:space="preserve">La </w:t>
      </w:r>
      <w:r>
        <w:rPr>
          <w:rFonts w:ascii="Calibri" w:cs="Calibri" w:eastAsia="Calibri" w:hAnsi="Calibri"/>
          <w:b/>
          <w:bCs/>
          <w:sz w:val="21"/>
          <w:szCs w:val="21"/>
        </w:rPr>
        <w:t xml:space="preserve">valoración</w:t>
      </w:r>
      <w:r>
        <w:rPr>
          <w:rFonts w:ascii="Calibri" w:cs="Calibri" w:eastAsia="Calibri" w:hAnsi="Calibri"/>
          <w:sz w:val="21"/>
          <w:szCs w:val="21"/>
        </w:rPr>
        <w:t xml:space="preserve"> de la información y de los servicios corresponde al responsable o responsables de la información o servicios afectados (art. 41.1).</w:t>
      </w:r>
    </w:p>
    <w:p>
      <w:pPr>
        <w:pStyle w:val="ListParagraph"/>
        <w:numPr>
          <w:ilvl w:val="0"/>
          <w:numId w:val="1"/>
        </w:numPr>
        <w:spacing w:after="70" w:line="268"/>
      </w:pPr>
      <w:r>
        <w:rPr>
          <w:rFonts w:ascii="Calibri" w:cs="Calibri" w:eastAsia="Calibri" w:hAnsi="Calibri"/>
          <w:sz w:val="21"/>
          <w:szCs w:val="21"/>
        </w:rPr>
        <w:t xml:space="preserve">La </w:t>
      </w:r>
      <w:r>
        <w:rPr>
          <w:rFonts w:ascii="Calibri" w:cs="Calibri" w:eastAsia="Calibri" w:hAnsi="Calibri"/>
          <w:b/>
          <w:bCs/>
          <w:sz w:val="21"/>
          <w:szCs w:val="21"/>
        </w:rPr>
        <w:t xml:space="preserve">determinación de la categoría del sistema</w:t>
      </w:r>
      <w:r>
        <w:rPr>
          <w:rFonts w:ascii="Calibri" w:cs="Calibri" w:eastAsia="Calibri" w:hAnsi="Calibri"/>
          <w:sz w:val="21"/>
          <w:szCs w:val="21"/>
        </w:rPr>
        <w:t xml:space="preserve">, con base en esas valoraciones, corresponde al responsable o responsables de la seguridad (art. 41.2).</w:t>
      </w:r>
    </w:p>
    <w:p>
      <w:pPr>
        <w:pStyle w:val="ListParagraph"/>
        <w:numPr>
          <w:ilvl w:val="0"/>
          <w:numId w:val="1"/>
        </w:numPr>
        <w:spacing w:after="70" w:line="268"/>
      </w:pPr>
      <w:r>
        <w:rPr>
          <w:rFonts w:ascii="Calibri" w:cs="Calibri" w:eastAsia="Calibri" w:hAnsi="Calibri"/>
          <w:sz w:val="21"/>
          <w:szCs w:val="21"/>
        </w:rPr>
        <w:t xml:space="preserve">La </w:t>
      </w:r>
      <w:r>
        <w:rPr>
          <w:rFonts w:ascii="Calibri" w:cs="Calibri" w:eastAsia="Calibri" w:hAnsi="Calibri"/>
          <w:b/>
          <w:bCs/>
          <w:sz w:val="21"/>
          <w:szCs w:val="21"/>
        </w:rPr>
        <w:t xml:space="preserve">Declaración de Aplicabilidad</w:t>
      </w:r>
      <w:r>
        <w:rPr>
          <w:rFonts w:ascii="Calibri" w:cs="Calibri" w:eastAsia="Calibri" w:hAnsi="Calibri"/>
          <w:sz w:val="21"/>
          <w:szCs w:val="21"/>
        </w:rPr>
        <w:t xml:space="preserve"> —relación de medidas seleccionadas— la firma el responsable de la seguridad (art. 28.2).</w:t>
      </w:r>
    </w:p>
    <w:p>
      <w:pPr>
        <w:spacing w:after="140" w:line="276"/>
      </w:pPr>
      <w:r>
        <w:rPr>
          <w:rFonts w:ascii="Calibri" w:cs="Calibri" w:eastAsia="Calibri" w:hAnsi="Calibri"/>
          <w:b/>
          <w:bCs/>
          <w:sz w:val="21"/>
          <w:szCs w:val="21"/>
        </w:rPr>
        <w:t xml:space="preserve">Qué se exige después al contratista.</w:t>
      </w:r>
      <w:r>
        <w:rPr>
          <w:rFonts w:ascii="Calibri" w:cs="Calibri" w:eastAsia="Calibri" w:hAnsi="Calibri"/>
          <w:sz w:val="21"/>
          <w:szCs w:val="21"/>
        </w:rPr>
        <w:t xml:space="preserve"> El art. 2.3, párrafo tercero, del RD 311/2022 es el precepto que hay que citar en la memoria, literal:</w:t>
      </w:r>
    </w:p>
    <w:p>
      <w:pPr>
        <w:pBdr>
          <w:left w:val="single" w:color="BFBFBF" w:sz="12" w:space="8"/>
        </w:pBdr>
        <w:spacing w:after="140" w:line="264"/>
        <w:ind w:left="400"/>
      </w:pPr>
      <w:r>
        <w:rPr>
          <w:rFonts w:ascii="Georgia" w:cs="Georgia" w:eastAsia="Georgia" w:hAnsi="Georgia"/>
          <w:i/>
          <w:iCs/>
          <w:color w:val="595959"/>
          <w:sz w:val="20"/>
          <w:szCs w:val="20"/>
        </w:rPr>
        <w:t xml:space="preserve">«Los pliegos de prescripciones administrativas o técnicas de los contratos que celebren las entidades del sector público incluidas en el ámbito de aplicación de este real decreto contemplarán todos aquellos requisitos necesarios para asegurar la conformidad con el ENS de los sistemas de información en los que se sustenten los servicios prestados por los contratistas, tales como la presentación de las correspondientes Declaraciones o Certificaciones de Conformidad con el ENS.»</w:t>
      </w:r>
    </w:p>
    <w:p>
      <w:pPr>
        <w:spacing w:after="140" w:line="276"/>
      </w:pPr>
      <w:r>
        <w:rPr>
          <w:rFonts w:ascii="Calibri" w:cs="Calibri" w:eastAsia="Calibri" w:hAnsi="Calibri"/>
          <w:sz w:val="21"/>
          <w:szCs w:val="21"/>
        </w:rPr>
        <w:t xml:space="preserve">Y el párrafo cuarto, que es el que hace proporcional la exigencia sobre la cadena de suministro:</w:t>
      </w:r>
    </w:p>
    <w:p>
      <w:pPr>
        <w:pBdr>
          <w:left w:val="single" w:color="BFBFBF" w:sz="12" w:space="8"/>
        </w:pBdr>
        <w:spacing w:after="140" w:line="264"/>
        <w:ind w:left="400"/>
      </w:pPr>
      <w:r>
        <w:rPr>
          <w:rFonts w:ascii="Georgia" w:cs="Georgia" w:eastAsia="Georgia" w:hAnsi="Georgia"/>
          <w:i/>
          <w:iCs/>
          <w:color w:val="595959"/>
          <w:sz w:val="20"/>
          <w:szCs w:val="20"/>
        </w:rPr>
        <w:t xml:space="preserve">«Esta cautela se extenderá también a la cadena de suministro de dichos contratistas, </w:t>
      </w:r>
      <w:r>
        <w:rPr>
          <w:rFonts w:ascii="Georgia" w:cs="Georgia" w:eastAsia="Georgia" w:hAnsi="Georgia"/>
          <w:b/>
          <w:bCs/>
          <w:i/>
          <w:iCs/>
          <w:color w:val="595959"/>
          <w:sz w:val="20"/>
          <w:szCs w:val="20"/>
        </w:rPr>
        <w:t xml:space="preserve">en la medida que sea necesario y de acuerdo con los resultados del correspondiente análisis de riesgos</w:t>
      </w:r>
      <w:r>
        <w:rPr>
          <w:rFonts w:ascii="Georgia" w:cs="Georgia" w:eastAsia="Georgia" w:hAnsi="Georgia"/>
          <w:i/>
          <w:iCs/>
          <w:color w:val="595959"/>
          <w:sz w:val="20"/>
          <w:szCs w:val="20"/>
        </w:rPr>
        <w:t xml:space="preserve">.»</w:t>
      </w:r>
    </w:p>
    <w:p>
      <w:pPr>
        <w:spacing w:after="140" w:line="276"/>
      </w:pPr>
      <w:r>
        <w:rPr>
          <w:rFonts w:ascii="Calibri" w:cs="Calibri" w:eastAsia="Calibri" w:hAnsi="Calibri"/>
          <w:sz w:val="21"/>
          <w:szCs w:val="21"/>
        </w:rPr>
        <w:t xml:space="preserve">De ahí la exigencia de análisis de riesgos: sin él, la extensión a la cadena de suministro no está motivada y es desproporcionada por definición.</w:t>
      </w:r>
    </w:p>
    <w:p>
      <w:pPr>
        <w:spacing w:after="140" w:line="276"/>
      </w:pPr>
      <w:r>
        <w:rPr>
          <w:rFonts w:ascii="Calibri" w:cs="Calibri" w:eastAsia="Calibri" w:hAnsi="Calibri"/>
          <w:b/>
          <w:bCs/>
          <w:sz w:val="21"/>
          <w:szCs w:val="21"/>
        </w:rPr>
        <w:t xml:space="preserve">Autoevaluación o certificación.</w:t>
      </w:r>
      <w:r>
        <w:rPr>
          <w:rFonts w:ascii="Calibri" w:cs="Calibri" w:eastAsia="Calibri" w:hAnsi="Calibri"/>
          <w:sz w:val="21"/>
          <w:szCs w:val="21"/>
        </w:rPr>
        <w:t xml:space="preserve"> El art. 38.1 distingue: los sistemas de categoría </w:t>
      </w:r>
      <w:r>
        <w:rPr>
          <w:rFonts w:ascii="Calibri" w:cs="Calibri" w:eastAsia="Calibri" w:hAnsi="Calibri"/>
          <w:b/>
          <w:bCs/>
          <w:sz w:val="21"/>
          <w:szCs w:val="21"/>
        </w:rPr>
        <w:t xml:space="preserve">MEDIA o ALTA</w:t>
      </w:r>
      <w:r>
        <w:rPr>
          <w:rFonts w:ascii="Calibri" w:cs="Calibri" w:eastAsia="Calibri" w:hAnsi="Calibri"/>
          <w:sz w:val="21"/>
          <w:szCs w:val="21"/>
        </w:rPr>
        <w:t xml:space="preserve"> precisan auditoría para la certificación de conformidad; los de categoría </w:t>
      </w:r>
      <w:r>
        <w:rPr>
          <w:rFonts w:ascii="Calibri" w:cs="Calibri" w:eastAsia="Calibri" w:hAnsi="Calibri"/>
          <w:b/>
          <w:bCs/>
          <w:sz w:val="21"/>
          <w:szCs w:val="21"/>
        </w:rPr>
        <w:t xml:space="preserve">BÁSICA</w:t>
      </w:r>
      <w:r>
        <w:rPr>
          <w:rFonts w:ascii="Calibri" w:cs="Calibri" w:eastAsia="Calibri" w:hAnsi="Calibri"/>
          <w:sz w:val="21"/>
          <w:szCs w:val="21"/>
        </w:rPr>
        <w:t xml:space="preserve"> sólo requieren autoevaluación para su declaración de conformidad. Exigir certificación de conformidad a un contrato cuyo sistema es de categoría básica es exigir de más, y la diferencia de coste es apreciable para una pyme.</w:t>
      </w:r>
    </w:p>
    <w:p>
      <w:pPr>
        <w:spacing w:after="140" w:line="276"/>
      </w:pPr>
      <w:r>
        <w:rPr>
          <w:rFonts w:ascii="Calibri" w:cs="Calibri" w:eastAsia="Calibri" w:hAnsi="Calibri"/>
          <w:b/>
          <w:bCs/>
          <w:sz w:val="21"/>
          <w:szCs w:val="21"/>
        </w:rPr>
        <w:t xml:space="preserve">Contenido mínimo del documento.</w:t>
      </w:r>
    </w:p>
    <w:p>
      <w:pPr>
        <w:pStyle w:val="ListParagraph"/>
        <w:numPr>
          <w:ilvl w:val="0"/>
          <w:numId w:val="2"/>
        </w:numPr>
        <w:spacing w:after="70" w:line="268"/>
      </w:pPr>
      <w:r>
        <w:rPr>
          <w:rFonts w:ascii="Calibri" w:cs="Calibri" w:eastAsia="Calibri" w:hAnsi="Calibri"/>
          <w:sz w:val="21"/>
          <w:szCs w:val="21"/>
        </w:rPr>
        <w:t xml:space="preserve">Identificación del sistema o sistemas afectados por el contrato.</w:t>
      </w:r>
    </w:p>
    <w:p>
      <w:pPr>
        <w:pStyle w:val="ListParagraph"/>
        <w:numPr>
          <w:ilvl w:val="0"/>
          <w:numId w:val="2"/>
        </w:numPr>
        <w:spacing w:after="70" w:line="268"/>
      </w:pPr>
      <w:r>
        <w:rPr>
          <w:rFonts w:ascii="Calibri" w:cs="Calibri" w:eastAsia="Calibri" w:hAnsi="Calibri"/>
          <w:sz w:val="21"/>
          <w:szCs w:val="21"/>
        </w:rPr>
        <w:t xml:space="preserve">Valoración de la información y de los servicios en las cinco dimensiones (disponibilidad, autenticidad, integridad, confidencialidad, trazabilidad), con firma del responsable correspondiente.</w:t>
      </w:r>
    </w:p>
    <w:p>
      <w:pPr>
        <w:pStyle w:val="ListParagraph"/>
        <w:numPr>
          <w:ilvl w:val="0"/>
          <w:numId w:val="2"/>
        </w:numPr>
        <w:spacing w:after="70" w:line="268"/>
      </w:pPr>
      <w:r>
        <w:rPr>
          <w:rFonts w:ascii="Calibri" w:cs="Calibri" w:eastAsia="Calibri" w:hAnsi="Calibri"/>
          <w:sz w:val="21"/>
          <w:szCs w:val="21"/>
        </w:rPr>
        <w:t xml:space="preserve">Categoría resultante, con firma del responsable de la seguridad.</w:t>
      </w:r>
    </w:p>
    <w:p>
      <w:pPr>
        <w:pStyle w:val="ListParagraph"/>
        <w:numPr>
          <w:ilvl w:val="0"/>
          <w:numId w:val="2"/>
        </w:numPr>
        <w:spacing w:after="70" w:line="268"/>
      </w:pPr>
      <w:r>
        <w:rPr>
          <w:rFonts w:ascii="Calibri" w:cs="Calibri" w:eastAsia="Calibri" w:hAnsi="Calibri"/>
          <w:sz w:val="21"/>
          <w:szCs w:val="21"/>
        </w:rPr>
        <w:t xml:space="preserve">Análisis de riesgos, con conclusión expresa sobre si procede o no extender la cautela a la cadena de suministro y </w:t>
      </w:r>
      <w:r>
        <w:rPr>
          <w:rFonts w:ascii="Calibri" w:cs="Calibri" w:eastAsia="Calibri" w:hAnsi="Calibri"/>
          <w:b/>
          <w:bCs/>
          <w:sz w:val="21"/>
          <w:szCs w:val="21"/>
        </w:rPr>
        <w:t xml:space="preserve">hasta qué nivel</w:t>
      </w:r>
      <w:r>
        <w:rPr>
          <w:rFonts w:ascii="Calibri" w:cs="Calibri" w:eastAsia="Calibri" w:hAnsi="Calibri"/>
          <w:sz w:val="21"/>
          <w:szCs w:val="21"/>
        </w:rPr>
        <w:t xml:space="preserve">.</w:t>
      </w:r>
    </w:p>
    <w:p>
      <w:pPr>
        <w:pStyle w:val="ListParagraph"/>
        <w:numPr>
          <w:ilvl w:val="0"/>
          <w:numId w:val="2"/>
        </w:numPr>
        <w:spacing w:after="70" w:line="268"/>
      </w:pPr>
      <w:r>
        <w:rPr>
          <w:rFonts w:ascii="Calibri" w:cs="Calibri" w:eastAsia="Calibri" w:hAnsi="Calibri"/>
          <w:sz w:val="21"/>
          <w:szCs w:val="21"/>
        </w:rPr>
        <w:t xml:space="preserve">Traducción a exigencias del pliego: qué se exige, </w:t>
      </w:r>
      <w:r>
        <w:rPr>
          <w:rFonts w:ascii="Calibri" w:cs="Calibri" w:eastAsia="Calibri" w:hAnsi="Calibri"/>
          <w:b/>
          <w:bCs/>
          <w:sz w:val="21"/>
          <w:szCs w:val="21"/>
        </w:rPr>
        <w:t xml:space="preserve">con qué calificación jurídica</w:t>
      </w:r>
      <w:r>
        <w:rPr>
          <w:rFonts w:ascii="Calibri" w:cs="Calibri" w:eastAsia="Calibri" w:hAnsi="Calibri"/>
          <w:sz w:val="21"/>
          <w:szCs w:val="21"/>
        </w:rPr>
        <w:t xml:space="preserve"> (habilitación, solvencia, prescripción de ejecución o criterio) y en qué momento debe acreditarse.</w:t>
      </w:r>
    </w:p>
    <w:p>
      <w:pPr>
        <w:pStyle w:val="ListParagraph"/>
        <w:numPr>
          <w:ilvl w:val="0"/>
          <w:numId w:val="2"/>
        </w:numPr>
        <w:spacing w:after="70" w:line="268"/>
      </w:pPr>
      <w:r>
        <w:rPr>
          <w:rFonts w:ascii="Calibri" w:cs="Calibri" w:eastAsia="Calibri" w:hAnsi="Calibri"/>
          <w:sz w:val="21"/>
          <w:szCs w:val="21"/>
        </w:rPr>
        <w:t xml:space="preserve">Alcance material que deben tener las declaraciones o certificaciones exigidas, y admisión expresa de que la acreditación pueda aportarse por el subcontratista que ejecute la parte afectada, cuando la subcontratación esté admitida.</w:t>
      </w:r>
    </w:p>
    <w:p>
      <w:pPr>
        <w:spacing w:after="140" w:line="276"/>
      </w:pPr>
      <w:r>
        <w:rPr>
          <w:rFonts w:ascii="Calibri" w:cs="Calibri" w:eastAsia="Calibri" w:hAnsi="Calibri"/>
          <w:b/>
          <w:bCs/>
          <w:sz w:val="21"/>
          <w:szCs w:val="21"/>
        </w:rPr>
        <w:t xml:space="preserve">Carga estimada.</w:t>
      </w:r>
      <w:r>
        <w:rPr>
          <w:rFonts w:ascii="Calibri" w:cs="Calibri" w:eastAsia="Calibri" w:hAnsi="Calibri"/>
          <w:sz w:val="21"/>
          <w:szCs w:val="21"/>
        </w:rPr>
        <w:t xml:space="preserve"> 3 a 6 horas la primera vez para una familia de sistemas; 1 hora para reutilizar la valoración en un contrato posterior sobre el mismo sistema. Es un trabajo que se amortiza: la categorización es del sistema, no del contrato.</w:t>
      </w:r>
    </w:p>
    <w:p>
      <w:pPr>
        <w:pStyle w:val="Heading3"/>
        <w:keepNext/>
        <w:spacing w:after="140" w:before="320"/>
      </w:pPr>
      <w:r>
        <w:rPr>
          <w:rFonts w:ascii="Georgia" w:cs="Georgia" w:eastAsia="Georgia" w:hAnsi="Georgia"/>
          <w:b/>
          <w:bCs/>
          <w:color w:val="2F5496"/>
          <w:sz w:val="22"/>
          <w:szCs w:val="22"/>
        </w:rPr>
        <w:t xml:space="preserve">V.4.12 · Conflicto de interés (art. 64) y participación previa en la preparación (art. 70)</w:t>
      </w:r>
    </w:p>
    <w:p>
      <w:pPr>
        <w:spacing w:after="140" w:line="276"/>
      </w:pPr>
      <w:r>
        <w:rPr>
          <w:rFonts w:ascii="Calibri" w:cs="Calibri" w:eastAsia="Calibri" w:hAnsi="Calibri"/>
          <w:b/>
          <w:bCs/>
          <w:sz w:val="21"/>
          <w:szCs w:val="21"/>
        </w:rPr>
        <w:t xml:space="preserve">Precepto.</w:t>
      </w:r>
      <w:r>
        <w:rPr>
          <w:rFonts w:ascii="Calibri" w:cs="Calibri" w:eastAsia="Calibri" w:hAnsi="Calibri"/>
          <w:sz w:val="21"/>
          <w:szCs w:val="21"/>
        </w:rPr>
        <w:t xml:space="preserve"> Arts. 64 y 70 LCSP.</w:t>
      </w:r>
    </w:p>
    <w:p>
      <w:pPr>
        <w:spacing w:after="140" w:line="276"/>
      </w:pPr>
      <w:r>
        <w:rPr>
          <w:rFonts w:ascii="Calibri" w:cs="Calibri" w:eastAsia="Calibri" w:hAnsi="Calibri"/>
          <w:sz w:val="21"/>
          <w:szCs w:val="21"/>
        </w:rPr>
        <w:t xml:space="preserve">El art. 64.1 impone al órgano de contratación tomar medidas «para luchar contra el fraude, el favoritismo y la corrupción, y prevenir, detectar y solucionar de modo efectivo los conflictos de intereses». El art. 64.2 define el conflicto como «cualquier situación en la que el personal al servicio del órgano de contratación, que además participe en el desarrollo del procedimiento de licitación o pueda influir en el resultado del mismo, tenga directa o indirectamente un interés financiero, económico o personal que pudiera parecer que compromete su imparcialidad e independencia»; y añade que quien tenga conocimiento de un posible conflicto </w:t>
      </w:r>
      <w:r>
        <w:rPr>
          <w:rFonts w:ascii="Calibri" w:cs="Calibri" w:eastAsia="Calibri" w:hAnsi="Calibri"/>
          <w:b/>
          <w:bCs/>
          <w:sz w:val="21"/>
          <w:szCs w:val="21"/>
        </w:rPr>
        <w:t xml:space="preserve">deberá ponerlo inmediatamente en conocimiento del órgano de contratación</w:t>
      </w:r>
      <w:r>
        <w:rPr>
          <w:rFonts w:ascii="Calibri" w:cs="Calibri" w:eastAsia="Calibri" w:hAnsi="Calibri"/>
          <w:sz w:val="21"/>
          <w:szCs w:val="21"/>
        </w:rPr>
        <w:t xml:space="preserve">.</w:t>
      </w:r>
    </w:p>
    <w:p>
      <w:pPr>
        <w:spacing w:after="140" w:line="276"/>
      </w:pPr>
      <w:r>
        <w:rPr>
          <w:rFonts w:ascii="Calibri" w:cs="Calibri" w:eastAsia="Calibri" w:hAnsi="Calibri"/>
          <w:b/>
          <w:bCs/>
          <w:sz w:val="21"/>
          <w:szCs w:val="21"/>
        </w:rPr>
        <w:t xml:space="preserve">Quién firma.</w:t>
      </w:r>
      <w:r>
        <w:rPr>
          <w:rFonts w:ascii="Calibri" w:cs="Calibri" w:eastAsia="Calibri" w:hAnsi="Calibri"/>
          <w:sz w:val="21"/>
          <w:szCs w:val="21"/>
        </w:rPr>
        <w:t xml:space="preserve"> Cada persona que interviene, individualmente y por escrito: miembros de la mesa, redactores del PPT y del PCAP, técnicos que valoran, miembros del comité de expertos si lo hay, y asesores externos que hayan intervenido en la preparación.</w:t>
      </w:r>
    </w:p>
    <w:p>
      <w:pPr>
        <w:spacing w:after="140" w:line="276"/>
      </w:pPr>
      <w:r>
        <w:rPr>
          <w:rFonts w:ascii="Calibri" w:cs="Calibri" w:eastAsia="Calibri" w:hAnsi="Calibri"/>
          <w:b/>
          <w:bCs/>
          <w:sz w:val="21"/>
          <w:szCs w:val="21"/>
        </w:rPr>
        <w:t xml:space="preserve">Momento.</w:t>
      </w:r>
      <w:r>
        <w:rPr>
          <w:rFonts w:ascii="Calibri" w:cs="Calibri" w:eastAsia="Calibri" w:hAnsi="Calibri"/>
          <w:sz w:val="21"/>
          <w:szCs w:val="21"/>
        </w:rPr>
        <w:t xml:space="preserve"> Antes de la aprobación del expediente. Una declaración firmada después de conocidas las ofertas no acredita nada.</w:t>
      </w:r>
    </w:p>
    <w:p>
      <w:pPr>
        <w:spacing w:after="140" w:line="276"/>
      </w:pPr>
      <w:r>
        <w:rPr>
          <w:rFonts w:ascii="Calibri" w:cs="Calibri" w:eastAsia="Calibri" w:hAnsi="Calibri"/>
          <w:b/>
          <w:bCs/>
          <w:sz w:val="21"/>
          <w:szCs w:val="21"/>
        </w:rPr>
        <w:t xml:space="preserve">El caso de los asesores externos.</w:t>
      </w:r>
      <w:r>
        <w:rPr>
          <w:rFonts w:ascii="Calibri" w:cs="Calibri" w:eastAsia="Calibri" w:hAnsi="Calibri"/>
          <w:sz w:val="21"/>
          <w:szCs w:val="21"/>
        </w:rPr>
        <w:t xml:space="preserve"> Cuando un documento normativo, un catálogo o un pliego se ha elaborado con asesoramiento externo, la declaración tiene que alcanzarlo. Regla de este catálogo: </w:t>
      </w:r>
      <w:r>
        <w:rPr>
          <w:rFonts w:ascii="Calibri" w:cs="Calibri" w:eastAsia="Calibri" w:hAnsi="Calibri"/>
          <w:b/>
          <w:bCs/>
          <w:sz w:val="21"/>
          <w:szCs w:val="21"/>
        </w:rPr>
        <w:t xml:space="preserve">se declara la identidad de los asesores externos que han intervenido en su elaboración, su vinculación con operadores del mercado afectado, y las medidas adoptadas para que esa intervención no genere ventaja</w:t>
      </w:r>
      <w:r>
        <w:rPr>
          <w:rFonts w:ascii="Calibri" w:cs="Calibri" w:eastAsia="Calibri" w:hAnsi="Calibri"/>
          <w:sz w:val="21"/>
          <w:szCs w:val="21"/>
        </w:rPr>
        <w:t xml:space="preserve">. Un conflicto declarado por iniciativa propia y neutralizado en el propio texto es un activo del expediente. Descubierto por el recurrente, deja de ser una discusión técnica y pasa a ser una imputación de favorecimiento.</w:t>
      </w:r>
    </w:p>
    <w:p>
      <w:pPr>
        <w:spacing w:after="140" w:line="276"/>
      </w:pPr>
      <w:r>
        <w:rPr>
          <w:rFonts w:ascii="Calibri" w:cs="Calibri" w:eastAsia="Calibri" w:hAnsi="Calibri"/>
          <w:b/>
          <w:bCs/>
          <w:sz w:val="21"/>
          <w:szCs w:val="21"/>
        </w:rPr>
        <w:t xml:space="preserve">Participación previa en la preparación: art. 70.</w:t>
      </w:r>
      <w:r>
        <w:rPr>
          <w:rFonts w:ascii="Calibri" w:cs="Calibri" w:eastAsia="Calibri" w:hAnsi="Calibri"/>
          <w:sz w:val="21"/>
          <w:szCs w:val="21"/>
        </w:rPr>
        <w:t xml:space="preserve"> Si una empresa participó en la elaboración de las especificaciones técnicas o de los documentos preparatorios, o asesoró al órgano de contratación durante la preparación, el órgano de contratación </w:t>
      </w:r>
      <w:r>
        <w:rPr>
          <w:rFonts w:ascii="Calibri" w:cs="Calibri" w:eastAsia="Calibri" w:hAnsi="Calibri"/>
          <w:b/>
          <w:bCs/>
          <w:sz w:val="21"/>
          <w:szCs w:val="21"/>
        </w:rPr>
        <w:t xml:space="preserve">tomará las medidas adecuadas para que su participación no falsee la competencia</w:t>
      </w:r>
      <w:r>
        <w:rPr>
          <w:rFonts w:ascii="Calibri" w:cs="Calibri" w:eastAsia="Calibri" w:hAnsi="Calibri"/>
          <w:sz w:val="21"/>
          <w:szCs w:val="21"/>
        </w:rPr>
        <w:t xml:space="preserve">. Las medidas que la propia ley enumera:</w:t>
      </w:r>
    </w:p>
    <w:p>
      <w:pPr>
        <w:pStyle w:val="ListParagraph"/>
        <w:numPr>
          <w:ilvl w:val="0"/>
          <w:numId w:val="1"/>
        </w:numPr>
        <w:spacing w:after="70" w:line="268"/>
      </w:pPr>
      <w:r>
        <w:rPr>
          <w:rFonts w:ascii="Calibri" w:cs="Calibri" w:eastAsia="Calibri" w:hAnsi="Calibri"/>
          <w:sz w:val="21"/>
          <w:szCs w:val="21"/>
        </w:rPr>
        <w:t xml:space="preserve">comunicar a los demás candidatos o licitadores la información intercambiada en el marco de esa participación o como resultado de ella;</w:t>
      </w:r>
    </w:p>
    <w:p>
      <w:pPr>
        <w:pStyle w:val="ListParagraph"/>
        <w:numPr>
          <w:ilvl w:val="0"/>
          <w:numId w:val="1"/>
        </w:numPr>
        <w:spacing w:after="70" w:line="268"/>
      </w:pPr>
      <w:r>
        <w:rPr>
          <w:rFonts w:ascii="Calibri" w:cs="Calibri" w:eastAsia="Calibri" w:hAnsi="Calibri"/>
          <w:sz w:val="21"/>
          <w:szCs w:val="21"/>
        </w:rPr>
        <w:t xml:space="preserve">establecer plazos adecuados para la presentación de ofertas;</w:t>
      </w:r>
    </w:p>
    <w:p>
      <w:pPr>
        <w:pStyle w:val="ListParagraph"/>
        <w:numPr>
          <w:ilvl w:val="0"/>
          <w:numId w:val="1"/>
        </w:numPr>
        <w:spacing w:after="70" w:line="268"/>
      </w:pPr>
      <w:r>
        <w:rPr>
          <w:rFonts w:ascii="Calibri" w:cs="Calibri" w:eastAsia="Calibri" w:hAnsi="Calibri"/>
          <w:sz w:val="21"/>
          <w:szCs w:val="21"/>
        </w:rPr>
        <w:t xml:space="preserve">y, sólo cuando no haya otro medio de garantizar la igualdad de trato, la exclusión, que exige </w:t>
      </w:r>
      <w:r>
        <w:rPr>
          <w:rFonts w:ascii="Calibri" w:cs="Calibri" w:eastAsia="Calibri" w:hAnsi="Calibri"/>
          <w:b/>
          <w:bCs/>
          <w:sz w:val="21"/>
          <w:szCs w:val="21"/>
        </w:rPr>
        <w:t xml:space="preserve">audiencia previa</w:t>
      </w:r>
      <w:r>
        <w:rPr>
          <w:rFonts w:ascii="Calibri" w:cs="Calibri" w:eastAsia="Calibri" w:hAnsi="Calibri"/>
          <w:sz w:val="21"/>
          <w:szCs w:val="21"/>
        </w:rPr>
        <w:t xml:space="preserve"> al afectado para que justifique que su participación no falsea la competencia ni le dispensa un trato privilegiado.</w:t>
      </w:r>
    </w:p>
    <w:p>
      <w:pPr>
        <w:spacing w:after="140" w:line="276"/>
      </w:pPr>
      <w:r>
        <w:rPr>
          <w:rFonts w:ascii="Calibri" w:cs="Calibri" w:eastAsia="Calibri" w:hAnsi="Calibri"/>
          <w:sz w:val="21"/>
          <w:szCs w:val="21"/>
        </w:rPr>
        <w:t xml:space="preserve">El propio art. 70.1, párrafo último, dispone que «las medidas adoptadas se consignarán en los informes específicos previstos en el artículo 336». Dos precisiones: ese informe sólo es exigible en contratos </w:t>
      </w:r>
      <w:r>
        <w:rPr>
          <w:rFonts w:ascii="Calibri" w:cs="Calibri" w:eastAsia="Calibri" w:hAnsi="Calibri"/>
          <w:b/>
          <w:bCs/>
          <w:sz w:val="21"/>
          <w:szCs w:val="21"/>
        </w:rPr>
        <w:t xml:space="preserve">sujetos a regulación armonizada</w:t>
      </w:r>
      <w:r>
        <w:rPr>
          <w:rFonts w:ascii="Calibri" w:cs="Calibri" w:eastAsia="Calibri" w:hAnsi="Calibri"/>
          <w:sz w:val="21"/>
          <w:szCs w:val="21"/>
        </w:rPr>
        <w:t xml:space="preserve"> (art. 336.1), y sus letras i) y j) recogen expresamente «los conflictos de intereses detectados y las medidas tomadas al respecto» y «las medidas tomadas en el marco del artículo 70». Por debajo del umbral armonizado el informe del art. 336 no es exigible, pero las medidas se hacen constar igualmente en el expediente.</w:t>
      </w:r>
    </w:p>
    <w:p>
      <w:pPr>
        <w:spacing w:after="140" w:line="276"/>
      </w:pPr>
      <w:r>
        <w:rPr>
          <w:rFonts w:ascii="Calibri" w:cs="Calibri" w:eastAsia="Calibri" w:hAnsi="Calibri"/>
          <w:b/>
          <w:bCs/>
          <w:sz w:val="21"/>
          <w:szCs w:val="21"/>
        </w:rPr>
        <w:t xml:space="preserve">Relación con la consulta preliminar.</w:t>
      </w:r>
      <w:r>
        <w:rPr>
          <w:rFonts w:ascii="Calibri" w:cs="Calibri" w:eastAsia="Calibri" w:hAnsi="Calibri"/>
          <w:sz w:val="21"/>
          <w:szCs w:val="21"/>
        </w:rPr>
        <w:t xml:space="preserve"> La participación en una consulta preliminar del mercado del art. 115 </w:t>
      </w:r>
      <w:r>
        <w:rPr>
          <w:rFonts w:ascii="Calibri" w:cs="Calibri" w:eastAsia="Calibri" w:hAnsi="Calibri"/>
          <w:b/>
          <w:bCs/>
          <w:sz w:val="21"/>
          <w:szCs w:val="21"/>
        </w:rPr>
        <w:t xml:space="preserve">no impide</w:t>
      </w:r>
      <w:r>
        <w:rPr>
          <w:rFonts w:ascii="Calibri" w:cs="Calibri" w:eastAsia="Calibri" w:hAnsi="Calibri"/>
          <w:sz w:val="21"/>
          <w:szCs w:val="21"/>
        </w:rPr>
        <w:t xml:space="preserve"> la posterior intervención en el procedimiento (art. 115.3, último párrafo). Pero sí obliga a publicar lo que se intercambió y a no cerrar el objeto en torno a lo que aportó un consultado (art. 115.2).</w:t>
      </w:r>
    </w:p>
    <w:p>
      <w:pPr>
        <w:spacing w:after="140" w:line="276"/>
      </w:pPr>
      <w:r>
        <w:rPr>
          <w:rFonts w:ascii="Calibri" w:cs="Calibri" w:eastAsia="Calibri" w:hAnsi="Calibri"/>
          <w:b/>
          <w:bCs/>
          <w:sz w:val="21"/>
          <w:szCs w:val="21"/>
        </w:rPr>
        <w:t xml:space="preserve">Los modelos están en el Anexo IX</w:t>
      </w:r>
      <w:r>
        <w:rPr>
          <w:rFonts w:ascii="Calibri" w:cs="Calibri" w:eastAsia="Calibri" w:hAnsi="Calibri"/>
          <w:sz w:val="21"/>
          <w:szCs w:val="21"/>
        </w:rPr>
        <w:t xml:space="preserve">, que no se reproduce aquí para que las dos redacciones no puedan divergir: modelo A, declaración individual del art. 64; modelo B, declaración de participación previa del art. 70; y cuadro C, medidas adoptadas para que la participación previa no falsee la competencia, con su constancia documental. Las medidas del art. 70 se justifican en la memoria del catálogo, Parte IV, §M7.</w:t>
      </w:r>
    </w:p>
    <w:p>
      <w:pPr>
        <w:pStyle w:val="Heading3"/>
        <w:keepNext/>
        <w:spacing w:after="140" w:before="320"/>
      </w:pPr>
      <w:r>
        <w:rPr>
          <w:rFonts w:ascii="Georgia" w:cs="Georgia" w:eastAsia="Georgia" w:hAnsi="Georgia"/>
          <w:b/>
          <w:bCs/>
          <w:color w:val="2F5496"/>
          <w:sz w:val="22"/>
          <w:szCs w:val="22"/>
        </w:rPr>
        <w:t xml:space="preserve">V.4.13 · Consultas preliminares del mercado (art. 115 LCSP), hechas una vez al año</w:t>
      </w:r>
    </w:p>
    <w:p>
      <w:pPr>
        <w:spacing w:after="140" w:line="276"/>
      </w:pPr>
      <w:r>
        <w:rPr>
          <w:rFonts w:ascii="Calibri" w:cs="Calibri" w:eastAsia="Calibri" w:hAnsi="Calibri"/>
          <w:b/>
          <w:bCs/>
          <w:sz w:val="21"/>
          <w:szCs w:val="21"/>
        </w:rPr>
        <w:t xml:space="preserve">Precepto.</w:t>
      </w:r>
      <w:r>
        <w:rPr>
          <w:rFonts w:ascii="Calibri" w:cs="Calibri" w:eastAsia="Calibri" w:hAnsi="Calibri"/>
          <w:sz w:val="21"/>
          <w:szCs w:val="21"/>
        </w:rPr>
        <w:t xml:space="preserve"> Art. 115 LCSP.</w:t>
      </w:r>
    </w:p>
    <w:p>
      <w:pPr>
        <w:spacing w:after="140" w:line="276"/>
      </w:pPr>
      <w:r>
        <w:rPr>
          <w:rFonts w:ascii="Calibri" w:cs="Calibri" w:eastAsia="Calibri" w:hAnsi="Calibri"/>
          <w:b/>
          <w:bCs/>
          <w:sz w:val="21"/>
          <w:szCs w:val="21"/>
        </w:rPr>
        <w:t xml:space="preserve">Por qué es la mejor póliza del catálogo.</w:t>
      </w:r>
      <w:r>
        <w:rPr>
          <w:rFonts w:ascii="Calibri" w:cs="Calibri" w:eastAsia="Calibri" w:hAnsi="Calibri"/>
          <w:sz w:val="21"/>
          <w:szCs w:val="21"/>
        </w:rPr>
        <w:t xml:space="preserve"> Convierte «lo que se nos ocurrió pedir» en «lo que el mercado acreditó que puede darse». Es el documento que transforma la afirmación de neutralidad tecnológica en prueba de neutralidad tecnológica, y sin él la memoria sólo afirma.</w:t>
      </w:r>
    </w:p>
    <w:p>
      <w:pPr>
        <w:spacing w:after="140" w:line="276"/>
      </w:pPr>
      <w:r>
        <w:rPr>
          <w:rFonts w:ascii="Calibri" w:cs="Calibri" w:eastAsia="Calibri" w:hAnsi="Calibri"/>
          <w:b/>
          <w:bCs/>
          <w:sz w:val="21"/>
          <w:szCs w:val="21"/>
        </w:rPr>
        <w:t xml:space="preserve">Los modelos están en el Anexo XXII</w:t>
      </w:r>
      <w:r>
        <w:rPr>
          <w:rFonts w:ascii="Calibri" w:cs="Calibri" w:eastAsia="Calibri" w:hAnsi="Calibri"/>
          <w:sz w:val="21"/>
          <w:szCs w:val="21"/>
        </w:rPr>
        <w:t xml:space="preserve">: modelo A, anuncio previo de la consulta; modelo B, informe motivado del art. 115.3.</w:t>
      </w:r>
    </w:p>
    <w:p>
      <w:pPr>
        <w:spacing w:after="140" w:line="276"/>
      </w:pPr>
      <w:r>
        <w:rPr>
          <w:rFonts w:ascii="Calibri" w:cs="Calibri" w:eastAsia="Calibri" w:hAnsi="Calibri"/>
          <w:b/>
          <w:bCs/>
          <w:sz w:val="21"/>
          <w:szCs w:val="21"/>
        </w:rPr>
        <w:t xml:space="preserve">Cómo se hace, en el orden que impone la ley.</w:t>
      </w:r>
    </w:p>
    <w:p>
      <w:pPr>
        <w:pStyle w:val="ListParagraph"/>
        <w:numPr>
          <w:ilvl w:val="0"/>
          <w:numId w:val="2"/>
        </w:numPr>
        <w:spacing w:after="70" w:line="268"/>
      </w:pPr>
      <w:r>
        <w:rPr>
          <w:rFonts w:ascii="Calibri" w:cs="Calibri" w:eastAsia="Calibri" w:hAnsi="Calibri"/>
          <w:b/>
          <w:bCs/>
          <w:sz w:val="21"/>
          <w:szCs w:val="21"/>
        </w:rPr>
        <w:t xml:space="preserve">Antes de iniciar la consulta</w:t>
      </w:r>
      <w:r>
        <w:rPr>
          <w:rFonts w:ascii="Calibri" w:cs="Calibri" w:eastAsia="Calibri" w:hAnsi="Calibri"/>
          <w:sz w:val="21"/>
          <w:szCs w:val="21"/>
        </w:rPr>
        <w:t xml:space="preserve">, se publica en el perfil de contratante ubicado en la Plataforma de Contratación del Sector Público o servicio de información equivalente a nivel autonómico: el objeto de la consulta, cuándo se inicia y </w:t>
      </w:r>
      <w:r>
        <w:rPr>
          <w:rFonts w:ascii="Calibri" w:cs="Calibri" w:eastAsia="Calibri" w:hAnsi="Calibri"/>
          <w:b/>
          <w:bCs/>
          <w:sz w:val="21"/>
          <w:szCs w:val="21"/>
        </w:rPr>
        <w:t xml:space="preserve">las denominaciones de los terceros que vayan a participar</w:t>
      </w:r>
      <w:r>
        <w:rPr>
          <w:rFonts w:ascii="Calibri" w:cs="Calibri" w:eastAsia="Calibri" w:hAnsi="Calibri"/>
          <w:sz w:val="21"/>
          <w:szCs w:val="21"/>
        </w:rPr>
        <w:t xml:space="preserve">; y también las razones que motiven la elección de los asesores externos seleccionados (art. 115.1).</w:t>
      </w:r>
    </w:p>
    <w:p>
      <w:pPr>
        <w:pStyle w:val="ListParagraph"/>
        <w:numPr>
          <w:ilvl w:val="0"/>
          <w:numId w:val="2"/>
        </w:numPr>
        <w:spacing w:after="70" w:line="268"/>
      </w:pPr>
      <w:r>
        <w:rPr>
          <w:rFonts w:ascii="Calibri" w:cs="Calibri" w:eastAsia="Calibri" w:hAnsi="Calibri"/>
          <w:sz w:val="21"/>
          <w:szCs w:val="21"/>
        </w:rPr>
        <w:t xml:space="preserve">Se realiza la consulta. No puede revelarse a unos participantes las soluciones propuestas por otros (art. 115.3).</w:t>
      </w:r>
    </w:p>
    <w:p>
      <w:pPr>
        <w:pStyle w:val="ListParagraph"/>
        <w:numPr>
          <w:ilvl w:val="0"/>
          <w:numId w:val="2"/>
        </w:numPr>
        <w:spacing w:after="70" w:line="268"/>
      </w:pPr>
      <w:r>
        <w:rPr>
          <w:rFonts w:ascii="Calibri" w:cs="Calibri" w:eastAsia="Calibri" w:hAnsi="Calibri"/>
          <w:sz w:val="21"/>
          <w:szCs w:val="21"/>
        </w:rPr>
        <w:t xml:space="preserve">Se elabora un </w:t>
      </w:r>
      <w:r>
        <w:rPr>
          <w:rFonts w:ascii="Calibri" w:cs="Calibri" w:eastAsia="Calibri" w:hAnsi="Calibri"/>
          <w:b/>
          <w:bCs/>
          <w:sz w:val="21"/>
          <w:szCs w:val="21"/>
        </w:rPr>
        <w:t xml:space="preserve">informe motivado</w:t>
      </w:r>
      <w:r>
        <w:rPr>
          <w:rFonts w:ascii="Calibri" w:cs="Calibri" w:eastAsia="Calibri" w:hAnsi="Calibri"/>
          <w:sz w:val="21"/>
          <w:szCs w:val="21"/>
        </w:rPr>
        <w:t xml:space="preserve"> que relacione los estudios realizados y sus autores, las entidades consultadas, las cuestiones formuladas y las respuestas recibidas. Ese informe </w:t>
      </w:r>
      <w:r>
        <w:rPr>
          <w:rFonts w:ascii="Calibri" w:cs="Calibri" w:eastAsia="Calibri" w:hAnsi="Calibri"/>
          <w:b/>
          <w:bCs/>
          <w:sz w:val="21"/>
          <w:szCs w:val="21"/>
        </w:rPr>
        <w:t xml:space="preserve">forma parte del expediente y se publica con la misma publicidad que los pliegos</w:t>
      </w:r>
      <w:r>
        <w:rPr>
          <w:rFonts w:ascii="Calibri" w:cs="Calibri" w:eastAsia="Calibri" w:hAnsi="Calibri"/>
          <w:sz w:val="21"/>
          <w:szCs w:val="21"/>
        </w:rPr>
        <w:t xml:space="preserve"> (art. 115.3).</w:t>
      </w:r>
    </w:p>
    <w:p>
      <w:pPr>
        <w:pStyle w:val="ListParagraph"/>
        <w:numPr>
          <w:ilvl w:val="0"/>
          <w:numId w:val="2"/>
        </w:numPr>
        <w:spacing w:after="70" w:line="268"/>
      </w:pPr>
      <w:r>
        <w:rPr>
          <w:rFonts w:ascii="Calibri" w:cs="Calibri" w:eastAsia="Calibri" w:hAnsi="Calibri"/>
          <w:sz w:val="21"/>
          <w:szCs w:val="21"/>
        </w:rPr>
        <w:t xml:space="preserve">Al elaborar los pliegos, se tienen en cuenta los resultados; si no se tienen en cuenta, </w:t>
      </w:r>
      <w:r>
        <w:rPr>
          <w:rFonts w:ascii="Calibri" w:cs="Calibri" w:eastAsia="Calibri" w:hAnsi="Calibri"/>
          <w:b/>
          <w:bCs/>
          <w:sz w:val="21"/>
          <w:szCs w:val="21"/>
        </w:rPr>
        <w:t xml:space="preserve">se deja constancia de los motivos en el mismo informe</w:t>
      </w:r>
      <w:r>
        <w:rPr>
          <w:rFonts w:ascii="Calibri" w:cs="Calibri" w:eastAsia="Calibri" w:hAnsi="Calibri"/>
          <w:sz w:val="21"/>
          <w:szCs w:val="21"/>
        </w:rPr>
        <w:t xml:space="preserve"> (art. 115.3).</w:t>
      </w:r>
    </w:p>
    <w:p>
      <w:pPr>
        <w:spacing w:after="140" w:line="276"/>
      </w:pPr>
      <w:r>
        <w:rPr>
          <w:rFonts w:ascii="Calibri" w:cs="Calibri" w:eastAsia="Calibri" w:hAnsi="Calibri"/>
          <w:b/>
          <w:bCs/>
          <w:sz w:val="21"/>
          <w:szCs w:val="21"/>
        </w:rPr>
        <w:t xml:space="preserve">Los dos límites que no se pueden cruzar</w:t>
      </w:r>
      <w:r>
        <w:rPr>
          <w:rFonts w:ascii="Calibri" w:cs="Calibri" w:eastAsia="Calibri" w:hAnsi="Calibri"/>
          <w:sz w:val="21"/>
          <w:szCs w:val="21"/>
        </w:rPr>
        <w:t xml:space="preserve"> (art. 115.2): de las consultas no puede resultar «un objeto contractual tan concreto y delimitado que únicamente se ajuste a las características técnicas de uno de los consultados»; y las consultas no pueden comportar ventaja alguna respecto de la adjudicación para las empresas participantes.</w:t>
      </w:r>
    </w:p>
    <w:p>
      <w:pPr>
        <w:spacing w:after="140" w:line="276"/>
      </w:pPr>
      <w:r>
        <w:rPr>
          <w:rFonts w:ascii="Calibri" w:cs="Calibri" w:eastAsia="Calibri" w:hAnsi="Calibri"/>
          <w:b/>
          <w:bCs/>
          <w:sz w:val="21"/>
          <w:szCs w:val="21"/>
        </w:rPr>
        <w:t xml:space="preserve">Regla operativa de este catálogo: la consulta se hace centralizada y una vez al año, no por expediente.</w:t>
      </w:r>
      <w:r>
        <w:rPr>
          <w:rFonts w:ascii="Calibri" w:cs="Calibri" w:eastAsia="Calibri" w:hAnsi="Calibri"/>
          <w:sz w:val="21"/>
          <w:szCs w:val="21"/>
        </w:rPr>
        <w:t xml:space="preserve"> El contraste de mercado que exige el Anexo V y la consulta preliminar del art. 115 son el mismo trabajo. Hacerlos por expediente es inasumible para el servicio que redacta los pliegos y, además, nadie puede hacer por su cuenta un estudio de mercado de tecnologías emergentes cada vez que redacta uno. Se hacen </w:t>
      </w:r>
      <w:r>
        <w:rPr>
          <w:rFonts w:ascii="Calibri" w:cs="Calibri" w:eastAsia="Calibri" w:hAnsi="Calibri"/>
          <w:b/>
          <w:bCs/>
          <w:sz w:val="21"/>
          <w:szCs w:val="21"/>
        </w:rPr>
        <w:t xml:space="preserve">al aprobar el Anexo V del ejercicio</w:t>
      </w:r>
      <w:r>
        <w:rPr>
          <w:rFonts w:ascii="Calibri" w:cs="Calibri" w:eastAsia="Calibri" w:hAnsi="Calibri"/>
          <w:sz w:val="21"/>
          <w:szCs w:val="21"/>
        </w:rPr>
        <w:t xml:space="preserve">, con alcance suficiente para cubrir los perfiles de contrato previstos, y el informe resultante se invoca en cada expediente del año.</w:t>
      </w:r>
    </w:p>
    <w:p>
      <w:pPr>
        <w:spacing w:after="140" w:line="276"/>
      </w:pPr>
      <w:r>
        <w:rPr>
          <w:rFonts w:ascii="Calibri" w:cs="Calibri" w:eastAsia="Calibri" w:hAnsi="Calibri"/>
          <w:sz w:val="21"/>
          <w:szCs w:val="21"/>
        </w:rPr>
        <w:t xml:space="preserve">Carga estimada: </w:t>
      </w:r>
      <w:r>
        <w:rPr>
          <w:rFonts w:ascii="Calibri" w:cs="Calibri" w:eastAsia="Calibri" w:hAnsi="Calibri"/>
          <w:b/>
          <w:bCs/>
          <w:sz w:val="21"/>
          <w:szCs w:val="21"/>
        </w:rPr>
        <w:t xml:space="preserve">40 a 60 horas al año</w:t>
      </w:r>
      <w:r>
        <w:rPr>
          <w:rFonts w:ascii="Calibri" w:cs="Calibri" w:eastAsia="Calibri" w:hAnsi="Calibri"/>
          <w:sz w:val="21"/>
          <w:szCs w:val="21"/>
        </w:rPr>
        <w:t xml:space="preserve"> para la consulta centralizada, frente a un mínimo de 15 horas por expediente si se hiciera contrato a contrato. La comparación es el argumento para pedir el recurso.</w:t>
      </w:r>
    </w:p>
    <w:p>
      <w:pPr>
        <w:spacing w:after="140" w:line="276"/>
      </w:pPr>
      <w:r>
        <w:rPr>
          <w:rFonts w:ascii="Calibri" w:cs="Calibri" w:eastAsia="Calibri" w:hAnsi="Calibri"/>
          <w:b/>
          <w:bCs/>
          <w:sz w:val="21"/>
          <w:szCs w:val="21"/>
        </w:rPr>
        <w:t xml:space="preserve">Parámetro.</w:t>
      </w:r>
      <w:r>
        <w:rPr>
          <w:rFonts w:ascii="Calibri" w:cs="Calibri" w:eastAsia="Calibri" w:hAnsi="Calibri"/>
          <w:sz w:val="21"/>
          <w:szCs w:val="21"/>
        </w:rPr>
        <w:t xml:space="preserve"> Fecha de la consulta anual: </w:t>
      </w:r>
      <w:r>
        <w:rPr>
          <w:rFonts w:ascii="Calibri" w:cs="Calibri" w:eastAsia="Calibri" w:hAnsi="Calibri"/>
          <w:b/>
          <w:bCs/>
          <w:sz w:val="21"/>
          <w:szCs w:val="21"/>
        </w:rPr>
        <w:t xml:space="preserve">[fecha; se recomienda entre septiembre y octubre, para que el informe esté cerrado antes de la aprobación del Anexo V del ejercicio siguiente]</w:t>
      </w:r>
      <w:r>
        <w:rPr>
          <w:rFonts w:ascii="Calibri" w:cs="Calibri" w:eastAsia="Calibri" w:hAnsi="Calibri"/>
          <w:sz w:val="21"/>
          <w:szCs w:val="21"/>
        </w:rPr>
        <w:t xml:space="preserve">.</w:t>
      </w:r>
    </w:p>
    <w:p>
      <w:pPr>
        <w:pStyle w:val="Heading3"/>
        <w:keepNext/>
        <w:spacing w:after="140" w:before="320"/>
      </w:pPr>
      <w:r>
        <w:rPr>
          <w:rFonts w:ascii="Georgia" w:cs="Georgia" w:eastAsia="Georgia" w:hAnsi="Georgia"/>
          <w:b/>
          <w:bCs/>
          <w:color w:val="2F5496"/>
          <w:sz w:val="22"/>
          <w:szCs w:val="22"/>
        </w:rPr>
        <w:t xml:space="preserve">V.4.14 · Pliegos: PCAP y PPT</w:t>
      </w:r>
    </w:p>
    <w:p>
      <w:pPr>
        <w:spacing w:after="140" w:line="276"/>
      </w:pPr>
      <w:r>
        <w:rPr>
          <w:rFonts w:ascii="Calibri" w:cs="Calibri" w:eastAsia="Calibri" w:hAnsi="Calibri"/>
          <w:b/>
          <w:bCs/>
          <w:sz w:val="21"/>
          <w:szCs w:val="21"/>
        </w:rPr>
        <w:t xml:space="preserve">Precepto.</w:t>
      </w:r>
      <w:r>
        <w:rPr>
          <w:rFonts w:ascii="Calibri" w:cs="Calibri" w:eastAsia="Calibri" w:hAnsi="Calibri"/>
          <w:sz w:val="21"/>
          <w:szCs w:val="21"/>
        </w:rPr>
        <w:t xml:space="preserve"> Art. 116.3 LCSP: al expediente se incorporarán el PCAP y el PPT.</w:t>
      </w:r>
    </w:p>
    <w:p>
      <w:pPr>
        <w:spacing w:after="140" w:line="276"/>
      </w:pPr>
      <w:r>
        <w:rPr>
          <w:rFonts w:ascii="Calibri" w:cs="Calibri" w:eastAsia="Calibri" w:hAnsi="Calibri"/>
          <w:sz w:val="21"/>
          <w:szCs w:val="21"/>
        </w:rPr>
        <w:t xml:space="preserve">Tres advertencias de esta Parte:</w:t>
      </w:r>
    </w:p>
    <w:p>
      <w:pPr>
        <w:pStyle w:val="ListParagraph"/>
        <w:numPr>
          <w:ilvl w:val="0"/>
          <w:numId w:val="2"/>
        </w:numPr>
        <w:spacing w:after="70" w:line="268"/>
      </w:pPr>
      <w:r>
        <w:rPr>
          <w:rFonts w:ascii="Calibri" w:cs="Calibri" w:eastAsia="Calibri" w:hAnsi="Calibri"/>
          <w:b/>
          <w:bCs/>
          <w:sz w:val="21"/>
          <w:szCs w:val="21"/>
        </w:rPr>
        <w:t xml:space="preserve">El PCAP sólo puede modificarse después por error material, de hecho o aritmético</w:t>
      </w:r>
      <w:r>
        <w:rPr>
          <w:rFonts w:ascii="Calibri" w:cs="Calibri" w:eastAsia="Calibri" w:hAnsi="Calibri"/>
          <w:sz w:val="21"/>
          <w:szCs w:val="21"/>
        </w:rPr>
        <w:t xml:space="preserve"> (art. 122.1). Cualquier otra modificación conlleva </w:t>
      </w:r>
      <w:r>
        <w:rPr>
          <w:rFonts w:ascii="Calibri" w:cs="Calibri" w:eastAsia="Calibri" w:hAnsi="Calibri"/>
          <w:b/>
          <w:bCs/>
          <w:sz w:val="21"/>
          <w:szCs w:val="21"/>
        </w:rPr>
        <w:t xml:space="preserve">retroacción de actuaciones</w:t>
      </w:r>
      <w:r>
        <w:rPr>
          <w:rFonts w:ascii="Calibri" w:cs="Calibri" w:eastAsia="Calibri" w:hAnsi="Calibri"/>
          <w:sz w:val="21"/>
          <w:szCs w:val="21"/>
        </w:rPr>
        <w:t xml:space="preserve">. Es decir: lo que se publica mal, se corrige rehaciendo, no retocando.</w:t>
      </w:r>
    </w:p>
    <w:p>
      <w:pPr>
        <w:pStyle w:val="ListParagraph"/>
        <w:numPr>
          <w:ilvl w:val="0"/>
          <w:numId w:val="2"/>
        </w:numPr>
        <w:spacing w:after="70" w:line="268"/>
      </w:pPr>
      <w:r>
        <w:rPr>
          <w:rFonts w:ascii="Calibri" w:cs="Calibri" w:eastAsia="Calibri" w:hAnsi="Calibri"/>
          <w:b/>
          <w:bCs/>
          <w:sz w:val="21"/>
          <w:szCs w:val="21"/>
        </w:rPr>
        <w:t xml:space="preserve">Las condiciones especiales de ejecución y la cláusula de modificación prevista van al PCAP</w:t>
      </w:r>
      <w:r>
        <w:rPr>
          <w:rFonts w:ascii="Calibri" w:cs="Calibri" w:eastAsia="Calibri" w:hAnsi="Calibri"/>
          <w:sz w:val="21"/>
          <w:szCs w:val="21"/>
        </w:rPr>
        <w:t xml:space="preserve">, no al PPT (art. 122.2 y regla de ubicación de la Parte I, §7). Su reproducción en el PPT carece de efectos y genera contradicciones.</w:t>
      </w:r>
    </w:p>
    <w:p>
      <w:pPr>
        <w:pStyle w:val="ListParagraph"/>
        <w:numPr>
          <w:ilvl w:val="0"/>
          <w:numId w:val="2"/>
        </w:numPr>
        <w:spacing w:after="70" w:line="268"/>
      </w:pPr>
      <w:r>
        <w:rPr>
          <w:rFonts w:ascii="Calibri" w:cs="Calibri" w:eastAsia="Calibri" w:hAnsi="Calibri"/>
          <w:b/>
          <w:bCs/>
          <w:sz w:val="21"/>
          <w:szCs w:val="21"/>
        </w:rPr>
        <w:t xml:space="preserve">Cuando la ejecución requiera tratamiento de datos personales por cuenta del Ayuntamiento</w:t>
      </w:r>
      <w:r>
        <w:rPr>
          <w:rFonts w:ascii="Calibri" w:cs="Calibri" w:eastAsia="Calibri" w:hAnsi="Calibri"/>
          <w:sz w:val="21"/>
          <w:szCs w:val="21"/>
        </w:rPr>
        <w:t xml:space="preserve">, el PCAP debe hacer constar, además, la finalidad de la cesión, la obligación de someterse a la normativa de protección de datos, la obligación del adjudicatario de presentar </w:t>
      </w:r>
      <w:r>
        <w:rPr>
          <w:rFonts w:ascii="Calibri" w:cs="Calibri" w:eastAsia="Calibri" w:hAnsi="Calibri"/>
          <w:b/>
          <w:bCs/>
          <w:sz w:val="21"/>
          <w:szCs w:val="21"/>
        </w:rPr>
        <w:t xml:space="preserve">antes de la formalización</w:t>
      </w:r>
      <w:r>
        <w:rPr>
          <w:rFonts w:ascii="Calibri" w:cs="Calibri" w:eastAsia="Calibri" w:hAnsi="Calibri"/>
          <w:sz w:val="21"/>
          <w:szCs w:val="21"/>
        </w:rPr>
        <w:t xml:space="preserve"> una declaración sobre dónde estarán ubicados los servidores y desde dónde se prestarán los servicios asociados, y la obligación de comunicar cualquier cambio de esa información durante la vida del contrato (art. 122.2, letras a) a d)). Esa declaración previa a la formalización es un hito del circuito que suele olvidarse.</w:t>
      </w:r>
    </w:p>
    <w:p>
      <w:pPr>
        <w:pStyle w:val="Heading3"/>
        <w:keepNext/>
        <w:spacing w:after="140" w:before="320"/>
      </w:pPr>
      <w:r>
        <w:rPr>
          <w:rFonts w:ascii="Georgia" w:cs="Georgia" w:eastAsia="Georgia" w:hAnsi="Georgia"/>
          <w:b/>
          <w:bCs/>
          <w:color w:val="2F5496"/>
          <w:sz w:val="22"/>
          <w:szCs w:val="22"/>
        </w:rPr>
        <w:t xml:space="preserve">V.4.15 · Informe jurídico preceptivo</w:t>
      </w:r>
    </w:p>
    <w:p>
      <w:pPr>
        <w:spacing w:after="140" w:line="276"/>
      </w:pPr>
      <w:r>
        <w:rPr>
          <w:rFonts w:ascii="Calibri" w:cs="Calibri" w:eastAsia="Calibri" w:hAnsi="Calibri"/>
          <w:b/>
          <w:bCs/>
          <w:sz w:val="21"/>
          <w:szCs w:val="21"/>
        </w:rPr>
        <w:t xml:space="preserve">Precepto.</w:t>
      </w:r>
      <w:r>
        <w:rPr>
          <w:rFonts w:ascii="Calibri" w:cs="Calibri" w:eastAsia="Calibri" w:hAnsi="Calibri"/>
          <w:sz w:val="21"/>
          <w:szCs w:val="21"/>
        </w:rPr>
        <w:t xml:space="preserve"> DA 3.ª.8 LCSP: «Será también preceptivo el informe jurídico del Secretario en la aprobación de expedientes de contratación, modificación de contratos, revisión de precios, prórrogas, mantenimiento del equilibrio económico, interpretación y resolución de los contratos». Y, párrafo segundo: «Conforme a lo dispuesto en la letra e) de la disposición adicional octava de la Ley 7/1985 […] en los municipios acogidos al régimen regulado en su Título X, corresponderá al titular de la asesoría jurídica la emisión de los informes atribuidos al Secretario en el presente apartado».</w:t>
      </w:r>
    </w:p>
    <w:p>
      <w:pPr>
        <w:spacing w:after="140" w:line="276"/>
      </w:pPr>
      <w:r>
        <w:rPr>
          <w:rFonts w:ascii="Calibri" w:cs="Calibri" w:eastAsia="Calibri" w:hAnsi="Calibri"/>
          <w:sz w:val="21"/>
          <w:szCs w:val="21"/>
        </w:rPr>
        <w:t xml:space="preserve">Obsérvese que el informe es preceptivo </w:t>
      </w:r>
      <w:r>
        <w:rPr>
          <w:rFonts w:ascii="Calibri" w:cs="Calibri" w:eastAsia="Calibri" w:hAnsi="Calibri"/>
          <w:b/>
          <w:bCs/>
          <w:sz w:val="21"/>
          <w:szCs w:val="21"/>
        </w:rPr>
        <w:t xml:space="preserve">también en las prórrogas y en las modificaciones</w:t>
      </w:r>
      <w:r>
        <w:rPr>
          <w:rFonts w:ascii="Calibri" w:cs="Calibri" w:eastAsia="Calibri" w:hAnsi="Calibri"/>
          <w:sz w:val="21"/>
          <w:szCs w:val="21"/>
        </w:rPr>
        <w:t xml:space="preserve">: es el punto por el que este catálogo entra en los contratos vivos (V.7.3).</w:t>
      </w:r>
    </w:p>
    <w:p>
      <w:pPr>
        <w:spacing w:after="140" w:line="276"/>
      </w:pPr>
      <w:r>
        <w:rPr>
          <w:rFonts w:ascii="Calibri" w:cs="Calibri" w:eastAsia="Calibri" w:hAnsi="Calibri"/>
          <w:b/>
          <w:bCs/>
          <w:sz w:val="21"/>
          <w:szCs w:val="21"/>
        </w:rPr>
        <w:t xml:space="preserve">Checklist de quince puntos para el informe jurídico.</w:t>
      </w:r>
      <w:r>
        <w:rPr>
          <w:rFonts w:ascii="Calibri" w:cs="Calibri" w:eastAsia="Calibri" w:hAnsi="Calibri"/>
          <w:sz w:val="21"/>
          <w:szCs w:val="21"/>
        </w:rPr>
        <w:t xml:space="preserve"> Cada punto lleva su precepto, de modo que el informe pueda redactarse recorriéndolo.</w:t>
      </w:r>
    </w:p>
    <w:p>
      <w:pPr>
        <w:pStyle w:val="ListParagraph"/>
        <w:numPr>
          <w:ilvl w:val="0"/>
          <w:numId w:val="2"/>
        </w:numPr>
        <w:spacing w:after="70" w:line="268"/>
      </w:pPr>
      <w:r>
        <w:rPr>
          <w:rFonts w:ascii="Calibri" w:cs="Calibri" w:eastAsia="Calibri" w:hAnsi="Calibri"/>
          <w:b/>
          <w:bCs/>
          <w:sz w:val="21"/>
          <w:szCs w:val="21"/>
        </w:rPr>
        <w:t xml:space="preserve">Competencia del órgano</w:t>
      </w:r>
      <w:r>
        <w:rPr>
          <w:rFonts w:ascii="Calibri" w:cs="Calibri" w:eastAsia="Calibri" w:hAnsi="Calibri"/>
          <w:sz w:val="21"/>
          <w:szCs w:val="21"/>
        </w:rPr>
        <w:t xml:space="preserve"> que aprueba el expediente y el gasto (DA 2.ª LCSP; en municipios de gran población, Junta de Gobierno Local, DA 2.ª.4).</w:t>
      </w:r>
    </w:p>
    <w:p>
      <w:pPr>
        <w:pStyle w:val="ListParagraph"/>
        <w:numPr>
          <w:ilvl w:val="0"/>
          <w:numId w:val="2"/>
        </w:numPr>
        <w:spacing w:after="70" w:line="268"/>
      </w:pPr>
      <w:r>
        <w:rPr>
          <w:rFonts w:ascii="Calibri" w:cs="Calibri" w:eastAsia="Calibri" w:hAnsi="Calibri"/>
          <w:b/>
          <w:bCs/>
          <w:sz w:val="21"/>
          <w:szCs w:val="21"/>
        </w:rPr>
        <w:t xml:space="preserve">Necesidad determinada con precisión</w:t>
      </w:r>
      <w:r>
        <w:rPr>
          <w:rFonts w:ascii="Calibri" w:cs="Calibri" w:eastAsia="Calibri" w:hAnsi="Calibri"/>
          <w:sz w:val="21"/>
          <w:szCs w:val="21"/>
        </w:rPr>
        <w:t xml:space="preserve"> y constancia en la documentación preparatoria (art. 28.1).</w:t>
      </w:r>
    </w:p>
    <w:p>
      <w:pPr>
        <w:pStyle w:val="ListParagraph"/>
        <w:numPr>
          <w:ilvl w:val="0"/>
          <w:numId w:val="2"/>
        </w:numPr>
        <w:spacing w:after="70" w:line="268"/>
      </w:pPr>
      <w:r>
        <w:rPr>
          <w:rFonts w:ascii="Calibri" w:cs="Calibri" w:eastAsia="Calibri" w:hAnsi="Calibri"/>
          <w:b/>
          <w:bCs/>
          <w:sz w:val="21"/>
          <w:szCs w:val="21"/>
        </w:rPr>
        <w:t xml:space="preserve">Relación necesidad-objeto</w:t>
      </w:r>
      <w:r>
        <w:rPr>
          <w:rFonts w:ascii="Calibri" w:cs="Calibri" w:eastAsia="Calibri" w:hAnsi="Calibri"/>
          <w:sz w:val="21"/>
          <w:szCs w:val="21"/>
        </w:rPr>
        <w:t xml:space="preserve"> justificada como directa, clara y proporcional (art. 116.4.e).</w:t>
      </w:r>
    </w:p>
    <w:p>
      <w:pPr>
        <w:pStyle w:val="ListParagraph"/>
        <w:numPr>
          <w:ilvl w:val="0"/>
          <w:numId w:val="2"/>
        </w:numPr>
        <w:spacing w:after="70" w:line="268"/>
      </w:pPr>
      <w:r>
        <w:rPr>
          <w:rFonts w:ascii="Calibri" w:cs="Calibri" w:eastAsia="Calibri" w:hAnsi="Calibri"/>
          <w:b/>
          <w:bCs/>
          <w:sz w:val="21"/>
          <w:szCs w:val="21"/>
        </w:rPr>
        <w:t xml:space="preserve">Finalidad del tratamiento</w:t>
      </w:r>
      <w:r>
        <w:rPr>
          <w:rFonts w:ascii="Calibri" w:cs="Calibri" w:eastAsia="Calibri" w:hAnsi="Calibri"/>
          <w:sz w:val="21"/>
          <w:szCs w:val="21"/>
        </w:rPr>
        <w:t xml:space="preserve"> especificada cuando hay cesión de datos al contratista (art. 116.1, párrafo segundo).</w:t>
      </w:r>
    </w:p>
    <w:p>
      <w:pPr>
        <w:pStyle w:val="ListParagraph"/>
        <w:numPr>
          <w:ilvl w:val="0"/>
          <w:numId w:val="2"/>
        </w:numPr>
        <w:spacing w:after="70" w:line="268"/>
      </w:pPr>
      <w:r>
        <w:rPr>
          <w:rFonts w:ascii="Calibri" w:cs="Calibri" w:eastAsia="Calibri" w:hAnsi="Calibri"/>
          <w:b/>
          <w:bCs/>
          <w:sz w:val="21"/>
          <w:szCs w:val="21"/>
        </w:rPr>
        <w:t xml:space="preserve">Justificación de la elección del procedimiento</w:t>
      </w:r>
      <w:r>
        <w:rPr>
          <w:rFonts w:ascii="Calibri" w:cs="Calibri" w:eastAsia="Calibri" w:hAnsi="Calibri"/>
          <w:sz w:val="21"/>
          <w:szCs w:val="21"/>
        </w:rPr>
        <w:t xml:space="preserve"> y compatibilidad con el baremo (arts. 116.4.a y 159.1.b y 159.6).</w:t>
      </w:r>
    </w:p>
    <w:p>
      <w:pPr>
        <w:pStyle w:val="ListParagraph"/>
        <w:numPr>
          <w:ilvl w:val="0"/>
          <w:numId w:val="2"/>
        </w:numPr>
        <w:spacing w:after="70" w:line="268"/>
      </w:pPr>
      <w:r>
        <w:rPr>
          <w:rFonts w:ascii="Calibri" w:cs="Calibri" w:eastAsia="Calibri" w:hAnsi="Calibri"/>
          <w:b/>
          <w:bCs/>
          <w:sz w:val="21"/>
          <w:szCs w:val="21"/>
        </w:rPr>
        <w:t xml:space="preserve">Justificación de solvencia, criterios y condiciones especiales de ejecución</w:t>
      </w:r>
      <w:r>
        <w:rPr>
          <w:rFonts w:ascii="Calibri" w:cs="Calibri" w:eastAsia="Calibri" w:hAnsi="Calibri"/>
          <w:sz w:val="21"/>
          <w:szCs w:val="21"/>
        </w:rPr>
        <w:t xml:space="preserve"> (art. 116.4.c), con constancia de la no duplicidad de instrumentos.</w:t>
      </w:r>
    </w:p>
    <w:p>
      <w:pPr>
        <w:pStyle w:val="ListParagraph"/>
        <w:numPr>
          <w:ilvl w:val="0"/>
          <w:numId w:val="2"/>
        </w:numPr>
        <w:spacing w:after="70" w:line="268"/>
      </w:pPr>
      <w:r>
        <w:rPr>
          <w:rFonts w:ascii="Calibri" w:cs="Calibri" w:eastAsia="Calibri" w:hAnsi="Calibri"/>
          <w:b/>
          <w:bCs/>
          <w:sz w:val="21"/>
          <w:szCs w:val="21"/>
        </w:rPr>
        <w:t xml:space="preserve">Preponderancia de los criterios evaluables mediante fórmulas</w:t>
      </w:r>
      <w:r>
        <w:rPr>
          <w:rFonts w:ascii="Calibri" w:cs="Calibri" w:eastAsia="Calibri" w:hAnsi="Calibri"/>
          <w:sz w:val="21"/>
          <w:szCs w:val="21"/>
        </w:rPr>
        <w:t xml:space="preserve"> y, si no la hay, constitución del comité de expertos u organismo técnico especializado (art. 146.2 y 146.2.a; DA 2.ª.8 para su composición en entidades locales).</w:t>
      </w:r>
    </w:p>
    <w:p>
      <w:pPr>
        <w:pStyle w:val="ListParagraph"/>
        <w:numPr>
          <w:ilvl w:val="0"/>
          <w:numId w:val="2"/>
        </w:numPr>
        <w:spacing w:after="70" w:line="268"/>
      </w:pPr>
      <w:r>
        <w:rPr>
          <w:rFonts w:ascii="Calibri" w:cs="Calibri" w:eastAsia="Calibri" w:hAnsi="Calibri"/>
          <w:b/>
          <w:bCs/>
          <w:sz w:val="21"/>
          <w:szCs w:val="21"/>
        </w:rPr>
        <w:t xml:space="preserve">Valor estimado</w:t>
      </w:r>
      <w:r>
        <w:rPr>
          <w:rFonts w:ascii="Calibri" w:cs="Calibri" w:eastAsia="Calibri" w:hAnsi="Calibri"/>
          <w:sz w:val="21"/>
          <w:szCs w:val="21"/>
        </w:rPr>
        <w:t xml:space="preserve"> completo, con prórrogas, opciones y máximo de modificaciones al alza (art. 101.2), y método de cálculo incorporado al PCAP (art. 101.5).</w:t>
      </w:r>
    </w:p>
    <w:p>
      <w:pPr>
        <w:pStyle w:val="ListParagraph"/>
        <w:numPr>
          <w:ilvl w:val="0"/>
          <w:numId w:val="2"/>
        </w:numPr>
        <w:spacing w:after="70" w:line="268"/>
      </w:pPr>
      <w:r>
        <w:rPr>
          <w:rFonts w:ascii="Calibri" w:cs="Calibri" w:eastAsia="Calibri" w:hAnsi="Calibri"/>
          <w:b/>
          <w:bCs/>
          <w:sz w:val="21"/>
          <w:szCs w:val="21"/>
        </w:rPr>
        <w:t xml:space="preserve">Informe de insuficiencia de medios</w:t>
      </w:r>
      <w:r>
        <w:rPr>
          <w:rFonts w:ascii="Calibri" w:cs="Calibri" w:eastAsia="Calibri" w:hAnsi="Calibri"/>
          <w:sz w:val="21"/>
          <w:szCs w:val="21"/>
        </w:rPr>
        <w:t xml:space="preserve"> en contratos de servicios (art. 116.4.f).</w:t>
      </w:r>
    </w:p>
    <w:p>
      <w:pPr>
        <w:pStyle w:val="ListParagraph"/>
        <w:numPr>
          <w:ilvl w:val="0"/>
          <w:numId w:val="2"/>
        </w:numPr>
        <w:spacing w:after="70" w:line="268"/>
      </w:pPr>
      <w:r>
        <w:rPr>
          <w:rFonts w:ascii="Calibri" w:cs="Calibri" w:eastAsia="Calibri" w:hAnsi="Calibri"/>
          <w:b/>
          <w:bCs/>
          <w:sz w:val="21"/>
          <w:szCs w:val="21"/>
        </w:rPr>
        <w:t xml:space="preserve">Decisión sobre lotes</w:t>
      </w:r>
      <w:r>
        <w:rPr>
          <w:rFonts w:ascii="Calibri" w:cs="Calibri" w:eastAsia="Calibri" w:hAnsi="Calibri"/>
          <w:sz w:val="21"/>
          <w:szCs w:val="21"/>
        </w:rPr>
        <w:t xml:space="preserve"> motivada (art. 116.4.g) y ausencia de restricción artificial de la competencia (art. 132.2).</w:t>
      </w:r>
    </w:p>
    <w:p>
      <w:pPr>
        <w:pStyle w:val="ListParagraph"/>
        <w:numPr>
          <w:ilvl w:val="0"/>
          <w:numId w:val="2"/>
        </w:numPr>
        <w:spacing w:after="70" w:line="268"/>
      </w:pPr>
      <w:r>
        <w:rPr>
          <w:rFonts w:ascii="Calibri" w:cs="Calibri" w:eastAsia="Calibri" w:hAnsi="Calibri"/>
          <w:b/>
          <w:bCs/>
          <w:sz w:val="21"/>
          <w:szCs w:val="21"/>
        </w:rPr>
        <w:t xml:space="preserve">Prescripciones técnicas formuladas de forma que no restrinjan injustificadamente la concurrencia</w:t>
      </w:r>
      <w:r>
        <w:rPr>
          <w:rFonts w:ascii="Calibri" w:cs="Calibri" w:eastAsia="Calibri" w:hAnsi="Calibri"/>
          <w:sz w:val="21"/>
          <w:szCs w:val="21"/>
        </w:rPr>
        <w:t xml:space="preserve">, con admisión de equivalentes acompañando a cada referencia y con prueba de la equivalencia exigida en la oferta (arts. 126 y 128 LCSP y cláusula DT-0·v3).</w:t>
      </w:r>
    </w:p>
    <w:p>
      <w:pPr>
        <w:pStyle w:val="ListParagraph"/>
        <w:numPr>
          <w:ilvl w:val="0"/>
          <w:numId w:val="2"/>
        </w:numPr>
        <w:spacing w:after="70" w:line="268"/>
      </w:pPr>
      <w:r>
        <w:rPr>
          <w:rFonts w:ascii="Calibri" w:cs="Calibri" w:eastAsia="Calibri" w:hAnsi="Calibri"/>
          <w:b/>
          <w:bCs/>
          <w:sz w:val="21"/>
          <w:szCs w:val="21"/>
        </w:rPr>
        <w:t xml:space="preserve">Exigencias de seguridad</w:t>
      </w:r>
      <w:r>
        <w:rPr>
          <w:rFonts w:ascii="Calibri" w:cs="Calibri" w:eastAsia="Calibri" w:hAnsi="Calibri"/>
          <w:sz w:val="21"/>
          <w:szCs w:val="21"/>
        </w:rPr>
        <w:t xml:space="preserve">: categoría ENS determinada conforme al anexo I del RD 311/2022, calificación jurídica de cada certificación exigida y motivación de la extensión a la cadena de suministro con base en el análisis de riesgos (arts. 40, 41, 38.1 y 2.3 RD 311/2022).</w:t>
      </w:r>
    </w:p>
    <w:p>
      <w:pPr>
        <w:pStyle w:val="ListParagraph"/>
        <w:numPr>
          <w:ilvl w:val="0"/>
          <w:numId w:val="2"/>
        </w:numPr>
        <w:spacing w:after="70" w:line="268"/>
      </w:pPr>
      <w:r>
        <w:rPr>
          <w:rFonts w:ascii="Calibri" w:cs="Calibri" w:eastAsia="Calibri" w:hAnsi="Calibri"/>
          <w:b/>
          <w:bCs/>
          <w:sz w:val="21"/>
          <w:szCs w:val="21"/>
        </w:rPr>
        <w:t xml:space="preserve">Obligaciones calificadas como esenciales</w:t>
      </w:r>
      <w:r>
        <w:rPr>
          <w:rFonts w:ascii="Calibri" w:cs="Calibri" w:eastAsia="Calibri" w:hAnsi="Calibri"/>
          <w:sz w:val="21"/>
          <w:szCs w:val="21"/>
        </w:rPr>
        <w:t xml:space="preserve">: que estén enumeradas de manera precisa, clara e inequívoca, sin cláusulas de tipo general, y que las declaradas esenciales </w:t>
      </w:r>
      <w:r>
        <w:rPr>
          <w:rFonts w:ascii="Calibri" w:cs="Calibri" w:eastAsia="Calibri" w:hAnsi="Calibri"/>
          <w:i/>
          <w:iCs/>
          <w:sz w:val="21"/>
          <w:szCs w:val="21"/>
        </w:rPr>
        <w:t xml:space="preserve">ex lege</w:t>
      </w:r>
      <w:r>
        <w:rPr>
          <w:rFonts w:ascii="Calibri" w:cs="Calibri" w:eastAsia="Calibri" w:hAnsi="Calibri"/>
          <w:sz w:val="21"/>
          <w:szCs w:val="21"/>
        </w:rPr>
        <w:t xml:space="preserve"> concurran realmente en este contrato (art. 211.1.f).2.º; arts. 202.1, párrafo tercero, y 122.2, cuyos supuestos de hecho son condicionados).</w:t>
      </w:r>
    </w:p>
    <w:p>
      <w:pPr>
        <w:pStyle w:val="ListParagraph"/>
        <w:numPr>
          <w:ilvl w:val="0"/>
          <w:numId w:val="2"/>
        </w:numPr>
        <w:spacing w:after="70" w:line="268"/>
      </w:pPr>
      <w:r>
        <w:rPr>
          <w:rFonts w:ascii="Calibri" w:cs="Calibri" w:eastAsia="Calibri" w:hAnsi="Calibri"/>
          <w:b/>
          <w:bCs/>
          <w:sz w:val="21"/>
          <w:szCs w:val="21"/>
        </w:rPr>
        <w:t xml:space="preserve">Penalidades</w:t>
      </w:r>
      <w:r>
        <w:rPr>
          <w:rFonts w:ascii="Calibri" w:cs="Calibri" w:eastAsia="Calibri" w:hAnsi="Calibri"/>
          <w:sz w:val="21"/>
          <w:szCs w:val="21"/>
        </w:rPr>
        <w:t xml:space="preserve">: tipificadas, proporcionadas y con el procedimiento de imposición previsto (arts. 192 y 193).</w:t>
      </w:r>
    </w:p>
    <w:p>
      <w:pPr>
        <w:pStyle w:val="ListParagraph"/>
        <w:numPr>
          <w:ilvl w:val="0"/>
          <w:numId w:val="2"/>
        </w:numPr>
        <w:spacing w:after="70" w:line="268"/>
      </w:pPr>
      <w:r>
        <w:rPr>
          <w:rFonts w:ascii="Calibri" w:cs="Calibri" w:eastAsia="Calibri" w:hAnsi="Calibri"/>
          <w:b/>
          <w:bCs/>
          <w:sz w:val="21"/>
          <w:szCs w:val="21"/>
        </w:rPr>
        <w:t xml:space="preserve">Conflicto de interés y participación previa</w:t>
      </w:r>
      <w:r>
        <w:rPr>
          <w:rFonts w:ascii="Calibri" w:cs="Calibri" w:eastAsia="Calibri" w:hAnsi="Calibri"/>
          <w:sz w:val="21"/>
          <w:szCs w:val="21"/>
        </w:rPr>
        <w:t xml:space="preserve">: declaraciones incorporadas y, en su caso, medidas del art. 70 con audiencia previa antes de cualquier exclusión (arts. 64 y 70).</w:t>
      </w:r>
    </w:p>
    <w:p>
      <w:pPr>
        <w:spacing w:after="140" w:line="276"/>
      </w:pPr>
      <w:r>
        <w:rPr>
          <w:rFonts w:ascii="Calibri" w:cs="Calibri" w:eastAsia="Calibri" w:hAnsi="Calibri"/>
          <w:b/>
          <w:bCs/>
          <w:sz w:val="21"/>
          <w:szCs w:val="21"/>
        </w:rPr>
        <w:t xml:space="preserve">Parámetro.</w:t>
      </w:r>
      <w:r>
        <w:rPr>
          <w:rFonts w:ascii="Calibri" w:cs="Calibri" w:eastAsia="Calibri" w:hAnsi="Calibri"/>
          <w:sz w:val="21"/>
          <w:szCs w:val="21"/>
        </w:rPr>
        <w:t xml:space="preserve"> Antelación mínima con que se remite el expediente completo para informe jurídico: </w:t>
      </w:r>
      <w:r>
        <w:rPr>
          <w:rFonts w:ascii="Calibri" w:cs="Calibri" w:eastAsia="Calibri" w:hAnsi="Calibri"/>
          <w:b/>
          <w:bCs/>
          <w:sz w:val="21"/>
          <w:szCs w:val="21"/>
        </w:rPr>
        <w:t xml:space="preserve">[X; se recomienda 10 días hábiles]</w:t>
      </w:r>
      <w:r>
        <w:rPr>
          <w:rFonts w:ascii="Calibri" w:cs="Calibri" w:eastAsia="Calibri" w:hAnsi="Calibri"/>
          <w:sz w:val="21"/>
          <w:szCs w:val="21"/>
        </w:rPr>
        <w:t xml:space="preserve">. Remitirlo con dos días obliga a informar sin leer, y un informe jurídico que no ha leído el expediente no protege nada.</w:t>
      </w:r>
    </w:p>
    <w:p>
      <w:pPr>
        <w:pStyle w:val="Heading3"/>
        <w:keepNext/>
        <w:spacing w:after="140" w:before="320"/>
      </w:pPr>
      <w:r>
        <w:rPr>
          <w:rFonts w:ascii="Georgia" w:cs="Georgia" w:eastAsia="Georgia" w:hAnsi="Georgia"/>
          <w:b/>
          <w:bCs/>
          <w:color w:val="2F5496"/>
          <w:sz w:val="22"/>
          <w:szCs w:val="22"/>
        </w:rPr>
        <w:t xml:space="preserve">V.4.16 · Crédito, fiscalización previa y estabilidad presupuestaria</w:t>
      </w:r>
    </w:p>
    <w:p>
      <w:pPr>
        <w:spacing w:after="140" w:line="276"/>
      </w:pPr>
      <w:r>
        <w:rPr>
          <w:rFonts w:ascii="Calibri" w:cs="Calibri" w:eastAsia="Calibri" w:hAnsi="Calibri"/>
          <w:b/>
          <w:bCs/>
          <w:sz w:val="21"/>
          <w:szCs w:val="21"/>
        </w:rPr>
        <w:t xml:space="preserve">Precepto.</w:t>
      </w:r>
      <w:r>
        <w:rPr>
          <w:rFonts w:ascii="Calibri" w:cs="Calibri" w:eastAsia="Calibri" w:hAnsi="Calibri"/>
          <w:sz w:val="21"/>
          <w:szCs w:val="21"/>
        </w:rPr>
        <w:t xml:space="preserve"> Art. 116.3 LCSP (certificado de existencia de crédito o documento equivalente, y fiscalización previa); DA 3.ª.3 LCSP; art. 214 del texto refundido de la Ley reguladora de las Haciendas Locales; Real Decreto 424/2017.</w:t>
      </w:r>
    </w:p>
    <w:p>
      <w:pPr>
        <w:spacing w:after="140" w:line="276"/>
      </w:pPr>
      <w:r>
        <w:rPr>
          <w:rFonts w:ascii="Calibri" w:cs="Calibri" w:eastAsia="Calibri" w:hAnsi="Calibri"/>
          <w:b/>
          <w:bCs/>
          <w:sz w:val="21"/>
          <w:szCs w:val="21"/>
        </w:rPr>
        <w:t xml:space="preserve">Qué añade la DA 3.ª.3 LCSP, literal:</w:t>
      </w:r>
      <w:r>
        <w:rPr>
          <w:rFonts w:ascii="Calibri" w:cs="Calibri" w:eastAsia="Calibri" w:hAnsi="Calibri"/>
          <w:sz w:val="21"/>
          <w:szCs w:val="21"/>
        </w:rPr>
        <w:t xml:space="preserve"> «Los actos de fiscalización se ejercen por el órgano Interventor de la Entidad local. Esta fiscalización recaerá también sobre la valoración que se incorpore al expediente de contratación sobre las repercusiones de cada nuevo contrato, excepto los contratos menores, en el cumplimiento por la Entidad local de los principios de estabilidad presupuestaria y sostenibilidad financiera que exige el artículo 7.3 de la Ley Orgánica 2/2012». Esa valoración es, por tanto, </w:t>
      </w:r>
      <w:r>
        <w:rPr>
          <w:rFonts w:ascii="Calibri" w:cs="Calibri" w:eastAsia="Calibri" w:hAnsi="Calibri"/>
          <w:b/>
          <w:bCs/>
          <w:sz w:val="21"/>
          <w:szCs w:val="21"/>
        </w:rPr>
        <w:t xml:space="preserve">un documento del expediente</w:t>
      </w:r>
      <w:r>
        <w:rPr>
          <w:rFonts w:ascii="Calibri" w:cs="Calibri" w:eastAsia="Calibri" w:hAnsi="Calibri"/>
          <w:sz w:val="21"/>
          <w:szCs w:val="21"/>
        </w:rPr>
        <w:t xml:space="preserve">, y su ausencia es un defecto de expediente, no una opinión.</w:t>
      </w:r>
    </w:p>
    <w:p>
      <w:pPr>
        <w:spacing w:after="140" w:line="276"/>
      </w:pPr>
      <w:r>
        <w:rPr>
          <w:rFonts w:ascii="Calibri" w:cs="Calibri" w:eastAsia="Calibri" w:hAnsi="Calibri"/>
          <w:b/>
          <w:bCs/>
          <w:sz w:val="21"/>
          <w:szCs w:val="21"/>
        </w:rPr>
        <w:t xml:space="preserve">El coste del catálogo tiene que estar cifrado.</w:t>
      </w:r>
      <w:r>
        <w:rPr>
          <w:rFonts w:ascii="Calibri" w:cs="Calibri" w:eastAsia="Calibri" w:hAnsi="Calibri"/>
          <w:sz w:val="21"/>
          <w:szCs w:val="21"/>
        </w:rPr>
        <w:t xml:space="preserve"> Este catálogo genera gasto real: depósito de código si se activa, bolsa de servicios evolutivos, entorno de pruebas y ensayo de reversibilidad, horas de comisión de seguimiento y de verificación. Un expediente que incorpora estas cláusulas y no cifra su coste no se fiscaliza de conformidad. Tabla mínima a incorporar:</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Concepto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¿Se activa en este contrato?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Importe anual estimado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Partida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Depósito de código y su verificación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[importe]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[aplicación presupuestaria]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Bolsa de servicios evolutivos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[importe]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Entorno de pruebas y ensayo de reversibilidad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[importe]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Horas municipales de verificación y seguimiento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[horas/año]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[coste imputado]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bl>
    <w:p>
      <w:pPr>
        <w:spacing w:after="200"/>
      </w:pPr>
    </w:p>
    <w:p>
      <w:pPr>
        <w:spacing w:after="140" w:line="276"/>
      </w:pPr>
      <w:r>
        <w:rPr>
          <w:rFonts w:ascii="Calibri" w:cs="Calibri" w:eastAsia="Calibri" w:hAnsi="Calibri"/>
          <w:b/>
          <w:bCs/>
          <w:sz w:val="21"/>
          <w:szCs w:val="21"/>
        </w:rPr>
        <w:t xml:space="preserve">Régimen de fiscalización.</w:t>
      </w:r>
      <w:r>
        <w:rPr>
          <w:rFonts w:ascii="Calibri" w:cs="Calibri" w:eastAsia="Calibri" w:hAnsi="Calibri"/>
          <w:sz w:val="21"/>
          <w:szCs w:val="21"/>
        </w:rPr>
        <w:t xml:space="preserve"> El Pleno puede acordar, previo informe del órgano interventor y a propuesta del Presidente, el régimen de fiscalización e intervención limitada previa de requisitos básicos (art. 13.1 RD 424/2017). En ese régimen se comprueban la existencia y adecuación del crédito, la competencia del órgano, y «aquellos otros extremos que, por su trascendencia en el proceso de gestión, se determinen por el Pleno a propuesta del Presidente previo informe del órgano interventor» (art. 13.2.c).</w:t>
      </w:r>
    </w:p>
    <w:p>
      <w:pPr>
        <w:spacing w:after="140" w:line="276"/>
      </w:pPr>
      <w:r>
        <w:rPr>
          <w:rFonts w:ascii="Calibri" w:cs="Calibri" w:eastAsia="Calibri" w:hAnsi="Calibri"/>
          <w:b/>
          <w:bCs/>
          <w:sz w:val="21"/>
          <w:szCs w:val="21"/>
        </w:rPr>
        <w:t xml:space="preserve">Recomendación operativa, y es de las más baratas de todo el documento:</w:t>
      </w:r>
      <w:r>
        <w:rPr>
          <w:rFonts w:ascii="Calibri" w:cs="Calibri" w:eastAsia="Calibri" w:hAnsi="Calibri"/>
          <w:sz w:val="21"/>
          <w:szCs w:val="21"/>
        </w:rPr>
        <w:t xml:space="preserve"> que el Pleno incorpore como </w:t>
      </w:r>
      <w:r>
        <w:rPr>
          <w:rFonts w:ascii="Calibri" w:cs="Calibri" w:eastAsia="Calibri" w:hAnsi="Calibri"/>
          <w:b/>
          <w:bCs/>
          <w:sz w:val="21"/>
          <w:szCs w:val="21"/>
        </w:rPr>
        <w:t xml:space="preserve">extremo adicional de fiscalización</w:t>
      </w:r>
      <w:r>
        <w:rPr>
          <w:rFonts w:ascii="Calibri" w:cs="Calibri" w:eastAsia="Calibri" w:hAnsi="Calibri"/>
          <w:sz w:val="21"/>
          <w:szCs w:val="21"/>
        </w:rPr>
        <w:t xml:space="preserve">, al amparo del art. 13.2.c) del RD 424/2017, la comprobación de que consta en el expediente </w:t>
      </w:r>
      <w:r>
        <w:rPr>
          <w:rFonts w:ascii="Calibri" w:cs="Calibri" w:eastAsia="Calibri" w:hAnsi="Calibri"/>
          <w:b/>
          <w:bCs/>
          <w:sz w:val="21"/>
          <w:szCs w:val="21"/>
        </w:rPr>
        <w:t xml:space="preserve">el informe de necesidad y la Ficha de Aplicabilidad firmada</w:t>
      </w:r>
      <w:r>
        <w:rPr>
          <w:rFonts w:ascii="Calibri" w:cs="Calibri" w:eastAsia="Calibri" w:hAnsi="Calibri"/>
          <w:sz w:val="21"/>
          <w:szCs w:val="21"/>
        </w:rPr>
        <w:t xml:space="preserve"> cuando el pliego incorpore cláusulas de este catálogo. Con una línea en el acuerdo del Pleno, la regla de cierre del catálogo deja de depender de la diligencia de cada redactor y pasa a comprobarse en fiscalización. Es, además, exactamente el ámbito que el art. 13.2.c) señala: «En la determinación de estos extremos se atenderá especialmente a aquellos requisitos contemplados en la normativa reguladora para asegurar la objetividad, la transparencia, la no discriminación y la igualdad de trato en las actuaciones públicas».</w:t>
      </w:r>
    </w:p>
    <w:p>
      <w:pPr>
        <w:spacing w:after="140" w:line="276"/>
      </w:pPr>
      <w:r>
        <w:rPr>
          <w:rFonts w:ascii="Calibri" w:cs="Calibri" w:eastAsia="Calibri" w:hAnsi="Calibri"/>
          <w:b/>
          <w:bCs/>
          <w:sz w:val="21"/>
          <w:szCs w:val="21"/>
        </w:rPr>
        <w:t xml:space="preserve">Extremos que el informe de fiscalización debe recorrer en estos expedientes.</w:t>
      </w:r>
    </w:p>
    <w:p>
      <w:pPr>
        <w:pStyle w:val="ListParagraph"/>
        <w:numPr>
          <w:ilvl w:val="0"/>
          <w:numId w:val="2"/>
        </w:numPr>
        <w:spacing w:after="70" w:line="268"/>
      </w:pPr>
      <w:r>
        <w:rPr>
          <w:rFonts w:ascii="Calibri" w:cs="Calibri" w:eastAsia="Calibri" w:hAnsi="Calibri"/>
          <w:sz w:val="21"/>
          <w:szCs w:val="21"/>
        </w:rPr>
        <w:t xml:space="preserve">Existencia y adecuación del crédito; y, si el gasto es plurianual, cumplimiento del art. 174 del TRLRHL (art. 13.2.a RD 424/2017).</w:t>
      </w:r>
    </w:p>
    <w:p>
      <w:pPr>
        <w:pStyle w:val="ListParagraph"/>
        <w:numPr>
          <w:ilvl w:val="0"/>
          <w:numId w:val="2"/>
        </w:numPr>
        <w:spacing w:after="70" w:line="268"/>
      </w:pPr>
      <w:r>
        <w:rPr>
          <w:rFonts w:ascii="Calibri" w:cs="Calibri" w:eastAsia="Calibri" w:hAnsi="Calibri"/>
          <w:sz w:val="21"/>
          <w:szCs w:val="21"/>
        </w:rPr>
        <w:t xml:space="preserve">Competencia del órgano de contratación (art. 13.2.b).</w:t>
      </w:r>
    </w:p>
    <w:p>
      <w:pPr>
        <w:pStyle w:val="ListParagraph"/>
        <w:numPr>
          <w:ilvl w:val="0"/>
          <w:numId w:val="2"/>
        </w:numPr>
        <w:spacing w:after="70" w:line="268"/>
      </w:pPr>
      <w:r>
        <w:rPr>
          <w:rFonts w:ascii="Calibri" w:cs="Calibri" w:eastAsia="Calibri" w:hAnsi="Calibri"/>
          <w:sz w:val="21"/>
          <w:szCs w:val="21"/>
        </w:rPr>
        <w:t xml:space="preserve">Incorporación del certificado de existencia de crédito (art. 116.3 LCSP).</w:t>
      </w:r>
    </w:p>
    <w:p>
      <w:pPr>
        <w:pStyle w:val="ListParagraph"/>
        <w:numPr>
          <w:ilvl w:val="0"/>
          <w:numId w:val="2"/>
        </w:numPr>
        <w:spacing w:after="70" w:line="268"/>
      </w:pPr>
      <w:r>
        <w:rPr>
          <w:rFonts w:ascii="Calibri" w:cs="Calibri" w:eastAsia="Calibri" w:hAnsi="Calibri"/>
          <w:sz w:val="21"/>
          <w:szCs w:val="21"/>
        </w:rPr>
        <w:t xml:space="preserve">Valoración de repercusiones en estabilidad presupuestaria y sostenibilidad financiera (DA 3.ª.3 LCSP).</w:t>
      </w:r>
    </w:p>
    <w:p>
      <w:pPr>
        <w:pStyle w:val="ListParagraph"/>
        <w:numPr>
          <w:ilvl w:val="0"/>
          <w:numId w:val="2"/>
        </w:numPr>
        <w:spacing w:after="70" w:line="268"/>
      </w:pPr>
      <w:r>
        <w:rPr>
          <w:rFonts w:ascii="Calibri" w:cs="Calibri" w:eastAsia="Calibri" w:hAnsi="Calibri"/>
          <w:sz w:val="21"/>
          <w:szCs w:val="21"/>
        </w:rPr>
        <w:t xml:space="preserve">Corrección del valor estimado, incluidas prórrogas, bolsa de evolutivos y máximo de modificaciones (art. 101.2).</w:t>
      </w:r>
    </w:p>
    <w:p>
      <w:pPr>
        <w:pStyle w:val="ListParagraph"/>
        <w:numPr>
          <w:ilvl w:val="0"/>
          <w:numId w:val="2"/>
        </w:numPr>
        <w:spacing w:after="70" w:line="268"/>
      </w:pPr>
      <w:r>
        <w:rPr>
          <w:rFonts w:ascii="Calibri" w:cs="Calibri" w:eastAsia="Calibri" w:hAnsi="Calibri"/>
          <w:sz w:val="21"/>
          <w:szCs w:val="21"/>
        </w:rPr>
        <w:t xml:space="preserve">Certeza del precio: en la bolsa de servicios evolutivos, qué ocurre con las unidades no consumidas, y cómo se determina el precio unitario.</w:t>
      </w:r>
    </w:p>
    <w:p>
      <w:pPr>
        <w:pStyle w:val="ListParagraph"/>
        <w:numPr>
          <w:ilvl w:val="0"/>
          <w:numId w:val="2"/>
        </w:numPr>
        <w:spacing w:after="70" w:line="268"/>
      </w:pPr>
      <w:r>
        <w:rPr>
          <w:rFonts w:ascii="Calibri" w:cs="Calibri" w:eastAsia="Calibri" w:hAnsi="Calibri"/>
          <w:sz w:val="21"/>
          <w:szCs w:val="21"/>
        </w:rPr>
        <w:t xml:space="preserve">Constancia del informe de necesidad y de la ficha firmada.</w:t>
      </w:r>
    </w:p>
    <w:p>
      <w:pPr>
        <w:pStyle w:val="ListParagraph"/>
        <w:numPr>
          <w:ilvl w:val="0"/>
          <w:numId w:val="2"/>
        </w:numPr>
        <w:spacing w:after="70" w:line="268"/>
      </w:pPr>
      <w:r>
        <w:rPr>
          <w:rFonts w:ascii="Calibri" w:cs="Calibri" w:eastAsia="Calibri" w:hAnsi="Calibri"/>
          <w:sz w:val="21"/>
          <w:szCs w:val="21"/>
        </w:rPr>
        <w:t xml:space="preserve">Constancia del informe jurídico preceptivo.</w:t>
      </w:r>
    </w:p>
    <w:p>
      <w:pPr>
        <w:pStyle w:val="ListParagraph"/>
        <w:numPr>
          <w:ilvl w:val="0"/>
          <w:numId w:val="2"/>
        </w:numPr>
        <w:spacing w:after="70" w:line="268"/>
      </w:pPr>
      <w:r>
        <w:rPr>
          <w:rFonts w:ascii="Calibri" w:cs="Calibri" w:eastAsia="Calibri" w:hAnsi="Calibri"/>
          <w:sz w:val="21"/>
          <w:szCs w:val="21"/>
        </w:rPr>
        <w:t xml:space="preserve">Existencia del informe de insuficiencia de medios en contratos de servicios.</w:t>
      </w:r>
    </w:p>
    <w:p>
      <w:pPr>
        <w:pStyle w:val="ListParagraph"/>
        <w:numPr>
          <w:ilvl w:val="0"/>
          <w:numId w:val="2"/>
        </w:numPr>
        <w:spacing w:after="70" w:line="268"/>
      </w:pPr>
      <w:r>
        <w:rPr>
          <w:rFonts w:ascii="Calibri" w:cs="Calibri" w:eastAsia="Calibri" w:hAnsi="Calibri"/>
          <w:sz w:val="21"/>
          <w:szCs w:val="21"/>
        </w:rPr>
        <w:t xml:space="preserve">Cifrado del coste de las cláusulas del catálogo que se activan.</w:t>
      </w:r>
    </w:p>
    <w:p>
      <w:pPr>
        <w:pStyle w:val="ListParagraph"/>
        <w:numPr>
          <w:ilvl w:val="0"/>
          <w:numId w:val="2"/>
        </w:numPr>
        <w:spacing w:after="70" w:line="268"/>
      </w:pPr>
      <w:r>
        <w:rPr>
          <w:rFonts w:ascii="Calibri" w:cs="Calibri" w:eastAsia="Calibri" w:hAnsi="Calibri"/>
          <w:sz w:val="21"/>
          <w:szCs w:val="21"/>
        </w:rPr>
        <w:t xml:space="preserve">Constancia de que las obligaciones declaradas esenciales tienen verificación asignada con actor y periodicidad.</w:t>
      </w:r>
    </w:p>
    <w:p>
      <w:pPr>
        <w:pStyle w:val="ListParagraph"/>
        <w:numPr>
          <w:ilvl w:val="0"/>
          <w:numId w:val="2"/>
        </w:numPr>
        <w:spacing w:after="70" w:line="268"/>
      </w:pPr>
      <w:r>
        <w:rPr>
          <w:rFonts w:ascii="Calibri" w:cs="Calibri" w:eastAsia="Calibri" w:hAnsi="Calibri"/>
          <w:sz w:val="21"/>
          <w:szCs w:val="21"/>
        </w:rPr>
        <w:t xml:space="preserve">Constancia de la conformidad expresa del servicio que ha de verificar, cuando la carga estimada de verificación del contrato supere el umbral de la Parte I, §7.9.2 (documento A-6 del circuito, V.2.1).</w:t>
      </w:r>
    </w:p>
    <w:p>
      <w:pPr>
        <w:pStyle w:val="ListParagraph"/>
        <w:numPr>
          <w:ilvl w:val="0"/>
          <w:numId w:val="2"/>
        </w:numPr>
        <w:spacing w:after="70" w:line="268"/>
      </w:pPr>
      <w:r>
        <w:rPr>
          <w:rFonts w:ascii="Calibri" w:cs="Calibri" w:eastAsia="Calibri" w:hAnsi="Calibri"/>
          <w:sz w:val="21"/>
          <w:szCs w:val="21"/>
        </w:rPr>
        <w:t xml:space="preserve">Previsión de la comprobación material de la inversión cuando el importe sea igual o superior a 50.000 €, con la antelación de veinte días para solicitar la asistencia del órgano interventor (art. 20.3 RD 424/2017).</w:t>
      </w:r>
    </w:p>
    <w:p>
      <w:pPr>
        <w:spacing w:after="140" w:line="276"/>
      </w:pPr>
      <w:r>
        <w:rPr>
          <w:rFonts w:ascii="Calibri" w:cs="Calibri" w:eastAsia="Calibri" w:hAnsi="Calibri"/>
          <w:b/>
          <w:bCs/>
          <w:sz w:val="21"/>
          <w:szCs w:val="21"/>
        </w:rPr>
        <w:t xml:space="preserve">Qué pasa si hay reparo.</w:t>
      </w:r>
      <w:r>
        <w:rPr>
          <w:rFonts w:ascii="Calibri" w:cs="Calibri" w:eastAsia="Calibri" w:hAnsi="Calibri"/>
          <w:sz w:val="21"/>
          <w:szCs w:val="21"/>
        </w:rPr>
        <w:t xml:space="preserve"> El reparo se formula por escrito y motivado, y «deberán comprender todas las objeciones observadas en el expediente» (art. 12.1 RD 424/2017). Si afecta a la aprobación o disposición de gastos, suspende la tramitación en los casos del art. 216.2 TRLRHL (art. 12.2). Existe además una vía intermedia muy útil y poco usada: cuando los defectos no sean esenciales, la Intervención </w:t>
      </w:r>
      <w:r>
        <w:rPr>
          <w:rFonts w:ascii="Calibri" w:cs="Calibri" w:eastAsia="Calibri" w:hAnsi="Calibri"/>
          <w:b/>
          <w:bCs/>
          <w:sz w:val="21"/>
          <w:szCs w:val="21"/>
        </w:rPr>
        <w:t xml:space="preserve">puede emitir informe favorable condicionado a la subsanación previa a la aprobación del expediente</w:t>
      </w:r>
      <w:r>
        <w:rPr>
          <w:rFonts w:ascii="Calibri" w:cs="Calibri" w:eastAsia="Calibri" w:hAnsi="Calibri"/>
          <w:sz w:val="21"/>
          <w:szCs w:val="21"/>
        </w:rPr>
        <w:t xml:space="preserve"> (art. 12.5). Si el reparo no se acepta, se inicia el procedimiento de discrepancia del art. 15. Las resoluciones contrarias a reparos se remiten al Tribunal de Cuentas conforme al art. 218.3 TRLRHL.</w:t>
      </w:r>
    </w:p>
    <w:p>
      <w:pPr>
        <w:pStyle w:val="Heading3"/>
        <w:keepNext/>
        <w:spacing w:after="140" w:before="320"/>
      </w:pPr>
      <w:r>
        <w:rPr>
          <w:rFonts w:ascii="Georgia" w:cs="Georgia" w:eastAsia="Georgia" w:hAnsi="Georgia"/>
          <w:b/>
          <w:bCs/>
          <w:color w:val="2F5496"/>
          <w:sz w:val="22"/>
          <w:szCs w:val="22"/>
        </w:rPr>
        <w:t xml:space="preserve">V.4.17 · Resolución de aprobación del expediente y anuncio</w:t>
      </w:r>
    </w:p>
    <w:p>
      <w:pPr>
        <w:spacing w:after="140" w:line="276"/>
      </w:pPr>
      <w:r>
        <w:rPr>
          <w:rFonts w:ascii="Calibri" w:cs="Calibri" w:eastAsia="Calibri" w:hAnsi="Calibri"/>
          <w:b/>
          <w:bCs/>
          <w:sz w:val="21"/>
          <w:szCs w:val="21"/>
        </w:rPr>
        <w:t xml:space="preserve">Precepto.</w:t>
      </w:r>
      <w:r>
        <w:rPr>
          <w:rFonts w:ascii="Calibri" w:cs="Calibri" w:eastAsia="Calibri" w:hAnsi="Calibri"/>
          <w:sz w:val="21"/>
          <w:szCs w:val="21"/>
        </w:rPr>
        <w:t xml:space="preserve"> Art. 117.1 LCSP: «Completado el expediente de contratación, se dictará resolución motivada por el órgano de contratación aprobando el mismo y disponiendo la apertura del procedimiento de adjudicación. Dicha resolución implicará también la aprobación del gasto […] Esta resolución deberá ser objeto de publicación en el perfil de contratante».</w:t>
      </w:r>
    </w:p>
    <w:p>
      <w:pPr>
        <w:spacing w:after="140" w:line="276"/>
      </w:pPr>
      <w:r>
        <w:rPr>
          <w:rFonts w:ascii="Calibri" w:cs="Calibri" w:eastAsia="Calibri" w:hAnsi="Calibri"/>
          <w:sz w:val="21"/>
          <w:szCs w:val="21"/>
        </w:rPr>
        <w:t xml:space="preserve">Tres cautelas de secuencia:</w:t>
      </w:r>
    </w:p>
    <w:p>
      <w:pPr>
        <w:pStyle w:val="ListParagraph"/>
        <w:numPr>
          <w:ilvl w:val="0"/>
          <w:numId w:val="2"/>
        </w:numPr>
        <w:spacing w:after="70" w:line="268"/>
      </w:pPr>
      <w:r>
        <w:rPr>
          <w:rFonts w:ascii="Calibri" w:cs="Calibri" w:eastAsia="Calibri" w:hAnsi="Calibri"/>
          <w:sz w:val="21"/>
          <w:szCs w:val="21"/>
        </w:rPr>
        <w:t xml:space="preserve">El PCAP debe aprobarse previamente a la autorización del gasto o conjuntamente con ella, y siempre antes de la licitación (art. 122.1).</w:t>
      </w:r>
    </w:p>
    <w:p>
      <w:pPr>
        <w:pStyle w:val="ListParagraph"/>
        <w:numPr>
          <w:ilvl w:val="0"/>
          <w:numId w:val="2"/>
        </w:numPr>
        <w:spacing w:after="70" w:line="268"/>
      </w:pPr>
      <w:r>
        <w:rPr>
          <w:rFonts w:ascii="Calibri" w:cs="Calibri" w:eastAsia="Calibri" w:hAnsi="Calibri"/>
          <w:sz w:val="21"/>
          <w:szCs w:val="21"/>
        </w:rPr>
        <w:t xml:space="preserve">La resolución tiene que ser </w:t>
      </w:r>
      <w:r>
        <w:rPr>
          <w:rFonts w:ascii="Calibri" w:cs="Calibri" w:eastAsia="Calibri" w:hAnsi="Calibri"/>
          <w:b/>
          <w:bCs/>
          <w:sz w:val="21"/>
          <w:szCs w:val="21"/>
        </w:rPr>
        <w:t xml:space="preserve">motivada</w:t>
      </w:r>
      <w:r>
        <w:rPr>
          <w:rFonts w:ascii="Calibri" w:cs="Calibri" w:eastAsia="Calibri" w:hAnsi="Calibri"/>
          <w:sz w:val="21"/>
          <w:szCs w:val="21"/>
        </w:rPr>
        <w:t xml:space="preserve">, no un mero «se aprueba». La motivación puede remitirse a la memoria, que es donde está.</w:t>
      </w:r>
    </w:p>
    <w:p>
      <w:pPr>
        <w:pStyle w:val="ListParagraph"/>
        <w:numPr>
          <w:ilvl w:val="0"/>
          <w:numId w:val="2"/>
        </w:numPr>
        <w:spacing w:after="70" w:line="268"/>
      </w:pPr>
      <w:r>
        <w:rPr>
          <w:rFonts w:ascii="Calibri" w:cs="Calibri" w:eastAsia="Calibri" w:hAnsi="Calibri"/>
          <w:sz w:val="21"/>
          <w:szCs w:val="21"/>
        </w:rPr>
        <w:t xml:space="preserve">El orden de publicación importa: si el anuncio de licitación indica la forma en que los interesados pueden acceder a los pliegos, el plazo de recurso contra los pliegos empieza a contar desde el día siguiente a la publicación del anuncio (art. 50.1.b). Si esa indicación no se hace, el plazo se traslada al momento en que cada interesado accedió, y el expediente pierde una fecha cierta que le conviene tener. </w:t>
      </w:r>
      <w:r>
        <w:rPr>
          <w:rFonts w:ascii="Calibri" w:cs="Calibri" w:eastAsia="Calibri" w:hAnsi="Calibri"/>
          <w:b/>
          <w:bCs/>
          <w:sz w:val="21"/>
          <w:szCs w:val="21"/>
        </w:rPr>
        <w:t xml:space="preserve">Indíquese siempre la forma de acceso en el anuncio.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V.5 · Régimen de recursos</w:t>
      </w:r>
    </w:p>
    <w:p>
      <w:pPr>
        <w:spacing w:after="140" w:line="276"/>
      </w:pPr>
      <w:r>
        <w:rPr>
          <w:rFonts w:ascii="Calibri" w:cs="Calibri" w:eastAsia="Calibri" w:hAnsi="Calibri"/>
          <w:sz w:val="21"/>
          <w:szCs w:val="21"/>
        </w:rPr>
        <w:t xml:space="preserve">Un catálogo publicado en abierto que exige tecnología va a ser recurrido. Este apartado dice quién puede hacerlo, contra qué, cuándo, ante quién y con qué efectos, con los plazos exactos, porque de ellos depende el apartado siguiente.</w:t>
      </w:r>
    </w:p>
    <w:p>
      <w:pPr>
        <w:pStyle w:val="Heading3"/>
        <w:keepNext/>
        <w:spacing w:after="140" w:before="320"/>
      </w:pPr>
      <w:r>
        <w:rPr>
          <w:rFonts w:ascii="Georgia" w:cs="Georgia" w:eastAsia="Georgia" w:hAnsi="Georgia"/>
          <w:b/>
          <w:bCs/>
          <w:color w:val="2F5496"/>
          <w:sz w:val="22"/>
          <w:szCs w:val="22"/>
        </w:rPr>
        <w:t xml:space="preserve">V.5.1 · Quién puede recurrir</w:t>
      </w:r>
    </w:p>
    <w:p>
      <w:pPr>
        <w:spacing w:after="140" w:line="276"/>
      </w:pPr>
      <w:r>
        <w:rPr>
          <w:rFonts w:ascii="Calibri" w:cs="Calibri" w:eastAsia="Calibri" w:hAnsi="Calibri"/>
          <w:sz w:val="21"/>
          <w:szCs w:val="21"/>
        </w:rPr>
        <w:t xml:space="preserve">Art. 48 LCSP: «cualquier persona física o jurídica cuyos derechos o intereses legítimos, individuales o colectivos, se hayan visto perjudicados o puedan resultar afectados, de manera directa o indirecta, por las decisiones objeto del recurso». También están legitimadas las organizaciones sindicales en los términos del propio artículo, y «en todo caso se entenderá legitimada la organización empresarial sectorial representativa de los intereses afectados».</w:t>
      </w:r>
    </w:p>
    <w:p>
      <w:pPr>
        <w:spacing w:after="140" w:line="276"/>
      </w:pPr>
      <w:r>
        <w:rPr>
          <w:rFonts w:ascii="Calibri" w:cs="Calibri" w:eastAsia="Calibri" w:hAnsi="Calibri"/>
          <w:sz w:val="21"/>
          <w:szCs w:val="21"/>
        </w:rPr>
        <w:t xml:space="preserve">Consecuencia práctica que conviene interiorizar: </w:t>
      </w:r>
      <w:r>
        <w:rPr>
          <w:rFonts w:ascii="Calibri" w:cs="Calibri" w:eastAsia="Calibri" w:hAnsi="Calibri"/>
          <w:b/>
          <w:bCs/>
          <w:sz w:val="21"/>
          <w:szCs w:val="21"/>
        </w:rPr>
        <w:t xml:space="preserve">no hace falta haber presentado oferta para recurrir los pliegos</w:t>
      </w:r>
      <w:r>
        <w:rPr>
          <w:rFonts w:ascii="Calibri" w:cs="Calibri" w:eastAsia="Calibri" w:hAnsi="Calibri"/>
          <w:sz w:val="21"/>
          <w:szCs w:val="21"/>
        </w:rPr>
        <w:t xml:space="preserve">. Al contrario: quien alega que los pliegos le impiden presentarla es el recurrente típico contra pliegos, y el art. 50.1.b), párrafo final, dispone que «con carácter general no se admitirá el recurso contra los pliegos y documentos contractuales […] si el recurrente, con carácter previo a su interposición, hubiera presentado oferta o solicitud de participación», salvo nulidad de pleno derecho. Es decir: el recurrente contra pliegos es, casi por definición, quien no licita.</w:t>
      </w:r>
    </w:p>
    <w:p>
      <w:pPr>
        <w:pStyle w:val="Heading3"/>
        <w:keepNext/>
        <w:spacing w:after="140" w:before="320"/>
      </w:pPr>
      <w:r>
        <w:rPr>
          <w:rFonts w:ascii="Georgia" w:cs="Georgia" w:eastAsia="Georgia" w:hAnsi="Georgia"/>
          <w:b/>
          <w:bCs/>
          <w:color w:val="2F5496"/>
          <w:sz w:val="22"/>
          <w:szCs w:val="22"/>
        </w:rPr>
        <w:t xml:space="preserve">V.5.2 · Contra qué, y desde qué umbral</w:t>
      </w:r>
    </w:p>
    <w:p>
      <w:pPr>
        <w:spacing w:after="140" w:line="276"/>
      </w:pPr>
      <w:r>
        <w:rPr>
          <w:rFonts w:ascii="Calibri" w:cs="Calibri" w:eastAsia="Calibri" w:hAnsi="Calibri"/>
          <w:b/>
          <w:bCs/>
          <w:sz w:val="21"/>
          <w:szCs w:val="21"/>
        </w:rPr>
        <w:t xml:space="preserve">Umbral.</w:t>
      </w:r>
      <w:r>
        <w:rPr>
          <w:rFonts w:ascii="Calibri" w:cs="Calibri" w:eastAsia="Calibri" w:hAnsi="Calibri"/>
          <w:sz w:val="21"/>
          <w:szCs w:val="21"/>
        </w:rPr>
        <w:t xml:space="preserve"> Contratos de </w:t>
      </w:r>
      <w:r>
        <w:rPr>
          <w:rFonts w:ascii="Calibri" w:cs="Calibri" w:eastAsia="Calibri" w:hAnsi="Calibri"/>
          <w:b/>
          <w:bCs/>
          <w:sz w:val="21"/>
          <w:szCs w:val="21"/>
        </w:rPr>
        <w:t xml:space="preserve">servicios y suministros con valor estimado superior a 100.000 €</w:t>
      </w:r>
      <w:r>
        <w:rPr>
          <w:rFonts w:ascii="Calibri" w:cs="Calibri" w:eastAsia="Calibri" w:hAnsi="Calibri"/>
          <w:sz w:val="21"/>
          <w:szCs w:val="21"/>
        </w:rPr>
        <w:t xml:space="preserve"> y contratos de obras con valor estimado superior a 3.000.000 € (art. 44.1.a); concesiones de obras o de servicios con valor estimado superior a 3.000.000 € (art. 44.1.c). También los acuerdos marco y sistemas dinámicos de adquisición que tengan por objeto contratos de esos tipos, así como los contratos basados en cualquiera de ellos (art. 44.1.b).</w:t>
      </w:r>
    </w:p>
    <w:p>
      <w:pPr>
        <w:spacing w:after="140" w:line="276"/>
      </w:pPr>
      <w:r>
        <w:rPr>
          <w:rFonts w:ascii="Calibri" w:cs="Calibri" w:eastAsia="Calibri" w:hAnsi="Calibri"/>
          <w:b/>
          <w:bCs/>
          <w:sz w:val="21"/>
          <w:szCs w:val="21"/>
        </w:rPr>
        <w:t xml:space="preserve">Actos recurribles</w:t>
      </w:r>
      <w:r>
        <w:rPr>
          <w:rFonts w:ascii="Calibri" w:cs="Calibri" w:eastAsia="Calibri" w:hAnsi="Calibri"/>
          <w:sz w:val="21"/>
          <w:szCs w:val="21"/>
        </w:rPr>
        <w:t xml:space="preserve"> (art. 44.2): entre otros, «los anuncios de licitación, </w:t>
      </w:r>
      <w:r>
        <w:rPr>
          <w:rFonts w:ascii="Calibri" w:cs="Calibri" w:eastAsia="Calibri" w:hAnsi="Calibri"/>
          <w:b/>
          <w:bCs/>
          <w:sz w:val="21"/>
          <w:szCs w:val="21"/>
        </w:rPr>
        <w:t xml:space="preserve">los pliegos y los documentos contractuales que establezcan las condiciones que deban regir la contratación</w:t>
      </w:r>
      <w:r>
        <w:rPr>
          <w:rFonts w:ascii="Calibri" w:cs="Calibri" w:eastAsia="Calibri" w:hAnsi="Calibri"/>
          <w:sz w:val="21"/>
          <w:szCs w:val="21"/>
        </w:rPr>
        <w:t xml:space="preserve">» (letra a); los actos de trámite cualificados (letra b); los acuerdos de adjudicación (letra c); las modificaciones basadas en el incumplimiento de los arts. 204 y 205 (letra d).</w:t>
      </w:r>
    </w:p>
    <w:p>
      <w:pPr>
        <w:spacing w:after="140" w:line="276"/>
      </w:pPr>
      <w:r>
        <w:rPr>
          <w:rFonts w:ascii="Calibri" w:cs="Calibri" w:eastAsia="Calibri" w:hAnsi="Calibri"/>
          <w:b/>
          <w:bCs/>
          <w:sz w:val="21"/>
          <w:szCs w:val="21"/>
        </w:rPr>
        <w:t xml:space="preserve">Dos precisiones útiles.</w:t>
      </w:r>
      <w:r>
        <w:rPr>
          <w:rFonts w:ascii="Calibri" w:cs="Calibri" w:eastAsia="Calibri" w:hAnsi="Calibri"/>
          <w:sz w:val="21"/>
          <w:szCs w:val="21"/>
        </w:rPr>
        <w:t xml:space="preserve"> El recurso especial es potestativo y </w:t>
      </w:r>
      <w:r>
        <w:rPr>
          <w:rFonts w:ascii="Calibri" w:cs="Calibri" w:eastAsia="Calibri" w:hAnsi="Calibri"/>
          <w:b/>
          <w:bCs/>
          <w:sz w:val="21"/>
          <w:szCs w:val="21"/>
        </w:rPr>
        <w:t xml:space="preserve">gratuito</w:t>
      </w:r>
      <w:r>
        <w:rPr>
          <w:rFonts w:ascii="Calibri" w:cs="Calibri" w:eastAsia="Calibri" w:hAnsi="Calibri"/>
          <w:sz w:val="21"/>
          <w:szCs w:val="21"/>
        </w:rPr>
        <w:t xml:space="preserve"> para los recurrentes (art. 44.7). Y contra las actuaciones susceptibles de recurso especial </w:t>
      </w:r>
      <w:r>
        <w:rPr>
          <w:rFonts w:ascii="Calibri" w:cs="Calibri" w:eastAsia="Calibri" w:hAnsi="Calibri"/>
          <w:b/>
          <w:bCs/>
          <w:sz w:val="21"/>
          <w:szCs w:val="21"/>
        </w:rPr>
        <w:t xml:space="preserve">no procede la interposición de recursos administrativos ordinarios</w:t>
      </w:r>
      <w:r>
        <w:rPr>
          <w:rFonts w:ascii="Calibri" w:cs="Calibri" w:eastAsia="Calibri" w:hAnsi="Calibri"/>
          <w:sz w:val="21"/>
          <w:szCs w:val="21"/>
        </w:rPr>
        <w:t xml:space="preserve"> (art. 44.5).</w:t>
      </w:r>
    </w:p>
    <w:p>
      <w:pPr>
        <w:spacing w:after="140" w:line="276"/>
      </w:pPr>
      <w:r>
        <w:rPr>
          <w:rFonts w:ascii="Calibri" w:cs="Calibri" w:eastAsia="Calibri" w:hAnsi="Calibri"/>
          <w:b/>
          <w:bCs/>
          <w:sz w:val="21"/>
          <w:szCs w:val="21"/>
        </w:rPr>
        <w:t xml:space="preserve">Por debajo del umbral</w:t>
      </w:r>
      <w:r>
        <w:rPr>
          <w:rFonts w:ascii="Calibri" w:cs="Calibri" w:eastAsia="Calibri" w:hAnsi="Calibri"/>
          <w:sz w:val="21"/>
          <w:szCs w:val="21"/>
        </w:rPr>
        <w:t xml:space="preserve"> (art. 44.6): los actos podrán ser objeto de recurso conforme a la Ley 39/2015 y a la Ley 29/1998. Es decir, no desaparece la impugnación: cambia de vía, de plazo y de tribunal, y desaparece el efecto suspensivo del art. 53.</w:t>
      </w:r>
    </w:p>
    <w:p>
      <w:pPr>
        <w:pStyle w:val="Heading3"/>
        <w:keepNext/>
        <w:spacing w:after="140" w:before="320"/>
      </w:pPr>
      <w:r>
        <w:rPr>
          <w:rFonts w:ascii="Georgia" w:cs="Georgia" w:eastAsia="Georgia" w:hAnsi="Georgia"/>
          <w:b/>
          <w:bCs/>
          <w:color w:val="2F5496"/>
          <w:sz w:val="22"/>
          <w:szCs w:val="22"/>
        </w:rPr>
        <w:t xml:space="preserve">V.5.3 · Plazo</w:t>
      </w:r>
    </w:p>
    <w:p>
      <w:pPr>
        <w:spacing w:after="140" w:line="276"/>
      </w:pPr>
      <w:r>
        <w:rPr>
          <w:rFonts w:ascii="Calibri" w:cs="Calibri" w:eastAsia="Calibri" w:hAnsi="Calibri"/>
          <w:b/>
          <w:bCs/>
          <w:sz w:val="21"/>
          <w:szCs w:val="21"/>
        </w:rPr>
        <w:t xml:space="preserve">Quince días hábiles</w:t>
      </w:r>
      <w:r>
        <w:rPr>
          <w:rFonts w:ascii="Calibri" w:cs="Calibri" w:eastAsia="Calibri" w:hAnsi="Calibri"/>
          <w:sz w:val="21"/>
          <w:szCs w:val="21"/>
        </w:rPr>
        <w:t xml:space="preserve"> (art. 50.1). El cómputo, en lo que aquí interesa:</w:t>
      </w:r>
    </w:p>
    <w:p>
      <w:pPr>
        <w:pStyle w:val="ListParagraph"/>
        <w:numPr>
          <w:ilvl w:val="0"/>
          <w:numId w:val="1"/>
        </w:numPr>
        <w:spacing w:after="70" w:line="268"/>
      </w:pPr>
      <w:r>
        <w:rPr>
          <w:rFonts w:ascii="Calibri" w:cs="Calibri" w:eastAsia="Calibri" w:hAnsi="Calibri"/>
          <w:sz w:val="21"/>
          <w:szCs w:val="21"/>
        </w:rPr>
        <w:t xml:space="preserve">Contra el </w:t>
      </w:r>
      <w:r>
        <w:rPr>
          <w:rFonts w:ascii="Calibri" w:cs="Calibri" w:eastAsia="Calibri" w:hAnsi="Calibri"/>
          <w:b/>
          <w:bCs/>
          <w:sz w:val="21"/>
          <w:szCs w:val="21"/>
        </w:rPr>
        <w:t xml:space="preserve">anuncio de licitación</w:t>
      </w:r>
      <w:r>
        <w:rPr>
          <w:rFonts w:ascii="Calibri" w:cs="Calibri" w:eastAsia="Calibri" w:hAnsi="Calibri"/>
          <w:sz w:val="21"/>
          <w:szCs w:val="21"/>
        </w:rPr>
        <w:t xml:space="preserve">: desde el día siguiente al de su publicación en el perfil de contratante (art. 50.1.a).</w:t>
      </w:r>
    </w:p>
    <w:p>
      <w:pPr>
        <w:pStyle w:val="ListParagraph"/>
        <w:numPr>
          <w:ilvl w:val="0"/>
          <w:numId w:val="1"/>
        </w:numPr>
        <w:spacing w:after="70" w:line="268"/>
      </w:pPr>
      <w:r>
        <w:rPr>
          <w:rFonts w:ascii="Calibri" w:cs="Calibri" w:eastAsia="Calibri" w:hAnsi="Calibri"/>
          <w:sz w:val="21"/>
          <w:szCs w:val="21"/>
        </w:rPr>
        <w:t xml:space="preserve">Contra el </w:t>
      </w:r>
      <w:r>
        <w:rPr>
          <w:rFonts w:ascii="Calibri" w:cs="Calibri" w:eastAsia="Calibri" w:hAnsi="Calibri"/>
          <w:b/>
          <w:bCs/>
          <w:sz w:val="21"/>
          <w:szCs w:val="21"/>
        </w:rPr>
        <w:t xml:space="preserve">contenido de los pliegos y demás documentos contractuales</w:t>
      </w:r>
      <w:r>
        <w:rPr>
          <w:rFonts w:ascii="Calibri" w:cs="Calibri" w:eastAsia="Calibri" w:hAnsi="Calibri"/>
          <w:sz w:val="21"/>
          <w:szCs w:val="21"/>
        </w:rPr>
        <w:t xml:space="preserve">: desde el día siguiente a aquel en que se haya publicado en el perfil de contratante el anuncio de licitación, </w:t>
      </w:r>
      <w:r>
        <w:rPr>
          <w:rFonts w:ascii="Calibri" w:cs="Calibri" w:eastAsia="Calibri" w:hAnsi="Calibri"/>
          <w:b/>
          <w:bCs/>
          <w:sz w:val="21"/>
          <w:szCs w:val="21"/>
        </w:rPr>
        <w:t xml:space="preserve">siempre que en este se haya indicado la forma en que los interesados pueden acceder a ellos</w:t>
      </w:r>
      <w:r>
        <w:rPr>
          <w:rFonts w:ascii="Calibri" w:cs="Calibri" w:eastAsia="Calibri" w:hAnsi="Calibri"/>
          <w:sz w:val="21"/>
          <w:szCs w:val="21"/>
        </w:rPr>
        <w:t xml:space="preserve">; si no se hizo esa indicación, desde el día siguiente a aquel en que se le hayan entregado al interesado o este haya podido acceder a su contenido (art. 50.1.b).</w:t>
      </w:r>
    </w:p>
    <w:p>
      <w:pPr>
        <w:spacing w:after="140" w:line="276"/>
      </w:pPr>
      <w:r>
        <w:rPr>
          <w:rFonts w:ascii="Calibri" w:cs="Calibri" w:eastAsia="Calibri" w:hAnsi="Calibri"/>
          <w:sz w:val="21"/>
          <w:szCs w:val="21"/>
        </w:rPr>
        <w:t xml:space="preserve">Por eso importa el dispositivo de fecha fehaciente del art. 63.7 LCSP: es la prueba de cuándo empezó a correr el plazo.</w:t>
      </w:r>
    </w:p>
    <w:p>
      <w:pPr>
        <w:spacing w:after="140" w:line="276"/>
      </w:pPr>
      <w:r>
        <w:rPr>
          <w:rFonts w:ascii="Calibri" w:cs="Calibri" w:eastAsia="Calibri" w:hAnsi="Calibri"/>
          <w:b/>
          <w:bCs/>
          <w:sz w:val="21"/>
          <w:szCs w:val="21"/>
        </w:rPr>
        <w:t xml:space="preserve">Plazos especiales por nulidad</w:t>
      </w:r>
      <w:r>
        <w:rPr>
          <w:rFonts w:ascii="Calibri" w:cs="Calibri" w:eastAsia="Calibri" w:hAnsi="Calibri"/>
          <w:sz w:val="21"/>
          <w:szCs w:val="21"/>
        </w:rPr>
        <w:t xml:space="preserve"> (art. 50.2): cuando el recurso se funde en las causas de nulidad del art. 39.2, letras c), d), e) o f), el plazo es de treinta días desde la publicación de la formalización o desde la notificación correspondiente; y, en los restantes casos, </w:t>
      </w:r>
      <w:r>
        <w:rPr>
          <w:rFonts w:ascii="Calibri" w:cs="Calibri" w:eastAsia="Calibri" w:hAnsi="Calibri"/>
          <w:b/>
          <w:bCs/>
          <w:sz w:val="21"/>
          <w:szCs w:val="21"/>
        </w:rPr>
        <w:t xml:space="preserve">antes de que transcurran seis meses desde la formalización</w:t>
      </w:r>
      <w:r>
        <w:rPr>
          <w:rFonts w:ascii="Calibri" w:cs="Calibri" w:eastAsia="Calibri" w:hAnsi="Calibri"/>
          <w:sz w:val="21"/>
          <w:szCs w:val="21"/>
        </w:rPr>
        <w:t xml:space="preserve">. Esta es la vía por la que un pliego puede seguir siendo atacable después de firme por el cauce ordinario, y la razón por la que el expediente debe conservarse ordenado más allá de la adjudicación.</w:t>
      </w:r>
    </w:p>
    <w:p>
      <w:pPr>
        <w:spacing w:after="140" w:line="276"/>
      </w:pPr>
      <w:r>
        <w:rPr>
          <w:rFonts w:ascii="Calibri" w:cs="Calibri" w:eastAsia="Calibri" w:hAnsi="Calibri"/>
          <w:b/>
          <w:bCs/>
          <w:sz w:val="21"/>
          <w:szCs w:val="21"/>
        </w:rPr>
        <w:t xml:space="preserve">Acceso al expediente antes de recurrir</w:t>
      </w:r>
      <w:r>
        <w:rPr>
          <w:rFonts w:ascii="Calibri" w:cs="Calibri" w:eastAsia="Calibri" w:hAnsi="Calibri"/>
          <w:sz w:val="21"/>
          <w:szCs w:val="21"/>
        </w:rPr>
        <w:t xml:space="preserve"> (art. 52): el interesado puede solicitarlo dentro del plazo de interposición, y el órgano de contratación </w:t>
      </w:r>
      <w:r>
        <w:rPr>
          <w:rFonts w:ascii="Calibri" w:cs="Calibri" w:eastAsia="Calibri" w:hAnsi="Calibri"/>
          <w:b/>
          <w:bCs/>
          <w:sz w:val="21"/>
          <w:szCs w:val="21"/>
        </w:rPr>
        <w:t xml:space="preserve">debe facilitarlo en los cinco días hábiles siguientes</w:t>
      </w:r>
      <w:r>
        <w:rPr>
          <w:rFonts w:ascii="Calibri" w:cs="Calibri" w:eastAsia="Calibri" w:hAnsi="Calibri"/>
          <w:sz w:val="21"/>
          <w:szCs w:val="21"/>
        </w:rPr>
        <w:t xml:space="preserve"> a la solicitud. La solicitud no paraliza el plazo de recurso. Es decir: puede recibirse una petición de acceso al expediente en cualquier momento de esos quince días, y hay cinco días hábiles para atenderla. Si no se atiende, el recurrente puede alegarlo en su recurso, con la consecuencia de que el órgano competente para resolver conceda el acceso antes del trámite de alegaciones y el procedimiento se alargue (art. 52.3; algunos incisos de ese apartado fueron declarados no conformes con el orden constitucional de competencias, en su fundamento jurídico 6 E) c), por la Sentencia del Tribunal Constitucional 68/2021, de 18 de marzo).</w:t>
      </w:r>
    </w:p>
    <w:p>
      <w:pPr>
        <w:pStyle w:val="Heading3"/>
        <w:keepNext/>
        <w:spacing w:after="140" w:before="320"/>
      </w:pPr>
      <w:r>
        <w:rPr>
          <w:rFonts w:ascii="Georgia" w:cs="Georgia" w:eastAsia="Georgia" w:hAnsi="Georgia"/>
          <w:b/>
          <w:bCs/>
          <w:color w:val="2F5496"/>
          <w:sz w:val="22"/>
          <w:szCs w:val="22"/>
        </w:rPr>
        <w:t xml:space="preserve">V.5.4 · Ante qué órgano</w:t>
      </w:r>
    </w:p>
    <w:p>
      <w:pPr>
        <w:spacing w:after="140" w:line="276"/>
      </w:pPr>
      <w:r>
        <w:rPr>
          <w:rFonts w:ascii="Calibri" w:cs="Calibri" w:eastAsia="Calibri" w:hAnsi="Calibri"/>
          <w:b/>
          <w:bCs/>
          <w:sz w:val="21"/>
          <w:szCs w:val="21"/>
        </w:rPr>
        <w:t xml:space="preserve">Regla general reutilizable</w:t>
      </w:r>
      <w:r>
        <w:rPr>
          <w:rFonts w:ascii="Calibri" w:cs="Calibri" w:eastAsia="Calibri" w:hAnsi="Calibri"/>
          <w:sz w:val="21"/>
          <w:szCs w:val="21"/>
        </w:rPr>
        <w:t xml:space="preserve"> (art. 46.4, párrafo primero, LCSP): «En lo relativo a la contratación en el ámbito de las Corporaciones Locales, la competencia para resolver los recursos será establecida por las normas de las Comunidades Autónomas cuando estas tengan atribuida competencia normativa y de ejecución en materia de régimen local y contratación».</w:t>
      </w:r>
    </w:p>
    <w:p>
      <w:pPr>
        <w:spacing w:after="140" w:line="276"/>
      </w:pPr>
      <w:r>
        <w:rPr>
          <w:rFonts w:ascii="Calibri" w:cs="Calibri" w:eastAsia="Calibri" w:hAnsi="Calibri"/>
          <w:b/>
          <w:bCs/>
          <w:sz w:val="21"/>
          <w:szCs w:val="21"/>
        </w:rPr>
        <w:t xml:space="preserve">Cautela obligatoria al reutilizar este documento.</w:t>
      </w:r>
      <w:r>
        <w:rPr>
          <w:rFonts w:ascii="Calibri" w:cs="Calibri" w:eastAsia="Calibri" w:hAnsi="Calibri"/>
          <w:sz w:val="21"/>
          <w:szCs w:val="21"/>
        </w:rPr>
        <w:t xml:space="preserve"> El párrafo segundo de ese mismo art. 46.4 —que resolvía el supuesto de ausencia de previsión autonómica— </w:t>
      </w:r>
      <w:r>
        <w:rPr>
          <w:rFonts w:ascii="Calibri" w:cs="Calibri" w:eastAsia="Calibri" w:hAnsi="Calibri"/>
          <w:b/>
          <w:bCs/>
          <w:sz w:val="21"/>
          <w:szCs w:val="21"/>
        </w:rPr>
        <w:t xml:space="preserve">fue declarado inconstitucional y nulo</w:t>
      </w:r>
      <w:r>
        <w:rPr>
          <w:rFonts w:ascii="Calibri" w:cs="Calibri" w:eastAsia="Calibri" w:hAnsi="Calibri"/>
          <w:sz w:val="21"/>
          <w:szCs w:val="21"/>
        </w:rPr>
        <w:t xml:space="preserve"> por la Sentencia del Tribunal Constitucional 68/2021, de 18 de marzo, dictada en el recurso de inconstitucionalidad n.º 4261-2018 (BOE-A-2021-6614). Así consta, además, en la nota al artículo 46 del texto consolidado de la Ley 9/2017 publicado por el Boletín Oficial del Estado. No existe, por tanto, una regla estatal supletoria: hay que estar a lo que disponga la legislación de la Comunidad Autónoma correspondiente. Quien copie este documento debe identificar su propio órgano competente y no dar por buena la remisión.</w:t>
      </w:r>
    </w:p>
    <w:p>
      <w:pPr>
        <w:spacing w:after="140" w:line="276"/>
      </w:pPr>
      <w:r>
        <w:rPr>
          <w:rFonts w:ascii="Calibri" w:cs="Calibri" w:eastAsia="Calibri" w:hAnsi="Calibri"/>
          <w:b/>
          <w:bCs/>
          <w:sz w:val="21"/>
          <w:szCs w:val="21"/>
        </w:rPr>
        <w:t xml:space="preserve">Facultad propia de los municipios de gran población</w:t>
      </w:r>
      <w:r>
        <w:rPr>
          <w:rFonts w:ascii="Calibri" w:cs="Calibri" w:eastAsia="Calibri" w:hAnsi="Calibri"/>
          <w:sz w:val="21"/>
          <w:szCs w:val="21"/>
        </w:rPr>
        <w:t xml:space="preserve"> (art. 46.4, párrafo tercero): los ayuntamientos de los municipios de gran población a los que se refiere el art. 121 LBRL y las diputaciones provinciales </w:t>
      </w:r>
      <w:r>
        <w:rPr>
          <w:rFonts w:ascii="Calibri" w:cs="Calibri" w:eastAsia="Calibri" w:hAnsi="Calibri"/>
          <w:b/>
          <w:bCs/>
          <w:sz w:val="21"/>
          <w:szCs w:val="21"/>
        </w:rPr>
        <w:t xml:space="preserve">podrán crear un órgano especializado y funcionalmente independiente</w:t>
      </w:r>
      <w:r>
        <w:rPr>
          <w:rFonts w:ascii="Calibri" w:cs="Calibri" w:eastAsia="Calibri" w:hAnsi="Calibri"/>
          <w:sz w:val="21"/>
          <w:szCs w:val="21"/>
        </w:rPr>
        <w:t xml:space="preserve"> que ostentará la competencia para resolver los recursos; su creación corresponde al Pleno de la Corporación. Si el municipio lo ha creado, resuelve él; si no lo ha creado, rige la atribución autonómica.</w:t>
      </w:r>
    </w:p>
    <w:p>
      <w:pPr>
        <w:spacing w:after="140" w:line="276"/>
      </w:pPr>
      <w:r>
        <w:rPr>
          <w:rFonts w:ascii="Calibri" w:cs="Calibri" w:eastAsia="Calibri" w:hAnsi="Calibri"/>
          <w:b/>
          <w:bCs/>
          <w:sz w:val="21"/>
          <w:szCs w:val="21"/>
        </w:rPr>
        <w:t xml:space="preserve">En el caso de una entidad local de la Comunidad de Madrid</w:t>
      </w:r>
      <w:r>
        <w:rPr>
          <w:rFonts w:ascii="Calibri" w:cs="Calibri" w:eastAsia="Calibri" w:hAnsi="Calibri"/>
          <w:sz w:val="21"/>
          <w:szCs w:val="21"/>
        </w:rPr>
        <w:t xml:space="preserve">, y salvo que hubiera creado el órgano especializado del párrafo tercero, resolvería el </w:t>
      </w:r>
      <w:r>
        <w:rPr>
          <w:rFonts w:ascii="Calibri" w:cs="Calibri" w:eastAsia="Calibri" w:hAnsi="Calibri"/>
          <w:b/>
          <w:bCs/>
          <w:sz w:val="21"/>
          <w:szCs w:val="21"/>
        </w:rPr>
        <w:t xml:space="preserve">Tribunal Administrativo de Contratación Pública de la Comunidad de Madrid</w:t>
      </w:r>
      <w:r>
        <w:rPr>
          <w:rFonts w:ascii="Calibri" w:cs="Calibri" w:eastAsia="Calibri" w:hAnsi="Calibri"/>
          <w:sz w:val="21"/>
          <w:szCs w:val="21"/>
        </w:rPr>
        <w:t xml:space="preserve">, que es el órgano que la Comunidad de Madrid tiene atribuida la competencia para las entidades locales de su ámbito. Esto no es una hipótesis: el propio Tribunal se declara competente para resolver recursos contra pliegos de ayuntamientos madrileños con base en el art. 46.4 LCSP y en el art. 3 de la Ley 9/2010, de 23 de diciembre, de la Comunidad de Madrid (véase V.5.6).</w:t>
      </w:r>
    </w:p>
    <w:p>
      <w:pPr>
        <w:spacing w:after="140" w:line="276"/>
      </w:pPr>
      <w:r>
        <w:rPr>
          <w:rFonts w:ascii="Calibri" w:cs="Calibri" w:eastAsia="Calibri" w:hAnsi="Calibri"/>
          <w:b/>
          <w:bCs/>
          <w:sz w:val="21"/>
          <w:szCs w:val="21"/>
        </w:rPr>
        <w:t xml:space="preserve">Contra la resolución del recurso especial</w:t>
      </w:r>
      <w:r>
        <w:rPr>
          <w:rFonts w:ascii="Calibri" w:cs="Calibri" w:eastAsia="Calibri" w:hAnsi="Calibri"/>
          <w:sz w:val="21"/>
          <w:szCs w:val="21"/>
        </w:rPr>
        <w:t xml:space="preserve"> sólo cabe recurso contencioso-administrativo (art. 59.1 LCSP, con remisión al art. 10.1.k) y l) y al art. 11.1.f) de la Ley 29/1998). La resolución es </w:t>
      </w:r>
      <w:r>
        <w:rPr>
          <w:rFonts w:ascii="Calibri" w:cs="Calibri" w:eastAsia="Calibri" w:hAnsi="Calibri"/>
          <w:b/>
          <w:bCs/>
          <w:sz w:val="21"/>
          <w:szCs w:val="21"/>
        </w:rPr>
        <w:t xml:space="preserve">directamente ejecutiva</w:t>
      </w:r>
      <w:r>
        <w:rPr>
          <w:rFonts w:ascii="Calibri" w:cs="Calibri" w:eastAsia="Calibri" w:hAnsi="Calibri"/>
          <w:sz w:val="21"/>
          <w:szCs w:val="21"/>
        </w:rPr>
        <w:t xml:space="preserve"> (art. 59.2) y </w:t>
      </w:r>
      <w:r>
        <w:rPr>
          <w:rFonts w:ascii="Calibri" w:cs="Calibri" w:eastAsia="Calibri" w:hAnsi="Calibri"/>
          <w:b/>
          <w:bCs/>
          <w:sz w:val="21"/>
          <w:szCs w:val="21"/>
        </w:rPr>
        <w:t xml:space="preserve">no procede su revisión de oficio</w:t>
      </w:r>
      <w:r>
        <w:rPr>
          <w:rFonts w:ascii="Calibri" w:cs="Calibri" w:eastAsia="Calibri" w:hAnsi="Calibri"/>
          <w:sz w:val="21"/>
          <w:szCs w:val="21"/>
        </w:rPr>
        <w:t xml:space="preserve"> ni está sujeta a fiscalización por los órganos de control interno (art. 59.3).</w:t>
      </w:r>
    </w:p>
    <w:p>
      <w:pPr>
        <w:pStyle w:val="Heading3"/>
        <w:keepNext/>
        <w:spacing w:after="140" w:before="320"/>
      </w:pPr>
      <w:r>
        <w:rPr>
          <w:rFonts w:ascii="Georgia" w:cs="Georgia" w:eastAsia="Georgia" w:hAnsi="Georgia"/>
          <w:b/>
          <w:bCs/>
          <w:color w:val="2F5496"/>
          <w:sz w:val="22"/>
          <w:szCs w:val="22"/>
        </w:rPr>
        <w:t xml:space="preserve">V.5.5 · Qué ocurre cuando se interpone: los plazos que gobiernan la defensa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Momento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pasa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Precepto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Día 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interpone el recurso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50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Día 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órgano competente lo notifica </w:t>
            </w:r>
            <w:r>
              <w:rPr>
                <w:rFonts w:ascii="Calibri" w:cs="Calibri" w:eastAsia="Calibri" w:hAnsi="Calibri"/>
                <w:b/>
                <w:bCs/>
                <w:sz w:val="18"/>
                <w:szCs w:val="18"/>
              </w:rPr>
              <w:t xml:space="preserve">el mismo día</w:t>
            </w:r>
            <w:r>
              <w:rPr>
                <w:rFonts w:ascii="Calibri" w:cs="Calibri" w:eastAsia="Calibri" w:hAnsi="Calibri"/>
                <w:b w:val="false"/>
                <w:bCs w:val="false"/>
                <w:sz w:val="18"/>
                <w:szCs w:val="18"/>
              </w:rPr>
              <w:t xml:space="preserve"> al órgano de contratación y le reclama el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56.2</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Día +2 hábiles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El órgano de contratación debe remitir el expediente acompañado del correspondiente informe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Art. 56.2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Hasta día +5 hábiles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Traslado del recurso a los restantes interesados, con cinco días hábiles para alegaciones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56.3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Hasta día +5 hábiles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Decisión sobre medidas cautelares y, en su caso, sobre el mantenimiento de la suspensión automática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49, 53 y 56.3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Eventual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Período de prueba de hasta diez días hábiles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56.4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Tras alegaciones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Resolución en cinco días hábiles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57.1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Día +2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resolución notificada, el interesado puede considerarlo desestimado a efectos de recurso contencioso-administrativo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57.5</w:t>
            </w:r>
          </w:p>
        </w:tc>
      </w:tr>
    </w:tbl>
    <w:p>
      <w:pPr>
        <w:spacing w:after="200"/>
      </w:pPr>
    </w:p>
    <w:p>
      <w:pPr>
        <w:spacing w:after="140" w:line="276"/>
      </w:pPr>
      <w:r>
        <w:rPr>
          <w:rFonts w:ascii="Calibri" w:cs="Calibri" w:eastAsia="Calibri" w:hAnsi="Calibri"/>
          <w:b/>
          <w:bCs/>
          <w:sz w:val="21"/>
          <w:szCs w:val="21"/>
        </w:rPr>
        <w:t xml:space="preserve">Suspensión.</w:t>
      </w:r>
      <w:r>
        <w:rPr>
          <w:rFonts w:ascii="Calibri" w:cs="Calibri" w:eastAsia="Calibri" w:hAnsi="Calibri"/>
          <w:sz w:val="21"/>
          <w:szCs w:val="21"/>
        </w:rPr>
        <w:t xml:space="preserve"> La interposición suspende la tramitación </w:t>
      </w:r>
      <w:r>
        <w:rPr>
          <w:rFonts w:ascii="Calibri" w:cs="Calibri" w:eastAsia="Calibri" w:hAnsi="Calibri"/>
          <w:b/>
          <w:bCs/>
          <w:sz w:val="21"/>
          <w:szCs w:val="21"/>
        </w:rPr>
        <w:t xml:space="preserve">cuando el acto recurrido es el de adjudicación</w:t>
      </w:r>
      <w:r>
        <w:rPr>
          <w:rFonts w:ascii="Calibri" w:cs="Calibri" w:eastAsia="Calibri" w:hAnsi="Calibri"/>
          <w:sz w:val="21"/>
          <w:szCs w:val="21"/>
        </w:rPr>
        <w:t xml:space="preserve"> (art. 53). Un recurso contra los pliegos </w:t>
      </w:r>
      <w:r>
        <w:rPr>
          <w:rFonts w:ascii="Calibri" w:cs="Calibri" w:eastAsia="Calibri" w:hAnsi="Calibri"/>
          <w:b/>
          <w:bCs/>
          <w:sz w:val="21"/>
          <w:szCs w:val="21"/>
        </w:rPr>
        <w:t xml:space="preserve">no suspende automáticamente</w:t>
      </w:r>
      <w:r>
        <w:rPr>
          <w:rFonts w:ascii="Calibri" w:cs="Calibri" w:eastAsia="Calibri" w:hAnsi="Calibri"/>
          <w:sz w:val="21"/>
          <w:szCs w:val="21"/>
        </w:rPr>
        <w:t xml:space="preserve">: hay que pedir medidas cautelares (art. 49) y el tribunal decide en cinco días hábiles. En la práctica, sin embargo, seguir adelante con la licitación mientras se resuelve un recurso contra los pliegos es asumir el riesgo de tener que retrotraer.</w:t>
      </w:r>
    </w:p>
    <w:p>
      <w:pPr>
        <w:spacing w:after="140" w:line="276"/>
      </w:pPr>
      <w:r>
        <w:rPr>
          <w:rFonts w:ascii="Calibri" w:cs="Calibri" w:eastAsia="Calibri" w:hAnsi="Calibri"/>
          <w:b/>
          <w:bCs/>
          <w:sz w:val="21"/>
          <w:szCs w:val="21"/>
        </w:rPr>
        <w:t xml:space="preserve">Efecto de la estimación.</w:t>
      </w:r>
      <w:r>
        <w:rPr>
          <w:rFonts w:ascii="Calibri" w:cs="Calibri" w:eastAsia="Calibri" w:hAnsi="Calibri"/>
          <w:sz w:val="21"/>
          <w:szCs w:val="21"/>
        </w:rPr>
        <w:t xml:space="preserve"> Art. 57.2, y conviene leerlo entero antes de diseñar un pliego: la resolución se pronunciará, si procede, «sobre la anulación de las decisiones no conformes a derecho […] incluyendo la supresión de las características técnicas, económicas o financieras discriminatorias contenidas en el anuncio de licitación, anuncio indicativo, pliegos, condiciones reguladoras del contrato o cualquier otro documento relacionado con la licitación o adjudicación, así como, si procede, sobre la retroacción de actuaciones. </w:t>
      </w:r>
      <w:r>
        <w:rPr>
          <w:rFonts w:ascii="Calibri" w:cs="Calibri" w:eastAsia="Calibri" w:hAnsi="Calibri"/>
          <w:b/>
          <w:bCs/>
          <w:sz w:val="21"/>
          <w:szCs w:val="21"/>
        </w:rPr>
        <w:t xml:space="preserve">En todo caso la estimación del recurso que conlleve anulación de cláusulas o condiciones de los pliegos o documentación contractual de naturaleza análoga, determinará la anulación de los actos del expediente de contratación relacionados con su aprobación.</w:t>
      </w:r>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Esto es lo que justifica la cláusula de separabilidad de la Parte I: no se puede prometer que ningún tribunal anule nada, pero sí se puede diseñar para que la caída de una cláusula no arrastre a las demás, </w:t>
      </w:r>
      <w:r>
        <w:rPr>
          <w:rFonts w:ascii="Calibri" w:cs="Calibri" w:eastAsia="Calibri" w:hAnsi="Calibri"/>
          <w:b/>
          <w:bCs/>
          <w:sz w:val="21"/>
          <w:szCs w:val="21"/>
        </w:rPr>
        <w:t xml:space="preserve">salvo las relaciones de presupuesto necesario identificadas en la tabla de dependencias del Anexo VI</w:t>
      </w:r>
      <w:r>
        <w:rPr>
          <w:rFonts w:ascii="Calibri" w:cs="Calibri" w:eastAsia="Calibri" w:hAnsi="Calibri"/>
          <w:sz w:val="21"/>
          <w:szCs w:val="21"/>
        </w:rPr>
        <w:t xml:space="preserve">. Y explica por qué la regla de no duplicidad de instrumentos es una regla de supervivencia y no de estética.</w:t>
      </w:r>
    </w:p>
    <w:p>
      <w:pPr>
        <w:spacing w:after="140" w:line="276"/>
      </w:pPr>
      <w:r>
        <w:rPr>
          <w:rFonts w:ascii="Calibri" w:cs="Calibri" w:eastAsia="Calibri" w:hAnsi="Calibri"/>
          <w:b/>
          <w:bCs/>
          <w:sz w:val="21"/>
          <w:szCs w:val="21"/>
        </w:rPr>
        <w:t xml:space="preserve">Temeridad.</w:t>
      </w:r>
      <w:r>
        <w:rPr>
          <w:rFonts w:ascii="Calibri" w:cs="Calibri" w:eastAsia="Calibri" w:hAnsi="Calibri"/>
          <w:sz w:val="21"/>
          <w:szCs w:val="21"/>
        </w:rPr>
        <w:t xml:space="preserve"> El tribunal puede imponer multa de entre 1.000 y 30.000 € cuando aprecie temeridad o mala fe en la interposición del recurso o en la solicitud de medidas cautelares (art. 58.2, declarado conforme con el orden constitucional de competencias siempre que se interprete en los términos de su fundamento jurídico 6 E) d), por la Sentencia del Tribunal Constitucional 68/2021, de 18 de marzo). No es una defensa: es un dato del contexto.</w:t>
      </w:r>
    </w:p>
    <w:p>
      <w:pPr>
        <w:spacing w:after="140" w:line="276"/>
      </w:pPr>
      <w:r>
        <w:rPr>
          <w:rFonts w:ascii="Calibri" w:cs="Calibri" w:eastAsia="Calibri" w:hAnsi="Calibri"/>
          <w:b/>
          <w:bCs/>
          <w:sz w:val="21"/>
          <w:szCs w:val="21"/>
        </w:rPr>
        <w:t xml:space="preserve">Competencia.</w:t>
      </w:r>
      <w:r>
        <w:rPr>
          <w:rFonts w:ascii="Calibri" w:cs="Calibri" w:eastAsia="Calibri" w:hAnsi="Calibri"/>
          <w:sz w:val="21"/>
          <w:szCs w:val="21"/>
        </w:rPr>
        <w:t xml:space="preserve"> Los órganos competentes para resolver el recurso especial, como los órganos de contratación y las juntas consultivas, deben notificar a la Comisión Nacional de los Mercados y la Competencia o a las autoridades autonómicas de competencia cualesquiera hechos que puedan constituir infracción de la legislación de defensa de la competencia, y en particular cualquier indicio de acuerdo o práctica concertada entre licitadores (art. 132.3).</w:t>
      </w:r>
    </w:p>
    <w:p>
      <w:pPr>
        <w:pStyle w:val="Heading3"/>
        <w:keepNext/>
        <w:spacing w:after="140" w:before="320"/>
      </w:pPr>
      <w:r>
        <w:rPr>
          <w:rFonts w:ascii="Georgia" w:cs="Georgia" w:eastAsia="Georgia" w:hAnsi="Georgia"/>
          <w:b/>
          <w:bCs/>
          <w:color w:val="2F5496"/>
          <w:sz w:val="22"/>
          <w:szCs w:val="22"/>
        </w:rPr>
        <w:t xml:space="preserve">V.5.6 · El precedente que hay que leer antes de exigir una certificación</w:t>
      </w:r>
    </w:p>
    <w:p>
      <w:pPr>
        <w:spacing w:after="140" w:line="276"/>
      </w:pPr>
      <w:r>
        <w:rPr>
          <w:rFonts w:ascii="Calibri" w:cs="Calibri" w:eastAsia="Calibri" w:hAnsi="Calibri"/>
          <w:b/>
          <w:bCs/>
          <w:sz w:val="21"/>
          <w:szCs w:val="21"/>
        </w:rPr>
        <w:t xml:space="preserve">Tribunal Administrativo de Contratación Pública de la Comunidad de Madrid, Resolución n.º 383/2024, de 3 de octubre de 2024, recurso y expediente n.º 383/2024</w:t>
      </w:r>
      <w:r>
        <w:rPr>
          <w:rFonts w:ascii="Calibri" w:cs="Calibri" w:eastAsia="Calibri" w:hAnsi="Calibri"/>
          <w:sz w:val="21"/>
          <w:szCs w:val="21"/>
        </w:rPr>
        <w:t xml:space="preserve"> (recurrente: Tecnologías Viales Aplicadas TEVA, S.L.; órgano de contratación: Ayuntamiento de Parla; objeto: sistema de gestión de una zona de bajas emisiones; valor estimado 1.657.922,40 €). Resolución </w:t>
      </w:r>
      <w:r>
        <w:rPr>
          <w:rFonts w:ascii="Calibri" w:cs="Calibri" w:eastAsia="Calibri" w:hAnsi="Calibri"/>
          <w:b/>
          <w:bCs/>
          <w:sz w:val="21"/>
          <w:szCs w:val="21"/>
        </w:rPr>
        <w:t xml:space="preserve">estimatoria</w:t>
      </w:r>
      <w:r>
        <w:rPr>
          <w:rFonts w:ascii="Calibri" w:cs="Calibri" w:eastAsia="Calibri" w:hAnsi="Calibri"/>
          <w:sz w:val="21"/>
          <w:szCs w:val="21"/>
        </w:rPr>
        <w:t xml:space="preserve">. La anulación de los pliegos se declara en el fundamento de derecho Quinto; la parte dispositiva se limita a acordar la estimación del recurso. → </w:t>
      </w:r>
      <w:hyperlink w:history="1" r:id="rIdzuwpkoxa40hecnjsnvwwx">
        <w:r>
          <w:rPr>
            <w:rFonts w:ascii="Calibri" w:cs="Calibri" w:eastAsia="Calibri" w:hAnsi="Calibri"/>
            <w:color w:val="2F5496"/>
            <w:sz w:val="21"/>
            <w:szCs w:val="21"/>
            <w:u w:val="single"/>
          </w:rPr>
          <w:t xml:space="preserve">PDF</w:t>
        </w:r>
      </w:hyperlink>
    </w:p>
    <w:p>
      <w:pPr>
        <w:spacing w:after="140" w:line="276"/>
      </w:pPr>
      <w:r>
        <w:rPr>
          <w:rFonts w:ascii="Calibri" w:cs="Calibri" w:eastAsia="Calibri" w:hAnsi="Calibri"/>
          <w:sz w:val="21"/>
          <w:szCs w:val="21"/>
        </w:rPr>
        <w:t xml:space="preserve">Se cita como </w:t>
      </w:r>
      <w:r>
        <w:rPr>
          <w:rFonts w:ascii="Calibri" w:cs="Calibri" w:eastAsia="Calibri" w:hAnsi="Calibri"/>
          <w:b/>
          <w:bCs/>
          <w:sz w:val="21"/>
          <w:szCs w:val="21"/>
        </w:rPr>
        <w:t xml:space="preserve">doctrina general trasladada por analogía</w:t>
      </w:r>
      <w:r>
        <w:rPr>
          <w:rFonts w:ascii="Calibri" w:cs="Calibri" w:eastAsia="Calibri" w:hAnsi="Calibri"/>
          <w:sz w:val="21"/>
          <w:szCs w:val="21"/>
        </w:rPr>
        <w:t xml:space="preserve">, en los términos de la Parte IV: no existe doctrina sobre cláusulas de inteligencia artificial, interfaces para agentes o exigencias de evolución tecnológica, y ésta no versa sobre esas materias. Versa sobre algo más básico y por eso sirve: sobre </w:t>
      </w:r>
      <w:r>
        <w:rPr>
          <w:rFonts w:ascii="Calibri" w:cs="Calibri" w:eastAsia="Calibri" w:hAnsi="Calibri"/>
          <w:b/>
          <w:bCs/>
          <w:sz w:val="21"/>
          <w:szCs w:val="21"/>
        </w:rPr>
        <w:t xml:space="preserve">dónde tiene que estar la justificación de una exigencia de seguridad</w:t>
      </w:r>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Los hechos, en tres líneas: el PCAP exigía como habilitación empresarial cuatro certificaciones de conformidad con el Esquema Nacional de Seguridad de </w:t>
      </w:r>
      <w:r>
        <w:rPr>
          <w:rFonts w:ascii="Calibri" w:cs="Calibri" w:eastAsia="Calibri" w:hAnsi="Calibri"/>
          <w:b/>
          <w:bCs/>
          <w:sz w:val="21"/>
          <w:szCs w:val="21"/>
        </w:rPr>
        <w:t xml:space="preserve">nivel ALTO</w:t>
      </w:r>
      <w:r>
        <w:rPr>
          <w:rFonts w:ascii="Calibri" w:cs="Calibri" w:eastAsia="Calibri" w:hAnsi="Calibri"/>
          <w:sz w:val="21"/>
          <w:szCs w:val="21"/>
        </w:rPr>
        <w:t xml:space="preserve">, mientras el PPT configuraba la misma exigencia como requisito de ejecución y de categoría media. El Tribunal recuerda que «el órgano de contratación debe realizar un análisis previo para determinar las medidas de seguridad que deben llevarse a cabo durante la vigencia del contrato en función de la naturaleza de los servicios prestados y determinar el nivel de seguridad dentro de las categorías básica, media o alta». Y concluye, literal:</w:t>
      </w:r>
    </w:p>
    <w:p>
      <w:pPr>
        <w:pBdr>
          <w:left w:val="single" w:color="BFBFBF" w:sz="12" w:space="8"/>
        </w:pBdr>
        <w:spacing w:after="140" w:line="264"/>
        <w:ind w:left="400"/>
      </w:pPr>
      <w:r>
        <w:rPr>
          <w:rFonts w:ascii="Georgia" w:cs="Georgia" w:eastAsia="Georgia" w:hAnsi="Georgia"/>
          <w:i/>
          <w:iCs/>
          <w:color w:val="595959"/>
          <w:sz w:val="20"/>
          <w:szCs w:val="20"/>
        </w:rPr>
        <w:t xml:space="preserve">«analizada la memoria justificativa publicada en la plataforma, en su apartado 13, consta exclusivamente la exigencia de la habilitación empresarial sin que aparezca la más mínima justificación de tal exigencia, como establece el artículo 116.2 de la LCSP. Esta justificación debe realizarse en la memoria justificativa de la contratación, </w:t>
      </w:r>
      <w:r>
        <w:rPr>
          <w:rFonts w:ascii="Georgia" w:cs="Georgia" w:eastAsia="Georgia" w:hAnsi="Georgia"/>
          <w:b/>
          <w:bCs/>
          <w:i/>
          <w:iCs/>
          <w:color w:val="595959"/>
          <w:sz w:val="20"/>
          <w:szCs w:val="20"/>
        </w:rPr>
        <w:t xml:space="preserve">sin que sea admisible la justificación realizada en sede de recurso</w:t>
      </w:r>
      <w:r>
        <w:rPr>
          <w:rFonts w:ascii="Georgia" w:cs="Georgia" w:eastAsia="Georgia" w:hAnsi="Georgia"/>
          <w:i/>
          <w:iCs/>
          <w:color w:val="595959"/>
          <w:sz w:val="20"/>
          <w:szCs w:val="20"/>
        </w:rPr>
        <w:t xml:space="preserve">, por lo que procede la estimación del recurso especial, con la consiguiente anulación de los pliegos.»</w:t>
      </w:r>
    </w:p>
    <w:p>
      <w:pPr>
        <w:spacing w:after="140" w:line="276"/>
      </w:pPr>
      <w:r>
        <w:rPr>
          <w:rFonts w:ascii="Calibri" w:cs="Calibri" w:eastAsia="Calibri" w:hAnsi="Calibri"/>
          <w:i/>
          <w:iCs/>
          <w:sz w:val="21"/>
          <w:szCs w:val="21"/>
        </w:rPr>
        <w:t xml:space="preserve">(Nota de precisión: la resolución cita el «artículo 116.2 de la LCSP» y reproduce a continuación el texto que en el vigente texto consolidado corresponde al artículo 116.4, letra c). Se hace constar para que quien acuda a la fuente no encuentre una discordancia inexplicada.)</w:t>
      </w:r>
    </w:p>
    <w:p>
      <w:pPr>
        <w:spacing w:after="140" w:line="276"/>
      </w:pPr>
      <w:r>
        <w:rPr>
          <w:rFonts w:ascii="Calibri" w:cs="Calibri" w:eastAsia="Calibri" w:hAnsi="Calibri"/>
          <w:b/>
          <w:bCs/>
          <w:sz w:val="21"/>
          <w:szCs w:val="21"/>
        </w:rPr>
        <w:t xml:space="preserve">Las cuatro lecciones que esta Parte V incorpora por esa resolución:</w:t>
      </w:r>
    </w:p>
    <w:p>
      <w:pPr>
        <w:pStyle w:val="ListParagraph"/>
        <w:numPr>
          <w:ilvl w:val="0"/>
          <w:numId w:val="2"/>
        </w:numPr>
        <w:spacing w:after="70" w:line="268"/>
      </w:pPr>
      <w:r>
        <w:rPr>
          <w:rFonts w:ascii="Calibri" w:cs="Calibri" w:eastAsia="Calibri" w:hAnsi="Calibri"/>
          <w:b/>
          <w:bCs/>
          <w:sz w:val="21"/>
          <w:szCs w:val="21"/>
        </w:rPr>
        <w:t xml:space="preserve">La justificación vive en la memoria justificativa del expediente</w:t>
      </w:r>
      <w:r>
        <w:rPr>
          <w:rFonts w:ascii="Calibri" w:cs="Calibri" w:eastAsia="Calibri" w:hAnsi="Calibri"/>
          <w:sz w:val="21"/>
          <w:szCs w:val="21"/>
        </w:rPr>
        <w:t xml:space="preserve">, no en el catálogo, no en el PPT y no en un informe posterior. Un catálogo bien escrito no salva a un expediente mudo.</w:t>
      </w:r>
    </w:p>
    <w:p>
      <w:pPr>
        <w:pStyle w:val="ListParagraph"/>
        <w:numPr>
          <w:ilvl w:val="0"/>
          <w:numId w:val="2"/>
        </w:numPr>
        <w:spacing w:after="70" w:line="268"/>
      </w:pPr>
      <w:r>
        <w:rPr>
          <w:rFonts w:ascii="Calibri" w:cs="Calibri" w:eastAsia="Calibri" w:hAnsi="Calibri"/>
          <w:b/>
          <w:bCs/>
          <w:sz w:val="21"/>
          <w:szCs w:val="21"/>
        </w:rPr>
        <w:t xml:space="preserve">Lo que no está antes de publicar, no se puede añadir después.</w:t>
      </w:r>
      <w:r>
        <w:rPr>
          <w:rFonts w:ascii="Calibri" w:cs="Calibri" w:eastAsia="Calibri" w:hAnsi="Calibri"/>
          <w:sz w:val="21"/>
          <w:szCs w:val="21"/>
        </w:rPr>
        <w:t xml:space="preserve"> «Sin que sea admisible la justificación realizada en sede de recurso» es la frase que convierte la carpeta de defensa (V.6) en un trabajo previo y no reactivo.</w:t>
      </w:r>
    </w:p>
    <w:p>
      <w:pPr>
        <w:pStyle w:val="ListParagraph"/>
        <w:numPr>
          <w:ilvl w:val="0"/>
          <w:numId w:val="2"/>
        </w:numPr>
        <w:spacing w:after="70" w:line="268"/>
      </w:pPr>
      <w:r>
        <w:rPr>
          <w:rFonts w:ascii="Calibri" w:cs="Calibri" w:eastAsia="Calibri" w:hAnsi="Calibri"/>
          <w:b/>
          <w:bCs/>
          <w:sz w:val="21"/>
          <w:szCs w:val="21"/>
        </w:rPr>
        <w:t xml:space="preserve">La categoría del ENS se determina, no se elige</w:t>
      </w:r>
      <w:r>
        <w:rPr>
          <w:rFonts w:ascii="Calibri" w:cs="Calibri" w:eastAsia="Calibri" w:hAnsi="Calibri"/>
          <w:sz w:val="21"/>
          <w:szCs w:val="21"/>
        </w:rPr>
        <w:t xml:space="preserve">, y cada certificación exigida tiene que llevar dicho expresamente con qué calificación jurídica se exige: habilitación, solvencia, prescripción de ejecución o criterio de adjudicación. Confundir esas categorías fue parte del problema en Parla.</w:t>
      </w:r>
    </w:p>
    <w:p>
      <w:pPr>
        <w:pStyle w:val="ListParagraph"/>
        <w:numPr>
          <w:ilvl w:val="0"/>
          <w:numId w:val="2"/>
        </w:numPr>
        <w:spacing w:after="70" w:line="268"/>
      </w:pPr>
      <w:r>
        <w:rPr>
          <w:rFonts w:ascii="Calibri" w:cs="Calibri" w:eastAsia="Calibri" w:hAnsi="Calibri"/>
          <w:b/>
          <w:bCs/>
          <w:sz w:val="21"/>
          <w:szCs w:val="21"/>
        </w:rPr>
        <w:t xml:space="preserve">La contradicción entre PCAP y PPT es munición.</w:t>
      </w:r>
      <w:r>
        <w:rPr>
          <w:rFonts w:ascii="Calibri" w:cs="Calibri" w:eastAsia="Calibri" w:hAnsi="Calibri"/>
          <w:sz w:val="21"/>
          <w:szCs w:val="21"/>
        </w:rPr>
        <w:t xml:space="preserve"> En Parla, el PCAP pedía nivel alto como habilitación y el PPT nivel medio como ejecución. Es exactamente el defecto que produce marcar una cláusula como NO APLICA sin depurar las menciones que arrastra (V.2.3).</w:t>
      </w:r>
    </w:p>
    <w:p>
      <w:pPr>
        <w:spacing w:after="140" w:line="276"/>
      </w:pPr>
      <w:r>
        <w:rPr>
          <w:rFonts w:ascii="Calibri" w:cs="Calibri" w:eastAsia="Calibri" w:hAnsi="Calibri"/>
          <w:sz w:val="21"/>
          <w:szCs w:val="21"/>
        </w:rPr>
        <w:t xml:space="preserve">Un dato de contexto que conviene retener del mismo expediente: los pliegos se publicaron el 13 de septiembre de 2024, el recurso se interpuso el 23 de septiembre y </w:t>
      </w:r>
      <w:r>
        <w:rPr>
          <w:rFonts w:ascii="Calibri" w:cs="Calibri" w:eastAsia="Calibri" w:hAnsi="Calibri"/>
          <w:b/>
          <w:bCs/>
          <w:sz w:val="21"/>
          <w:szCs w:val="21"/>
        </w:rPr>
        <w:t xml:space="preserve">el órgano de contratación remitió el expediente y el informe del art. 56.2 el 27 de septiembre</w:t>
      </w:r>
      <w:r>
        <w:rPr>
          <w:rFonts w:ascii="Calibri" w:cs="Calibri" w:eastAsia="Calibri" w:hAnsi="Calibri"/>
          <w:sz w:val="21"/>
          <w:szCs w:val="21"/>
        </w:rPr>
        <w:t xml:space="preserve">. Ese es el ritmo real. Nadie prepara en ese plazo lo que no tenía preparado.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V.6 · La carpeta de defensa</w:t>
      </w:r>
    </w:p>
    <w:p>
      <w:pPr>
        <w:spacing w:after="140" w:line="276"/>
      </w:pPr>
      <w:r>
        <w:rPr>
          <w:rFonts w:ascii="Calibri" w:cs="Calibri" w:eastAsia="Calibri" w:hAnsi="Calibri"/>
          <w:sz w:val="21"/>
          <w:szCs w:val="21"/>
        </w:rPr>
        <w:t xml:space="preserve">El plazo del art. 56.2 LCSP para remitir el expediente acompañado del correspondiente informe es de </w:t>
      </w:r>
      <w:r>
        <w:rPr>
          <w:rFonts w:ascii="Calibri" w:cs="Calibri" w:eastAsia="Calibri" w:hAnsi="Calibri"/>
          <w:b/>
          <w:bCs/>
          <w:sz w:val="21"/>
          <w:szCs w:val="21"/>
        </w:rPr>
        <w:t xml:space="preserve">dos días hábiles</w:t>
      </w:r>
      <w:r>
        <w:rPr>
          <w:rFonts w:ascii="Calibri" w:cs="Calibri" w:eastAsia="Calibri" w:hAnsi="Calibri"/>
          <w:sz w:val="21"/>
          <w:szCs w:val="21"/>
        </w:rPr>
        <w:t xml:space="preserve">. No se prorroga. Si el recurso llega un jueves por la tarde, el informe se remite el lunes. Por tanto, la carpeta de defensa </w:t>
      </w:r>
      <w:r>
        <w:rPr>
          <w:rFonts w:ascii="Calibri" w:cs="Calibri" w:eastAsia="Calibri" w:hAnsi="Calibri"/>
          <w:b/>
          <w:bCs/>
          <w:sz w:val="21"/>
          <w:szCs w:val="21"/>
        </w:rPr>
        <w:t xml:space="preserve">se cierra antes de publicar el anuncio</w:t>
      </w:r>
      <w:r>
        <w:rPr>
          <w:rFonts w:ascii="Calibri" w:cs="Calibri" w:eastAsia="Calibri" w:hAnsi="Calibri"/>
          <w:sz w:val="21"/>
          <w:szCs w:val="21"/>
        </w:rPr>
        <w:t xml:space="preserve">, como último paso del circuito, y no cuando llega el recurso.</w:t>
      </w:r>
    </w:p>
    <w:p>
      <w:pPr>
        <w:pStyle w:val="Heading3"/>
        <w:keepNext/>
        <w:spacing w:after="140" w:before="320"/>
      </w:pPr>
      <w:r>
        <w:rPr>
          <w:rFonts w:ascii="Georgia" w:cs="Georgia" w:eastAsia="Georgia" w:hAnsi="Georgia"/>
          <w:b/>
          <w:bCs/>
          <w:color w:val="2F5496"/>
          <w:sz w:val="22"/>
          <w:szCs w:val="22"/>
        </w:rPr>
        <w:t xml:space="preserve">V.6.1 · Qué contiene</w:t>
      </w:r>
    </w:p>
    <w:p>
      <w:pPr>
        <w:spacing w:after="140" w:line="276"/>
      </w:pPr>
      <w:r>
        <w:rPr>
          <w:rFonts w:ascii="Calibri" w:cs="Calibri" w:eastAsia="Calibri" w:hAnsi="Calibri"/>
          <w:sz w:val="21"/>
          <w:szCs w:val="21"/>
        </w:rPr>
        <w:t xml:space="preserve">Una carpeta por expediente, en el gestor documental, con índice numerado y un solo responsable designado con su suplente.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Pieza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Estado en que debe estar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Índice de la carpeta con la ubicación exacta de cada documento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Cerrado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necesidad, firmado y con fecha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Firmado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Ficha de Aplicabilidad firmada, con las seis casillas de cada cláusula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Firmada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consulta al directorio general de aplicaciones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Firmado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Documento de categorización ENS, valoraciones y análisis de riesgos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Firmado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justificativa completa, en la versión publicada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Publicada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insuficiencia de medios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Publicado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Justificación del procedimiento y hoja de comprobación del baremo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Cálculo del valor estimado con todos sus conceptos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consultas preliminares del mercado del ejercicio, con su publicación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Publicado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Declaraciones de conflicto de interés y, si procede, medidas del art. 70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Firmadas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jurídico preceptivo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Firmado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fiscalización y certificado de crédito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Firmados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Resolución de aprobación del expediente y acreditación de la fecha de difusión pública (art. 63.7)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Publicada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15</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Ficha de cláusulas</w:t>
            </w:r>
            <w:r>
              <w:rPr>
                <w:rFonts w:ascii="Calibri" w:cs="Calibri" w:eastAsia="Calibri" w:hAnsi="Calibri"/>
                <w:b w:val="false"/>
                <w:bCs w:val="false"/>
                <w:sz w:val="18"/>
                <w:szCs w:val="18"/>
              </w:rPr>
              <w:t xml:space="preserve">: por cada cláusula del catálogo incorporada, una página con su necesidad, su norma, su precepto habilitante y el párrafo de la memoria que la justifica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Preparada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Acuerdo del órgano de gobierno que sostiene la necesidad institucional, si alguna cláusula se apoya en él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Publicado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Copia de las resoluciones y preceptos citados en la memoria, en PDF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Incorporados</w:t>
            </w:r>
          </w:p>
        </w:tc>
      </w:tr>
    </w:tbl>
    <w:p>
      <w:pPr>
        <w:spacing w:after="200"/>
      </w:pPr>
    </w:p>
    <w:p>
      <w:pPr>
        <w:spacing w:after="140" w:line="276"/>
      </w:pPr>
      <w:r>
        <w:rPr>
          <w:rFonts w:ascii="Calibri" w:cs="Calibri" w:eastAsia="Calibri" w:hAnsi="Calibri"/>
          <w:sz w:val="21"/>
          <w:szCs w:val="21"/>
        </w:rPr>
        <w:t xml:space="preserve">La pieza 15 es la que ahorra el fin de semana: cuando el recurso ataca una cláusula concreta, el informe del art. 56.2 se construye pegando la ficha de esa cláusula, no releyendo el expediente.</w:t>
      </w:r>
    </w:p>
    <w:p>
      <w:pPr>
        <w:spacing w:after="140" w:line="276"/>
      </w:pPr>
      <w:r>
        <w:rPr>
          <w:rFonts w:ascii="Calibri" w:cs="Calibri" w:eastAsia="Calibri" w:hAnsi="Calibri"/>
          <w:sz w:val="21"/>
          <w:szCs w:val="21"/>
        </w:rPr>
        <w:t xml:space="preserve">La pieza 17 responde a una exigencia razonable de cualquier órgano de control: </w:t>
      </w:r>
      <w:r>
        <w:rPr>
          <w:rFonts w:ascii="Calibri" w:cs="Calibri" w:eastAsia="Calibri" w:hAnsi="Calibri"/>
          <w:b/>
          <w:bCs/>
          <w:sz w:val="21"/>
          <w:szCs w:val="21"/>
        </w:rPr>
        <w:t xml:space="preserve">si una memoria cita una resolución, el PDF de esa resolución debe estar en el expediente</w:t>
      </w:r>
      <w:r>
        <w:rPr>
          <w:rFonts w:ascii="Calibri" w:cs="Calibri" w:eastAsia="Calibri" w:hAnsi="Calibri"/>
          <w:sz w:val="21"/>
          <w:szCs w:val="21"/>
        </w:rPr>
        <w:t xml:space="preserve">. Un expediente que cita cuarenta resoluciones y no incorpora ninguna es un expediente que pide que se le crea.</w:t>
      </w:r>
    </w:p>
    <w:p>
      <w:pPr>
        <w:pStyle w:val="Heading3"/>
        <w:keepNext/>
        <w:spacing w:after="140" w:before="320"/>
      </w:pPr>
      <w:r>
        <w:rPr>
          <w:rFonts w:ascii="Georgia" w:cs="Georgia" w:eastAsia="Georgia" w:hAnsi="Georgia"/>
          <w:b/>
          <w:bCs/>
          <w:color w:val="2F5496"/>
          <w:sz w:val="22"/>
          <w:szCs w:val="22"/>
        </w:rPr>
        <w:t xml:space="preserve">V.6.2 · El informe del artículo 56.2</w:t>
      </w:r>
    </w:p>
    <w:p>
      <w:pPr>
        <w:spacing w:after="140" w:line="276"/>
      </w:pPr>
      <w:r>
        <w:rPr>
          <w:rFonts w:ascii="Calibri" w:cs="Calibri" w:eastAsia="Calibri" w:hAnsi="Calibri"/>
          <w:b/>
          <w:bCs/>
          <w:sz w:val="21"/>
          <w:szCs w:val="21"/>
        </w:rPr>
        <w:t xml:space="preserve">Qué es.</w:t>
      </w:r>
      <w:r>
        <w:rPr>
          <w:rFonts w:ascii="Calibri" w:cs="Calibri" w:eastAsia="Calibri" w:hAnsi="Calibri"/>
          <w:sz w:val="21"/>
          <w:szCs w:val="21"/>
        </w:rPr>
        <w:t xml:space="preserve"> El informe con el que el órgano de contratación remite el expediente al tribunal. No es un escrito de alegaciones libre: es la explicación de por qué el expediente sostiene lo que el pliego dice.</w:t>
      </w:r>
    </w:p>
    <w:p>
      <w:pPr>
        <w:spacing w:after="140" w:line="276"/>
      </w:pPr>
      <w:r>
        <w:rPr>
          <w:rFonts w:ascii="Calibri" w:cs="Calibri" w:eastAsia="Calibri" w:hAnsi="Calibri"/>
          <w:b/>
          <w:bCs/>
          <w:sz w:val="21"/>
          <w:szCs w:val="21"/>
        </w:rPr>
        <w:t xml:space="preserve">Estructura recomendada.</w:t>
      </w:r>
    </w:p>
    <w:p>
      <w:pPr>
        <w:pStyle w:val="ListParagraph"/>
        <w:numPr>
          <w:ilvl w:val="0"/>
          <w:numId w:val="2"/>
        </w:numPr>
        <w:spacing w:after="70" w:line="268"/>
      </w:pPr>
      <w:r>
        <w:rPr>
          <w:rFonts w:ascii="Calibri" w:cs="Calibri" w:eastAsia="Calibri" w:hAnsi="Calibri"/>
          <w:sz w:val="21"/>
          <w:szCs w:val="21"/>
        </w:rPr>
        <w:t xml:space="preserve">Identificación del expediente, del acto recurrido y de la fecha de publicación con acreditación del art. 63.7.</w:t>
      </w:r>
    </w:p>
    <w:p>
      <w:pPr>
        <w:pStyle w:val="ListParagraph"/>
        <w:numPr>
          <w:ilvl w:val="0"/>
          <w:numId w:val="2"/>
        </w:numPr>
        <w:spacing w:after="70" w:line="268"/>
      </w:pPr>
      <w:r>
        <w:rPr>
          <w:rFonts w:ascii="Calibri" w:cs="Calibri" w:eastAsia="Calibri" w:hAnsi="Calibri"/>
          <w:sz w:val="21"/>
          <w:szCs w:val="21"/>
        </w:rPr>
        <w:t xml:space="preserve">Admisibilidad: legitimación, plazo y umbral del art. 44.1.a).</w:t>
      </w:r>
    </w:p>
    <w:p>
      <w:pPr>
        <w:pStyle w:val="ListParagraph"/>
        <w:numPr>
          <w:ilvl w:val="0"/>
          <w:numId w:val="2"/>
        </w:numPr>
        <w:spacing w:after="70" w:line="268"/>
      </w:pPr>
      <w:r>
        <w:rPr>
          <w:rFonts w:ascii="Calibri" w:cs="Calibri" w:eastAsia="Calibri" w:hAnsi="Calibri"/>
          <w:sz w:val="21"/>
          <w:szCs w:val="21"/>
        </w:rPr>
        <w:t xml:space="preserve">Por cada motivo del recurso, en el orden en que el recurrente los plantea: qué exige el pliego, dónde está justificado en el expediente </w:t>
      </w:r>
      <w:r>
        <w:rPr>
          <w:rFonts w:ascii="Calibri" w:cs="Calibri" w:eastAsia="Calibri" w:hAnsi="Calibri"/>
          <w:b/>
          <w:bCs/>
          <w:sz w:val="21"/>
          <w:szCs w:val="21"/>
        </w:rPr>
        <w:t xml:space="preserve">con cita del documento, la página y la fecha</w:t>
      </w:r>
      <w:r>
        <w:rPr>
          <w:rFonts w:ascii="Calibri" w:cs="Calibri" w:eastAsia="Calibri" w:hAnsi="Calibri"/>
          <w:sz w:val="21"/>
          <w:szCs w:val="21"/>
        </w:rPr>
        <w:t xml:space="preserve">, y por qué la exigencia es proporcionada.</w:t>
      </w:r>
    </w:p>
    <w:p>
      <w:pPr>
        <w:pStyle w:val="ListParagraph"/>
        <w:numPr>
          <w:ilvl w:val="0"/>
          <w:numId w:val="2"/>
        </w:numPr>
        <w:spacing w:after="70" w:line="268"/>
      </w:pPr>
      <w:r>
        <w:rPr>
          <w:rFonts w:ascii="Calibri" w:cs="Calibri" w:eastAsia="Calibri" w:hAnsi="Calibri"/>
          <w:sz w:val="21"/>
          <w:szCs w:val="21"/>
        </w:rPr>
        <w:t xml:space="preserve">Documentación que se acompaña, numerada según el índice de la carpeta.</w:t>
      </w:r>
    </w:p>
    <w:p>
      <w:pPr>
        <w:pStyle w:val="ListParagraph"/>
        <w:numPr>
          <w:ilvl w:val="0"/>
          <w:numId w:val="2"/>
        </w:numPr>
        <w:spacing w:after="70" w:line="268"/>
      </w:pPr>
      <w:r>
        <w:rPr>
          <w:rFonts w:ascii="Calibri" w:cs="Calibri" w:eastAsia="Calibri" w:hAnsi="Calibri"/>
          <w:sz w:val="21"/>
          <w:szCs w:val="21"/>
        </w:rPr>
        <w:t xml:space="preserve">Pronunciamiento sobre las medidas cautelares solicitadas.</w:t>
      </w:r>
    </w:p>
    <w:p>
      <w:pPr>
        <w:spacing w:after="140" w:line="276"/>
      </w:pPr>
      <w:r>
        <w:rPr>
          <w:rFonts w:ascii="Calibri" w:cs="Calibri" w:eastAsia="Calibri" w:hAnsi="Calibri"/>
          <w:b/>
          <w:bCs/>
          <w:sz w:val="21"/>
          <w:szCs w:val="21"/>
        </w:rPr>
        <w:t xml:space="preserve">Lo que el informe no puede hacer.</w:t>
      </w:r>
      <w:r>
        <w:rPr>
          <w:rFonts w:ascii="Calibri" w:cs="Calibri" w:eastAsia="Calibri" w:hAnsi="Calibri"/>
          <w:sz w:val="21"/>
          <w:szCs w:val="21"/>
        </w:rPr>
        <w:t xml:space="preserve"> No puede introducir la motivación que la memoria no tuvo. Es la regla que la resolución de Parla enuncia sin matices. Si al preparar el informe se descubre que la justificación no está en el expediente, la decisión correcta </w:t>
      </w:r>
      <w:r>
        <w:rPr>
          <w:rFonts w:ascii="Calibri" w:cs="Calibri" w:eastAsia="Calibri" w:hAnsi="Calibri"/>
          <w:b/>
          <w:bCs/>
          <w:sz w:val="21"/>
          <w:szCs w:val="21"/>
        </w:rPr>
        <w:t xml:space="preserve">no es escribirla ahora</w:t>
      </w:r>
      <w:r>
        <w:rPr>
          <w:rFonts w:ascii="Calibri" w:cs="Calibri" w:eastAsia="Calibri" w:hAnsi="Calibri"/>
          <w:sz w:val="21"/>
          <w:szCs w:val="21"/>
        </w:rPr>
        <w:t xml:space="preserve">: es valorar el desistimiento del procedimiento o la retroacción, que es reversible, frente a la anulación, que no lo es.</w:t>
      </w:r>
    </w:p>
    <w:p>
      <w:pPr>
        <w:spacing w:after="140" w:line="276"/>
      </w:pPr>
      <w:r>
        <w:rPr>
          <w:rFonts w:ascii="Calibri" w:cs="Calibri" w:eastAsia="Calibri" w:hAnsi="Calibri"/>
          <w:b/>
          <w:bCs/>
          <w:sz w:val="21"/>
          <w:szCs w:val="21"/>
        </w:rPr>
        <w:t xml:space="preserve">Regla de honestidad interna.</w:t>
      </w:r>
      <w:r>
        <w:rPr>
          <w:rFonts w:ascii="Calibri" w:cs="Calibri" w:eastAsia="Calibri" w:hAnsi="Calibri"/>
          <w:sz w:val="21"/>
          <w:szCs w:val="21"/>
        </w:rPr>
        <w:t xml:space="preserve"> El informe lo firma quien pueda sostenerlo. Si el órgano de contratación concluye que el recurrente tiene razón en un motivo, decirlo y allanarse en ese punto es más barato que perder el pliego entero.</w:t>
      </w:r>
    </w:p>
    <w:p>
      <w:pPr>
        <w:pStyle w:val="Heading3"/>
        <w:keepNext/>
        <w:spacing w:after="140" w:before="320"/>
      </w:pPr>
      <w:r>
        <w:rPr>
          <w:rFonts w:ascii="Georgia" w:cs="Georgia" w:eastAsia="Georgia" w:hAnsi="Georgia"/>
          <w:b/>
          <w:bCs/>
          <w:color w:val="2F5496"/>
          <w:sz w:val="22"/>
          <w:szCs w:val="22"/>
        </w:rPr>
        <w:t xml:space="preserve">V.6.3 · Parámetros</w:t>
      </w:r>
    </w:p>
    <w:p>
      <w:pPr>
        <w:pStyle w:val="ListParagraph"/>
        <w:numPr>
          <w:ilvl w:val="0"/>
          <w:numId w:val="1"/>
        </w:numPr>
        <w:spacing w:after="70" w:line="268"/>
      </w:pPr>
      <w:r>
        <w:rPr>
          <w:rFonts w:ascii="Calibri" w:cs="Calibri" w:eastAsia="Calibri" w:hAnsi="Calibri"/>
          <w:sz w:val="21"/>
          <w:szCs w:val="21"/>
        </w:rPr>
        <w:t xml:space="preserve">Umbral a partir del cual la carpeta de defensa es obligatoria: </w:t>
      </w:r>
      <w:r>
        <w:rPr>
          <w:rFonts w:ascii="Calibri" w:cs="Calibri" w:eastAsia="Calibri" w:hAnsi="Calibri"/>
          <w:b/>
          <w:bCs/>
          <w:sz w:val="21"/>
          <w:szCs w:val="21"/>
        </w:rPr>
        <w:t xml:space="preserve">[X; se recomienda todo contrato de valor estimado superior a 100.000 €, es decir, todo contrato recurrible; para los de menor cuantía, basta el índice y las piezas 2, 3, 6 y 15]</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sz w:val="21"/>
          <w:szCs w:val="21"/>
        </w:rPr>
        <w:t xml:space="preserve">Plazo de conservación de la carpeta: </w:t>
      </w:r>
      <w:r>
        <w:rPr>
          <w:rFonts w:ascii="Calibri" w:cs="Calibri" w:eastAsia="Calibri" w:hAnsi="Calibri"/>
          <w:b/>
          <w:bCs/>
          <w:sz w:val="21"/>
          <w:szCs w:val="21"/>
        </w:rPr>
        <w:t xml:space="preserve">[X; se recomienda cinco años desde la finalización del contrato y sus prórrogas, coherente con el mínimo de permanencia de la información en el perfil de contratante del art. 63.1]</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sz w:val="21"/>
          <w:szCs w:val="21"/>
        </w:rPr>
        <w:t xml:space="preserve">Responsable y suplente designados: </w:t>
      </w:r>
      <w:r>
        <w:rPr>
          <w:rFonts w:ascii="Calibri" w:cs="Calibri" w:eastAsia="Calibri" w:hAnsi="Calibri"/>
          <w:b/>
          <w:bCs/>
          <w:sz w:val="21"/>
          <w:szCs w:val="21"/>
        </w:rPr>
        <w:t xml:space="preserve">[nombre]</w:t>
      </w:r>
      <w:r>
        <w:rPr>
          <w:rFonts w:ascii="Calibri" w:cs="Calibri" w:eastAsia="Calibri" w:hAnsi="Calibri"/>
          <w:sz w:val="21"/>
          <w:szCs w:val="21"/>
        </w:rPr>
        <w:t xml:space="preserve">, con constancia en la Ficha de Aplicabilidad.</w:t>
      </w:r>
    </w:p>
    <w:p>
      <w:pPr>
        <w:pStyle w:val="ListParagraph"/>
        <w:numPr>
          <w:ilvl w:val="0"/>
          <w:numId w:val="1"/>
        </w:numPr>
        <w:spacing w:after="70" w:line="268"/>
      </w:pPr>
      <w:r>
        <w:rPr>
          <w:rFonts w:ascii="Calibri" w:cs="Calibri" w:eastAsia="Calibri" w:hAnsi="Calibri"/>
          <w:sz w:val="21"/>
          <w:szCs w:val="21"/>
        </w:rPr>
        <w:t xml:space="preserve">Dirección de correo electrónico habilitada del órgano de contratación para notificaciones del tribunal: </w:t>
      </w:r>
      <w:r>
        <w:rPr>
          <w:rFonts w:ascii="Calibri" w:cs="Calibri" w:eastAsia="Calibri" w:hAnsi="Calibri"/>
          <w:b/>
          <w:bCs/>
          <w:sz w:val="21"/>
          <w:szCs w:val="21"/>
        </w:rPr>
        <w:t xml:space="preserve">[dirección]</w:t>
      </w:r>
      <w:r>
        <w:rPr>
          <w:rFonts w:ascii="Calibri" w:cs="Calibri" w:eastAsia="Calibri" w:hAnsi="Calibri"/>
          <w:sz w:val="21"/>
          <w:szCs w:val="21"/>
        </w:rPr>
        <w:t xml:space="preserve">, verificada antes de publicar.</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V.7 · Circuitos abreviados: menores, acuerdos marco, adhesiones y contratos vivos</w:t>
      </w:r>
    </w:p>
    <w:p>
      <w:pPr>
        <w:spacing w:after="140" w:line="276"/>
      </w:pPr>
      <w:r>
        <w:rPr>
          <w:rFonts w:ascii="Calibri" w:cs="Calibri" w:eastAsia="Calibri" w:hAnsi="Calibri"/>
          <w:sz w:val="21"/>
          <w:szCs w:val="21"/>
        </w:rPr>
        <w:t xml:space="preserve">El catálogo sólo sirve para una minoría de expedientes si no dice nada de los tres casos que más se firman. Aquí se dice qué cabe en cada uno: algo en los tres, aunque menos que en un procedimiento abierto con pliegos propios.</w:t>
      </w:r>
    </w:p>
    <w:p>
      <w:pPr>
        <w:pStyle w:val="Heading3"/>
        <w:keepNext/>
        <w:spacing w:after="140" w:before="320"/>
      </w:pPr>
      <w:r>
        <w:rPr>
          <w:rFonts w:ascii="Georgia" w:cs="Georgia" w:eastAsia="Georgia" w:hAnsi="Georgia"/>
          <w:b/>
          <w:bCs/>
          <w:color w:val="2F5496"/>
          <w:sz w:val="22"/>
          <w:szCs w:val="22"/>
        </w:rPr>
        <w:t xml:space="preserve">V.7.1 · Contratos menores</w:t>
      </w:r>
    </w:p>
    <w:p>
      <w:pPr>
        <w:spacing w:after="140" w:line="276"/>
      </w:pPr>
      <w:r>
        <w:rPr>
          <w:rFonts w:ascii="Calibri" w:cs="Calibri" w:eastAsia="Calibri" w:hAnsi="Calibri"/>
          <w:b/>
          <w:bCs/>
          <w:sz w:val="21"/>
          <w:szCs w:val="21"/>
        </w:rPr>
        <w:t xml:space="preserve">Régimen.</w:t>
      </w:r>
      <w:r>
        <w:rPr>
          <w:rFonts w:ascii="Calibri" w:cs="Calibri" w:eastAsia="Calibri" w:hAnsi="Calibri"/>
          <w:sz w:val="21"/>
          <w:szCs w:val="21"/>
        </w:rPr>
        <w:t xml:space="preserve"> Valor estimado inferior a 15.000 € en suministros y servicios, y a 40.000 € en obras (art. 118.1 LCSP). La tramitación exige informe del órgano de contratación justificando de manera motivada la necesidad del contrato y que no se está alterando su objeto para eludir los umbrales (art. 118.2), aprobación del gasto e incorporación de la factura (art. 118.3). La publicidad es trimestral y con contenido reducido (art. 63.4).</w:t>
      </w:r>
    </w:p>
    <w:p>
      <w:pPr>
        <w:spacing w:after="140" w:line="276"/>
      </w:pPr>
      <w:r>
        <w:rPr>
          <w:rFonts w:ascii="Calibri" w:cs="Calibri" w:eastAsia="Calibri" w:hAnsi="Calibri"/>
          <w:b/>
          <w:bCs/>
          <w:sz w:val="21"/>
          <w:szCs w:val="21"/>
        </w:rPr>
        <w:t xml:space="preserve">Qué se aplica de este catálogo.</w:t>
      </w:r>
      <w:r>
        <w:rPr>
          <w:rFonts w:ascii="Calibri" w:cs="Calibri" w:eastAsia="Calibri" w:hAnsi="Calibri"/>
          <w:sz w:val="21"/>
          <w:szCs w:val="21"/>
        </w:rPr>
        <w:t xml:space="preserve"> Casi nada, y por una razón sencilla: en un contrato menor no hay pliegos, y sin pliegos no hay lugar donde poner condiciones especiales de ejecución ni obligaciones esenciales. Regla:</w:t>
      </w:r>
    </w:p>
    <w:p>
      <w:pPr>
        <w:pStyle w:val="ListParagraph"/>
        <w:numPr>
          <w:ilvl w:val="0"/>
          <w:numId w:val="1"/>
        </w:numPr>
        <w:spacing w:after="70" w:line="268"/>
      </w:pPr>
      <w:r>
        <w:rPr>
          <w:rFonts w:ascii="Calibri" w:cs="Calibri" w:eastAsia="Calibri" w:hAnsi="Calibri"/>
          <w:b/>
          <w:bCs/>
          <w:sz w:val="21"/>
          <w:szCs w:val="21"/>
        </w:rPr>
        <w:t xml:space="preserve">No se incorporan</w:t>
      </w:r>
      <w:r>
        <w:rPr>
          <w:rFonts w:ascii="Calibri" w:cs="Calibri" w:eastAsia="Calibri" w:hAnsi="Calibri"/>
          <w:sz w:val="21"/>
          <w:szCs w:val="21"/>
        </w:rPr>
        <w:t xml:space="preserve"> cláusulas del catálogo que exijan verificación periódica, comisión de seguimiento, planes anuales, depósito de código o demostraciones. Al no haber pliego, no caben condiciones especiales de ejecución, penalidades tipificadas, obligaciones esenciales con efecto resolutorio ni criterios de adjudicación.</w:t>
      </w:r>
    </w:p>
    <w:p>
      <w:pPr>
        <w:pStyle w:val="ListParagraph"/>
        <w:numPr>
          <w:ilvl w:val="0"/>
          <w:numId w:val="1"/>
        </w:numPr>
        <w:spacing w:after="70" w:line="268"/>
      </w:pPr>
      <w:r>
        <w:rPr>
          <w:rFonts w:ascii="Calibri" w:cs="Calibri" w:eastAsia="Calibri" w:hAnsi="Calibri"/>
          <w:b/>
          <w:bCs/>
          <w:sz w:val="21"/>
          <w:szCs w:val="21"/>
        </w:rPr>
        <w:t xml:space="preserve">Sí se hacen constar en el encargo o en la aceptación de la oferta</w:t>
      </w:r>
      <w:r>
        <w:rPr>
          <w:rFonts w:ascii="Calibri" w:cs="Calibri" w:eastAsia="Calibri" w:hAnsi="Calibri"/>
          <w:sz w:val="21"/>
          <w:szCs w:val="21"/>
        </w:rPr>
        <w:t xml:space="preserve"> las exigencias de las letras a) a f) que siguen, y sólo ésas.</w:t>
      </w:r>
    </w:p>
    <w:p>
      <w:pPr>
        <w:spacing w:after="140" w:line="276"/>
      </w:pPr>
      <w:r>
        <w:rPr>
          <w:rFonts w:ascii="Calibri" w:cs="Calibri" w:eastAsia="Calibri" w:hAnsi="Calibri"/>
          <w:b/>
          <w:bCs/>
          <w:sz w:val="21"/>
          <w:szCs w:val="21"/>
        </w:rPr>
        <w:t xml:space="preserve">La relación cerrada del contrato menor.</w:t>
      </w:r>
      <w:r>
        <w:rPr>
          <w:rFonts w:ascii="Calibri" w:cs="Calibri" w:eastAsia="Calibri" w:hAnsi="Calibri"/>
          <w:sz w:val="21"/>
          <w:szCs w:val="21"/>
        </w:rPr>
        <w:t xml:space="preserve"> Ésta es la </w:t>
      </w:r>
      <w:r>
        <w:rPr>
          <w:rFonts w:ascii="Calibri" w:cs="Calibri" w:eastAsia="Calibri" w:hAnsi="Calibri"/>
          <w:b/>
          <w:bCs/>
          <w:sz w:val="21"/>
          <w:szCs w:val="21"/>
        </w:rPr>
        <w:t xml:space="preserve">relación cerrada y la fuente única</w:t>
      </w:r>
      <w:r>
        <w:rPr>
          <w:rFonts w:ascii="Calibri" w:cs="Calibri" w:eastAsia="Calibri" w:hAnsi="Calibri"/>
          <w:sz w:val="21"/>
          <w:szCs w:val="21"/>
        </w:rPr>
        <w:t xml:space="preserve"> de todo el catálogo para este supuesto: a ella remiten la Parte 0, §0.6, la Parte I, §2.4.a), las cláusulas de la Parte II en su epígrafe </w:t>
      </w:r>
      <w:r>
        <w:rPr>
          <w:rFonts w:ascii="Calibri" w:cs="Calibri" w:eastAsia="Calibri" w:hAnsi="Calibri"/>
          <w:i/>
          <w:iCs/>
          <w:sz w:val="21"/>
          <w:szCs w:val="21"/>
        </w:rPr>
        <w:t xml:space="preserve">cuándo NO se aplica</w:t>
      </w:r>
      <w:r>
        <w:rPr>
          <w:rFonts w:ascii="Calibri" w:cs="Calibri" w:eastAsia="Calibri" w:hAnsi="Calibri"/>
          <w:sz w:val="21"/>
          <w:szCs w:val="21"/>
        </w:rPr>
        <w:t xml:space="preserve"> y la Parte IV. La memoria justificativa reproduce estas mismas letras en su §M4.3: si se modifica aquí, hay que modificarlas allí. Ninguna de las seis deriva del catálogo: todas derivan de una norma que se aplica al contrato menor igual que a cualquier otro contrato, y por eso caben sin pliego.</w:t>
      </w:r>
    </w:p>
    <w:p>
      <w:pPr>
        <w:pStyle w:val="ListParagraph"/>
        <w:numPr>
          <w:ilvl w:val="0"/>
          <w:numId w:val="1"/>
        </w:numPr>
        <w:spacing w:after="70" w:line="268"/>
      </w:pPr>
      <w:r>
        <w:rPr>
          <w:rFonts w:ascii="Calibri" w:cs="Calibri" w:eastAsia="Calibri" w:hAnsi="Calibri"/>
          <w:b/>
          <w:bCs/>
          <w:sz w:val="21"/>
          <w:szCs w:val="21"/>
        </w:rPr>
        <w:t xml:space="preserve">a) Conformidad con el ENS</w:t>
      </w:r>
      <w:r>
        <w:rPr>
          <w:rFonts w:ascii="Calibri" w:cs="Calibri" w:eastAsia="Calibri" w:hAnsi="Calibri"/>
          <w:sz w:val="21"/>
          <w:szCs w:val="21"/>
        </w:rPr>
        <w:t xml:space="preserve"> en la categoría que corresponda al sistema, en los términos del art. 2.3 del RD 311/2022.</w:t>
      </w:r>
    </w:p>
    <w:p>
      <w:pPr>
        <w:pStyle w:val="ListParagraph"/>
        <w:numPr>
          <w:ilvl w:val="0"/>
          <w:numId w:val="1"/>
        </w:numPr>
        <w:spacing w:after="70" w:line="268"/>
      </w:pPr>
      <w:r>
        <w:rPr>
          <w:rFonts w:ascii="Calibri" w:cs="Calibri" w:eastAsia="Calibri" w:hAnsi="Calibri"/>
          <w:b/>
          <w:bCs/>
          <w:sz w:val="21"/>
          <w:szCs w:val="21"/>
        </w:rPr>
        <w:t xml:space="preserve">b) Protección de datos</w:t>
      </w:r>
      <w:r>
        <w:rPr>
          <w:rFonts w:ascii="Calibri" w:cs="Calibri" w:eastAsia="Calibri" w:hAnsi="Calibri"/>
          <w:sz w:val="21"/>
          <w:szCs w:val="21"/>
        </w:rPr>
        <w:t xml:space="preserve">: sometimiento a su normativa y, cuando el contratista trate datos personales por cuenta del Ayuntamiento, encargo de tratamiento en los términos del art. 28 del Reglamento (UE) 2016/679.</w:t>
      </w:r>
    </w:p>
    <w:p>
      <w:pPr>
        <w:pStyle w:val="ListParagraph"/>
        <w:numPr>
          <w:ilvl w:val="0"/>
          <w:numId w:val="1"/>
        </w:numPr>
        <w:spacing w:after="70" w:line="268"/>
      </w:pPr>
      <w:r>
        <w:rPr>
          <w:rFonts w:ascii="Calibri" w:cs="Calibri" w:eastAsia="Calibri" w:hAnsi="Calibri"/>
          <w:b/>
          <w:bCs/>
          <w:sz w:val="21"/>
          <w:szCs w:val="21"/>
        </w:rPr>
        <w:t xml:space="preserve">c) Ubicación de los servidores</w:t>
      </w:r>
      <w:r>
        <w:rPr>
          <w:rFonts w:ascii="Calibri" w:cs="Calibri" w:eastAsia="Calibri" w:hAnsi="Calibri"/>
          <w:sz w:val="21"/>
          <w:szCs w:val="21"/>
        </w:rPr>
        <w:t xml:space="preserve"> y lugar desde el que se prestan los servicios asociados, en ese mismo supuesto.</w:t>
      </w:r>
    </w:p>
    <w:p>
      <w:pPr>
        <w:pStyle w:val="ListParagraph"/>
        <w:numPr>
          <w:ilvl w:val="0"/>
          <w:numId w:val="1"/>
        </w:numPr>
        <w:spacing w:after="70" w:line="268"/>
      </w:pPr>
      <w:r>
        <w:rPr>
          <w:rFonts w:ascii="Calibri" w:cs="Calibri" w:eastAsia="Calibri" w:hAnsi="Calibri"/>
          <w:b/>
          <w:bCs/>
          <w:sz w:val="21"/>
          <w:szCs w:val="21"/>
        </w:rPr>
        <w:t xml:space="preserve">d) Entrega de los datos municipales y de su diccionario</w:t>
      </w:r>
      <w:r>
        <w:rPr>
          <w:rFonts w:ascii="Calibri" w:cs="Calibri" w:eastAsia="Calibri" w:hAnsi="Calibri"/>
          <w:sz w:val="21"/>
          <w:szCs w:val="21"/>
        </w:rPr>
        <w:t xml:space="preserve"> al finalizar, en formato abierto y sin coste por la extracción.</w:t>
      </w:r>
    </w:p>
    <w:p>
      <w:pPr>
        <w:pStyle w:val="ListParagraph"/>
        <w:numPr>
          <w:ilvl w:val="0"/>
          <w:numId w:val="1"/>
        </w:numPr>
        <w:spacing w:after="70" w:line="268"/>
      </w:pPr>
      <w:r>
        <w:rPr>
          <w:rFonts w:ascii="Calibri" w:cs="Calibri" w:eastAsia="Calibri" w:hAnsi="Calibri"/>
          <w:b/>
          <w:bCs/>
          <w:sz w:val="21"/>
          <w:szCs w:val="21"/>
        </w:rPr>
        <w:t xml:space="preserve">e) Mención «o equivalente» y trámite de prueba</w:t>
      </w:r>
      <w:r>
        <w:rPr>
          <w:rFonts w:ascii="Calibri" w:cs="Calibri" w:eastAsia="Calibri" w:hAnsi="Calibri"/>
          <w:sz w:val="21"/>
          <w:szCs w:val="21"/>
        </w:rPr>
        <w:t xml:space="preserve"> (</w:t>
      </w:r>
      <w:r>
        <w:rPr>
          <w:rFonts w:ascii="Calibri" w:cs="Calibri" w:eastAsia="Calibri" w:hAnsi="Calibri"/>
          <w:color w:val="2F5496"/>
          <w:sz w:val="21"/>
          <w:szCs w:val="21"/>
        </w:rPr>
        <w:t xml:space="preserve">DT-0·v3</w:t>
      </w:r>
      <w:r>
        <w:rPr>
          <w:rFonts w:ascii="Calibri" w:cs="Calibri" w:eastAsia="Calibri" w:hAnsi="Calibri"/>
          <w:sz w:val="21"/>
          <w:szCs w:val="21"/>
        </w:rPr>
        <w:t xml:space="preserve">), si el encargo cita un producto, un protocolo o una norma por su nombre.</w:t>
      </w:r>
    </w:p>
    <w:p>
      <w:pPr>
        <w:pStyle w:val="ListParagraph"/>
        <w:numPr>
          <w:ilvl w:val="0"/>
          <w:numId w:val="1"/>
        </w:numPr>
        <w:spacing w:after="70" w:line="268"/>
      </w:pPr>
      <w:r>
        <w:rPr>
          <w:rFonts w:ascii="Calibri" w:cs="Calibri" w:eastAsia="Calibri" w:hAnsi="Calibri"/>
          <w:b/>
          <w:bCs/>
          <w:sz w:val="21"/>
          <w:szCs w:val="21"/>
        </w:rPr>
        <w:t xml:space="preserve">f) Consulta previa al directorio general de aplicaciones</w:t>
      </w:r>
      <w:r>
        <w:rPr>
          <w:rFonts w:ascii="Calibri" w:cs="Calibri" w:eastAsia="Calibri" w:hAnsi="Calibri"/>
          <w:sz w:val="21"/>
          <w:szCs w:val="21"/>
        </w:rPr>
        <w:t xml:space="preserve"> y, si no se reutiliza una aplicación existente, justificación en términos de eficiencia (art. 157.3 de la Ley 40/2015), que no tiene umbral. Esta letra es trámite del expediente del encargo, no cláusula que se traslade al contratista.</w:t>
      </w:r>
    </w:p>
    <w:p>
      <w:pPr>
        <w:spacing w:after="140" w:line="276"/>
      </w:pPr>
      <w:r>
        <w:rPr>
          <w:rFonts w:ascii="Calibri" w:cs="Calibri" w:eastAsia="Calibri" w:hAnsi="Calibri"/>
          <w:b/>
          <w:bCs/>
          <w:sz w:val="21"/>
          <w:szCs w:val="21"/>
        </w:rPr>
        <w:t xml:space="preserve">Regla de lectura, para el técnico que tiene un menor sobre la mesa.</w:t>
      </w:r>
      <w:r>
        <w:rPr>
          <w:rFonts w:ascii="Calibri" w:cs="Calibri" w:eastAsia="Calibri" w:hAnsi="Calibri"/>
          <w:sz w:val="21"/>
          <w:szCs w:val="21"/>
        </w:rPr>
        <w:t xml:space="preserve"> Lo que se puede incorporar son las seis letras anteriores. Lo que no se puede incorporar es todo lo demás de este catálogo. Y el porqué es uno solo y sirve para las dos respuestas: </w:t>
      </w:r>
      <w:r>
        <w:rPr>
          <w:rFonts w:ascii="Calibri" w:cs="Calibri" w:eastAsia="Calibri" w:hAnsi="Calibri"/>
          <w:b/>
          <w:bCs/>
          <w:sz w:val="21"/>
          <w:szCs w:val="21"/>
        </w:rPr>
        <w:t xml:space="preserve">las seis letras obligan por norma propia, y las cláusulas del catálogo obligan porque están en un pliego que aquí no existe</w:t>
      </w:r>
      <w:r>
        <w:rPr>
          <w:rFonts w:ascii="Calibri" w:cs="Calibri" w:eastAsia="Calibri" w:hAnsi="Calibri"/>
          <w:sz w:val="21"/>
          <w:szCs w:val="21"/>
        </w:rPr>
        <w:t xml:space="preserve">. Si un encargo necesita más de esas seis letras, lo que hay que revisar no es la lista: es si ese objeto era un contrato menor.</w:t>
      </w:r>
    </w:p>
    <w:p>
      <w:pPr>
        <w:spacing w:after="140" w:line="276"/>
      </w:pPr>
      <w:r>
        <w:rPr>
          <w:rFonts w:ascii="Calibri" w:cs="Calibri" w:eastAsia="Calibri" w:hAnsi="Calibri"/>
          <w:b/>
          <w:bCs/>
          <w:sz w:val="21"/>
          <w:szCs w:val="21"/>
        </w:rPr>
        <w:t xml:space="preserve">Advertencia.</w:t>
      </w:r>
      <w:r>
        <w:rPr>
          <w:rFonts w:ascii="Calibri" w:cs="Calibri" w:eastAsia="Calibri" w:hAnsi="Calibri"/>
          <w:sz w:val="21"/>
          <w:szCs w:val="21"/>
        </w:rPr>
        <w:t xml:space="preserve"> Trocear en menores lo que es una necesidad única para evitar el pliego está prohibido por el propio art. 118.2 y por el art. 101.4. Si el catálogo empuja a hacerlo, el problema es el diseño del contrato, no el catálogo.</w:t>
      </w:r>
    </w:p>
    <w:p>
      <w:pPr>
        <w:pStyle w:val="Heading3"/>
        <w:keepNext/>
        <w:spacing w:after="140" w:before="320"/>
      </w:pPr>
      <w:r>
        <w:rPr>
          <w:rFonts w:ascii="Georgia" w:cs="Georgia" w:eastAsia="Georgia" w:hAnsi="Georgia"/>
          <w:b/>
          <w:bCs/>
          <w:color w:val="2F5496"/>
          <w:sz w:val="22"/>
          <w:szCs w:val="22"/>
        </w:rPr>
        <w:t xml:space="preserve">V.7.2 · Contratos basados en acuerdo marco y adhesiones a centrales de contratación</w:t>
      </w:r>
    </w:p>
    <w:p>
      <w:pPr>
        <w:spacing w:after="140" w:line="276"/>
      </w:pPr>
      <w:r>
        <w:rPr>
          <w:rFonts w:ascii="Calibri" w:cs="Calibri" w:eastAsia="Calibri" w:hAnsi="Calibri"/>
          <w:b/>
          <w:bCs/>
          <w:sz w:val="21"/>
          <w:szCs w:val="21"/>
        </w:rPr>
        <w:t xml:space="preserve">El punto de partida.</w:t>
      </w:r>
      <w:r>
        <w:rPr>
          <w:rFonts w:ascii="Calibri" w:cs="Calibri" w:eastAsia="Calibri" w:hAnsi="Calibri"/>
          <w:sz w:val="21"/>
          <w:szCs w:val="21"/>
        </w:rPr>
        <w:t xml:space="preserve"> En un contrato basado, las condiciones las fija el acuerdo marco. En una adhesión a una central de contratación, las fija quien licitó el contrato centralizado. En ninguno de los dos casos puede el ayuntamiento adherido añadir cláusulas propias que alteren el régimen del contrato.</w:t>
      </w:r>
    </w:p>
    <w:p>
      <w:pPr>
        <w:spacing w:after="140" w:line="276"/>
      </w:pPr>
      <w:r>
        <w:rPr>
          <w:rFonts w:ascii="Calibri" w:cs="Calibri" w:eastAsia="Calibri" w:hAnsi="Calibri"/>
          <w:b/>
          <w:bCs/>
          <w:sz w:val="21"/>
          <w:szCs w:val="21"/>
        </w:rPr>
        <w:t xml:space="preserve">Regla de este catálogo.</w:t>
      </w:r>
    </w:p>
    <w:p>
      <w:pPr>
        <w:pStyle w:val="ListParagraph"/>
        <w:numPr>
          <w:ilvl w:val="0"/>
          <w:numId w:val="2"/>
        </w:numPr>
        <w:spacing w:after="70" w:line="268"/>
      </w:pPr>
      <w:r>
        <w:rPr>
          <w:rFonts w:ascii="Calibri" w:cs="Calibri" w:eastAsia="Calibri" w:hAnsi="Calibri"/>
          <w:b/>
          <w:bCs/>
          <w:sz w:val="21"/>
          <w:szCs w:val="21"/>
        </w:rPr>
        <w:t xml:space="preserve">No se añaden cláusulas del catálogo a un contrato basado o a una adhesión.</w:t>
      </w:r>
      <w:r>
        <w:rPr>
          <w:rFonts w:ascii="Calibri" w:cs="Calibri" w:eastAsia="Calibri" w:hAnsi="Calibri"/>
          <w:sz w:val="21"/>
          <w:szCs w:val="21"/>
        </w:rPr>
        <w:t xml:space="preserve"> Marcar SÍ una cláusula que el acuerdo marco no contempla es introducir una condición que el adjudicatario no ofertó.</w:t>
      </w:r>
    </w:p>
    <w:p>
      <w:pPr>
        <w:pStyle w:val="ListParagraph"/>
        <w:numPr>
          <w:ilvl w:val="0"/>
          <w:numId w:val="2"/>
        </w:numPr>
        <w:spacing w:after="70" w:line="268"/>
      </w:pPr>
      <w:r>
        <w:rPr>
          <w:rFonts w:ascii="Calibri" w:cs="Calibri" w:eastAsia="Calibri" w:hAnsi="Calibri"/>
          <w:b/>
          <w:bCs/>
          <w:sz w:val="21"/>
          <w:szCs w:val="21"/>
        </w:rPr>
        <w:t xml:space="preserve">Sí se comprueba, antes de adherirse</w:t>
      </w:r>
      <w:r>
        <w:rPr>
          <w:rFonts w:ascii="Calibri" w:cs="Calibri" w:eastAsia="Calibri" w:hAnsi="Calibri"/>
          <w:sz w:val="21"/>
          <w:szCs w:val="21"/>
        </w:rPr>
        <w:t xml:space="preserve">, qué cubre el acuerdo marco de lo que este catálogo consideraría necesario: conformidad ENS del sistema, ubicación de servidores, reversibilidad y formatos de salida, y titularidad o licencia de lo que se desarrolle a medida. El resultado de esa comprobación se hace constar en el informe de necesidad.</w:t>
      </w:r>
    </w:p>
    <w:p>
      <w:pPr>
        <w:pStyle w:val="ListParagraph"/>
        <w:numPr>
          <w:ilvl w:val="0"/>
          <w:numId w:val="2"/>
        </w:numPr>
        <w:spacing w:after="70" w:line="268"/>
      </w:pPr>
      <w:r>
        <w:rPr>
          <w:rFonts w:ascii="Calibri" w:cs="Calibri" w:eastAsia="Calibri" w:hAnsi="Calibri"/>
          <w:b/>
          <w:bCs/>
          <w:sz w:val="21"/>
          <w:szCs w:val="21"/>
        </w:rPr>
        <w:t xml:space="preserve">Si el acuerdo marco no cubre una necesidad que sí concurre</w:t>
      </w:r>
      <w:r>
        <w:rPr>
          <w:rFonts w:ascii="Calibri" w:cs="Calibri" w:eastAsia="Calibri" w:hAnsi="Calibri"/>
          <w:sz w:val="21"/>
          <w:szCs w:val="21"/>
        </w:rPr>
        <w:t xml:space="preserve">, la decisión no es forzar el basado: es motivar en el expediente por qué se licita por separado, o asumir expresamente la limitación y hacerla constar.</w:t>
      </w:r>
    </w:p>
    <w:p>
      <w:pPr>
        <w:pStyle w:val="ListParagraph"/>
        <w:numPr>
          <w:ilvl w:val="0"/>
          <w:numId w:val="2"/>
        </w:numPr>
        <w:spacing w:after="70" w:line="268"/>
      </w:pPr>
      <w:r>
        <w:rPr>
          <w:rFonts w:ascii="Calibri" w:cs="Calibri" w:eastAsia="Calibri" w:hAnsi="Calibri"/>
          <w:b/>
          <w:bCs/>
          <w:sz w:val="21"/>
          <w:szCs w:val="21"/>
        </w:rPr>
        <w:t xml:space="preserve">Cuando el Ayuntamiento sea quien licite el acuerdo marco</w:t>
      </w:r>
      <w:r>
        <w:rPr>
          <w:rFonts w:ascii="Calibri" w:cs="Calibri" w:eastAsia="Calibri" w:hAnsi="Calibri"/>
          <w:sz w:val="21"/>
          <w:szCs w:val="21"/>
        </w:rPr>
        <w:t xml:space="preserve">, entonces sí: es el momento de incorporar el catálogo, porque las condiciones del acuerdo marco se trasladan a todos los basados. Recuérdese que los acuerdos marco y los contratos basados en ellos son recurribles en los términos del art. 44.1.b).</w:t>
      </w:r>
    </w:p>
    <w:p>
      <w:pPr>
        <w:pStyle w:val="Heading3"/>
        <w:keepNext/>
        <w:spacing w:after="140" w:before="320"/>
      </w:pPr>
      <w:r>
        <w:rPr>
          <w:rFonts w:ascii="Georgia" w:cs="Georgia" w:eastAsia="Georgia" w:hAnsi="Georgia"/>
          <w:b/>
          <w:bCs/>
          <w:color w:val="2F5496"/>
          <w:sz w:val="22"/>
          <w:szCs w:val="22"/>
        </w:rPr>
        <w:t xml:space="preserve">V.7.3 · Prórrogas y contratos en ejecución</w:t>
      </w:r>
    </w:p>
    <w:p>
      <w:pPr>
        <w:spacing w:after="140" w:line="276"/>
      </w:pPr>
      <w:r>
        <w:rPr>
          <w:rFonts w:ascii="Calibri" w:cs="Calibri" w:eastAsia="Calibri" w:hAnsi="Calibri"/>
          <w:b/>
          <w:bCs/>
          <w:sz w:val="21"/>
          <w:szCs w:val="21"/>
        </w:rPr>
        <w:t xml:space="preserve">La regla.</w:t>
      </w:r>
      <w:r>
        <w:rPr>
          <w:rFonts w:ascii="Calibri" w:cs="Calibri" w:eastAsia="Calibri" w:hAnsi="Calibri"/>
          <w:sz w:val="21"/>
          <w:szCs w:val="21"/>
        </w:rPr>
        <w:t xml:space="preserve"> Una prórroga extiende el contrato «siempre que sus características permanezcan inalterables durante el período de duración de estas» (art. 29.2 LCSP). No es el cauce para introducir obligaciones nuevas.</w:t>
      </w:r>
    </w:p>
    <w:p>
      <w:pPr>
        <w:spacing w:after="140" w:line="276"/>
      </w:pPr>
      <w:r>
        <w:rPr>
          <w:rFonts w:ascii="Calibri" w:cs="Calibri" w:eastAsia="Calibri" w:hAnsi="Calibri"/>
          <w:b/>
          <w:bCs/>
          <w:sz w:val="21"/>
          <w:szCs w:val="21"/>
        </w:rPr>
        <w:t xml:space="preserve">Lo que sí cabe.</w:t>
      </w:r>
    </w:p>
    <w:p>
      <w:pPr>
        <w:pStyle w:val="ListParagraph"/>
        <w:numPr>
          <w:ilvl w:val="0"/>
          <w:numId w:val="1"/>
        </w:numPr>
        <w:spacing w:after="70" w:line="268"/>
      </w:pPr>
      <w:r>
        <w:rPr>
          <w:rFonts w:ascii="Calibri" w:cs="Calibri" w:eastAsia="Calibri" w:hAnsi="Calibri"/>
          <w:b/>
          <w:bCs/>
          <w:sz w:val="21"/>
          <w:szCs w:val="21"/>
        </w:rPr>
        <w:t xml:space="preserve">Nada por la vía de la prórroga.</w:t>
      </w:r>
      <w:r>
        <w:rPr>
          <w:rFonts w:ascii="Calibri" w:cs="Calibri" w:eastAsia="Calibri" w:hAnsi="Calibri"/>
          <w:sz w:val="21"/>
          <w:szCs w:val="21"/>
        </w:rPr>
        <w:t xml:space="preserve"> No se incorporan cláusulas del catálogo al prorrogar.</w:t>
      </w:r>
    </w:p>
    <w:p>
      <w:pPr>
        <w:pStyle w:val="ListParagraph"/>
        <w:numPr>
          <w:ilvl w:val="0"/>
          <w:numId w:val="1"/>
        </w:numPr>
        <w:spacing w:after="70" w:line="268"/>
      </w:pPr>
      <w:r>
        <w:rPr>
          <w:rFonts w:ascii="Calibri" w:cs="Calibri" w:eastAsia="Calibri" w:hAnsi="Calibri"/>
          <w:b/>
          <w:bCs/>
          <w:sz w:val="21"/>
          <w:szCs w:val="21"/>
        </w:rPr>
        <w:t xml:space="preserve">Por la vía de la modificación</w:t>
      </w:r>
      <w:r>
        <w:rPr>
          <w:rFonts w:ascii="Calibri" w:cs="Calibri" w:eastAsia="Calibri" w:hAnsi="Calibri"/>
          <w:sz w:val="21"/>
          <w:szCs w:val="21"/>
        </w:rPr>
        <w:t xml:space="preserve">, sólo si concurre alguno de los supuestos de los arts. 203 a 205 LCSP y con el informe jurídico preceptivo, que también lo es en las modificaciones (DA 3.ª.8 LCSP).</w:t>
      </w:r>
    </w:p>
    <w:p>
      <w:pPr>
        <w:pStyle w:val="ListParagraph"/>
        <w:numPr>
          <w:ilvl w:val="0"/>
          <w:numId w:val="1"/>
        </w:numPr>
        <w:spacing w:after="70" w:line="268"/>
      </w:pPr>
      <w:r>
        <w:rPr>
          <w:rFonts w:ascii="Calibri" w:cs="Calibri" w:eastAsia="Calibri" w:hAnsi="Calibri"/>
          <w:b/>
          <w:bCs/>
          <w:sz w:val="21"/>
          <w:szCs w:val="21"/>
        </w:rPr>
        <w:t xml:space="preserve">Por acuerdo con el contratista</w:t>
      </w:r>
      <w:r>
        <w:rPr>
          <w:rFonts w:ascii="Calibri" w:cs="Calibri" w:eastAsia="Calibri" w:hAnsi="Calibri"/>
          <w:sz w:val="21"/>
          <w:szCs w:val="21"/>
        </w:rPr>
        <w:t xml:space="preserve"> cuando la obligación no altere el equilibrio económico y él la acepte por escrito: es el cauce razonable para cosas como la entrega del diccionario de datos o la habilitación de un acceso de consulta, y sirve de puente hasta la licitación siguiente.</w:t>
      </w:r>
    </w:p>
    <w:p>
      <w:pPr>
        <w:pStyle w:val="ListParagraph"/>
        <w:numPr>
          <w:ilvl w:val="0"/>
          <w:numId w:val="1"/>
        </w:numPr>
        <w:spacing w:after="70" w:line="268"/>
      </w:pPr>
      <w:r>
        <w:rPr>
          <w:rFonts w:ascii="Calibri" w:cs="Calibri" w:eastAsia="Calibri" w:hAnsi="Calibri"/>
          <w:b/>
          <w:bCs/>
          <w:sz w:val="21"/>
          <w:szCs w:val="21"/>
        </w:rPr>
        <w:t xml:space="preserve">La prórroga es, sin embargo, el momento de decidir.</w:t>
      </w:r>
      <w:r>
        <w:rPr>
          <w:rFonts w:ascii="Calibri" w:cs="Calibri" w:eastAsia="Calibri" w:hAnsi="Calibri"/>
          <w:sz w:val="21"/>
          <w:szCs w:val="21"/>
        </w:rPr>
        <w:t xml:space="preserve"> Al preparar el informe de la prórroga se hace la comprobación del art. 157.3 de la Ley 40/2015 —que alcanza al mantenimiento «a lo largo de todo el ciclo de vida»— y se deja escrito qué cláusulas del catálogo deberán incorporarse cuando el contrato se relicite. Ese párrafo es lo que evita que dentro de tres años se vuelva a empezar de cero.</w:t>
      </w:r>
    </w:p>
    <w:p>
      <w:pPr>
        <w:spacing w:after="140" w:line="276"/>
      </w:pPr>
      <w:r>
        <w:rPr>
          <w:rFonts w:ascii="Calibri" w:cs="Calibri" w:eastAsia="Calibri" w:hAnsi="Calibri"/>
          <w:b/>
          <w:bCs/>
          <w:sz w:val="21"/>
          <w:szCs w:val="21"/>
        </w:rPr>
        <w:t xml:space="preserve">Contratos ya redactados con la versión 2 del clausulado.</w:t>
      </w:r>
      <w:r>
        <w:rPr>
          <w:rFonts w:ascii="Calibri" w:cs="Calibri" w:eastAsia="Calibri" w:hAnsi="Calibri"/>
          <w:sz w:val="21"/>
          <w:szCs w:val="21"/>
        </w:rPr>
        <w:t xml:space="preserve"> Si el expediente aún no está aprobado, se rehace con la versión 3 antes de aprobarlo: es más barato rehacer que rectificar. Si ya está aprobado y publicado, no se retoca el PCAP —sólo cabría por error material, art. 122.1—: se documenta la divergencia y se corrige en la relicitación. El régimen del contrato </w:t>
      </w:r>
      <w:r>
        <w:rPr>
          <w:rFonts w:ascii="Calibri" w:cs="Calibri" w:eastAsia="Calibri" w:hAnsi="Calibri"/>
          <w:b/>
          <w:bCs/>
          <w:sz w:val="21"/>
          <w:szCs w:val="21"/>
        </w:rPr>
        <w:t xml:space="preserve">ya formalizado y en ejecución</w:t>
      </w:r>
      <w:r>
        <w:rPr>
          <w:rFonts w:ascii="Calibri" w:cs="Calibri" w:eastAsia="Calibri" w:hAnsi="Calibri"/>
          <w:sz w:val="21"/>
          <w:szCs w:val="21"/>
        </w:rPr>
        <w:t xml:space="preserve"> con cláusulas de la versión 2 está en el </w:t>
      </w:r>
      <w:r>
        <w:rPr>
          <w:rFonts w:ascii="Calibri" w:cs="Calibri" w:eastAsia="Calibri" w:hAnsi="Calibri"/>
          <w:b/>
          <w:bCs/>
          <w:sz w:val="21"/>
          <w:szCs w:val="21"/>
        </w:rPr>
        <w:t xml:space="preserve">Anexo XXIV</w:t>
      </w:r>
      <w:r>
        <w:rPr>
          <w:rFonts w:ascii="Calibri" w:cs="Calibri" w:eastAsia="Calibri" w:hAnsi="Calibri"/>
          <w:sz w:val="21"/>
          <w:szCs w:val="21"/>
        </w:rPr>
        <w:t xml:space="preserve">: los pliegos son </w:t>
      </w:r>
      <w:r>
        <w:rPr>
          <w:rFonts w:ascii="Calibri" w:cs="Calibri" w:eastAsia="Calibri" w:hAnsi="Calibri"/>
          <w:i/>
          <w:iCs/>
          <w:sz w:val="21"/>
          <w:szCs w:val="21"/>
        </w:rPr>
        <w:t xml:space="preserve">lex contractus</w:t>
      </w:r>
      <w:r>
        <w:rPr>
          <w:rFonts w:ascii="Calibri" w:cs="Calibri" w:eastAsia="Calibri" w:hAnsi="Calibri"/>
          <w:sz w:val="21"/>
          <w:szCs w:val="21"/>
        </w:rPr>
        <w:t xml:space="preserve"> y las correcciones de la versión 3 no se aplican retroactivamente.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V.8 · Custodia y versionado del propio catálogo</w:t>
      </w:r>
    </w:p>
    <w:p>
      <w:pPr>
        <w:spacing w:after="140" w:line="276"/>
      </w:pPr>
      <w:r>
        <w:rPr>
          <w:rFonts w:ascii="Calibri" w:cs="Calibri" w:eastAsia="Calibri" w:hAnsi="Calibri"/>
          <w:sz w:val="21"/>
          <w:szCs w:val="21"/>
        </w:rPr>
        <w:t xml:space="preserve">Sin este apartado, en seis meses circulan cinco documentos distintos, tres de ellos por correo electrónico, y nadie sabe cuál rige. Es el fallo más previsible y el más barato de evitar.</w:t>
      </w:r>
    </w:p>
    <w:p>
      <w:pPr>
        <w:pStyle w:val="Heading3"/>
        <w:keepNext/>
        <w:spacing w:after="140" w:before="320"/>
      </w:pPr>
      <w:r>
        <w:rPr>
          <w:rFonts w:ascii="Georgia" w:cs="Georgia" w:eastAsia="Georgia" w:hAnsi="Georgia"/>
          <w:b/>
          <w:bCs/>
          <w:color w:val="2F5496"/>
          <w:sz w:val="22"/>
          <w:szCs w:val="22"/>
        </w:rPr>
        <w:t xml:space="preserve">V.8.1 · Dónde vive el maestro</w:t>
      </w:r>
    </w:p>
    <w:p>
      <w:pPr>
        <w:spacing w:after="140" w:line="276"/>
      </w:pPr>
      <w:r>
        <w:rPr>
          <w:rFonts w:ascii="Calibri" w:cs="Calibri" w:eastAsia="Calibri" w:hAnsi="Calibri"/>
          <w:b/>
          <w:bCs/>
          <w:sz w:val="21"/>
          <w:szCs w:val="21"/>
        </w:rPr>
        <w:t xml:space="preserve">Regla.</w:t>
      </w:r>
      <w:r>
        <w:rPr>
          <w:rFonts w:ascii="Calibri" w:cs="Calibri" w:eastAsia="Calibri" w:hAnsi="Calibri"/>
          <w:sz w:val="21"/>
          <w:szCs w:val="21"/>
        </w:rPr>
        <w:t xml:space="preserve"> Hay un único ejemplar maestro, y vive en el gestor documental corporativo, no en un ordenador, no en una carpeta compartida y no en un adjunto de correo. Todo lo demás son copias.</w:t>
      </w:r>
    </w:p>
    <w:p>
      <w:pPr>
        <w:spacing w:after="140" w:line="276"/>
      </w:pPr>
      <w:r>
        <w:rPr>
          <w:rFonts w:ascii="Calibri" w:cs="Calibri" w:eastAsia="Calibri" w:hAnsi="Calibri"/>
          <w:sz w:val="21"/>
          <w:szCs w:val="21"/>
        </w:rPr>
        <w:t xml:space="preserve">Identificación mínima del maestro, en la portada y en el pie de cada página:</w:t>
      </w:r>
    </w:p>
    <w:p>
      <w:pPr>
        <w:pStyle w:val="ListParagraph"/>
        <w:numPr>
          <w:ilvl w:val="0"/>
          <w:numId w:val="1"/>
        </w:numPr>
        <w:spacing w:after="70" w:line="268"/>
      </w:pPr>
      <w:r>
        <w:rPr>
          <w:rFonts w:ascii="Calibri" w:cs="Calibri" w:eastAsia="Calibri" w:hAnsi="Calibri"/>
          <w:sz w:val="21"/>
          <w:szCs w:val="21"/>
        </w:rPr>
        <w:t xml:space="preserve">Denominación completa del documento.</w:t>
      </w:r>
    </w:p>
    <w:p>
      <w:pPr>
        <w:pStyle w:val="ListParagraph"/>
        <w:numPr>
          <w:ilvl w:val="0"/>
          <w:numId w:val="1"/>
        </w:numPr>
        <w:spacing w:after="70" w:line="268"/>
      </w:pPr>
      <w:r>
        <w:rPr>
          <w:rFonts w:ascii="Calibri" w:cs="Calibri" w:eastAsia="Calibri" w:hAnsi="Calibri"/>
          <w:b/>
          <w:bCs/>
          <w:sz w:val="21"/>
          <w:szCs w:val="21"/>
        </w:rPr>
        <w:t xml:space="preserve">Número de versión</w:t>
      </w:r>
      <w:r>
        <w:rPr>
          <w:rFonts w:ascii="Calibri" w:cs="Calibri" w:eastAsia="Calibri" w:hAnsi="Calibri"/>
          <w:sz w:val="21"/>
          <w:szCs w:val="21"/>
        </w:rPr>
        <w:t xml:space="preserve"> (formato mayor.menor, por ejemplo 3.0, 3.1).</w:t>
      </w:r>
    </w:p>
    <w:p>
      <w:pPr>
        <w:pStyle w:val="ListParagraph"/>
        <w:numPr>
          <w:ilvl w:val="0"/>
          <w:numId w:val="1"/>
        </w:numPr>
        <w:spacing w:after="70" w:line="268"/>
      </w:pPr>
      <w:r>
        <w:rPr>
          <w:rFonts w:ascii="Calibri" w:cs="Calibri" w:eastAsia="Calibri" w:hAnsi="Calibri"/>
          <w:b/>
          <w:bCs/>
          <w:sz w:val="21"/>
          <w:szCs w:val="21"/>
        </w:rPr>
        <w:t xml:space="preserve">Fecha de aprobación</w:t>
      </w:r>
      <w:r>
        <w:rPr>
          <w:rFonts w:ascii="Calibri" w:cs="Calibri" w:eastAsia="Calibri" w:hAnsi="Calibri"/>
          <w:sz w:val="21"/>
          <w:szCs w:val="21"/>
        </w:rPr>
        <w:t xml:space="preserve"> y órgano que la aprobó, con número de acuerdo.</w:t>
      </w:r>
    </w:p>
    <w:p>
      <w:pPr>
        <w:pStyle w:val="ListParagraph"/>
        <w:numPr>
          <w:ilvl w:val="0"/>
          <w:numId w:val="1"/>
        </w:numPr>
        <w:spacing w:after="70" w:line="268"/>
      </w:pPr>
      <w:r>
        <w:rPr>
          <w:rFonts w:ascii="Calibri" w:cs="Calibri" w:eastAsia="Calibri" w:hAnsi="Calibri"/>
          <w:b/>
          <w:bCs/>
          <w:sz w:val="21"/>
          <w:szCs w:val="21"/>
        </w:rPr>
        <w:t xml:space="preserve">Fecha de corte normativa</w:t>
      </w:r>
      <w:r>
        <w:rPr>
          <w:rFonts w:ascii="Calibri" w:cs="Calibri" w:eastAsia="Calibri" w:hAnsi="Calibri"/>
          <w:sz w:val="21"/>
          <w:szCs w:val="21"/>
        </w:rPr>
        <w:t xml:space="preserve">: la fecha hasta la que se ha comprobado la vigencia de las normas citadas. Es distinta de la fecha de aprobación y más importante que ella.</w:t>
      </w:r>
    </w:p>
    <w:p>
      <w:pPr>
        <w:pStyle w:val="ListParagraph"/>
        <w:numPr>
          <w:ilvl w:val="0"/>
          <w:numId w:val="1"/>
        </w:numPr>
        <w:spacing w:after="70" w:line="268"/>
      </w:pPr>
      <w:r>
        <w:rPr>
          <w:rFonts w:ascii="Calibri" w:cs="Calibri" w:eastAsia="Calibri" w:hAnsi="Calibri"/>
          <w:b/>
          <w:bCs/>
          <w:sz w:val="21"/>
          <w:szCs w:val="21"/>
        </w:rPr>
        <w:t xml:space="preserve">Huella digital</w:t>
      </w:r>
      <w:r>
        <w:rPr>
          <w:rFonts w:ascii="Calibri" w:cs="Calibri" w:eastAsia="Calibri" w:hAnsi="Calibri"/>
          <w:sz w:val="21"/>
          <w:szCs w:val="21"/>
        </w:rPr>
        <w:t xml:space="preserve"> del fichero publicado (resumen criptográfico), para que cualquiera pueda comprobar que su copia es idéntica al maestro.</w:t>
      </w:r>
    </w:p>
    <w:p>
      <w:pPr>
        <w:pStyle w:val="ListParagraph"/>
        <w:numPr>
          <w:ilvl w:val="0"/>
          <w:numId w:val="1"/>
        </w:numPr>
        <w:spacing w:after="70" w:line="268"/>
      </w:pPr>
      <w:r>
        <w:rPr>
          <w:rFonts w:ascii="Calibri" w:cs="Calibri" w:eastAsia="Calibri" w:hAnsi="Calibri"/>
          <w:sz w:val="21"/>
          <w:szCs w:val="21"/>
        </w:rPr>
        <w:t xml:space="preserve">Dirección permanente en la que se publica.</w:t>
      </w:r>
    </w:p>
    <w:p>
      <w:pPr>
        <w:pStyle w:val="Heading3"/>
        <w:keepNext/>
        <w:spacing w:after="140" w:before="320"/>
      </w:pPr>
      <w:r>
        <w:rPr>
          <w:rFonts w:ascii="Georgia" w:cs="Georgia" w:eastAsia="Georgia" w:hAnsi="Georgia"/>
          <w:b/>
          <w:bCs/>
          <w:color w:val="2F5496"/>
          <w:sz w:val="22"/>
          <w:szCs w:val="22"/>
        </w:rPr>
        <w:t xml:space="preserve">V.8.2 · Qué naturaleza tiene el acto de aprobación, y qué no debe ser</w:t>
      </w:r>
    </w:p>
    <w:p>
      <w:pPr>
        <w:spacing w:after="140" w:line="276"/>
      </w:pPr>
      <w:r>
        <w:rPr>
          <w:rFonts w:ascii="Calibri" w:cs="Calibri" w:eastAsia="Calibri" w:hAnsi="Calibri"/>
          <w:b/>
          <w:bCs/>
          <w:sz w:val="21"/>
          <w:szCs w:val="21"/>
        </w:rPr>
        <w:t xml:space="preserve">Advertencia jurídica.</w:t>
      </w:r>
      <w:r>
        <w:rPr>
          <w:rFonts w:ascii="Calibri" w:cs="Calibri" w:eastAsia="Calibri" w:hAnsi="Calibri"/>
          <w:sz w:val="21"/>
          <w:szCs w:val="21"/>
        </w:rPr>
        <w:t xml:space="preserve"> Este catálogo </w:t>
      </w:r>
      <w:r>
        <w:rPr>
          <w:rFonts w:ascii="Calibri" w:cs="Calibri" w:eastAsia="Calibri" w:hAnsi="Calibri"/>
          <w:b/>
          <w:bCs/>
          <w:sz w:val="21"/>
          <w:szCs w:val="21"/>
        </w:rPr>
        <w:t xml:space="preserve">no se aprueba como pliego de cláusulas administrativas generales</w:t>
      </w:r>
      <w:r>
        <w:rPr>
          <w:rFonts w:ascii="Calibri" w:cs="Calibri" w:eastAsia="Calibri" w:hAnsi="Calibri"/>
          <w:sz w:val="21"/>
          <w:szCs w:val="21"/>
        </w:rPr>
        <w:t xml:space="preserve">. El art. 121.2 LCSP permite a las entidades locales aprobar pliegos de cláusulas administrativas generales, pero exige </w:t>
      </w:r>
      <w:r>
        <w:rPr>
          <w:rFonts w:ascii="Calibri" w:cs="Calibri" w:eastAsia="Calibri" w:hAnsi="Calibri"/>
          <w:b/>
          <w:bCs/>
          <w:sz w:val="21"/>
          <w:szCs w:val="21"/>
        </w:rPr>
        <w:t xml:space="preserve">dictamen previo del Consejo de Estado u órgano consultivo equivalente de la Comunidad Autónoma</w:t>
      </w:r>
      <w:r>
        <w:rPr>
          <w:rFonts w:ascii="Calibri" w:cs="Calibri" w:eastAsia="Calibri" w:hAnsi="Calibri"/>
          <w:sz w:val="21"/>
          <w:szCs w:val="21"/>
        </w:rPr>
        <w:t xml:space="preserve">, y en las entidades locales la competencia es del Pleno (DA 2.ª.2 y 2.ª.4 LCSP). Un pliego general, además, regiría por sí mismo, y eso es lo contrario de lo que este documento pretende: aquí ninguna cláusula rige hasta que se transcribe en un PCAP o un PPT concreto y con su ficha detrás.</w:t>
      </w:r>
    </w:p>
    <w:p>
      <w:pPr>
        <w:spacing w:after="140" w:line="276"/>
      </w:pPr>
      <w:r>
        <w:rPr>
          <w:rFonts w:ascii="Calibri" w:cs="Calibri" w:eastAsia="Calibri" w:hAnsi="Calibri"/>
          <w:b/>
          <w:bCs/>
          <w:sz w:val="21"/>
          <w:szCs w:val="21"/>
        </w:rPr>
        <w:t xml:space="preserve">Naturaleza correcta.</w:t>
      </w:r>
      <w:r>
        <w:rPr>
          <w:rFonts w:ascii="Calibri" w:cs="Calibri" w:eastAsia="Calibri" w:hAnsi="Calibri"/>
          <w:sz w:val="21"/>
          <w:szCs w:val="21"/>
        </w:rPr>
        <w:t xml:space="preserve"> Instrumento de organización y de apoyo a la redacción de pliegos, aprobado por acuerdo del órgano competente. Vincula al personal municipal en cuanto a método —la ficha, el informe de necesidad, la comprobación del baremo— y no vincula a ningún contratista hasta que su texto está en un pliego aprobado.</w:t>
      </w:r>
    </w:p>
    <w:p>
      <w:pPr>
        <w:spacing w:after="140" w:line="276"/>
      </w:pPr>
      <w:r>
        <w:rPr>
          <w:rFonts w:ascii="Calibri" w:cs="Calibri" w:eastAsia="Calibri" w:hAnsi="Calibri"/>
          <w:sz w:val="21"/>
          <w:szCs w:val="21"/>
        </w:rPr>
        <w:t xml:space="preserve">Quien copie este documento debe tomar esta decisión conscientemente. Aprobarlo como pliego general porque suena más solemne es multiplicar el coste de cada revisión anual y regalar al recurrente la discusión sobre la validez de un instrumento que no la necesitaba.</w:t>
      </w:r>
    </w:p>
    <w:p>
      <w:pPr>
        <w:pStyle w:val="Heading3"/>
        <w:keepNext/>
        <w:spacing w:after="140" w:before="320"/>
      </w:pPr>
      <w:r>
        <w:rPr>
          <w:rFonts w:ascii="Georgia" w:cs="Georgia" w:eastAsia="Georgia" w:hAnsi="Georgia"/>
          <w:b/>
          <w:bCs/>
          <w:color w:val="2F5496"/>
          <w:sz w:val="22"/>
          <w:szCs w:val="22"/>
        </w:rPr>
        <w:t xml:space="preserve">V.8.3 · Quién lo versiona y cuándo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Elemento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 lo revisa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Periodicidad</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Órgano que aprueba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Cuerpo del catálogo (Partes 0 a VII)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proponente, con informe jurídico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 se recomienda cada 24 meses, o antes si cambia una norma citada]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órgano que lo aprobó</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Anexo V — Exigencias tecnológicas determinadas del ejercicio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proponente, con contraste de mercado documentado (V.4.13)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Anual, antes del [fecha; se recomienda el 30 de noviembre]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Resolución o acuerdo de aprobación anual, sin reabrir el resto del catálogo. Modelo en el </w:t>
            </w:r>
            <w:r>
              <w:rPr>
                <w:rFonts w:ascii="Calibri" w:cs="Calibri" w:eastAsia="Calibri" w:hAnsi="Calibri"/>
                <w:b/>
                <w:bCs/>
                <w:sz w:val="18"/>
                <w:szCs w:val="18"/>
              </w:rPr>
              <w:t xml:space="preserve">Anexo XV</w:t>
            </w:r>
            <w:r>
              <w:rPr>
                <w:rFonts w:ascii="Calibri" w:cs="Calibri" w:eastAsia="Calibri" w:hAnsi="Calibri"/>
                <w:b w:val="false"/>
                <w:bCs w:val="false"/>
                <w:sz w:val="18"/>
                <w:szCs w:val="18"/>
              </w:rPr>
              <w:t xml:space="preserve">; sin resolución en plazo, sigue vigente el Catálogo del ejercicio anterior</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Anexo XI (vigencia normativa), su extracto transcribible del Anexo XIX y la tabla de umbrales del Anexo X.2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 se recomienda cada 6 meses, y en todo caso en enero de cada año par, por la actualización bienal de los umbrales armonizados]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Actualización técnica, con constancia de la fecha de corte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Fe de erratas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proponente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Cuando proceda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publica con número de versión menor</w:t>
            </w:r>
          </w:p>
        </w:tc>
      </w:tr>
    </w:tbl>
    <w:p>
      <w:pPr>
        <w:spacing w:after="200"/>
      </w:pPr>
    </w:p>
    <w:p>
      <w:pPr>
        <w:spacing w:after="140" w:line="276"/>
      </w:pPr>
      <w:r>
        <w:rPr>
          <w:rFonts w:ascii="Calibri" w:cs="Calibri" w:eastAsia="Calibri" w:hAnsi="Calibri"/>
          <w:sz w:val="21"/>
          <w:szCs w:val="21"/>
        </w:rPr>
        <w:t xml:space="preserve">Regla de estabilidad: </w:t>
      </w:r>
      <w:r>
        <w:rPr>
          <w:rFonts w:ascii="Calibri" w:cs="Calibri" w:eastAsia="Calibri" w:hAnsi="Calibri"/>
          <w:b/>
          <w:bCs/>
          <w:sz w:val="21"/>
          <w:szCs w:val="21"/>
        </w:rPr>
        <w:t xml:space="preserve">el cuerpo se revisa poco y el Anexo V se revisa cada año.</w:t>
      </w:r>
      <w:r>
        <w:rPr>
          <w:rFonts w:ascii="Calibri" w:cs="Calibri" w:eastAsia="Calibri" w:hAnsi="Calibri"/>
          <w:sz w:val="21"/>
          <w:szCs w:val="21"/>
        </w:rPr>
        <w:t xml:space="preserve"> Esa es la razón de que estén separados. Si el catálogo del ejercicio viviera dentro del articulado, cada revisión anual obligaría a reabrir y reaprobar el documento entero, lo que garantiza que no se revise nunca.</w:t>
      </w:r>
    </w:p>
    <w:p>
      <w:pPr>
        <w:pStyle w:val="Heading3"/>
        <w:keepNext/>
        <w:spacing w:after="140" w:before="320"/>
      </w:pPr>
      <w:r>
        <w:rPr>
          <w:rFonts w:ascii="Georgia" w:cs="Georgia" w:eastAsia="Georgia" w:hAnsi="Georgia"/>
          <w:b/>
          <w:bCs/>
          <w:color w:val="2F5496"/>
          <w:sz w:val="22"/>
          <w:szCs w:val="22"/>
        </w:rPr>
        <w:t xml:space="preserve">V.8.4 · Cómo sabe un técnico que tiene el vigente</w:t>
      </w:r>
    </w:p>
    <w:p>
      <w:pPr>
        <w:spacing w:after="140" w:line="276"/>
      </w:pPr>
      <w:r>
        <w:rPr>
          <w:rFonts w:ascii="Calibri" w:cs="Calibri" w:eastAsia="Calibri" w:hAnsi="Calibri"/>
          <w:sz w:val="21"/>
          <w:szCs w:val="21"/>
        </w:rPr>
        <w:t xml:space="preserve">Tres mecanismos, y ninguno depende de la memoria de nadie:</w:t>
      </w:r>
    </w:p>
    <w:p>
      <w:pPr>
        <w:pStyle w:val="ListParagraph"/>
        <w:numPr>
          <w:ilvl w:val="0"/>
          <w:numId w:val="2"/>
        </w:numPr>
        <w:spacing w:after="70" w:line="268"/>
      </w:pPr>
      <w:r>
        <w:rPr>
          <w:rFonts w:ascii="Calibri" w:cs="Calibri" w:eastAsia="Calibri" w:hAnsi="Calibri"/>
          <w:b/>
          <w:bCs/>
          <w:sz w:val="21"/>
          <w:szCs w:val="21"/>
        </w:rPr>
        <w:t xml:space="preserve">Una única dirección permanente</w:t>
      </w:r>
      <w:r>
        <w:rPr>
          <w:rFonts w:ascii="Calibri" w:cs="Calibri" w:eastAsia="Calibri" w:hAnsi="Calibri"/>
          <w:sz w:val="21"/>
          <w:szCs w:val="21"/>
        </w:rPr>
        <w:t xml:space="preserve"> para el documento vigente. Los enlaces internos apuntan siempre ahí, nunca a un fichero adjunto.</w:t>
      </w:r>
    </w:p>
    <w:p>
      <w:pPr>
        <w:pStyle w:val="ListParagraph"/>
        <w:numPr>
          <w:ilvl w:val="0"/>
          <w:numId w:val="2"/>
        </w:numPr>
        <w:spacing w:after="70" w:line="268"/>
      </w:pPr>
      <w:r>
        <w:rPr>
          <w:rFonts w:ascii="Calibri" w:cs="Calibri" w:eastAsia="Calibri" w:hAnsi="Calibri"/>
          <w:b/>
          <w:bCs/>
          <w:sz w:val="21"/>
          <w:szCs w:val="21"/>
        </w:rPr>
        <w:t xml:space="preserve">Un registro de versiones</w:t>
      </w:r>
      <w:r>
        <w:rPr>
          <w:rFonts w:ascii="Calibri" w:cs="Calibri" w:eastAsia="Calibri" w:hAnsi="Calibri"/>
          <w:sz w:val="21"/>
          <w:szCs w:val="21"/>
        </w:rPr>
        <w:t xml:space="preserve"> de una página, publicado junto al documento, con: versión, fecha, órgano y acuerdo de aprobación, fecha de corte normativa, huella digital, y </w:t>
      </w:r>
      <w:r>
        <w:rPr>
          <w:rFonts w:ascii="Calibri" w:cs="Calibri" w:eastAsia="Calibri" w:hAnsi="Calibri"/>
          <w:b/>
          <w:bCs/>
          <w:sz w:val="21"/>
          <w:szCs w:val="21"/>
        </w:rPr>
        <w:t xml:space="preserve">resumen de qué cambió</w:t>
      </w:r>
      <w:r>
        <w:rPr>
          <w:rFonts w:ascii="Calibri" w:cs="Calibri" w:eastAsia="Calibri" w:hAnsi="Calibri"/>
          <w:sz w:val="21"/>
          <w:szCs w:val="21"/>
        </w:rPr>
        <w:t xml:space="preserve">.</w:t>
      </w:r>
    </w:p>
    <w:p>
      <w:pPr>
        <w:pStyle w:val="ListParagraph"/>
        <w:numPr>
          <w:ilvl w:val="0"/>
          <w:numId w:val="2"/>
        </w:numPr>
        <w:spacing w:after="70" w:line="268"/>
      </w:pPr>
      <w:r>
        <w:rPr>
          <w:rFonts w:ascii="Calibri" w:cs="Calibri" w:eastAsia="Calibri" w:hAnsi="Calibri"/>
          <w:b/>
          <w:bCs/>
          <w:sz w:val="21"/>
          <w:szCs w:val="21"/>
        </w:rPr>
        <w:t xml:space="preserve">Un registro de uso</w:t>
      </w:r>
      <w:r>
        <w:rPr>
          <w:rFonts w:ascii="Calibri" w:cs="Calibri" w:eastAsia="Calibri" w:hAnsi="Calibri"/>
          <w:sz w:val="21"/>
          <w:szCs w:val="21"/>
        </w:rPr>
        <w:t xml:space="preserve">: qué expedientes han incorporado cláusulas de cada versión. Es un fichero de tres columnas —expediente, versión aplicada, cláusulas incorporadas— y resuelve la pregunta que se hace después de un recurso perdido: </w:t>
      </w:r>
      <w:r>
        <w:rPr>
          <w:rFonts w:ascii="Calibri" w:cs="Calibri" w:eastAsia="Calibri" w:hAnsi="Calibri"/>
          <w:i/>
          <w:iCs/>
          <w:sz w:val="21"/>
          <w:szCs w:val="21"/>
        </w:rPr>
        <w:t xml:space="preserve">¿qué otros pliegos vivos llevan esta misma cláusula?</w:t>
      </w:r>
      <w:r>
        <w:rPr>
          <w:rFonts w:ascii="Calibri" w:cs="Calibri" w:eastAsia="Calibri" w:hAnsi="Calibri"/>
          <w:sz w:val="21"/>
          <w:szCs w:val="21"/>
        </w:rPr>
        <w:t xml:space="preserve"> Sin ese registro, la respuesta se busca a mano y tarda una semana.</w:t>
      </w:r>
    </w:p>
    <w:p>
      <w:pPr>
        <w:spacing w:after="140" w:line="276"/>
      </w:pPr>
      <w:r>
        <w:rPr>
          <w:rFonts w:ascii="Calibri" w:cs="Calibri" w:eastAsia="Calibri" w:hAnsi="Calibri"/>
          <w:sz w:val="21"/>
          <w:szCs w:val="21"/>
        </w:rPr>
        <w:t xml:space="preserve">Y el mecanismo que cierra el circuito hacia fuera: </w:t>
      </w:r>
      <w:r>
        <w:rPr>
          <w:rFonts w:ascii="Calibri" w:cs="Calibri" w:eastAsia="Calibri" w:hAnsi="Calibri"/>
          <w:b/>
          <w:bCs/>
          <w:sz w:val="21"/>
          <w:szCs w:val="21"/>
        </w:rPr>
        <w:t xml:space="preserve">el pliego identifica la versión aplicada</w:t>
      </w:r>
      <w:r>
        <w:rPr>
          <w:rFonts w:ascii="Calibri" w:cs="Calibri" w:eastAsia="Calibri" w:hAnsi="Calibri"/>
          <w:sz w:val="21"/>
          <w:szCs w:val="21"/>
        </w:rPr>
        <w:t xml:space="preserve">. Este es el segundo de los tres textos de esta Parte que van al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Identificación del catálogo aplicado.</w:t>
            </w:r>
            <w:r>
              <w:rPr>
                <w:rFonts w:ascii="Georgia" w:cs="Georgia" w:eastAsia="Georgia" w:hAnsi="Georgia"/>
                <w:sz w:val="20"/>
                <w:szCs w:val="20"/>
              </w:rPr>
              <w:t xml:space="preserve"> Las cláusulas [códigos] del presente pliego se han redactado a partir del </w:t>
            </w:r>
            <w:r>
              <w:rPr>
                <w:rFonts w:ascii="Georgia" w:cs="Georgia" w:eastAsia="Georgia" w:hAnsi="Georgia"/>
                <w:i/>
                <w:iCs/>
                <w:sz w:val="20"/>
                <w:szCs w:val="20"/>
              </w:rPr>
              <w:t xml:space="preserve">Clausulado de Inteligencia Artificial y Deep Tech</w:t>
            </w:r>
            <w:r>
              <w:rPr>
                <w:rFonts w:ascii="Georgia" w:cs="Georgia" w:eastAsia="Georgia" w:hAnsi="Georgia"/>
                <w:sz w:val="20"/>
                <w:szCs w:val="20"/>
              </w:rPr>
              <w:t xml:space="preserve"> de [entidad], </w:t>
            </w:r>
            <w:r>
              <w:rPr>
                <w:rFonts w:ascii="Georgia" w:cs="Georgia" w:eastAsia="Georgia" w:hAnsi="Georgia"/>
                <w:b/>
                <w:bCs/>
                <w:sz w:val="20"/>
                <w:szCs w:val="20"/>
              </w:rPr>
              <w:t xml:space="preserve">versión [n.º], aprobada por [órgano] con fecha [dd/mm/aaaa]</w:t>
            </w:r>
            <w:r>
              <w:rPr>
                <w:rFonts w:ascii="Georgia" w:cs="Georgia" w:eastAsia="Georgia" w:hAnsi="Georgia"/>
                <w:sz w:val="20"/>
                <w:szCs w:val="20"/>
              </w:rPr>
              <w:t xml:space="preserve">, y del Anexo V </w:t>
            </w:r>
            <w:r>
              <w:rPr>
                <w:rFonts w:ascii="Georgia" w:cs="Georgia" w:eastAsia="Georgia" w:hAnsi="Georgia"/>
                <w:i/>
                <w:iCs/>
                <w:sz w:val="20"/>
                <w:szCs w:val="20"/>
              </w:rPr>
              <w:t xml:space="preserve">Exigencias Tecnológicas Determinadas</w:t>
            </w:r>
            <w:r>
              <w:rPr>
                <w:rFonts w:ascii="Georgia" w:cs="Georgia" w:eastAsia="Georgia" w:hAnsi="Georgia"/>
                <w:sz w:val="20"/>
                <w:szCs w:val="20"/>
              </w:rPr>
              <w:t xml:space="preserve"> del ejercicio [año], </w:t>
            </w:r>
            <w:r>
              <w:rPr>
                <w:rFonts w:ascii="Georgia" w:cs="Georgia" w:eastAsia="Georgia" w:hAnsi="Georgia"/>
                <w:b/>
                <w:bCs/>
                <w:sz w:val="20"/>
                <w:szCs w:val="20"/>
              </w:rPr>
              <w:t xml:space="preserve">versión [n.º], de fecha [dd/mm/aaaa]</w:t>
            </w:r>
            <w:r>
              <w:rPr>
                <w:rFonts w:ascii="Georgia" w:cs="Georgia" w:eastAsia="Georgia" w:hAnsi="Georgia"/>
                <w:sz w:val="20"/>
                <w:szCs w:val="20"/>
              </w:rPr>
              <w:t xml:space="preserve">, que se transcribe íntegramente en el [apartado/anexo] de este pliego. Las revisiones posteriores de dicho catálogo o de su Anexo V no afectarán al presente contrato.</w:t>
            </w:r>
          </w:p>
        </w:tc>
      </w:tr>
    </w:tbl>
    <w:p>
      <w:pPr>
        <w:spacing w:after="220"/>
      </w:pPr>
    </w:p>
    <w:p>
      <w:pPr>
        <w:pStyle w:val="Heading3"/>
        <w:keepNext/>
        <w:spacing w:after="140" w:before="320"/>
      </w:pPr>
      <w:r>
        <w:rPr>
          <w:rFonts w:ascii="Georgia" w:cs="Georgia" w:eastAsia="Georgia" w:hAnsi="Georgia"/>
          <w:b/>
          <w:bCs/>
          <w:color w:val="2F5496"/>
          <w:sz w:val="22"/>
          <w:szCs w:val="22"/>
        </w:rPr>
        <w:t xml:space="preserve">V.8.5 · El Anexo V no se incorpora por remisión: se transcribe</w:t>
      </w:r>
    </w:p>
    <w:p>
      <w:pPr>
        <w:spacing w:after="140" w:line="276"/>
      </w:pPr>
      <w:r>
        <w:rPr>
          <w:rFonts w:ascii="Calibri" w:cs="Calibri" w:eastAsia="Calibri" w:hAnsi="Calibri"/>
          <w:sz w:val="21"/>
          <w:szCs w:val="21"/>
        </w:rPr>
        <w:t xml:space="preserve">Un pliego que remite a un documento municipal que se revisa cada año es un pliego con contenido indeterminado, y la indeterminación del objeto y de las obligaciones es un motivo de recurso limpio. Además, en una obligación esencial, la enumeración debe ser precisa, clara e inequívoca y no se admiten cláusulas de tipo general (art. 211.1.f).2.º LCSP).</w:t>
      </w:r>
    </w:p>
    <w:p>
      <w:pPr>
        <w:spacing w:after="140" w:line="276"/>
      </w:pPr>
      <w:r>
        <w:rPr>
          <w:rFonts w:ascii="Calibri" w:cs="Calibri" w:eastAsia="Calibri" w:hAnsi="Calibri"/>
          <w:sz w:val="21"/>
          <w:szCs w:val="21"/>
        </w:rPr>
        <w:t xml:space="preserve">Regla: </w:t>
      </w:r>
      <w:r>
        <w:rPr>
          <w:rFonts w:ascii="Calibri" w:cs="Calibri" w:eastAsia="Calibri" w:hAnsi="Calibri"/>
          <w:b/>
          <w:bCs/>
          <w:sz w:val="21"/>
          <w:szCs w:val="21"/>
        </w:rPr>
        <w:t xml:space="preserve">el texto del Anexo V que rija un contrato se transcribe físicamente dentro del PPT</w:t>
      </w:r>
      <w:r>
        <w:rPr>
          <w:rFonts w:ascii="Calibri" w:cs="Calibri" w:eastAsia="Calibri" w:hAnsi="Calibri"/>
          <w:sz w:val="21"/>
          <w:szCs w:val="21"/>
        </w:rPr>
        <w:t xml:space="preserve">, con su versión y su fecha, recortado a los módulos y funciones de ese contrato. La regla de invariabilidad de ese texto durante la vigencia del contrato se enuncia una sola vez, en DT-9·v3, apartado 2; aquí sólo se describe cómo se incorpora. Y se cierra la versión:</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Cierre de versión.</w:t>
            </w:r>
            <w:r>
              <w:rPr>
                <w:rFonts w:ascii="Georgia" w:cs="Georgia" w:eastAsia="Georgia" w:hAnsi="Georgia"/>
                <w:sz w:val="20"/>
                <w:szCs w:val="20"/>
              </w:rPr>
              <w:t xml:space="preserve"> Las exigencias tecnológicas que rigen este contrato son exclusivamente las transcritas en el [apartado/anexo] de este pliego, correspondientes a la versión [n.º], de fecha [dd/mm/aaaa], del Anexo V del catálogo municipal. Fuera de ellas no existe obligación de evolución tecnológica exigible al contratista al amparo de dicho catálogo.</w:t>
            </w:r>
          </w:p>
        </w:tc>
      </w:tr>
    </w:tbl>
    <w:p>
      <w:pPr>
        <w:spacing w:after="220"/>
      </w:pPr>
    </w:p>
    <w:p>
      <w:pPr>
        <w:pStyle w:val="Heading3"/>
        <w:keepNext/>
        <w:spacing w:after="140" w:before="320"/>
      </w:pPr>
      <w:r>
        <w:rPr>
          <w:rFonts w:ascii="Georgia" w:cs="Georgia" w:eastAsia="Georgia" w:hAnsi="Georgia"/>
          <w:b/>
          <w:bCs/>
          <w:color w:val="2F5496"/>
          <w:sz w:val="22"/>
          <w:szCs w:val="22"/>
        </w:rPr>
        <w:t xml:space="preserve">V.8.6 · Publicación en abierto y reutilización por otras administraciones</w:t>
      </w:r>
    </w:p>
    <w:p>
      <w:pPr>
        <w:spacing w:after="140" w:line="276"/>
      </w:pPr>
      <w:r>
        <w:rPr>
          <w:rFonts w:ascii="Calibri" w:cs="Calibri" w:eastAsia="Calibri" w:hAnsi="Calibri"/>
          <w:sz w:val="21"/>
          <w:szCs w:val="21"/>
        </w:rPr>
        <w:t xml:space="preserve">Este documento se publica para ser reutilizado. Para que la reutilización no propague defectos:</w:t>
      </w:r>
    </w:p>
    <w:p>
      <w:pPr>
        <w:pStyle w:val="ListParagraph"/>
        <w:numPr>
          <w:ilvl w:val="0"/>
          <w:numId w:val="1"/>
        </w:numPr>
        <w:spacing w:after="70" w:line="268"/>
      </w:pPr>
      <w:r>
        <w:rPr>
          <w:rFonts w:ascii="Calibri" w:cs="Calibri" w:eastAsia="Calibri" w:hAnsi="Calibri"/>
          <w:sz w:val="21"/>
          <w:szCs w:val="21"/>
        </w:rPr>
        <w:t xml:space="preserve">Se publica con </w:t>
      </w:r>
      <w:r>
        <w:rPr>
          <w:rFonts w:ascii="Calibri" w:cs="Calibri" w:eastAsia="Calibri" w:hAnsi="Calibri"/>
          <w:b/>
          <w:bCs/>
          <w:sz w:val="21"/>
          <w:szCs w:val="21"/>
        </w:rPr>
        <w:t xml:space="preserve">licencia de reutilización explícita</w:t>
      </w:r>
      <w:r>
        <w:rPr>
          <w:rFonts w:ascii="Calibri" w:cs="Calibri" w:eastAsia="Calibri" w:hAnsi="Calibri"/>
          <w:sz w:val="21"/>
          <w:szCs w:val="21"/>
        </w:rPr>
        <w:t xml:space="preserve"> y en formato abierto y editable, no sólo en PDF.</w:t>
      </w:r>
    </w:p>
    <w:p>
      <w:pPr>
        <w:pStyle w:val="ListParagraph"/>
        <w:numPr>
          <w:ilvl w:val="0"/>
          <w:numId w:val="1"/>
        </w:numPr>
        <w:spacing w:after="70" w:line="268"/>
      </w:pPr>
      <w:r>
        <w:rPr>
          <w:rFonts w:ascii="Calibri" w:cs="Calibri" w:eastAsia="Calibri" w:hAnsi="Calibri"/>
          <w:sz w:val="21"/>
          <w:szCs w:val="21"/>
        </w:rPr>
        <w:t xml:space="preserve">Se publica junto con el </w:t>
      </w:r>
      <w:r>
        <w:rPr>
          <w:rFonts w:ascii="Calibri" w:cs="Calibri" w:eastAsia="Calibri" w:hAnsi="Calibri"/>
          <w:b/>
          <w:bCs/>
          <w:sz w:val="21"/>
          <w:szCs w:val="21"/>
        </w:rPr>
        <w:t xml:space="preserve">registro de versiones</w:t>
      </w:r>
      <w:r>
        <w:rPr>
          <w:rFonts w:ascii="Calibri" w:cs="Calibri" w:eastAsia="Calibri" w:hAnsi="Calibri"/>
          <w:sz w:val="21"/>
          <w:szCs w:val="21"/>
        </w:rPr>
        <w:t xml:space="preserve"> y con el </w:t>
      </w:r>
      <w:r>
        <w:rPr>
          <w:rFonts w:ascii="Calibri" w:cs="Calibri" w:eastAsia="Calibri" w:hAnsi="Calibri"/>
          <w:b/>
          <w:bCs/>
          <w:sz w:val="21"/>
          <w:szCs w:val="21"/>
        </w:rPr>
        <w:t xml:space="preserve">Anexo XI de vigencia normativa, con su fecha de corte</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sz w:val="21"/>
          <w:szCs w:val="21"/>
        </w:rPr>
        <w:t xml:space="preserve">Se advierte, en la portada y en la Parte I, de </w:t>
      </w:r>
      <w:r>
        <w:rPr>
          <w:rFonts w:ascii="Calibri" w:cs="Calibri" w:eastAsia="Calibri" w:hAnsi="Calibri"/>
          <w:b/>
          <w:bCs/>
          <w:sz w:val="21"/>
          <w:szCs w:val="21"/>
        </w:rPr>
        <w:t xml:space="preserve">lo que otra administración debe adaptar obligatoriamente</w:t>
      </w:r>
      <w:r>
        <w:rPr>
          <w:rFonts w:ascii="Calibri" w:cs="Calibri" w:eastAsia="Calibri" w:hAnsi="Calibri"/>
          <w:sz w:val="21"/>
          <w:szCs w:val="21"/>
        </w:rPr>
        <w:t xml:space="preserve">: el órgano competente, el órgano al que corresponde el informe jurídico preceptivo, la categoría ENS de sus propios sistemas, los umbrales vigentes en el momento de la copia, el Anexo V de su ejercicio y todos los parámetros entre corchetes.</w:t>
      </w:r>
    </w:p>
    <w:p>
      <w:pPr>
        <w:pStyle w:val="ListParagraph"/>
        <w:numPr>
          <w:ilvl w:val="0"/>
          <w:numId w:val="1"/>
        </w:numPr>
        <w:spacing w:after="70" w:line="268"/>
      </w:pPr>
      <w:r>
        <w:rPr>
          <w:rFonts w:ascii="Calibri" w:cs="Calibri" w:eastAsia="Calibri" w:hAnsi="Calibri"/>
          <w:sz w:val="21"/>
          <w:szCs w:val="21"/>
        </w:rPr>
        <w:t xml:space="preserve">Se advierte, con la misma claridad, de que </w:t>
      </w:r>
      <w:r>
        <w:rPr>
          <w:rFonts w:ascii="Calibri" w:cs="Calibri" w:eastAsia="Calibri" w:hAnsi="Calibri"/>
          <w:b/>
          <w:bCs/>
          <w:sz w:val="21"/>
          <w:szCs w:val="21"/>
        </w:rPr>
        <w:t xml:space="preserve">copiar el texto sin hacer la ficha y el informe de necesidad reproduce el vicio y no la protección</w:t>
      </w:r>
      <w:r>
        <w:rPr>
          <w:rFonts w:ascii="Calibri" w:cs="Calibri" w:eastAsia="Calibri" w:hAnsi="Calibri"/>
          <w:sz w:val="21"/>
          <w:szCs w:val="21"/>
        </w:rPr>
        <w:t xml:space="preserve">. Un catálogo copiado sin expediente es exactamente lo que un tribunal describe como exigencia sin justificación.</w:t>
      </w:r>
    </w:p>
    <w:p>
      <w:pPr>
        <w:pStyle w:val="ListParagraph"/>
        <w:numPr>
          <w:ilvl w:val="0"/>
          <w:numId w:val="1"/>
        </w:numPr>
        <w:spacing w:after="70" w:line="268"/>
      </w:pPr>
      <w:r>
        <w:rPr>
          <w:rFonts w:ascii="Calibri" w:cs="Calibri" w:eastAsia="Calibri" w:hAnsi="Calibri"/>
          <w:sz w:val="21"/>
          <w:szCs w:val="21"/>
        </w:rPr>
        <w:t xml:space="preserve">Las erratas detectadas por terceros se recogen y se publican con número de versión menor. Un documento que se corrige a la vista de todos es más creíble que uno que nunca cambia.</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V.9 · Carga de preparación del expediente</w:t>
      </w:r>
    </w:p>
    <w:p>
      <w:pPr>
        <w:spacing w:after="140" w:line="276"/>
      </w:pPr>
      <w:r>
        <w:rPr>
          <w:rFonts w:ascii="Calibri" w:cs="Calibri" w:eastAsia="Calibri" w:hAnsi="Calibri"/>
          <w:sz w:val="21"/>
          <w:szCs w:val="21"/>
        </w:rPr>
        <w:t xml:space="preserve">La objeción a la que responde este apartado es real y está por escrito: el seguimiento de los contratos municipales se basa hoy casi exclusivamente en el control del gasto. Añadir obligaciones que nadie va a verificar no mejora nada y empeora el expediente, porque un incumplimiento esencial tolerado durante meses desactiva la cláusula para el resto del contrato.</w:t>
      </w:r>
    </w:p>
    <w:p>
      <w:pPr>
        <w:spacing w:after="140" w:line="276"/>
      </w:pPr>
      <w:r>
        <w:rPr>
          <w:rFonts w:ascii="Calibri" w:cs="Calibri" w:eastAsia="Calibri" w:hAnsi="Calibri"/>
          <w:b/>
          <w:bCs/>
          <w:sz w:val="21"/>
          <w:szCs w:val="21"/>
        </w:rPr>
        <w:t xml:space="preserve">Esta tabla mide sólo la preparación del expediente.</w:t>
      </w:r>
      <w:r>
        <w:rPr>
          <w:rFonts w:ascii="Calibri" w:cs="Calibri" w:eastAsia="Calibri" w:hAnsi="Calibri"/>
          <w:sz w:val="21"/>
          <w:szCs w:val="21"/>
        </w:rPr>
        <w:t xml:space="preserve"> La carga de verificación durante la ejecución se cuantifica una sola vez en todo el catálogo, en ADM-4·v3, apartado 5, y no se suma aquí. Son horas de trabajo municipal, no de consultoría, y son una </w:t>
      </w:r>
      <w:r>
        <w:rPr>
          <w:rFonts w:ascii="Calibri" w:cs="Calibri" w:eastAsia="Calibri" w:hAnsi="Calibri"/>
          <w:b/>
          <w:bCs/>
          <w:sz w:val="21"/>
          <w:szCs w:val="21"/>
        </w:rPr>
        <w:t xml:space="preserve">estimación a calibrar con el piloto</w:t>
      </w:r>
      <w:r>
        <w:rPr>
          <w:rFonts w:ascii="Calibri" w:cs="Calibri" w:eastAsia="Calibri" w:hAnsi="Calibri"/>
          <w:sz w:val="21"/>
          <w:szCs w:val="21"/>
        </w:rPr>
        <w:t xml:space="preserve">, no una medición.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 o tarea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Primera vez</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Expedientes siguientes del mismo tipo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necesidad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 h</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1,5 h</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Ficha de Aplicabilidad, con las seis casillas por cláusula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 h</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 h</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Consulta al directorio general de aplicaciones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0,5 h</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0,5 h</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Categorización ENS y análisis de riesgos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 h</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 h</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Justificación de criterios y hoja de comprobación del baremo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 h</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 h</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Cálculo y justificación del valor estimado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1,5 h</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 h</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Declaraciones de conflicto de interés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0,5 h</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0,5 h</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Coordinación PPT-PCAP y depuración de dependencias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 h</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1,5 h</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Cierre de la carpeta de defensa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 h</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 h</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Total de preparación por expediente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 21,5 h</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 10 h</w:t>
            </w:r>
          </w:p>
        </w:tc>
      </w:tr>
    </w:tbl>
    <w:p>
      <w:pPr>
        <w:spacing w:after="200"/>
      </w:pPr>
    </w:p>
    <w:p>
      <w:pPr>
        <w:spacing w:after="140" w:line="276"/>
      </w:pPr>
      <w:r>
        <w:rPr>
          <w:rFonts w:ascii="Calibri" w:cs="Calibri" w:eastAsia="Calibri" w:hAnsi="Calibri"/>
          <w:b/>
          <w:bCs/>
          <w:sz w:val="21"/>
          <w:szCs w:val="21"/>
        </w:rPr>
        <w:t xml:space="preserve">Tareas anuales, no por expediente.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Tarea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Horas/año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Consulta preliminar del mercado centralizada y su informe (V.4.13)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40 – 60 h</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Revisión y aprobación del Anexo V del ejercicio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20 – 30 h</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Actualización del Anexo XI, de su extracto del Anexo XIX y de la tabla de umbrales del Anexo X.2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 – 8 h</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Mantenimiento del registro de versiones y de uso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 h</w:t>
            </w:r>
          </w:p>
        </w:tc>
      </w:tr>
    </w:tbl>
    <w:p>
      <w:pPr>
        <w:spacing w:after="200"/>
      </w:pPr>
    </w:p>
    <w:p>
      <w:pPr>
        <w:spacing w:after="140" w:line="276"/>
      </w:pPr>
      <w:r>
        <w:rPr>
          <w:rFonts w:ascii="Calibri" w:cs="Calibri" w:eastAsia="Calibri" w:hAnsi="Calibri"/>
          <w:b/>
          <w:bCs/>
          <w:sz w:val="21"/>
          <w:szCs w:val="21"/>
        </w:rPr>
        <w:t xml:space="preserve">Y la carga que no está aquí: la de verificar durante la ejecución.</w:t>
      </w:r>
      <w:r>
        <w:rPr>
          <w:rFonts w:ascii="Calibri" w:cs="Calibri" w:eastAsia="Calibri" w:hAnsi="Calibri"/>
          <w:sz w:val="21"/>
          <w:szCs w:val="21"/>
        </w:rPr>
        <w:t xml:space="preserve"> Esa no la fija esta Parte, la fija cada cláusula en su casilla «Cómo se verifica», se totaliza en ADM-4·v3, apartado 5, y se suma en la ficha del expediente. La regla es la de V.1.3: </w:t>
      </w:r>
      <w:r>
        <w:rPr>
          <w:rFonts w:ascii="Calibri" w:cs="Calibri" w:eastAsia="Calibri" w:hAnsi="Calibri"/>
          <w:b/>
          <w:bCs/>
          <w:sz w:val="21"/>
          <w:szCs w:val="21"/>
        </w:rPr>
        <w:t xml:space="preserve">si una cláusula no tiene actor y periodicidad, no entra</w:t>
      </w:r>
      <w:r>
        <w:rPr>
          <w:rFonts w:ascii="Calibri" w:cs="Calibri" w:eastAsia="Calibri" w:hAnsi="Calibri"/>
          <w:sz w:val="21"/>
          <w:szCs w:val="21"/>
        </w:rPr>
        <w:t xml:space="preserve">. La consecuencia práctica es que un contrato pequeño soportará dos o tres cláusulas del catálogo, no doce, y eso es un resultado correcto, no una derrota.</w:t>
      </w:r>
    </w:p>
    <w:p>
      <w:pPr>
        <w:spacing w:after="140" w:line="276"/>
      </w:pPr>
      <w:r>
        <w:rPr>
          <w:rFonts w:ascii="Calibri" w:cs="Calibri" w:eastAsia="Calibri" w:hAnsi="Calibri"/>
          <w:b/>
          <w:bCs/>
          <w:sz w:val="21"/>
          <w:szCs w:val="21"/>
        </w:rPr>
        <w:t xml:space="preserve">Compromiso de medición.</w:t>
      </w:r>
      <w:r>
        <w:rPr>
          <w:rFonts w:ascii="Calibri" w:cs="Calibri" w:eastAsia="Calibri" w:hAnsi="Calibri"/>
          <w:sz w:val="21"/>
          <w:szCs w:val="21"/>
        </w:rPr>
        <w:t xml:space="preserve"> Las cifras anteriores se contrastan con las reales en el informe de evaluación del piloto a los seis y a los doce meses, y se corrigen en la revisión siguiente del documento. Una estimación que nunca se compara con la realidad es una estimación que nunca es cierta.</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V.10 · Lista de comprobación final del expediente</w:t>
      </w:r>
    </w:p>
    <w:p>
      <w:pPr>
        <w:spacing w:after="140" w:line="276"/>
      </w:pPr>
      <w:r>
        <w:rPr>
          <w:rFonts w:ascii="Calibri" w:cs="Calibri" w:eastAsia="Calibri" w:hAnsi="Calibri"/>
          <w:sz w:val="21"/>
          <w:szCs w:val="21"/>
        </w:rPr>
        <w:t xml:space="preserve">Una página. Se recorre antes de elevar a aprobación. Cada casilla remite al apartado que la explica.</w:t>
      </w:r>
    </w:p>
    <w:p>
      <w:pPr>
        <w:spacing w:after="140" w:line="276"/>
      </w:pPr>
      <w:r>
        <w:rPr>
          <w:rFonts w:ascii="Calibri" w:cs="Calibri" w:eastAsia="Calibri" w:hAnsi="Calibri"/>
          <w:b/>
          <w:bCs/>
          <w:sz w:val="21"/>
          <w:szCs w:val="21"/>
        </w:rPr>
        <w:t xml:space="preserve">Necesidad y aplicabilidad</w:t>
      </w:r>
    </w:p>
    <w:p>
      <w:pPr>
        <w:pStyle w:val="ListParagraph"/>
        <w:numPr>
          <w:ilvl w:val="0"/>
          <w:numId w:val="1"/>
        </w:numPr>
        <w:spacing w:after="70" w:line="268"/>
      </w:pPr>
      <w:r>
        <w:rPr>
          <w:rFonts w:ascii="Calibri" w:cs="Calibri" w:eastAsia="Calibri" w:hAnsi="Calibri"/>
          <w:sz w:val="21"/>
          <w:szCs w:val="21"/>
        </w:rPr>
        <w:t xml:space="preserve">[ ] Informe de necesidad firmado, con la relación necesidad-objeto argumentada como directa, clara y proporcional (V.4.1).</w:t>
      </w:r>
    </w:p>
    <w:p>
      <w:pPr>
        <w:pStyle w:val="ListParagraph"/>
        <w:numPr>
          <w:ilvl w:val="0"/>
          <w:numId w:val="1"/>
        </w:numPr>
        <w:spacing w:after="70" w:line="268"/>
      </w:pPr>
      <w:r>
        <w:rPr>
          <w:rFonts w:ascii="Calibri" w:cs="Calibri" w:eastAsia="Calibri" w:hAnsi="Calibri"/>
          <w:sz w:val="21"/>
          <w:szCs w:val="21"/>
        </w:rPr>
        <w:t xml:space="preserve">[ ] Origen de cada necesidad identificado: funcional, normativa o institucional, con la firma que corresponde a cada una (V.4.2).</w:t>
      </w:r>
    </w:p>
    <w:p>
      <w:pPr>
        <w:pStyle w:val="ListParagraph"/>
        <w:numPr>
          <w:ilvl w:val="0"/>
          <w:numId w:val="1"/>
        </w:numPr>
        <w:spacing w:after="70" w:line="268"/>
      </w:pPr>
      <w:r>
        <w:rPr>
          <w:rFonts w:ascii="Calibri" w:cs="Calibri" w:eastAsia="Calibri" w:hAnsi="Calibri"/>
          <w:sz w:val="21"/>
          <w:szCs w:val="21"/>
        </w:rPr>
        <w:t xml:space="preserve">[ ] Si hay necesidad institucional, acuerdo del órgano de gobierno citado con fecha y número (V.4.2).</w:t>
      </w:r>
    </w:p>
    <w:p>
      <w:pPr>
        <w:pStyle w:val="ListParagraph"/>
        <w:numPr>
          <w:ilvl w:val="0"/>
          <w:numId w:val="1"/>
        </w:numPr>
        <w:spacing w:after="70" w:line="268"/>
      </w:pPr>
      <w:r>
        <w:rPr>
          <w:rFonts w:ascii="Calibri" w:cs="Calibri" w:eastAsia="Calibri" w:hAnsi="Calibri"/>
          <w:sz w:val="21"/>
          <w:szCs w:val="21"/>
        </w:rPr>
        <w:t xml:space="preserve">[ ] Ficha de Aplicabilidad firmada, con las seis casillas cumplimentadas por cada cláusula marcada SÍ (V.4.4).</w:t>
      </w:r>
    </w:p>
    <w:p>
      <w:pPr>
        <w:pStyle w:val="ListParagraph"/>
        <w:numPr>
          <w:ilvl w:val="0"/>
          <w:numId w:val="1"/>
        </w:numPr>
        <w:spacing w:after="70" w:line="268"/>
      </w:pPr>
      <w:r>
        <w:rPr>
          <w:rFonts w:ascii="Calibri" w:cs="Calibri" w:eastAsia="Calibri" w:hAnsi="Calibri"/>
          <w:sz w:val="21"/>
          <w:szCs w:val="21"/>
        </w:rPr>
        <w:t xml:space="preserve">[ ] Cláusulas NO APLICA depuradas también en las menciones que arrastran (V.2.3).</w:t>
      </w:r>
    </w:p>
    <w:p>
      <w:pPr>
        <w:pStyle w:val="ListParagraph"/>
        <w:numPr>
          <w:ilvl w:val="0"/>
          <w:numId w:val="1"/>
        </w:numPr>
        <w:spacing w:after="70" w:line="268"/>
      </w:pPr>
      <w:r>
        <w:rPr>
          <w:rFonts w:ascii="Calibri" w:cs="Calibri" w:eastAsia="Calibri" w:hAnsi="Calibri"/>
          <w:sz w:val="21"/>
          <w:szCs w:val="21"/>
        </w:rPr>
        <w:t xml:space="preserve">[ ] Finalidad del tratamiento especificada si hay cesión de datos al contratista (V.4.1, punto 7).</w:t>
      </w:r>
    </w:p>
    <w:p>
      <w:pPr>
        <w:spacing w:after="140" w:line="276"/>
      </w:pPr>
      <w:r>
        <w:rPr>
          <w:rFonts w:ascii="Calibri" w:cs="Calibri" w:eastAsia="Calibri" w:hAnsi="Calibri"/>
          <w:b/>
          <w:bCs/>
          <w:sz w:val="21"/>
          <w:szCs w:val="21"/>
        </w:rPr>
        <w:t xml:space="preserve">Comprobaciones previas</w:t>
      </w:r>
    </w:p>
    <w:p>
      <w:pPr>
        <w:pStyle w:val="ListParagraph"/>
        <w:numPr>
          <w:ilvl w:val="0"/>
          <w:numId w:val="1"/>
        </w:numPr>
        <w:spacing w:after="70" w:line="268"/>
      </w:pPr>
      <w:r>
        <w:rPr>
          <w:rFonts w:ascii="Calibri" w:cs="Calibri" w:eastAsia="Calibri" w:hAnsi="Calibri"/>
          <w:sz w:val="21"/>
          <w:szCs w:val="21"/>
        </w:rPr>
        <w:t xml:space="preserve">[ ] Consulta al directorio general de aplicaciones realizada y documentada; y, si existía solución reutilizable y no se reutiliza, justificación en términos de eficiencia (V.4.3).</w:t>
      </w:r>
    </w:p>
    <w:p>
      <w:pPr>
        <w:pStyle w:val="ListParagraph"/>
        <w:numPr>
          <w:ilvl w:val="0"/>
          <w:numId w:val="1"/>
        </w:numPr>
        <w:spacing w:after="70" w:line="268"/>
      </w:pPr>
      <w:r>
        <w:rPr>
          <w:rFonts w:ascii="Calibri" w:cs="Calibri" w:eastAsia="Calibri" w:hAnsi="Calibri"/>
          <w:sz w:val="21"/>
          <w:szCs w:val="21"/>
        </w:rPr>
        <w:t xml:space="preserve">[ ] Categorización ENS determinada conforme al anexo I del RD 311/2022, con firma del responsable de la seguridad (V.4.11).</w:t>
      </w:r>
    </w:p>
    <w:p>
      <w:pPr>
        <w:pStyle w:val="ListParagraph"/>
        <w:numPr>
          <w:ilvl w:val="0"/>
          <w:numId w:val="1"/>
        </w:numPr>
        <w:spacing w:after="70" w:line="268"/>
      </w:pPr>
      <w:r>
        <w:rPr>
          <w:rFonts w:ascii="Calibri" w:cs="Calibri" w:eastAsia="Calibri" w:hAnsi="Calibri"/>
          <w:sz w:val="21"/>
          <w:szCs w:val="21"/>
        </w:rPr>
        <w:t xml:space="preserve">[ ] Análisis de riesgos con conclusión expresa sobre la extensión a la cadena de suministro (V.4.11).</w:t>
      </w:r>
    </w:p>
    <w:p>
      <w:pPr>
        <w:pStyle w:val="ListParagraph"/>
        <w:numPr>
          <w:ilvl w:val="0"/>
          <w:numId w:val="1"/>
        </w:numPr>
        <w:spacing w:after="70" w:line="268"/>
      </w:pPr>
      <w:r>
        <w:rPr>
          <w:rFonts w:ascii="Calibri" w:cs="Calibri" w:eastAsia="Calibri" w:hAnsi="Calibri"/>
          <w:sz w:val="21"/>
          <w:szCs w:val="21"/>
        </w:rPr>
        <w:t xml:space="preserve">[ ] Calificación jurídica de cada certificación exigida: habilitación, solvencia, prescripción de ejecución o criterio (V.4.11 y V.5.6).</w:t>
      </w:r>
    </w:p>
    <w:p>
      <w:pPr>
        <w:pStyle w:val="ListParagraph"/>
        <w:numPr>
          <w:ilvl w:val="0"/>
          <w:numId w:val="1"/>
        </w:numPr>
        <w:spacing w:after="70" w:line="268"/>
      </w:pPr>
      <w:r>
        <w:rPr>
          <w:rFonts w:ascii="Calibri" w:cs="Calibri" w:eastAsia="Calibri" w:hAnsi="Calibri"/>
          <w:sz w:val="21"/>
          <w:szCs w:val="21"/>
        </w:rPr>
        <w:t xml:space="preserve">[ ] Informe de consultas preliminares del ejercicio invocado, o constancia de que no se realizaron (V.4.13).</w:t>
      </w:r>
    </w:p>
    <w:p>
      <w:pPr>
        <w:spacing w:after="140" w:line="276"/>
      </w:pPr>
      <w:r>
        <w:rPr>
          <w:rFonts w:ascii="Calibri" w:cs="Calibri" w:eastAsia="Calibri" w:hAnsi="Calibri"/>
          <w:b/>
          <w:bCs/>
          <w:sz w:val="21"/>
          <w:szCs w:val="21"/>
        </w:rPr>
        <w:t xml:space="preserve">Diseño del contrato</w:t>
      </w:r>
    </w:p>
    <w:p>
      <w:pPr>
        <w:pStyle w:val="ListParagraph"/>
        <w:numPr>
          <w:ilvl w:val="0"/>
          <w:numId w:val="1"/>
        </w:numPr>
        <w:spacing w:after="70" w:line="268"/>
      </w:pPr>
      <w:r>
        <w:rPr>
          <w:rFonts w:ascii="Calibri" w:cs="Calibri" w:eastAsia="Calibri" w:hAnsi="Calibri"/>
          <w:sz w:val="21"/>
          <w:szCs w:val="21"/>
        </w:rPr>
        <w:t xml:space="preserve">[ ] Valor estimado calculado con prórrogas, opciones, bolsa de evolutivos y máximo de modificaciones al alza (V.4.10).</w:t>
      </w:r>
    </w:p>
    <w:p>
      <w:pPr>
        <w:pStyle w:val="ListParagraph"/>
        <w:numPr>
          <w:ilvl w:val="0"/>
          <w:numId w:val="1"/>
        </w:numPr>
        <w:spacing w:after="70" w:line="268"/>
      </w:pPr>
      <w:r>
        <w:rPr>
          <w:rFonts w:ascii="Calibri" w:cs="Calibri" w:eastAsia="Calibri" w:hAnsi="Calibri"/>
          <w:sz w:val="21"/>
          <w:szCs w:val="21"/>
        </w:rPr>
        <w:t xml:space="preserve">[ ] Método de cálculo del valor estimado incorporado al PCAP (art. 101.5).</w:t>
      </w:r>
    </w:p>
    <w:p>
      <w:pPr>
        <w:pStyle w:val="ListParagraph"/>
        <w:numPr>
          <w:ilvl w:val="0"/>
          <w:numId w:val="1"/>
        </w:numPr>
        <w:spacing w:after="70" w:line="268"/>
      </w:pPr>
      <w:r>
        <w:rPr>
          <w:rFonts w:ascii="Calibri" w:cs="Calibri" w:eastAsia="Calibri" w:hAnsi="Calibri"/>
          <w:sz w:val="21"/>
          <w:szCs w:val="21"/>
        </w:rPr>
        <w:t xml:space="preserve">[ ] Umbrales comprobados: menor, abreviado, recurso especial y regulación armonizada, con la cuantía vigente en la fecha (V.4.10).</w:t>
      </w:r>
    </w:p>
    <w:p>
      <w:pPr>
        <w:pStyle w:val="ListParagraph"/>
        <w:numPr>
          <w:ilvl w:val="0"/>
          <w:numId w:val="1"/>
        </w:numPr>
        <w:spacing w:after="70" w:line="268"/>
      </w:pPr>
      <w:r>
        <w:rPr>
          <w:rFonts w:ascii="Calibri" w:cs="Calibri" w:eastAsia="Calibri" w:hAnsi="Calibri"/>
          <w:sz w:val="21"/>
          <w:szCs w:val="21"/>
        </w:rPr>
        <w:t xml:space="preserve">[ ] Procedimiento elegido compatible con el porcentaje de juicio de valor del baremo (V.4.6).</w:t>
      </w:r>
    </w:p>
    <w:p>
      <w:pPr>
        <w:pStyle w:val="ListParagraph"/>
        <w:numPr>
          <w:ilvl w:val="0"/>
          <w:numId w:val="1"/>
        </w:numPr>
        <w:spacing w:after="70" w:line="268"/>
      </w:pPr>
      <w:r>
        <w:rPr>
          <w:rFonts w:ascii="Calibri" w:cs="Calibri" w:eastAsia="Calibri" w:hAnsi="Calibri"/>
          <w:sz w:val="21"/>
          <w:szCs w:val="21"/>
        </w:rPr>
        <w:t xml:space="preserve">[ ] Hoja de comprobación del baremo cumplimentada </w:t>
      </w:r>
      <w:r>
        <w:rPr>
          <w:rFonts w:ascii="Calibri" w:cs="Calibri" w:eastAsia="Calibri" w:hAnsi="Calibri"/>
          <w:b/>
          <w:bCs/>
          <w:sz w:val="21"/>
          <w:szCs w:val="21"/>
        </w:rPr>
        <w:t xml:space="preserve">sobre el baremo entero, precio incluido</w:t>
      </w:r>
      <w:r>
        <w:rPr>
          <w:rFonts w:ascii="Calibri" w:cs="Calibri" w:eastAsia="Calibri" w:hAnsi="Calibri"/>
          <w:sz w:val="21"/>
          <w:szCs w:val="21"/>
        </w:rPr>
        <w:t xml:space="preserve"> (V.4.7).</w:t>
      </w:r>
    </w:p>
    <w:p>
      <w:pPr>
        <w:pStyle w:val="ListParagraph"/>
        <w:numPr>
          <w:ilvl w:val="0"/>
          <w:numId w:val="1"/>
        </w:numPr>
        <w:spacing w:after="70" w:line="268"/>
      </w:pPr>
      <w:r>
        <w:rPr>
          <w:rFonts w:ascii="Calibri" w:cs="Calibri" w:eastAsia="Calibri" w:hAnsi="Calibri"/>
          <w:sz w:val="21"/>
          <w:szCs w:val="21"/>
        </w:rPr>
        <w:t xml:space="preserve">[ ] Ninguna exigencia computada dos veces como instrumentos distintos (V.4.7).</w:t>
      </w:r>
    </w:p>
    <w:p>
      <w:pPr>
        <w:pStyle w:val="ListParagraph"/>
        <w:numPr>
          <w:ilvl w:val="0"/>
          <w:numId w:val="1"/>
        </w:numPr>
        <w:spacing w:after="70" w:line="268"/>
      </w:pPr>
      <w:r>
        <w:rPr>
          <w:rFonts w:ascii="Calibri" w:cs="Calibri" w:eastAsia="Calibri" w:hAnsi="Calibri"/>
          <w:sz w:val="21"/>
          <w:szCs w:val="21"/>
        </w:rPr>
        <w:t xml:space="preserve">[ ] Informe de insuficiencia de medios, en contratos de servicios (V.4.8).</w:t>
      </w:r>
    </w:p>
    <w:p>
      <w:pPr>
        <w:pStyle w:val="ListParagraph"/>
        <w:numPr>
          <w:ilvl w:val="0"/>
          <w:numId w:val="1"/>
        </w:numPr>
        <w:spacing w:after="70" w:line="268"/>
      </w:pPr>
      <w:r>
        <w:rPr>
          <w:rFonts w:ascii="Calibri" w:cs="Calibri" w:eastAsia="Calibri" w:hAnsi="Calibri"/>
          <w:sz w:val="21"/>
          <w:szCs w:val="21"/>
        </w:rPr>
        <w:t xml:space="preserve">[ ] Decisión sobre lotes motivada (V.4.9).</w:t>
      </w:r>
    </w:p>
    <w:p>
      <w:pPr>
        <w:pStyle w:val="ListParagraph"/>
        <w:numPr>
          <w:ilvl w:val="0"/>
          <w:numId w:val="1"/>
        </w:numPr>
        <w:spacing w:after="70" w:line="268"/>
      </w:pPr>
      <w:r>
        <w:rPr>
          <w:rFonts w:ascii="Calibri" w:cs="Calibri" w:eastAsia="Calibri" w:hAnsi="Calibri"/>
          <w:sz w:val="21"/>
          <w:szCs w:val="21"/>
        </w:rPr>
        <w:t xml:space="preserve">[ ] Responsable único de la coherencia PPT-PCAP designado y anotado en la ficha (V.2.3).</w:t>
      </w:r>
    </w:p>
    <w:p>
      <w:pPr>
        <w:pStyle w:val="ListParagraph"/>
        <w:numPr>
          <w:ilvl w:val="0"/>
          <w:numId w:val="1"/>
        </w:numPr>
        <w:spacing w:after="70" w:line="268"/>
      </w:pPr>
      <w:r>
        <w:rPr>
          <w:rFonts w:ascii="Calibri" w:cs="Calibri" w:eastAsia="Calibri" w:hAnsi="Calibri"/>
          <w:sz w:val="21"/>
          <w:szCs w:val="21"/>
        </w:rPr>
        <w:t xml:space="preserve">[ ] Cada cláusula incorporada tiene actor de verificación y periodicidad (V.1.3, regla 4).</w:t>
      </w:r>
    </w:p>
    <w:p>
      <w:pPr>
        <w:pStyle w:val="ListParagraph"/>
        <w:numPr>
          <w:ilvl w:val="0"/>
          <w:numId w:val="1"/>
        </w:numPr>
        <w:spacing w:after="70" w:line="268"/>
      </w:pPr>
      <w:r>
        <w:rPr>
          <w:rFonts w:ascii="Calibri" w:cs="Calibri" w:eastAsia="Calibri" w:hAnsi="Calibri"/>
          <w:sz w:val="21"/>
          <w:szCs w:val="21"/>
        </w:rPr>
        <w:t xml:space="preserve">[ ] Conformidad expresa del servicio verificador incorporada, cuando la carga estimada de verificación supere el umbral del §7.9.2 de la Parte I (V.2.1, documento A-6, y V.4.16).</w:t>
      </w:r>
    </w:p>
    <w:p>
      <w:pPr>
        <w:spacing w:after="140" w:line="276"/>
      </w:pPr>
      <w:r>
        <w:rPr>
          <w:rFonts w:ascii="Calibri" w:cs="Calibri" w:eastAsia="Calibri" w:hAnsi="Calibri"/>
          <w:b/>
          <w:bCs/>
          <w:sz w:val="21"/>
          <w:szCs w:val="21"/>
        </w:rPr>
        <w:t xml:space="preserve">Integridad y control</w:t>
      </w:r>
    </w:p>
    <w:p>
      <w:pPr>
        <w:pStyle w:val="ListParagraph"/>
        <w:numPr>
          <w:ilvl w:val="0"/>
          <w:numId w:val="1"/>
        </w:numPr>
        <w:spacing w:after="70" w:line="268"/>
      </w:pPr>
      <w:r>
        <w:rPr>
          <w:rFonts w:ascii="Calibri" w:cs="Calibri" w:eastAsia="Calibri" w:hAnsi="Calibri"/>
          <w:sz w:val="21"/>
          <w:szCs w:val="21"/>
        </w:rPr>
        <w:t xml:space="preserve">[ ] Declaraciones de conflicto de interés firmadas por todos los intervinientes, incluidos asesores externos (V.4.12).</w:t>
      </w:r>
    </w:p>
    <w:p>
      <w:pPr>
        <w:pStyle w:val="ListParagraph"/>
        <w:numPr>
          <w:ilvl w:val="0"/>
          <w:numId w:val="1"/>
        </w:numPr>
        <w:spacing w:after="70" w:line="268"/>
      </w:pPr>
      <w:r>
        <w:rPr>
          <w:rFonts w:ascii="Calibri" w:cs="Calibri" w:eastAsia="Calibri" w:hAnsi="Calibri"/>
          <w:sz w:val="21"/>
          <w:szCs w:val="21"/>
        </w:rPr>
        <w:t xml:space="preserve">[ ] Medidas del art. 70 adoptadas y consignadas, si hubo participación previa en la preparación (V.4.12).</w:t>
      </w:r>
    </w:p>
    <w:p>
      <w:pPr>
        <w:pStyle w:val="ListParagraph"/>
        <w:numPr>
          <w:ilvl w:val="0"/>
          <w:numId w:val="1"/>
        </w:numPr>
        <w:spacing w:after="70" w:line="268"/>
      </w:pPr>
      <w:r>
        <w:rPr>
          <w:rFonts w:ascii="Calibri" w:cs="Calibri" w:eastAsia="Calibri" w:hAnsi="Calibri"/>
          <w:sz w:val="21"/>
          <w:szCs w:val="21"/>
        </w:rPr>
        <w:t xml:space="preserve">[ ] Coste de las cláusulas activadas cifrado por concepto y partida (V.4.16).</w:t>
      </w:r>
    </w:p>
    <w:p>
      <w:pPr>
        <w:pStyle w:val="ListParagraph"/>
        <w:numPr>
          <w:ilvl w:val="0"/>
          <w:numId w:val="1"/>
        </w:numPr>
        <w:spacing w:after="70" w:line="268"/>
      </w:pPr>
      <w:r>
        <w:rPr>
          <w:rFonts w:ascii="Calibri" w:cs="Calibri" w:eastAsia="Calibri" w:hAnsi="Calibri"/>
          <w:sz w:val="21"/>
          <w:szCs w:val="21"/>
        </w:rPr>
        <w:t xml:space="preserve">[ ] Valoración de repercusiones en estabilidad presupuestaria y sostenibilidad financiera incorporada (V.4.16).</w:t>
      </w:r>
    </w:p>
    <w:p>
      <w:pPr>
        <w:pStyle w:val="ListParagraph"/>
        <w:numPr>
          <w:ilvl w:val="0"/>
          <w:numId w:val="1"/>
        </w:numPr>
        <w:spacing w:after="70" w:line="268"/>
      </w:pPr>
      <w:r>
        <w:rPr>
          <w:rFonts w:ascii="Calibri" w:cs="Calibri" w:eastAsia="Calibri" w:hAnsi="Calibri"/>
          <w:sz w:val="21"/>
          <w:szCs w:val="21"/>
        </w:rPr>
        <w:t xml:space="preserve">[ ] Certificado de existencia de crédito (V.4.16).</w:t>
      </w:r>
    </w:p>
    <w:p>
      <w:pPr>
        <w:pStyle w:val="ListParagraph"/>
        <w:numPr>
          <w:ilvl w:val="0"/>
          <w:numId w:val="1"/>
        </w:numPr>
        <w:spacing w:after="70" w:line="268"/>
      </w:pPr>
      <w:r>
        <w:rPr>
          <w:rFonts w:ascii="Calibri" w:cs="Calibri" w:eastAsia="Calibri" w:hAnsi="Calibri"/>
          <w:sz w:val="21"/>
          <w:szCs w:val="21"/>
        </w:rPr>
        <w:t xml:space="preserve">[ ] Informe jurídico preceptivo solicitado con la antelación fijada, y emitido (V.4.15).</w:t>
      </w:r>
    </w:p>
    <w:p>
      <w:pPr>
        <w:pStyle w:val="ListParagraph"/>
        <w:numPr>
          <w:ilvl w:val="0"/>
          <w:numId w:val="1"/>
        </w:numPr>
        <w:spacing w:after="70" w:line="268"/>
      </w:pPr>
      <w:r>
        <w:rPr>
          <w:rFonts w:ascii="Calibri" w:cs="Calibri" w:eastAsia="Calibri" w:hAnsi="Calibri"/>
          <w:sz w:val="21"/>
          <w:szCs w:val="21"/>
        </w:rPr>
        <w:t xml:space="preserve">[ ] Informe de fiscalización, y reparos, en su caso, solventados (V.4.16).</w:t>
      </w:r>
    </w:p>
    <w:p>
      <w:pPr>
        <w:spacing w:after="140" w:line="276"/>
      </w:pPr>
      <w:r>
        <w:rPr>
          <w:rFonts w:ascii="Calibri" w:cs="Calibri" w:eastAsia="Calibri" w:hAnsi="Calibri"/>
          <w:b/>
          <w:bCs/>
          <w:sz w:val="21"/>
          <w:szCs w:val="21"/>
        </w:rPr>
        <w:t xml:space="preserve">Publicación y defensa</w:t>
      </w:r>
    </w:p>
    <w:p>
      <w:pPr>
        <w:pStyle w:val="ListParagraph"/>
        <w:numPr>
          <w:ilvl w:val="0"/>
          <w:numId w:val="1"/>
        </w:numPr>
        <w:spacing w:after="70" w:line="268"/>
      </w:pPr>
      <w:r>
        <w:rPr>
          <w:rFonts w:ascii="Calibri" w:cs="Calibri" w:eastAsia="Calibri" w:hAnsi="Calibri"/>
          <w:sz w:val="21"/>
          <w:szCs w:val="21"/>
        </w:rPr>
        <w:t xml:space="preserve">[ ] Comprobado qué documentos se publican y que todos ellos están redactados sabiendo que se publican (V.3).</w:t>
      </w:r>
    </w:p>
    <w:p>
      <w:pPr>
        <w:pStyle w:val="ListParagraph"/>
        <w:numPr>
          <w:ilvl w:val="0"/>
          <w:numId w:val="1"/>
        </w:numPr>
        <w:spacing w:after="70" w:line="268"/>
      </w:pPr>
      <w:r>
        <w:rPr>
          <w:rFonts w:ascii="Calibri" w:cs="Calibri" w:eastAsia="Calibri" w:hAnsi="Calibri"/>
          <w:sz w:val="21"/>
          <w:szCs w:val="21"/>
        </w:rPr>
        <w:t xml:space="preserve">[ ] Anuncio de licitación con indicación expresa de la forma de acceso a los pliegos (V.4.17 y art. 50.1.b).</w:t>
      </w:r>
    </w:p>
    <w:p>
      <w:pPr>
        <w:pStyle w:val="ListParagraph"/>
        <w:numPr>
          <w:ilvl w:val="0"/>
          <w:numId w:val="1"/>
        </w:numPr>
        <w:spacing w:after="70" w:line="268"/>
      </w:pPr>
      <w:r>
        <w:rPr>
          <w:rFonts w:ascii="Calibri" w:cs="Calibri" w:eastAsia="Calibri" w:hAnsi="Calibri"/>
          <w:sz w:val="21"/>
          <w:szCs w:val="21"/>
        </w:rPr>
        <w:t xml:space="preserve">[ ] Todas las condiciones especiales de ejecución incorporadas figuran indicadas en el anuncio de licitación (art. 202.1 LCSP), </w:t>
      </w:r>
      <w:r>
        <w:rPr>
          <w:rFonts w:ascii="Calibri" w:cs="Calibri" w:eastAsia="Calibri" w:hAnsi="Calibri"/>
          <w:b/>
          <w:bCs/>
          <w:sz w:val="21"/>
          <w:szCs w:val="21"/>
        </w:rPr>
        <w:t xml:space="preserve">enumeradas una por una</w:t>
      </w:r>
      <w:r>
        <w:rPr>
          <w:rFonts w:ascii="Calibri" w:cs="Calibri" w:eastAsia="Calibri" w:hAnsi="Calibri"/>
          <w:sz w:val="21"/>
          <w:szCs w:val="21"/>
        </w:rPr>
        <w:t xml:space="preserve"> y cotejadas contra la Ficha de Aplicabilidad. Su omisión en el anuncio no se subsana después, y de ella pende además la esencialidad de las que el pliego haya calificado como tales.</w:t>
      </w:r>
    </w:p>
    <w:p>
      <w:pPr>
        <w:pStyle w:val="ListParagraph"/>
        <w:numPr>
          <w:ilvl w:val="0"/>
          <w:numId w:val="1"/>
        </w:numPr>
        <w:spacing w:after="70" w:line="268"/>
      </w:pPr>
      <w:r>
        <w:rPr>
          <w:rFonts w:ascii="Calibri" w:cs="Calibri" w:eastAsia="Calibri" w:hAnsi="Calibri"/>
          <w:sz w:val="21"/>
          <w:szCs w:val="21"/>
        </w:rPr>
        <w:t xml:space="preserve">[ ] Versión del catálogo y del Anexo V identificadas en el pliego, y Anexo V transcrito, no remitido (V.8.4 y V.8.5).</w:t>
      </w:r>
    </w:p>
    <w:p>
      <w:pPr>
        <w:pStyle w:val="ListParagraph"/>
        <w:numPr>
          <w:ilvl w:val="0"/>
          <w:numId w:val="1"/>
        </w:numPr>
        <w:spacing w:after="70" w:line="268"/>
      </w:pPr>
      <w:r>
        <w:rPr>
          <w:rFonts w:ascii="Calibri" w:cs="Calibri" w:eastAsia="Calibri" w:hAnsi="Calibri"/>
          <w:sz w:val="21"/>
          <w:szCs w:val="21"/>
        </w:rPr>
        <w:t xml:space="preserve">[ ] Carpeta de defensa cerrada, con índice, responsable y suplente designados y dirección electrónica habilitada verificada (V.6).</w:t>
      </w:r>
    </w:p>
    <w:p>
      <w:pPr>
        <w:pStyle w:val="ListParagraph"/>
        <w:numPr>
          <w:ilvl w:val="0"/>
          <w:numId w:val="1"/>
        </w:numPr>
        <w:spacing w:after="70" w:line="268"/>
      </w:pPr>
      <w:r>
        <w:rPr>
          <w:rFonts w:ascii="Calibri" w:cs="Calibri" w:eastAsia="Calibri" w:hAnsi="Calibri"/>
          <w:sz w:val="21"/>
          <w:szCs w:val="21"/>
        </w:rPr>
        <w:t xml:space="preserve">[ ] Registro de uso actualizado: expediente, versión aplicada y cláusulas incorporadas (V.8.4).</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V.11 · Fuentes citadas en esta Parte</w:t>
      </w:r>
    </w:p>
    <w:p>
      <w:pPr>
        <w:spacing w:after="140" w:line="276"/>
      </w:pPr>
      <w:r>
        <w:rPr>
          <w:rFonts w:ascii="Calibri" w:cs="Calibri" w:eastAsia="Calibri" w:hAnsi="Calibri"/>
          <w:sz w:val="21"/>
          <w:szCs w:val="21"/>
        </w:rPr>
        <w:t xml:space="preserve">Todas verificadas en fuente primaria a fecha de corte </w:t>
      </w:r>
      <w:r>
        <w:rPr>
          <w:rFonts w:ascii="Calibri" w:cs="Calibri" w:eastAsia="Calibri" w:hAnsi="Calibri"/>
          <w:b/>
          <w:bCs/>
          <w:sz w:val="21"/>
          <w:szCs w:val="21"/>
        </w:rPr>
        <w:t xml:space="preserve">1 de septiembre de 2026</w:t>
      </w:r>
      <w:r>
        <w:rPr>
          <w:rFonts w:ascii="Calibri" w:cs="Calibri" w:eastAsia="Calibri" w:hAnsi="Calibri"/>
          <w:sz w:val="21"/>
          <w:szCs w:val="21"/>
        </w:rPr>
        <w:t xml:space="preserve">. Las resoluciones se citan como doctrina general trasladada por analogía: no existe, a esa fecha, doctrina de tribunales administrativos de recursos contractuales sobre cláusulas de inteligencia artificial, interfaces para agentes, condiciones especiales de ejecución de contenido tecnológico-evolutivo o demostraciones de software.</w:t>
      </w:r>
    </w:p>
    <w:p>
      <w:pPr>
        <w:spacing w:after="140" w:line="276"/>
      </w:pPr>
      <w:r>
        <w:rPr>
          <w:rFonts w:ascii="Calibri" w:cs="Calibri" w:eastAsia="Calibri" w:hAnsi="Calibri"/>
          <w:b/>
          <w:bCs/>
          <w:sz w:val="21"/>
          <w:szCs w:val="21"/>
        </w:rPr>
        <w:t xml:space="preserve">Legislación</w:t>
      </w:r>
      <w:r>
        <w:rPr>
          <w:rFonts w:ascii="Calibri" w:cs="Calibri" w:eastAsia="Calibri" w:hAnsi="Calibri"/>
          <w:sz w:val="21"/>
          <w:szCs w:val="21"/>
        </w:rPr>
        <w:t xml:space="preserve"> (texto consolidado del Boletín Oficial del Estado):</w:t>
      </w:r>
    </w:p>
    <w:p>
      <w:pPr>
        <w:pStyle w:val="ListParagraph"/>
        <w:numPr>
          <w:ilvl w:val="0"/>
          <w:numId w:val="1"/>
        </w:numPr>
        <w:spacing w:after="70" w:line="268"/>
      </w:pPr>
      <w:r>
        <w:rPr>
          <w:rFonts w:ascii="Calibri" w:cs="Calibri" w:eastAsia="Calibri" w:hAnsi="Calibri"/>
          <w:sz w:val="21"/>
          <w:szCs w:val="21"/>
        </w:rPr>
        <w:t xml:space="preserve">Ley 9/2017, de 8 de noviembre, de Contratos del Sector Público — arts. 20.1, 21.1.a) y b), 22.1.a) y b), 28.1, 29.2, 44, 46.4, 48, 50, 51, 52, 53, 56, 57, 58, 59, 62, 63, 64, 70, 101, 115, 116, 117, 118, 121.2, 122, 132.2 y 132.3, 146.2, 159.1.a) y b) y 159.6, 192, 193, 202.1, 203 a 205, 211.1.f).2.º, 336, DA 2.ª y DA 3.ª. → https://www.boe.es/buscar/act.php?id=BOE-A-2017-12902</w:t>
      </w:r>
    </w:p>
    <w:p>
      <w:pPr>
        <w:pStyle w:val="ListParagraph"/>
        <w:numPr>
          <w:ilvl w:val="0"/>
          <w:numId w:val="1"/>
        </w:numPr>
        <w:spacing w:after="70" w:line="268"/>
      </w:pPr>
      <w:r>
        <w:rPr>
          <w:rFonts w:ascii="Calibri" w:cs="Calibri" w:eastAsia="Calibri" w:hAnsi="Calibri"/>
          <w:sz w:val="21"/>
          <w:szCs w:val="21"/>
        </w:rPr>
        <w:t xml:space="preserve">Ley 7/1985, de 2 de abril, Reguladora de las Bases del Régimen Local — arts. 121 y 127.1, y disposición adicional octava, letra e). → https://www.boe.es/buscar/act.php?id=BOE-A-1985-5392</w:t>
      </w:r>
    </w:p>
    <w:p>
      <w:pPr>
        <w:pStyle w:val="ListParagraph"/>
        <w:numPr>
          <w:ilvl w:val="0"/>
          <w:numId w:val="1"/>
        </w:numPr>
        <w:spacing w:after="70" w:line="268"/>
      </w:pPr>
      <w:r>
        <w:rPr>
          <w:rFonts w:ascii="Calibri" w:cs="Calibri" w:eastAsia="Calibri" w:hAnsi="Calibri"/>
          <w:sz w:val="21"/>
          <w:szCs w:val="21"/>
        </w:rPr>
        <w:t xml:space="preserve">Ley 40/2015, de 1 de octubre, de Régimen Jurídico del Sector Público — arts. 157 y 158. → https://www.boe.es/buscar/act.php?id=BOE-A-2015-10566</w:t>
      </w:r>
    </w:p>
    <w:p>
      <w:pPr>
        <w:pStyle w:val="ListParagraph"/>
        <w:numPr>
          <w:ilvl w:val="0"/>
          <w:numId w:val="1"/>
        </w:numPr>
        <w:spacing w:after="70" w:line="268"/>
      </w:pPr>
      <w:r>
        <w:rPr>
          <w:rFonts w:ascii="Calibri" w:cs="Calibri" w:eastAsia="Calibri" w:hAnsi="Calibri"/>
          <w:sz w:val="21"/>
          <w:szCs w:val="21"/>
        </w:rPr>
        <w:t xml:space="preserve">Real Decreto 311/2022, de 3 de mayo, por el que se regula el Esquema Nacional de Seguridad — arts. 2.3, 28, 38.1, 40 y 41, y anexo I. → https://www.boe.es/buscar/act.php?id=BOE-A-2022-7191</w:t>
      </w:r>
    </w:p>
    <w:p>
      <w:pPr>
        <w:pStyle w:val="ListParagraph"/>
        <w:numPr>
          <w:ilvl w:val="0"/>
          <w:numId w:val="1"/>
        </w:numPr>
        <w:spacing w:after="70" w:line="268"/>
      </w:pPr>
      <w:r>
        <w:rPr>
          <w:rFonts w:ascii="Calibri" w:cs="Calibri" w:eastAsia="Calibri" w:hAnsi="Calibri"/>
          <w:sz w:val="21"/>
          <w:szCs w:val="21"/>
        </w:rPr>
        <w:t xml:space="preserve">Real Decreto 424/2017, de 28 de abril, por el que se regula el régimen jurídico del control interno en las entidades del Sector Público Local — arts. 12, 13, 15 y 20. → https://www.boe.es/buscar/act.php?id=BOE-A-2017-5192</w:t>
      </w:r>
    </w:p>
    <w:p>
      <w:pPr>
        <w:pStyle w:val="ListParagraph"/>
        <w:numPr>
          <w:ilvl w:val="0"/>
          <w:numId w:val="1"/>
        </w:numPr>
        <w:spacing w:after="70" w:line="268"/>
      </w:pPr>
      <w:r>
        <w:rPr>
          <w:rFonts w:ascii="Calibri" w:cs="Calibri" w:eastAsia="Calibri" w:hAnsi="Calibri"/>
          <w:sz w:val="21"/>
          <w:szCs w:val="21"/>
        </w:rPr>
        <w:t xml:space="preserve">Real Decreto Legislativo 2/2004, de 5 de marzo, texto refundido de la Ley reguladora de las Haciendas Locales — arts. 174, 214, 216.2 y 218.3.</w:t>
      </w:r>
    </w:p>
    <w:p>
      <w:pPr>
        <w:pStyle w:val="ListParagraph"/>
        <w:numPr>
          <w:ilvl w:val="0"/>
          <w:numId w:val="1"/>
        </w:numPr>
        <w:spacing w:after="70" w:line="268"/>
      </w:pPr>
      <w:r>
        <w:rPr>
          <w:rFonts w:ascii="Calibri" w:cs="Calibri" w:eastAsia="Calibri" w:hAnsi="Calibri"/>
          <w:sz w:val="21"/>
          <w:szCs w:val="21"/>
        </w:rPr>
        <w:t xml:space="preserve">Ley Orgánica 2/2012, de 27 de abril, de Estabilidad Presupuestaria y Sostenibilidad Financiera — art. 7.</w:t>
      </w:r>
    </w:p>
    <w:p>
      <w:pPr>
        <w:pStyle w:val="ListParagraph"/>
        <w:numPr>
          <w:ilvl w:val="0"/>
          <w:numId w:val="1"/>
        </w:numPr>
        <w:spacing w:after="70" w:line="268"/>
      </w:pPr>
      <w:r>
        <w:rPr>
          <w:rFonts w:ascii="Calibri" w:cs="Calibri" w:eastAsia="Calibri" w:hAnsi="Calibri"/>
          <w:sz w:val="21"/>
          <w:szCs w:val="21"/>
        </w:rPr>
        <w:t xml:space="preserve">Orden HAC/1517/2025, de 18 de diciembre, por la que se publican los límites de los distintos tipos de contratos a efectos de la contratación del sector público a partir del 1 de enero de 2026 → BOE-A-2025-26605</w:t>
      </w:r>
    </w:p>
    <w:p>
      <w:pPr>
        <w:pStyle w:val="ListParagraph"/>
        <w:numPr>
          <w:ilvl w:val="0"/>
          <w:numId w:val="1"/>
        </w:numPr>
        <w:spacing w:after="70" w:line="268"/>
      </w:pPr>
      <w:r>
        <w:rPr>
          <w:rFonts w:ascii="Calibri" w:cs="Calibri" w:eastAsia="Calibri" w:hAnsi="Calibri"/>
          <w:sz w:val="21"/>
          <w:szCs w:val="21"/>
        </w:rPr>
        <w:t xml:space="preserve">Sentencia del Tribunal Constitucional 68/2021, de 18 de marzo, recurso de inconstitucionalidad n.º 4261-2018, en cuanto declara inconstitucional y nulo el párrafo segundo del art. 46.4 LCSP, declara no conformes con el orden constitucional de competencias determinados incisos del art. 52.3 [FJ 6 E) c)] y declara conforme el art. 58.2 en los términos interpretativos del FJ 6 E) d). Las tres declaraciones constan en las notas a esos artículos del texto consolidado de la Ley 9/2017. → https://www.boe.es/diario_boe/txt.php?id=BOE-A-2021-6614</w:t>
      </w:r>
    </w:p>
    <w:p>
      <w:pPr>
        <w:spacing w:after="140" w:line="276"/>
      </w:pPr>
      <w:r>
        <w:rPr>
          <w:rFonts w:ascii="Calibri" w:cs="Calibri" w:eastAsia="Calibri" w:hAnsi="Calibri"/>
          <w:b/>
          <w:bCs/>
          <w:sz w:val="21"/>
          <w:szCs w:val="21"/>
        </w:rPr>
        <w:t xml:space="preserve">Doctrina:</w:t>
      </w:r>
    </w:p>
    <w:p>
      <w:pPr>
        <w:pStyle w:val="ListParagraph"/>
        <w:numPr>
          <w:ilvl w:val="0"/>
          <w:numId w:val="1"/>
        </w:numPr>
        <w:spacing w:after="70" w:line="268"/>
      </w:pPr>
      <w:r>
        <w:rPr>
          <w:rFonts w:ascii="Calibri" w:cs="Calibri" w:eastAsia="Calibri" w:hAnsi="Calibri"/>
          <w:sz w:val="21"/>
          <w:szCs w:val="21"/>
        </w:rPr>
        <w:t xml:space="preserve">Tribunal Administrativo de Contratación Pública de la Comunidad de Madrid, </w:t>
      </w:r>
      <w:r>
        <w:rPr>
          <w:rFonts w:ascii="Calibri" w:cs="Calibri" w:eastAsia="Calibri" w:hAnsi="Calibri"/>
          <w:b/>
          <w:bCs/>
          <w:sz w:val="21"/>
          <w:szCs w:val="21"/>
        </w:rPr>
        <w:t xml:space="preserve">Resolución n.º 383/2024, de 3 de octubre de 2024, recurso y expediente n.º 383/2024</w:t>
      </w:r>
      <w:r>
        <w:rPr>
          <w:rFonts w:ascii="Calibri" w:cs="Calibri" w:eastAsia="Calibri" w:hAnsi="Calibri"/>
          <w:sz w:val="21"/>
          <w:szCs w:val="21"/>
        </w:rPr>
        <w:t xml:space="preserve"> (Tecnologías Viales Aplicadas TEVA, S.L. c. pliegos del Ayuntamiento de Parla). Estimatoria; la anulación de los pliegos por falta de justificación en la memoria de la exigencia de certificaciones de conformidad con el Esquema Nacional de Seguridad se declara en el fundamento de derecho Quinto. → </w:t>
      </w:r>
      <w:hyperlink w:history="1" r:id="rIdtzf3xf5sdgjbfrpiu-ole">
        <w:r>
          <w:rPr>
            <w:rFonts w:ascii="Calibri" w:cs="Calibri" w:eastAsia="Calibri" w:hAnsi="Calibri"/>
            <w:color w:val="2F5496"/>
            <w:sz w:val="21"/>
            <w:szCs w:val="21"/>
            <w:u w:val="single"/>
          </w:rPr>
          <w:t xml:space="preserve">PDF</w:t>
        </w:r>
      </w:hyperlink>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PARTE VI · EJEMPLO COMPLETO TRABAJADO SOBRE UN EXPEDIENTE SIMULADO</w:t>
      </w:r>
    </w:p>
    <w:p>
      <w:pPr>
        <w:pBdr>
          <w:left w:val="single" w:color="BFBFBF" w:sz="12" w:space="8"/>
        </w:pBdr>
        <w:spacing w:after="140" w:line="264"/>
        <w:ind w:left="400"/>
      </w:pPr>
      <w:r>
        <w:rPr>
          <w:rFonts w:ascii="Georgia" w:cs="Georgia" w:eastAsia="Georgia" w:hAnsi="Georgia"/>
          <w:i/>
          <w:iCs/>
          <w:color w:val="595959"/>
          <w:sz w:val="20"/>
          <w:szCs w:val="20"/>
        </w:rPr>
        <w:t xml:space="preserve">### ⚠ Advertencia previa, y es la más importante de todo el documento</w:t>
      </w:r>
    </w:p>
    <w:p>
      <w:pPr>
        <w:pBdr>
          <w:left w:val="single" w:color="BFBFBF" w:sz="12" w:space="8"/>
        </w:pBdr>
        <w:spacing w:after="140" w:line="264"/>
        <w:ind w:left="400"/>
      </w:pPr>
      <w:r>
        <w:rPr>
          <w:rFonts w:ascii="Georgia" w:cs="Georgia" w:eastAsia="Georgia" w:hAnsi="Georgia"/>
          <w:b/>
          <w:bCs/>
          <w:i/>
          <w:iCs/>
          <w:color w:val="595959"/>
          <w:sz w:val="20"/>
          <w:szCs w:val="20"/>
        </w:rPr>
        <w:t xml:space="preserve">Todo lo que sigue es una simulación.</w:t>
      </w:r>
      <w:r>
        <w:rPr>
          <w:rFonts w:ascii="Georgia" w:cs="Georgia" w:eastAsia="Georgia" w:hAnsi="Georgia"/>
          <w:i/>
          <w:iCs/>
          <w:color w:val="595959"/>
          <w:sz w:val="20"/>
          <w:szCs w:val="20"/>
        </w:rPr>
        <w:t xml:space="preserve"> El municipio, el objeto del contrato, las cifras, las fechas, los módulos, los plazos y las conclusiones han sido </w:t>
      </w:r>
      <w:r>
        <w:rPr>
          <w:rFonts w:ascii="Georgia" w:cs="Georgia" w:eastAsia="Georgia" w:hAnsi="Georgia"/>
          <w:b/>
          <w:bCs/>
          <w:i/>
          <w:iCs/>
          <w:color w:val="595959"/>
          <w:sz w:val="20"/>
          <w:szCs w:val="20"/>
        </w:rPr>
        <w:t xml:space="preserve">construidos para este ejemplo</w:t>
      </w:r>
      <w:r>
        <w:rPr>
          <w:rFonts w:ascii="Georgia" w:cs="Georgia" w:eastAsia="Georgia" w:hAnsi="Georgia"/>
          <w:i/>
          <w:iCs/>
          <w:color w:val="595959"/>
          <w:sz w:val="20"/>
          <w:szCs w:val="20"/>
        </w:rPr>
        <w:t xml:space="preserve">, con el único fin de mostrar el catálogo funcionando de principio a fin sobre un caso completo.</w:t>
      </w:r>
    </w:p>
    <w:p>
      <w:pPr>
        <w:pBdr>
          <w:left w:val="single" w:color="BFBFBF" w:sz="12" w:space="8"/>
        </w:pBdr>
        <w:spacing w:after="140" w:line="264"/>
        <w:ind w:left="400"/>
      </w:pPr>
      <w:r>
        <w:rPr>
          <w:rFonts w:ascii="Georgia" w:cs="Georgia" w:eastAsia="Georgia" w:hAnsi="Georgia"/>
          <w:b/>
          <w:bCs/>
          <w:i/>
          <w:iCs/>
          <w:color w:val="595959"/>
          <w:sz w:val="20"/>
          <w:szCs w:val="20"/>
        </w:rPr>
        <w:t xml:space="preserve">No corresponden a ningún expediente real</w:t>
      </w:r>
      <w:r>
        <w:rPr>
          <w:rFonts w:ascii="Georgia" w:cs="Georgia" w:eastAsia="Georgia" w:hAnsi="Georgia"/>
          <w:i/>
          <w:iCs/>
          <w:color w:val="595959"/>
          <w:sz w:val="20"/>
          <w:szCs w:val="20"/>
        </w:rPr>
        <w:t xml:space="preserve"> —adjudicado, licitado, anunciado o en preparación— de ningún ayuntamiento, y </w:t>
      </w:r>
      <w:r>
        <w:rPr>
          <w:rFonts w:ascii="Georgia" w:cs="Georgia" w:eastAsia="Georgia" w:hAnsi="Georgia"/>
          <w:b/>
          <w:bCs/>
          <w:i/>
          <w:iCs/>
          <w:color w:val="595959"/>
          <w:sz w:val="20"/>
          <w:szCs w:val="20"/>
        </w:rPr>
        <w:t xml:space="preserve">no deben citarse como dato</w:t>
      </w:r>
      <w:r>
        <w:rPr>
          <w:rFonts w:ascii="Georgia" w:cs="Georgia" w:eastAsia="Georgia" w:hAnsi="Georgia"/>
          <w:i/>
          <w:iCs/>
          <w:color w:val="595959"/>
          <w:sz w:val="20"/>
          <w:szCs w:val="20"/>
        </w:rPr>
        <w:t xml:space="preserve">. Ningún número de esta parte procede de un expediente municipal; ninguna conclusión de esta parte prejuzga la que corresponda a un expediente real, que dependerá de sus propios datos.</w:t>
      </w:r>
    </w:p>
    <w:p>
      <w:pPr>
        <w:pBdr>
          <w:left w:val="single" w:color="BFBFBF" w:sz="12" w:space="8"/>
        </w:pBdr>
        <w:spacing w:after="140" w:line="264"/>
        <w:ind w:left="400"/>
      </w:pPr>
      <w:r>
        <w:rPr>
          <w:rFonts w:ascii="Georgia" w:cs="Georgia" w:eastAsia="Georgia" w:hAnsi="Georgia"/>
          <w:i/>
          <w:iCs/>
          <w:color w:val="595959"/>
          <w:sz w:val="20"/>
          <w:szCs w:val="20"/>
        </w:rPr>
        <w:t xml:space="preserve">Esta advertencia no es una cautela de estilo: la preparación de un contrato </w:t>
      </w:r>
      <w:r>
        <w:rPr>
          <w:rFonts w:ascii="Georgia" w:cs="Georgia" w:eastAsia="Georgia" w:hAnsi="Georgia"/>
          <w:b/>
          <w:bCs/>
          <w:i/>
          <w:iCs/>
          <w:color w:val="595959"/>
          <w:sz w:val="20"/>
          <w:szCs w:val="20"/>
        </w:rPr>
        <w:t xml:space="preserve">es información no pública hasta su publicación en el perfil de contratante</w:t>
      </w:r>
      <w:r>
        <w:rPr>
          <w:rFonts w:ascii="Georgia" w:cs="Georgia" w:eastAsia="Georgia" w:hAnsi="Georgia"/>
          <w:i/>
          <w:iCs/>
          <w:color w:val="595959"/>
          <w:sz w:val="20"/>
          <w:szCs w:val="20"/>
        </w:rPr>
        <w:t xml:space="preserve">, y un documento como éste no puede anticiparla. Por eso el ejemplo es simulado y por eso lo dice aquí, en la primera línea.</w:t>
      </w:r>
    </w:p>
    <w:p>
      <w:pPr>
        <w:pStyle w:val="Heading2"/>
        <w:keepNext/>
        <w:spacing w:after="140" w:before="320"/>
      </w:pPr>
      <w:r>
        <w:rPr>
          <w:rFonts w:ascii="Georgia" w:cs="Georgia" w:eastAsia="Georgia" w:hAnsi="Georgia"/>
          <w:b/>
          <w:bCs/>
          <w:color w:val="1F3864"/>
          <w:sz w:val="26"/>
          <w:szCs w:val="26"/>
        </w:rPr>
        <w:t xml:space="preserve">VI.1 Qué es esta parte y por qué existe</w:t>
      </w:r>
    </w:p>
    <w:p>
      <w:pPr>
        <w:spacing w:after="140" w:line="276"/>
      </w:pPr>
      <w:r>
        <w:rPr>
          <w:rFonts w:ascii="Calibri" w:cs="Calibri" w:eastAsia="Calibri" w:hAnsi="Calibri"/>
          <w:sz w:val="21"/>
          <w:szCs w:val="21"/>
        </w:rPr>
        <w:t xml:space="preserve">Esta parte responde a la </w:t>
      </w:r>
      <w:r>
        <w:rPr>
          <w:rFonts w:ascii="Calibri" w:cs="Calibri" w:eastAsia="Calibri" w:hAnsi="Calibri"/>
          <w:b/>
          <w:bCs/>
          <w:sz w:val="21"/>
          <w:szCs w:val="21"/>
        </w:rPr>
        <w:t xml:space="preserve">tercera dificultad del §M1.1</w:t>
      </w:r>
      <w:r>
        <w:rPr>
          <w:rFonts w:ascii="Calibri" w:cs="Calibri" w:eastAsia="Calibri" w:hAnsi="Calibri"/>
          <w:sz w:val="21"/>
          <w:szCs w:val="21"/>
        </w:rPr>
        <w:t xml:space="preserve">: mientras un catálogo no se vea funcionando sobre un expediente concreto, se lee como una declaración de intenciones, y la forma de quitarse las dudas sobre su aplicabilidad real es incluirlo en alguna contratación ya prevista en la que su aplicación no resulte excesivamente compleja, a modo de experimento piloto.</w:t>
      </w:r>
    </w:p>
    <w:p>
      <w:pPr>
        <w:spacing w:after="140" w:line="276"/>
      </w:pPr>
      <w:r>
        <w:rPr>
          <w:rFonts w:ascii="Calibri" w:cs="Calibri" w:eastAsia="Calibri" w:hAnsi="Calibri"/>
          <w:sz w:val="21"/>
          <w:szCs w:val="21"/>
        </w:rPr>
        <w:t xml:space="preserve">La respuesta se da en dos piezas que conviene no confundir:</w:t>
      </w:r>
    </w:p>
    <w:p>
      <w:pPr>
        <w:pStyle w:val="ListParagraph"/>
        <w:numPr>
          <w:ilvl w:val="0"/>
          <w:numId w:val="2"/>
        </w:numPr>
        <w:spacing w:after="70" w:line="268"/>
      </w:pPr>
      <w:r>
        <w:rPr>
          <w:rFonts w:ascii="Calibri" w:cs="Calibri" w:eastAsia="Calibri" w:hAnsi="Calibri"/>
          <w:b/>
          <w:bCs/>
          <w:sz w:val="21"/>
          <w:szCs w:val="21"/>
        </w:rPr>
        <w:t xml:space="preserve">El método para elegir el contrato piloto</w:t>
      </w:r>
      <w:r>
        <w:rPr>
          <w:rFonts w:ascii="Calibri" w:cs="Calibri" w:eastAsia="Calibri" w:hAnsi="Calibri"/>
          <w:sz w:val="21"/>
          <w:szCs w:val="21"/>
        </w:rPr>
        <w:t xml:space="preserve"> (§VI.2): qué condiciones hace falta que reúna un expediente para ser un buen primer caso, y cuáles lo desaconsejan. Esto sí es directamente aplicable por cualquier administración a sus propios contratos.</w:t>
      </w:r>
    </w:p>
    <w:p>
      <w:pPr>
        <w:pStyle w:val="ListParagraph"/>
        <w:numPr>
          <w:ilvl w:val="0"/>
          <w:numId w:val="2"/>
        </w:numPr>
        <w:spacing w:after="70" w:line="268"/>
      </w:pPr>
      <w:r>
        <w:rPr>
          <w:rFonts w:ascii="Calibri" w:cs="Calibri" w:eastAsia="Calibri" w:hAnsi="Calibri"/>
          <w:b/>
          <w:bCs/>
          <w:sz w:val="21"/>
          <w:szCs w:val="21"/>
        </w:rPr>
        <w:t xml:space="preserve">Un ejemplo completo trabajado sobre un expediente simulado</w:t>
      </w:r>
      <w:r>
        <w:rPr>
          <w:rFonts w:ascii="Calibri" w:cs="Calibri" w:eastAsia="Calibri" w:hAnsi="Calibri"/>
          <w:sz w:val="21"/>
          <w:szCs w:val="21"/>
        </w:rPr>
        <w:t xml:space="preserve"> (§VI.3 y siguientes): el catálogo recorrido entero sobre un caso construido, con las casillas marcadas, las cláusulas descartadas con su motivo, la categoría de seguridad razonada, el baremo completo —con el precio dentro— y la lista de documentos que el expediente debe contener. Y con lo que ningún documento de este tipo suele incluir: la tabla de lo que habría que rectificar en unos pliegos ya redactados con la versión anterior.</w:t>
      </w:r>
    </w:p>
    <w:p>
      <w:pPr>
        <w:spacing w:after="140" w:line="276"/>
      </w:pPr>
      <w:r>
        <w:rPr>
          <w:rFonts w:ascii="Calibri" w:cs="Calibri" w:eastAsia="Calibri" w:hAnsi="Calibri"/>
          <w:sz w:val="21"/>
          <w:szCs w:val="21"/>
        </w:rPr>
        <w:t xml:space="preserve">Es deliberado que el ejemplo sea simulado y no un expediente real. Un catálogo que se publica en abierto no puede sostenerse sobre la preparación de un contrato concreto: ni jurídicamente —esa información no es pública hasta el perfil de contratante—, ni prácticamente, porque las conclusiones de un expediente no son trasladables a otro. Lo que sí es trasladable, y es lo que se entrega aquí, es </w:t>
      </w:r>
      <w:r>
        <w:rPr>
          <w:rFonts w:ascii="Calibri" w:cs="Calibri" w:eastAsia="Calibri" w:hAnsi="Calibri"/>
          <w:b/>
          <w:bCs/>
          <w:sz w:val="21"/>
          <w:szCs w:val="21"/>
        </w:rPr>
        <w:t xml:space="preserve">el orden de las decisiones</w:t>
      </w:r>
      <w:r>
        <w:rPr>
          <w:rFonts w:ascii="Calibri" w:cs="Calibri" w:eastAsia="Calibri" w:hAnsi="Calibri"/>
          <w:sz w:val="21"/>
          <w:szCs w:val="21"/>
        </w:rPr>
        <w:t xml:space="preserve">: origen de la necesidad, aplicabilidad, categoría de seguridad, instrumento, baremo, valor estimado, documentos.</w:t>
      </w:r>
    </w:p>
    <w:p>
      <w:pPr>
        <w:spacing w:after="140" w:line="276"/>
      </w:pPr>
      <w:r>
        <w:rPr>
          <w:rFonts w:ascii="Calibri" w:cs="Calibri" w:eastAsia="Calibri" w:hAnsi="Calibri"/>
          <w:sz w:val="21"/>
          <w:szCs w:val="21"/>
        </w:rPr>
        <w:t xml:space="preserve">Regla de lectura para otra administración que reutilice el documento (R-5): lo que sigue es un caso construido, no una plantilla. Reutilícese el orden; no las conclusiones.</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VI.2 Cómo elegir el contrato piloto, y el cauce si los pliegos ya están escritos</w:t>
      </w:r>
    </w:p>
    <w:p>
      <w:pPr>
        <w:pStyle w:val="Heading3"/>
        <w:keepNext/>
        <w:spacing w:after="140" w:before="320"/>
      </w:pPr>
      <w:r>
        <w:rPr>
          <w:rFonts w:ascii="Georgia" w:cs="Georgia" w:eastAsia="Georgia" w:hAnsi="Georgia"/>
          <w:b/>
          <w:bCs/>
          <w:color w:val="2F5496"/>
          <w:sz w:val="22"/>
          <w:szCs w:val="22"/>
        </w:rPr>
        <w:t xml:space="preserve">VI.2.1 Qué condiciones debe reunir el primer contrato</w:t>
      </w:r>
    </w:p>
    <w:p>
      <w:pPr>
        <w:spacing w:after="140" w:line="276"/>
      </w:pPr>
      <w:r>
        <w:rPr>
          <w:rFonts w:ascii="Calibri" w:cs="Calibri" w:eastAsia="Calibri" w:hAnsi="Calibri"/>
          <w:sz w:val="21"/>
          <w:szCs w:val="21"/>
        </w:rPr>
        <w:t xml:space="preserve">El objetor pedía un contrato «en el que su aplicación no fuera excesivamente compleja». La condición es acertada y merece traducirse a criterios comprobables. Un expediente es buen candidato a piloto cuando reúne </w:t>
      </w:r>
      <w:r>
        <w:rPr>
          <w:rFonts w:ascii="Calibri" w:cs="Calibri" w:eastAsia="Calibri" w:hAnsi="Calibri"/>
          <w:b/>
          <w:bCs/>
          <w:sz w:val="21"/>
          <w:szCs w:val="21"/>
        </w:rPr>
        <w:t xml:space="preserve">las cinco</w:t>
      </w:r>
      <w:r>
        <w:rPr>
          <w:rFonts w:ascii="Calibri" w:cs="Calibri" w:eastAsia="Calibri" w:hAnsi="Calibri"/>
          <w:sz w:val="21"/>
          <w:szCs w:val="21"/>
        </w:rPr>
        <w:t xml:space="preserve"> siguientes; si falla alguna, es mejor esperar al siguiente: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Condición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Por qué</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Hay un usuario del dato distinto del gestor</w:t>
            </w:r>
            <w:r>
              <w:rPr>
                <w:rFonts w:ascii="Calibri" w:cs="Calibri" w:eastAsia="Calibri" w:hAnsi="Calibri"/>
                <w:b w:val="false"/>
                <w:bCs w:val="false"/>
                <w:sz w:val="18"/>
                <w:szCs w:val="18"/>
              </w:rPr>
              <w:t xml:space="preserve">, con obligación legal propia de controlarlo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 lo que permite empezar el piloto </w:t>
            </w:r>
            <w:r>
              <w:rPr>
                <w:rFonts w:ascii="Calibri" w:cs="Calibri" w:eastAsia="Calibri" w:hAnsi="Calibri"/>
                <w:b w:val="false"/>
                <w:bCs w:val="false"/>
                <w:i/>
                <w:iCs/>
                <w:sz w:val="18"/>
                <w:szCs w:val="18"/>
              </w:rPr>
              <w:t xml:space="preserve">dando</w:t>
            </w:r>
            <w:r>
              <w:rPr>
                <w:rFonts w:ascii="Calibri" w:cs="Calibri" w:eastAsia="Calibri" w:hAnsi="Calibri"/>
                <w:b w:val="false"/>
                <w:bCs w:val="false"/>
                <w:sz w:val="18"/>
                <w:szCs w:val="18"/>
              </w:rPr>
              <w:t xml:space="preserve"> acceso —ADM-12·v3— en vez de </w:t>
            </w:r>
            <w:r>
              <w:rPr>
                <w:rFonts w:ascii="Calibri" w:cs="Calibri" w:eastAsia="Calibri" w:hAnsi="Calibri"/>
                <w:b w:val="false"/>
                <w:bCs w:val="false"/>
                <w:i/>
                <w:iCs/>
                <w:sz w:val="18"/>
                <w:szCs w:val="18"/>
              </w:rPr>
              <w:t xml:space="preserve">pidiendo</w:t>
            </w:r>
            <w:r>
              <w:rPr>
                <w:rFonts w:ascii="Calibri" w:cs="Calibri" w:eastAsia="Calibri" w:hAnsi="Calibri"/>
                <w:b w:val="false"/>
                <w:bCs w:val="false"/>
                <w:sz w:val="18"/>
                <w:szCs w:val="18"/>
              </w:rPr>
              <w:t xml:space="preserve"> exigencias nuevas al contratista. El primer contacto del mercado con el catálogo no debería ser una imposición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La prestación produce dato estructurado y verificable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Todo lo que el catálogo exige —interfaz de consulta, registro de auditoría, exportación en formato abierto, diccionario de datos— se comprueba entonces con una prueba de aceptación, no con una opinión. Un piloto que se evalúa por opinión no prueba nada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El objeto no es crítico en disponibilidad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el análisis de riesgos sitúa el sistema en categoría ALTA, el expediente arrastra depósito de código, requisitos reforzados y coste; y el piloto pasa a discutirse por lo que no era. Elíjase un contrato de categoría BÁSICA o MEDIA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Existe mercado plural para ese objeto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 objeto con un solo proveedor real convierte cualquier exigencia nueva en una barrera, y el piloto acabará discutiéndose como restricción de la concurrencia en lugar de como prueba del catálogo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Está en fase de preparación, no de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Sobre un pliego ya publicado no se «corrige»: se rectifica con nueva aprobación y publicación, o se desiste (§VI.2.2). Un piloto no debería nacer con ese lastre</w:t>
            </w:r>
          </w:p>
        </w:tc>
      </w:tr>
    </w:tbl>
    <w:p>
      <w:pPr>
        <w:spacing w:after="200"/>
      </w:pPr>
    </w:p>
    <w:p>
      <w:pPr>
        <w:spacing w:after="140" w:line="276"/>
      </w:pPr>
      <w:r>
        <w:rPr>
          <w:rFonts w:ascii="Calibri" w:cs="Calibri" w:eastAsia="Calibri" w:hAnsi="Calibri"/>
          <w:sz w:val="21"/>
          <w:szCs w:val="21"/>
        </w:rPr>
        <w:t xml:space="preserve">Como </w:t>
      </w:r>
      <w:r>
        <w:rPr>
          <w:rFonts w:ascii="Calibri" w:cs="Calibri" w:eastAsia="Calibri" w:hAnsi="Calibri"/>
          <w:b/>
          <w:bCs/>
          <w:sz w:val="21"/>
          <w:szCs w:val="21"/>
        </w:rPr>
        <w:t xml:space="preserve">primer</w:t>
      </w:r>
      <w:r>
        <w:rPr>
          <w:rFonts w:ascii="Calibri" w:cs="Calibri" w:eastAsia="Calibri" w:hAnsi="Calibri"/>
          <w:sz w:val="21"/>
          <w:szCs w:val="21"/>
        </w:rPr>
        <w:t xml:space="preserve"> piloto son peores candidatos —que no es lo mismo que estar excluidos— los contratos menores, los basados en acuerdo marco, las adhesiones a central de compra y las prórrogas de contratos vivos: en todos ellos el margen del catálogo es más estrecho y el piloto probaría menos. Pero </w:t>
      </w:r>
      <w:r>
        <w:rPr>
          <w:rFonts w:ascii="Calibri" w:cs="Calibri" w:eastAsia="Calibri" w:hAnsi="Calibri"/>
          <w:b/>
          <w:bCs/>
          <w:sz w:val="21"/>
          <w:szCs w:val="21"/>
        </w:rPr>
        <w:t xml:space="preserve">ninguno queda fuera del catálogo</w:t>
      </w:r>
      <w:r>
        <w:rPr>
          <w:rFonts w:ascii="Calibri" w:cs="Calibri" w:eastAsia="Calibri" w:hAnsi="Calibri"/>
          <w:sz w:val="21"/>
          <w:szCs w:val="21"/>
        </w:rPr>
        <w:t xml:space="preserve">, y la Parte I dice de cada uno qué sí cabe: en el contrato menor, la lista cerrada de exigencias normativas (§V.7.1), porque lo que la ley impone se pide igual; en el acuerdo marco y la adhesión, elegir entre las opciones ya previstas, usar los extremos que el instrumento reserve a la fase de contrato basado —incluida la nueva licitación entre adjudicatarios— y trasladar la necesidad al órgano titular para la siguiente licitación; en la prórroga, comprobar lo ya exigible y preparar con tiempo la contratación sucesora.</w:t>
      </w:r>
    </w:p>
    <w:p>
      <w:pPr>
        <w:spacing w:after="140" w:line="276"/>
      </w:pPr>
      <w:r>
        <w:rPr>
          <w:rFonts w:ascii="Calibri" w:cs="Calibri" w:eastAsia="Calibri" w:hAnsi="Calibri"/>
          <w:sz w:val="21"/>
          <w:szCs w:val="21"/>
        </w:rPr>
        <w:t xml:space="preserve">Y una recomendación que vale por las cinco condiciones juntas: </w:t>
      </w:r>
      <w:r>
        <w:rPr>
          <w:rFonts w:ascii="Calibri" w:cs="Calibri" w:eastAsia="Calibri" w:hAnsi="Calibri"/>
          <w:b/>
          <w:bCs/>
          <w:sz w:val="21"/>
          <w:szCs w:val="21"/>
        </w:rPr>
        <w:t xml:space="preserve">el primer piloto no debe incorporar el catálogo entero.</w:t>
      </w:r>
      <w:r>
        <w:rPr>
          <w:rFonts w:ascii="Calibri" w:cs="Calibri" w:eastAsia="Calibri" w:hAnsi="Calibri"/>
          <w:sz w:val="21"/>
          <w:szCs w:val="21"/>
        </w:rPr>
        <w:t xml:space="preserve"> El §VI.2.2 identifica el subconjunto mínimo con el que empezar.</w:t>
      </w:r>
    </w:p>
    <w:p>
      <w:pPr>
        <w:pStyle w:val="Heading3"/>
        <w:keepNext/>
        <w:spacing w:after="140" w:before="320"/>
      </w:pPr>
      <w:r>
        <w:rPr>
          <w:rFonts w:ascii="Georgia" w:cs="Georgia" w:eastAsia="Georgia" w:hAnsi="Georgia"/>
          <w:b/>
          <w:bCs/>
          <w:color w:val="2F5496"/>
          <w:sz w:val="22"/>
          <w:szCs w:val="22"/>
        </w:rPr>
        <w:t xml:space="preserve">VI.2.2 El subconjunto mínimo para el primer piloto</w:t>
      </w:r>
    </w:p>
    <w:p>
      <w:pPr>
        <w:spacing w:after="140" w:line="276"/>
      </w:pPr>
      <w:r>
        <w:rPr>
          <w:rFonts w:ascii="Calibri" w:cs="Calibri" w:eastAsia="Calibri" w:hAnsi="Calibri"/>
          <w:sz w:val="21"/>
          <w:szCs w:val="21"/>
        </w:rPr>
        <w:t xml:space="preserve">Ésta es la respuesta directa al reproche de abstracción, y conviene darla en forma de lista corta. Un primer expediente no necesita las veintitantas cláusulas del catálogo: necesita </w:t>
      </w:r>
      <w:r>
        <w:rPr>
          <w:rFonts w:ascii="Calibri" w:cs="Calibri" w:eastAsia="Calibri" w:hAnsi="Calibri"/>
          <w:b/>
          <w:bCs/>
          <w:sz w:val="21"/>
          <w:szCs w:val="21"/>
        </w:rPr>
        <w:t xml:space="preserve">seis</w:t>
      </w:r>
      <w:r>
        <w:rPr>
          <w:rFonts w:ascii="Calibri" w:cs="Calibri" w:eastAsia="Calibri" w:hAnsi="Calibri"/>
          <w:sz w:val="21"/>
          <w:szCs w:val="21"/>
        </w:rPr>
        <w:t xml:space="preserve">, que son las que se sostienen solas, no dependen unas de otras y producen resultado verificable en el primer año.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Orden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Por qué está en el mínimo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ADM-12·v3</w:t>
            </w:r>
            <w:r>
              <w:rPr>
                <w:rFonts w:ascii="Calibri" w:cs="Calibri" w:eastAsia="Calibri" w:hAnsi="Calibri"/>
                <w:b w:val="false"/>
                <w:bCs w:val="false"/>
                <w:sz w:val="18"/>
                <w:szCs w:val="18"/>
              </w:rPr>
              <w:t xml:space="preserve"> · Acceso de los órganos de control a los datos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 la única cláusula del catálogo que responde a una necesidad declarada por escrito, y no impone al contratista una tecnología: le impone no tarifar, documentar y exportar. Empezar por ella es empezar dando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DT-0·v3</w:t>
            </w:r>
            <w:r>
              <w:rPr>
                <w:rFonts w:ascii="Calibri" w:cs="Calibri" w:eastAsia="Calibri" w:hAnsi="Calibri"/>
                <w:b w:val="false"/>
                <w:bCs w:val="false"/>
                <w:sz w:val="18"/>
                <w:szCs w:val="18"/>
              </w:rPr>
              <w:t xml:space="preserve"> · Equivalencia y trámite de prueba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añade exigencias: quita barreras. Es la cláusula que protege la concurrencia y la primera que un licitador echa en falta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DT-6·v3</w:t>
            </w:r>
            <w:r>
              <w:rPr>
                <w:rFonts w:ascii="Calibri" w:cs="Calibri" w:eastAsia="Calibri" w:hAnsi="Calibri"/>
                <w:b w:val="false"/>
                <w:bCs w:val="false"/>
                <w:sz w:val="18"/>
                <w:szCs w:val="18"/>
              </w:rPr>
              <w:t xml:space="preserve"> · Seguridad conforme al ENS en la categoría que corresponda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 obligación legal preexistente (art. 2.3 RD 311/2022): no se está pidiendo nada nuevo, se está redactando bien lo que ya había que pedir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ADM-8·v3</w:t>
            </w:r>
            <w:r>
              <w:rPr>
                <w:rFonts w:ascii="Calibri" w:cs="Calibri" w:eastAsia="Calibri" w:hAnsi="Calibri"/>
                <w:b w:val="false"/>
                <w:bCs w:val="false"/>
                <w:sz w:val="18"/>
                <w:szCs w:val="18"/>
              </w:rPr>
              <w:t xml:space="preserve"> · Propiedad intelectual y licencia mínima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 que se pierde por no ponerla no se recupera después. Es la cláusula con más consecuencia y menos coste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ADM-2·v3</w:t>
            </w:r>
            <w:r>
              <w:rPr>
                <w:rFonts w:ascii="Calibri" w:cs="Calibri" w:eastAsia="Calibri" w:hAnsi="Calibri"/>
                <w:b w:val="false"/>
                <w:bCs w:val="false"/>
                <w:sz w:val="18"/>
                <w:szCs w:val="18"/>
              </w:rPr>
              <w:t xml:space="preserve"> + </w:t>
            </w:r>
            <w:r>
              <w:rPr>
                <w:rFonts w:ascii="Calibri" w:cs="Calibri" w:eastAsia="Calibri" w:hAnsi="Calibri"/>
                <w:b/>
                <w:bCs/>
                <w:sz w:val="18"/>
                <w:szCs w:val="18"/>
              </w:rPr>
              <w:t xml:space="preserve">Anexo V</w:t>
            </w:r>
            <w:r>
              <w:rPr>
                <w:rFonts w:ascii="Calibri" w:cs="Calibri" w:eastAsia="Calibri" w:hAnsi="Calibri"/>
                <w:b w:val="false"/>
                <w:bCs w:val="false"/>
                <w:sz w:val="18"/>
                <w:szCs w:val="18"/>
              </w:rPr>
              <w:t xml:space="preserve"> · Exigencias tecnológicas del ejercicio, con alcance cerrado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 el núcleo del catálogo, y sólo funciona si el Anexo V está aprobado y publicado antes. Sin Anexo V, no entra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ADM-5·v3</w:t>
            </w:r>
            <w:r>
              <w:rPr>
                <w:rFonts w:ascii="Calibri" w:cs="Calibri" w:eastAsia="Calibri" w:hAnsi="Calibri"/>
                <w:b w:val="false"/>
                <w:bCs w:val="false"/>
                <w:sz w:val="18"/>
                <w:szCs w:val="18"/>
              </w:rPr>
              <w:t xml:space="preserve"> · Penalidades tipificadas, en su parte correspondiente a lo anterior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consecuencia tipificada, las cinco anteriores son recomendaciones</w:t>
            </w:r>
          </w:p>
        </w:tc>
      </w:tr>
    </w:tbl>
    <w:p>
      <w:pPr>
        <w:spacing w:after="200"/>
      </w:pPr>
    </w:p>
    <w:p>
      <w:pPr>
        <w:spacing w:after="140" w:line="276"/>
      </w:pPr>
      <w:r>
        <w:rPr>
          <w:rFonts w:ascii="Calibri" w:cs="Calibri" w:eastAsia="Calibri" w:hAnsi="Calibri"/>
          <w:sz w:val="21"/>
          <w:szCs w:val="21"/>
        </w:rPr>
        <w:t xml:space="preserve">Todo lo demás —operación autónoma supervisada, gobernanza certificada, depósito de código, preparación criptográfica— </w:t>
      </w:r>
      <w:r>
        <w:rPr>
          <w:rFonts w:ascii="Calibri" w:cs="Calibri" w:eastAsia="Calibri" w:hAnsi="Calibri"/>
          <w:b/>
          <w:bCs/>
          <w:sz w:val="21"/>
          <w:szCs w:val="21"/>
        </w:rPr>
        <w:t xml:space="preserve">se deja fuera del primer piloto</w:t>
      </w:r>
      <w:r>
        <w:rPr>
          <w:rFonts w:ascii="Calibri" w:cs="Calibri" w:eastAsia="Calibri" w:hAnsi="Calibri"/>
          <w:sz w:val="21"/>
          <w:szCs w:val="21"/>
        </w:rPr>
        <w:t xml:space="preserve"> y se incorpora, si procede, cuando el informe de evaluación del §VI.8 acredite que el circuito funciona. Es preferible una exigencia acotada que se cumple a una amplia que se incumple desde el primer año.</w:t>
      </w:r>
    </w:p>
    <w:p>
      <w:pPr>
        <w:pStyle w:val="Heading3"/>
        <w:keepNext/>
        <w:spacing w:after="140" w:before="320"/>
      </w:pPr>
      <w:r>
        <w:rPr>
          <w:rFonts w:ascii="Georgia" w:cs="Georgia" w:eastAsia="Georgia" w:hAnsi="Georgia"/>
          <w:b/>
          <w:bCs/>
          <w:color w:val="2F5496"/>
          <w:sz w:val="22"/>
          <w:szCs w:val="22"/>
        </w:rPr>
        <w:t xml:space="preserve">VI.2.3 Si los pliegos ya están escritos: cuál es el cauce</w:t>
      </w:r>
    </w:p>
    <w:p>
      <w:pPr>
        <w:spacing w:after="140" w:line="276"/>
      </w:pPr>
      <w:r>
        <w:rPr>
          <w:rFonts w:ascii="Calibri" w:cs="Calibri" w:eastAsia="Calibri" w:hAnsi="Calibri"/>
          <w:sz w:val="21"/>
          <w:szCs w:val="21"/>
        </w:rPr>
        <w:t xml:space="preserve">Cuestión distinta del piloto, y que se plantea en cuanto una administración adopta el catálogo teniendo expedientes en marcha. Antes de tocar nada, el órgano de contratación debe consignar en el expediente en cuál de estas tres situaciones se encuentra, porque de ella depende el cauce: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Situación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es la revisión de VI.6</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Cauce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w:t>
            </w:r>
            <w:r>
              <w:rPr>
                <w:rFonts w:ascii="Calibri" w:cs="Calibri" w:eastAsia="Calibri" w:hAnsi="Calibri"/>
                <w:b w:val="false"/>
                <w:bCs w:val="false"/>
                <w:sz w:val="18"/>
                <w:szCs w:val="18"/>
              </w:rPr>
              <w:t xml:space="preserve"> Borrador de pliegos no aprobado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Corrección ordinaria del borrador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incorporan los cambios y se aprueba el expediente con el texto corregido. Sin trámite adicional.</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B.</w:t>
            </w:r>
            <w:r>
              <w:rPr>
                <w:rFonts w:ascii="Calibri" w:cs="Calibri" w:eastAsia="Calibri" w:hAnsi="Calibri"/>
                <w:b w:val="false"/>
                <w:bCs w:val="false"/>
                <w:sz w:val="18"/>
                <w:szCs w:val="18"/>
              </w:rPr>
              <w:t xml:space="preserve"> Expediente aprobado, licitación </w:t>
            </w: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anunciada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Rectificación previa a licitar</w:t>
            </w:r>
            <w:r>
              <w:rPr>
                <w:rFonts w:ascii="Calibri" w:cs="Calibri" w:eastAsia="Calibri" w:hAnsi="Calibri"/>
                <w:b w:val="false"/>
                <w:bCs w:val="false"/>
                <w:sz w:val="18"/>
                <w:szCs w:val="18"/>
              </w:rPr>
              <w:t xml:space="preserve">, no un retoque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Nuevo acuerdo del órgano de contratación que apruebe los pliegos rectificados, con informe jurídico previo, antes de publicar el anuncio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w:t>
            </w:r>
            <w:r>
              <w:rPr>
                <w:rFonts w:ascii="Calibri" w:cs="Calibri" w:eastAsia="Calibri" w:hAnsi="Calibri"/>
                <w:b w:val="false"/>
                <w:bCs w:val="false"/>
                <w:sz w:val="18"/>
                <w:szCs w:val="18"/>
              </w:rPr>
              <w:t xml:space="preserve"> Licitación anunciada o en plazo de presentación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cabe «corregir» los pliegos publicados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Los pliegos publicados son </w:t>
            </w:r>
            <w:r>
              <w:rPr>
                <w:rFonts w:ascii="Calibri" w:cs="Calibri" w:eastAsia="Calibri" w:hAnsi="Calibri"/>
                <w:b w:val="false"/>
                <w:bCs w:val="false"/>
                <w:i/>
                <w:iCs/>
                <w:sz w:val="18"/>
                <w:szCs w:val="18"/>
              </w:rPr>
              <w:t xml:space="preserve">lex contractus</w:t>
            </w:r>
            <w:r>
              <w:rPr>
                <w:rFonts w:ascii="Calibri" w:cs="Calibri" w:eastAsia="Calibri" w:hAnsi="Calibri"/>
                <w:b w:val="false"/>
                <w:bCs w:val="false"/>
                <w:sz w:val="18"/>
                <w:szCs w:val="18"/>
              </w:rPr>
              <w:t xml:space="preserve">. La corrección exige la nueva aprobación y publicación con reapertura íntegra del plazo o, si el defecto es no subsanable, el desistimiento del procedimiento (art. 152.4 LCSP). En ambos casos, decisión del órgano de contratación previo informe del órgano al que corresponda el informe jurídico preceptivo</w:t>
            </w:r>
          </w:p>
        </w:tc>
      </w:tr>
    </w:tbl>
    <w:p>
      <w:pPr>
        <w:spacing w:after="200"/>
      </w:pPr>
    </w:p>
    <w:p>
      <w:pPr>
        <w:spacing w:after="140" w:line="276"/>
      </w:pPr>
      <w:r>
        <w:rPr>
          <w:rFonts w:ascii="Calibri" w:cs="Calibri" w:eastAsia="Calibri" w:hAnsi="Calibri"/>
          <w:sz w:val="21"/>
          <w:szCs w:val="21"/>
        </w:rPr>
        <w:t xml:space="preserve">Advertencia expresa, porque es la que se olvida: en las situaciones B y C </w:t>
      </w:r>
      <w:r>
        <w:rPr>
          <w:rFonts w:ascii="Calibri" w:cs="Calibri" w:eastAsia="Calibri" w:hAnsi="Calibri"/>
          <w:b/>
          <w:bCs/>
          <w:sz w:val="21"/>
          <w:szCs w:val="21"/>
        </w:rPr>
        <w:t xml:space="preserve">esto no es un ajuste de redacción</w:t>
      </w:r>
      <w:r>
        <w:rPr>
          <w:rFonts w:ascii="Calibri" w:cs="Calibri" w:eastAsia="Calibri" w:hAnsi="Calibri"/>
          <w:sz w:val="21"/>
          <w:szCs w:val="21"/>
        </w:rPr>
        <w:t xml:space="preserve">. Es la rectificación de un pliego que ya ha pasado por el circuito de aprobación, y por eso vuelve a pasar entero por él. Un pliego rectificado por vía de fe de erratas es un pliego rectificado por el cauce equivocado.</w:t>
      </w:r>
    </w:p>
    <w:p>
      <w:pPr>
        <w:spacing w:after="140" w:line="276"/>
      </w:pPr>
      <w:r>
        <w:rPr>
          <w:rFonts w:ascii="Calibri" w:cs="Calibri" w:eastAsia="Calibri" w:hAnsi="Calibri"/>
          <w:sz w:val="21"/>
          <w:szCs w:val="21"/>
        </w:rPr>
        <w:t xml:space="preserve">Segunda advertencia, sobre el origen material del borrador. Es frecuente, y perfectamente legítimo, que un pliego se redacte tomando como referencia el de otro ayuntamiento. Cuando ese ayuntamiento tiene ya implantada una solución determinada, la herencia obliga a un barrido específico antes de aprobar: </w:t>
      </w:r>
      <w:r>
        <w:rPr>
          <w:rFonts w:ascii="Calibri" w:cs="Calibri" w:eastAsia="Calibri" w:hAnsi="Calibri"/>
          <w:b/>
          <w:bCs/>
          <w:sz w:val="21"/>
          <w:szCs w:val="21"/>
        </w:rPr>
        <w:t xml:space="preserve">un pliego heredado de un municipio con un producto ya implantado tiende a describir ese producto</w:t>
      </w:r>
      <w:r>
        <w:rPr>
          <w:rFonts w:ascii="Calibri" w:cs="Calibri" w:eastAsia="Calibri" w:hAnsi="Calibri"/>
          <w:sz w:val="21"/>
          <w:szCs w:val="21"/>
        </w:rPr>
        <w:t xml:space="preserve">, y esa descripción sobrevive a la traducción a «requisitos funcionales». El barrido consiste en localizar toda especificación que sólo pueda cumplir un fabricante concreto y reescribirla en términos de función, con la admisión de equivalentes y la prueba en la oferta (DT-0·v3). Hágase siempre, y déjese constancia de que se ha hecho.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VI.3 El expediente simulado sobre el que se trabaja</w:t>
      </w:r>
    </w:p>
    <w:p>
      <w:pPr>
        <w:spacing w:after="140" w:line="276"/>
      </w:pPr>
      <w:r>
        <w:rPr>
          <w:rFonts w:ascii="Calibri" w:cs="Calibri" w:eastAsia="Calibri" w:hAnsi="Calibri"/>
          <w:sz w:val="21"/>
          <w:szCs w:val="21"/>
        </w:rPr>
        <w:t xml:space="preserve">Recordatorio, porque a partir de aquí empiezan las cifras: </w:t>
      </w:r>
      <w:r>
        <w:rPr>
          <w:rFonts w:ascii="Calibri" w:cs="Calibri" w:eastAsia="Calibri" w:hAnsi="Calibri"/>
          <w:b/>
          <w:bCs/>
          <w:sz w:val="21"/>
          <w:szCs w:val="21"/>
        </w:rPr>
        <w:t xml:space="preserve">el expediente que sigue es construido</w:t>
      </w:r>
      <w:r>
        <w:rPr>
          <w:rFonts w:ascii="Calibri" w:cs="Calibri" w:eastAsia="Calibri" w:hAnsi="Calibri"/>
          <w:sz w:val="21"/>
          <w:szCs w:val="21"/>
        </w:rPr>
        <w:t xml:space="preserve"> (véase la advertencia que abre esta parte). Se ha elegido un objeto que cumple las cinco condiciones del §VI.2.1 y que, por su perfil, permite ver operar la mayor parte del catálogo:</w:t>
      </w:r>
    </w:p>
    <w:p>
      <w:pPr>
        <w:pBdr>
          <w:left w:val="single" w:color="BFBFBF" w:sz="12" w:space="8"/>
        </w:pBdr>
        <w:spacing w:after="140" w:line="264"/>
        <w:ind w:left="400"/>
      </w:pPr>
      <w:r>
        <w:rPr>
          <w:rFonts w:ascii="Georgia" w:cs="Georgia" w:eastAsia="Georgia" w:hAnsi="Georgia"/>
          <w:b/>
          <w:bCs/>
          <w:i/>
          <w:iCs/>
          <w:color w:val="595959"/>
          <w:sz w:val="20"/>
          <w:szCs w:val="20"/>
        </w:rPr>
        <w:t xml:space="preserve">Expediente simulado.</w:t>
      </w:r>
      <w:r>
        <w:rPr>
          <w:rFonts w:ascii="Georgia" w:cs="Georgia" w:eastAsia="Georgia" w:hAnsi="Georgia"/>
          <w:i/>
          <w:iCs/>
          <w:color w:val="595959"/>
          <w:sz w:val="20"/>
          <w:szCs w:val="20"/>
        </w:rPr>
        <w:t xml:space="preserve"> Ayuntamiento de [MUNICIPIO]. Contrato de </w:t>
      </w:r>
      <w:r>
        <w:rPr>
          <w:rFonts w:ascii="Georgia" w:cs="Georgia" w:eastAsia="Georgia" w:hAnsi="Georgia"/>
          <w:b/>
          <w:bCs/>
          <w:i/>
          <w:iCs/>
          <w:color w:val="595959"/>
          <w:sz w:val="20"/>
          <w:szCs w:val="20"/>
        </w:rPr>
        <w:t xml:space="preserve">servicios de mantenimiento, evolución y soporte de la plataforma municipal de gestión de subvenciones y ayudas</w:t>
      </w:r>
      <w:r>
        <w:rPr>
          <w:rFonts w:ascii="Georgia" w:cs="Georgia" w:eastAsia="Georgia" w:hAnsi="Georgia"/>
          <w:i/>
          <w:iCs/>
          <w:color w:val="595959"/>
          <w:sz w:val="20"/>
          <w:szCs w:val="20"/>
        </w:rPr>
        <w:t xml:space="preserve">, con la licencia o suscripción de la solución estándar sobre la que se presta. Dos años, con prórroga prevista de otros dos.</w:t>
      </w:r>
    </w:p>
    <w:p>
      <w:pPr>
        <w:spacing w:after="140" w:line="276"/>
      </w:pPr>
      <w:r>
        <w:rPr>
          <w:rFonts w:ascii="Calibri" w:cs="Calibri" w:eastAsia="Calibri" w:hAnsi="Calibri"/>
          <w:sz w:val="21"/>
          <w:szCs w:val="21"/>
        </w:rPr>
        <w:t xml:space="preserve">Por qué este objeto ilustra bien el catálogo —y son, punto por punto, las condiciones del §VI.2.1:</w:t>
      </w:r>
    </w:p>
    <w:p>
      <w:pPr>
        <w:pStyle w:val="ListParagraph"/>
        <w:numPr>
          <w:ilvl w:val="0"/>
          <w:numId w:val="2"/>
        </w:numPr>
        <w:spacing w:after="70" w:line="268"/>
      </w:pPr>
      <w:r>
        <w:rPr>
          <w:rFonts w:ascii="Calibri" w:cs="Calibri" w:eastAsia="Calibri" w:hAnsi="Calibri"/>
          <w:b/>
          <w:bCs/>
          <w:sz w:val="21"/>
          <w:szCs w:val="21"/>
        </w:rPr>
        <w:t xml:space="preserve">La primera cláusula que se aplica es la que da, no la que pide.</w:t>
      </w:r>
      <w:r>
        <w:rPr>
          <w:rFonts w:ascii="Calibri" w:cs="Calibri" w:eastAsia="Calibri" w:hAnsi="Calibri"/>
          <w:sz w:val="21"/>
          <w:szCs w:val="21"/>
        </w:rPr>
        <w:t xml:space="preserve"> La necesidad de acceso de los órganos de control a los datos de ejecución (ADM-12·v3) responde a la segunda dificultad del §M1.1, y la ejecución del gasto en subvenciones es materia sobre la que esos órganos ejercen por ley funciones de control (art. 214 TRLRHL; arts. 4.3, 6.3, 6.7, 20 y 30 del RD 424/2017; y, en el ámbito específico de las subvenciones, el control financiero de los arts. 44 y siguientes de la Ley 38/2003, General de Subvenciones). El piloto empieza dando, no pidiendo: es la mejor forma de que el catálogo no se lea como una imposición al mercado.</w:t>
      </w:r>
    </w:p>
    <w:p>
      <w:pPr>
        <w:pStyle w:val="ListParagraph"/>
        <w:numPr>
          <w:ilvl w:val="0"/>
          <w:numId w:val="2"/>
        </w:numPr>
        <w:spacing w:after="70" w:line="268"/>
      </w:pPr>
      <w:r>
        <w:rPr>
          <w:rFonts w:ascii="Calibri" w:cs="Calibri" w:eastAsia="Calibri" w:hAnsi="Calibri"/>
          <w:b/>
          <w:bCs/>
          <w:sz w:val="21"/>
          <w:szCs w:val="21"/>
        </w:rPr>
        <w:t xml:space="preserve">Es un contrato con dato estructurado y verificable.</w:t>
      </w:r>
      <w:r>
        <w:rPr>
          <w:rFonts w:ascii="Calibri" w:cs="Calibri" w:eastAsia="Calibri" w:hAnsi="Calibri"/>
          <w:sz w:val="21"/>
          <w:szCs w:val="21"/>
        </w:rPr>
        <w:t xml:space="preserve"> Convocatoria, solicitud, valoración, concesión, pago, justificación y reintegro son estados con fecha y con importe. Todo lo que el catálogo exige —interfaz de consulta, registro de auditoría, exportación en formato abierto, diccionario de datos— se comprueba con una prueba de aceptación, no con una opinión.</w:t>
      </w:r>
    </w:p>
    <w:p>
      <w:pPr>
        <w:pStyle w:val="ListParagraph"/>
        <w:numPr>
          <w:ilvl w:val="0"/>
          <w:numId w:val="2"/>
        </w:numPr>
        <w:spacing w:after="70" w:line="268"/>
      </w:pPr>
      <w:r>
        <w:rPr>
          <w:rFonts w:ascii="Calibri" w:cs="Calibri" w:eastAsia="Calibri" w:hAnsi="Calibri"/>
          <w:b/>
          <w:bCs/>
          <w:sz w:val="21"/>
          <w:szCs w:val="21"/>
        </w:rPr>
        <w:t xml:space="preserve">Tiene gestor identificado y usuario natural del dato distinto del gestor.</w:t>
      </w:r>
      <w:r>
        <w:rPr>
          <w:rFonts w:ascii="Calibri" w:cs="Calibri" w:eastAsia="Calibri" w:hAnsi="Calibri"/>
          <w:sz w:val="21"/>
          <w:szCs w:val="21"/>
        </w:rPr>
        <w:t xml:space="preserve"> Es el caso que obliga a usar las dos vías de firma de la ficha de aplicabilidad (Anexo II) y, por tanto, el que prueba si el circuito funciona.</w:t>
      </w:r>
    </w:p>
    <w:p>
      <w:pPr>
        <w:pStyle w:val="ListParagraph"/>
        <w:numPr>
          <w:ilvl w:val="0"/>
          <w:numId w:val="2"/>
        </w:numPr>
        <w:spacing w:after="70" w:line="268"/>
      </w:pPr>
      <w:r>
        <w:rPr>
          <w:rFonts w:ascii="Calibri" w:cs="Calibri" w:eastAsia="Calibri" w:hAnsi="Calibri"/>
          <w:b/>
          <w:bCs/>
          <w:sz w:val="21"/>
          <w:szCs w:val="21"/>
        </w:rPr>
        <w:t xml:space="preserve">No es crítico en disponibilidad y tiene mercado plural.</w:t>
      </w:r>
      <w:r>
        <w:rPr>
          <w:rFonts w:ascii="Calibri" w:cs="Calibri" w:eastAsia="Calibri" w:hAnsi="Calibri"/>
          <w:sz w:val="21"/>
          <w:szCs w:val="21"/>
        </w:rPr>
        <w:t xml:space="preserve"> Permite razonar una categoría ENS MEDIA sin forzarla, y deja fuera del ejemplo el depósito de código, que habría desplazado la discusión.</w:t>
      </w:r>
    </w:p>
    <w:p>
      <w:pPr>
        <w:spacing w:after="140" w:line="276"/>
      </w:pPr>
      <w:r>
        <w:rPr>
          <w:rFonts w:ascii="Calibri" w:cs="Calibri" w:eastAsia="Calibri" w:hAnsi="Calibri"/>
          <w:sz w:val="21"/>
          <w:szCs w:val="21"/>
        </w:rPr>
        <w:t xml:space="preserve">Lo que un piloto así </w:t>
      </w:r>
      <w:r>
        <w:rPr>
          <w:rFonts w:ascii="Calibri" w:cs="Calibri" w:eastAsia="Calibri" w:hAnsi="Calibri"/>
          <w:b/>
          <w:bCs/>
          <w:sz w:val="21"/>
          <w:szCs w:val="21"/>
        </w:rPr>
        <w:t xml:space="preserve">no</w:t>
      </w:r>
      <w:r>
        <w:rPr>
          <w:rFonts w:ascii="Calibri" w:cs="Calibri" w:eastAsia="Calibri" w:hAnsi="Calibri"/>
          <w:sz w:val="21"/>
          <w:szCs w:val="21"/>
        </w:rPr>
        <w:t xml:space="preserve"> demuestra, y conviene decirlo antes de que lo diga otro: no mide lo que el catálogo rinde en contratos menores, en los basados en acuerdo marco o en adhesiones a centrales de compra, ni en prórrogas de contratos vivos. En todos ellos </w:t>
      </w:r>
      <w:r>
        <w:rPr>
          <w:rFonts w:ascii="Calibri" w:cs="Calibri" w:eastAsia="Calibri" w:hAnsi="Calibri"/>
          <w:b/>
          <w:bCs/>
          <w:sz w:val="21"/>
          <w:szCs w:val="21"/>
        </w:rPr>
        <w:t xml:space="preserve">sí cabe aplicarlo, con el alcance que detalla la Parte I</w:t>
      </w:r>
      <w:r>
        <w:rPr>
          <w:rFonts w:ascii="Calibri" w:cs="Calibri" w:eastAsia="Calibri" w:hAnsi="Calibri"/>
          <w:sz w:val="21"/>
          <w:szCs w:val="21"/>
        </w:rPr>
        <w:t xml:space="preserve">; lo que falta es experiencia sobre cómo se comporta ahí.</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VI.4 El caso resuelto</w:t>
      </w:r>
    </w:p>
    <w:p>
      <w:pPr>
        <w:pStyle w:val="Heading3"/>
        <w:keepNext/>
        <w:spacing w:after="140" w:before="320"/>
      </w:pPr>
      <w:r>
        <w:rPr>
          <w:rFonts w:ascii="Georgia" w:cs="Georgia" w:eastAsia="Georgia" w:hAnsi="Georgia"/>
          <w:b/>
          <w:bCs/>
          <w:color w:val="2F5496"/>
          <w:sz w:val="22"/>
          <w:szCs w:val="22"/>
        </w:rPr>
        <w:t xml:space="preserve">VI.4.1 Objeto y calificación del contrato</w:t>
      </w:r>
    </w:p>
    <w:p>
      <w:pPr>
        <w:spacing w:after="140" w:line="276"/>
      </w:pPr>
      <w:r>
        <w:rPr>
          <w:rFonts w:ascii="Calibri" w:cs="Calibri" w:eastAsia="Calibri" w:hAnsi="Calibri"/>
          <w:sz w:val="21"/>
          <w:szCs w:val="21"/>
        </w:rPr>
        <w:t xml:space="preserve">Antes de aplicar ninguna cláusula hay que decidir qué contrato es, porque de la calificación dependen tres cosas del catálogo: la titularidad de la propiedad intelectual (ADM-8·v3), la posibilidad de usar la bolsa de servicios evolutivos (ADM-3·v3, bloque 2) y el régimen de criterios cualitativos (art. 145.4 LCSP).</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Componente de la prestación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Calificación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Consecuencia en el catálogo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Licencia o suscripción de una solución estándar de gestión de subvenciones y ayudas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Suministro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ADM-8·v3 </w:t>
            </w: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ampara exigencias de titularidad sobre el producto base: el art. 308.1 LCSP opera en el contrato de servicios. Sí operan la licencia mínima supletoria dimensionada para el uso municipal y la delimitación del código; la transferencia del producto base sólo opera si se pacta expresamente con el licenciante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Implantación, parametrización, migración de datos y formación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Aquí sí nace la titularidad municipal sobre desarrollos específicos, configuraciones, parametrizaciones y bases de conocimiento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Soporte y mantenimiento correctivo, adaptativo y evolutivo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Servicios de mantenimiento de aplicaciones informáticas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 el único supuesto en que cabe la bolsa de servicios evolutivos del art. 308.3 LCSP</w:t>
            </w:r>
          </w:p>
        </w:tc>
      </w:tr>
    </w:tbl>
    <w:p>
      <w:pPr>
        <w:spacing w:after="200"/>
      </w:pPr>
    </w:p>
    <w:p>
      <w:pPr>
        <w:spacing w:after="140" w:line="276"/>
      </w:pPr>
      <w:r>
        <w:rPr>
          <w:rFonts w:ascii="Calibri" w:cs="Calibri" w:eastAsia="Calibri" w:hAnsi="Calibri"/>
          <w:b/>
          <w:bCs/>
          <w:sz w:val="21"/>
          <w:szCs w:val="21"/>
        </w:rPr>
        <w:t xml:space="preserve">Decisión que debe adoptar el expediente:</w:t>
      </w:r>
      <w:r>
        <w:rPr>
          <w:rFonts w:ascii="Calibri" w:cs="Calibri" w:eastAsia="Calibri" w:hAnsi="Calibri"/>
          <w:sz w:val="21"/>
          <w:szCs w:val="21"/>
        </w:rPr>
        <w:t xml:space="preserve"> si el contrato es mixto, se determina la prestación principal y se motiva. Recomendación para este perfil: </w:t>
      </w:r>
      <w:r>
        <w:rPr>
          <w:rFonts w:ascii="Calibri" w:cs="Calibri" w:eastAsia="Calibri" w:hAnsi="Calibri"/>
          <w:b/>
          <w:bCs/>
          <w:sz w:val="21"/>
          <w:szCs w:val="21"/>
        </w:rPr>
        <w:t xml:space="preserve">contrato de servicios</w:t>
      </w:r>
      <w:r>
        <w:rPr>
          <w:rFonts w:ascii="Calibri" w:cs="Calibri" w:eastAsia="Calibri" w:hAnsi="Calibri"/>
          <w:sz w:val="21"/>
          <w:szCs w:val="21"/>
        </w:rPr>
        <w:t xml:space="preserve"> con suministro accesorio de licencias o suscripción, motivado en que el valor y la finalidad determinantes están en la implantación y el mantenimiento evolutivo, no en la licencia.</w:t>
      </w:r>
    </w:p>
    <w:p>
      <w:pPr>
        <w:spacing w:after="140" w:line="276"/>
      </w:pPr>
      <w:r>
        <w:rPr>
          <w:rFonts w:ascii="Calibri" w:cs="Calibri" w:eastAsia="Calibri" w:hAnsi="Calibri"/>
          <w:b/>
          <w:bCs/>
          <w:sz w:val="21"/>
          <w:szCs w:val="21"/>
        </w:rPr>
        <w:t xml:space="preserve">Segunda decisión:</w:t>
      </w:r>
      <w:r>
        <w:rPr>
          <w:rFonts w:ascii="Calibri" w:cs="Calibri" w:eastAsia="Calibri" w:hAnsi="Calibri"/>
          <w:sz w:val="21"/>
          <w:szCs w:val="21"/>
        </w:rPr>
        <w:t xml:space="preserve"> si el órgano de contratación motiva que la prestación tiene </w:t>
      </w:r>
      <w:r>
        <w:rPr>
          <w:rFonts w:ascii="Calibri" w:cs="Calibri" w:eastAsia="Calibri" w:hAnsi="Calibri"/>
          <w:b/>
          <w:bCs/>
          <w:sz w:val="21"/>
          <w:szCs w:val="21"/>
        </w:rPr>
        <w:t xml:space="preserve">carácter intelectual</w:t>
      </w:r>
      <w:r>
        <w:rPr>
          <w:rFonts w:ascii="Calibri" w:cs="Calibri" w:eastAsia="Calibri" w:hAnsi="Calibri"/>
          <w:sz w:val="21"/>
          <w:szCs w:val="21"/>
        </w:rPr>
        <w:t xml:space="preserve">, los criterios cualitativos deben representar al menos el 51 % de la puntuación (art. 145.4 LCSP) y queda excluido el procedimiento abreviado del art. 159.6. Esa motivación es una decisión del expediente, no un automatismo; el baremo de VI.4.6 cumple el 51 % en cualquiera de las dos hipótesis, precisamente para no depender de ella.</w:t>
      </w:r>
    </w:p>
    <w:p>
      <w:pPr>
        <w:pStyle w:val="Heading3"/>
        <w:keepNext/>
        <w:spacing w:after="140" w:before="320"/>
      </w:pPr>
      <w:r>
        <w:rPr>
          <w:rFonts w:ascii="Georgia" w:cs="Georgia" w:eastAsia="Georgia" w:hAnsi="Georgia"/>
          <w:b/>
          <w:bCs/>
          <w:color w:val="2F5496"/>
          <w:sz w:val="22"/>
          <w:szCs w:val="22"/>
        </w:rPr>
        <w:t xml:space="preserve">VI.4.2 Las necesidades del contrato y su origen</w:t>
      </w:r>
    </w:p>
    <w:p>
      <w:pPr>
        <w:spacing w:after="140" w:line="276"/>
      </w:pPr>
      <w:r>
        <w:rPr>
          <w:rFonts w:ascii="Calibri" w:cs="Calibri" w:eastAsia="Calibri" w:hAnsi="Calibri"/>
          <w:sz w:val="21"/>
          <w:szCs w:val="21"/>
        </w:rPr>
        <w:t xml:space="preserve">El catálogo distingue tres orígenes de necesidad. La distinción no es doctrinal: determina </w:t>
      </w:r>
      <w:r>
        <w:rPr>
          <w:rFonts w:ascii="Calibri" w:cs="Calibri" w:eastAsia="Calibri" w:hAnsi="Calibri"/>
          <w:b/>
          <w:bCs/>
          <w:sz w:val="21"/>
          <w:szCs w:val="21"/>
        </w:rPr>
        <w:t xml:space="preserve">quién firma</w:t>
      </w:r>
      <w:r>
        <w:rPr>
          <w:rFonts w:ascii="Calibri" w:cs="Calibri" w:eastAsia="Calibri" w:hAnsi="Calibri"/>
          <w:sz w:val="21"/>
          <w:szCs w:val="21"/>
        </w:rPr>
        <w:t xml:space="preserve"> la ficha del Anexo II y </w:t>
      </w:r>
      <w:r>
        <w:rPr>
          <w:rFonts w:ascii="Calibri" w:cs="Calibri" w:eastAsia="Calibri" w:hAnsi="Calibri"/>
          <w:b/>
          <w:bCs/>
          <w:sz w:val="21"/>
          <w:szCs w:val="21"/>
        </w:rPr>
        <w:t xml:space="preserve">qué documento</w:t>
      </w:r>
      <w:r>
        <w:rPr>
          <w:rFonts w:ascii="Calibri" w:cs="Calibri" w:eastAsia="Calibri" w:hAnsi="Calibri"/>
          <w:sz w:val="21"/>
          <w:szCs w:val="21"/>
        </w:rPr>
        <w:t xml:space="preserve"> la sostiene.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Origen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Definición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 lo acredita y con qué</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 — Normativo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norma en vigor impone al Ayuntamiento un deber que no puede cumplir sin la colaboración del contratista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del servicio competente por razón de la materia (informática y seguridad, Intervención, delegado de protección de datos, órgano del informe jurídico preceptivo), con cita del precepto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F — Funcional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servicio gestor necesita la prestación para prestar su servicio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Firma del gestor del contrato en la ficha del Anexo II</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 — Institucional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lo impone ninguna norma ni lo ha pedido el gestor: deriva de un plan o política municipal aprobados por el órgano de gobierno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Remisión al acuerdo del órgano de gobierno (modelo en el Anexo VIII), más informe del servicio promotor sobre su aplicación a este contrato</w:t>
            </w:r>
          </w:p>
        </w:tc>
      </w:tr>
    </w:tbl>
    <w:p>
      <w:pPr>
        <w:spacing w:after="200"/>
      </w:pPr>
    </w:p>
    <w:p>
      <w:pPr>
        <w:spacing w:after="140" w:line="276"/>
      </w:pPr>
      <w:r>
        <w:rPr>
          <w:rFonts w:ascii="Calibri" w:cs="Calibri" w:eastAsia="Calibri" w:hAnsi="Calibri"/>
          <w:b/>
          <w:bCs/>
          <w:sz w:val="21"/>
          <w:szCs w:val="21"/>
        </w:rPr>
        <w:t xml:space="preserve">Regla de cierre (Anexo II):</w:t>
      </w:r>
      <w:r>
        <w:rPr>
          <w:rFonts w:ascii="Calibri" w:cs="Calibri" w:eastAsia="Calibri" w:hAnsi="Calibri"/>
          <w:sz w:val="21"/>
          <w:szCs w:val="21"/>
        </w:rPr>
        <w:t xml:space="preserve"> la exigencia que no tenga origen marcado y firmado </w:t>
      </w:r>
      <w:r>
        <w:rPr>
          <w:rFonts w:ascii="Calibri" w:cs="Calibri" w:eastAsia="Calibri" w:hAnsi="Calibri"/>
          <w:b/>
          <w:bCs/>
          <w:sz w:val="21"/>
          <w:szCs w:val="21"/>
        </w:rPr>
        <w:t xml:space="preserve">va a NO APLICA</w:t>
      </w:r>
      <w:r>
        <w:rPr>
          <w:rFonts w:ascii="Calibri" w:cs="Calibri" w:eastAsia="Calibri" w:hAnsi="Calibri"/>
          <w:sz w:val="21"/>
          <w:szCs w:val="21"/>
        </w:rPr>
        <w:t xml:space="preserve">. No hay cuarta casilla.</w:t>
      </w:r>
    </w:p>
    <w:p>
      <w:pPr>
        <w:spacing w:after="140" w:line="276"/>
      </w:pPr>
      <w:r>
        <w:rPr>
          <w:rFonts w:ascii="Calibri" w:cs="Calibri" w:eastAsia="Calibri" w:hAnsi="Calibri"/>
          <w:sz w:val="21"/>
          <w:szCs w:val="21"/>
        </w:rPr>
        <w:t xml:space="preserve">Necesidades identificadas en este contrato: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Necesidad</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Origen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Fundamento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 que la satisface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Tramitación, seguimiento y justificación de las subvenciones y ayudas municipales conforme a la Ley 38/2003, General de Subvenciones, y a las bases reguladoras municipales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Necesidad del servicio gestor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Prescripciones funcionales del PPT (fuera de este catálogo)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Conformidad con el Esquema Nacional de Seguridad del sistema del contratista y de su cadena de suministro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2.3 RD 311/2022: los pliegos «contemplarán todos aquellos requisitos necesarios para asegurar la conformidad con el ENS», cautela que se extiende a la cadena de suministro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Interoperabilidad con los servicios comunes de obligada utilización y con el resto de sistemas municipales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RD 4/2010 (ENI) y Ley 39/2015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DT-5·v3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Tratamiento de datos personales por cuenta del Ayuntamiento (terceros, proveedores, personal)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28 RGPD; arts. 122.2 y 202.1 párr. 3.º LCSP cuando concurren sus supuestos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ADM-6·v3 bloque A; cláusulas de protección de datos del PCAP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Explotación de los datos de ejecución por los órganos de control interno en el mismo alcance funcional que el gestor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214 TRLRHL y arts. 4.3, 6.3, 6.7, 20 y 30 RD 424/2017; DA 3.ª.3 LCSP. </w:t>
            </w:r>
            <w:r>
              <w:rPr>
                <w:rFonts w:ascii="Calibri" w:cs="Calibri" w:eastAsia="Calibri" w:hAnsi="Calibri"/>
                <w:b/>
                <w:bCs/>
                <w:sz w:val="18"/>
                <w:szCs w:val="18"/>
              </w:rPr>
              <w:t xml:space="preserve">Necesidad declarada por escrito por el propio órgano de control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ADM-12·v3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Recuperación ordenada del servicio y de los datos al término del contrato, sin dependencia injustificada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34.1 y 111.1 LCSP; art. 28.3.g) RGPD para datos personales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Continuidad del servicio ante cese o incumplimiento grave del proveedor sobre un sistema que sostiene la función contable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Análisis de riesgos del expediente; medida de medios alternativos del Anexo II del RD 311/2022 para servicios contratados a terceros, invocada por analogía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ADM-11·v3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Titularidad municipal de los desarrollos específicos, la lógica de negocio y los datos, con licencia suficiente para cederlos a otras administraciones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308.1 LCSP; arts. 43, 97.4, 99 y 100 TRLPI; arts. 157 y 158 Ley 40/2015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ADM-8·v3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Que la solución pueda ser operada, consultada y auditada por agentes y asistentes de IA bajo control municipal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Ninguna norma lo impone y el gestor no lo ha pedido.</w:t>
            </w:r>
            <w:r>
              <w:rPr>
                <w:rFonts w:ascii="Calibri" w:cs="Calibri" w:eastAsia="Calibri" w:hAnsi="Calibri"/>
                <w:b w:val="false"/>
                <w:bCs w:val="false"/>
                <w:sz w:val="18"/>
                <w:szCs w:val="18"/>
              </w:rPr>
              <w:t xml:space="preserve"> Sólo puede fundarse en el acuerdo del órgano de gobierno que apruebe el plan y el catálogo anual (Anexo VIII)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DT-7·v3, DT-9·v3 y Anexo V (ET-1, ET-2, ET-3)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Control del uso de sistemas de IA de terceros sobre información municipal no pública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28 RGPD y deber de confidencialidad del contratista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ADM-13·v3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Evolución determinada de la solución durante la vigencia, valorable por el licitador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Acuerdo del órgano de gobierno + necesidad del servicio de no quedar con una versión congelada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ADM-2·v3 sobre el Anexo V</w:t>
            </w:r>
          </w:p>
        </w:tc>
      </w:tr>
    </w:tbl>
    <w:p>
      <w:pPr>
        <w:spacing w:after="200"/>
      </w:pPr>
    </w:p>
    <w:p>
      <w:pPr>
        <w:spacing w:after="140" w:line="276"/>
      </w:pPr>
      <w:r>
        <w:rPr>
          <w:rFonts w:ascii="Calibri" w:cs="Calibri" w:eastAsia="Calibri" w:hAnsi="Calibri"/>
          <w:b/>
          <w:bCs/>
          <w:sz w:val="21"/>
          <w:szCs w:val="21"/>
        </w:rPr>
        <w:t xml:space="preserve">Lo que hay que decir en voz alta sobre la fila 9</w:t>
      </w:r>
      <w:r>
        <w:rPr>
          <w:rFonts w:ascii="Calibri" w:cs="Calibri" w:eastAsia="Calibri" w:hAnsi="Calibri"/>
          <w:sz w:val="21"/>
          <w:szCs w:val="21"/>
        </w:rPr>
        <w:t xml:space="preserve">, porque es el punto de la primera dificultad del §M1.1 y el que un recurrente atacará: la necesidad de agentización </w:t>
      </w:r>
      <w:r>
        <w:rPr>
          <w:rFonts w:ascii="Calibri" w:cs="Calibri" w:eastAsia="Calibri" w:hAnsi="Calibri"/>
          <w:b/>
          <w:bCs/>
          <w:sz w:val="21"/>
          <w:szCs w:val="21"/>
        </w:rPr>
        <w:t xml:space="preserve">no es normativa ni funcional</w:t>
      </w:r>
      <w:r>
        <w:rPr>
          <w:rFonts w:ascii="Calibri" w:cs="Calibri" w:eastAsia="Calibri" w:hAnsi="Calibri"/>
          <w:sz w:val="21"/>
          <w:szCs w:val="21"/>
        </w:rPr>
        <w:t xml:space="preserve">. Si el expediente la justifica con un párrafo general sobre la transformación digital, es justificación estereotipada y cae. Si la justifica por remisión a un acuerdo del órgano de gobierno que aprueba un plan con objetivos y calendario, y el informe de necesidad explica por qué </w:t>
      </w:r>
      <w:r>
        <w:rPr>
          <w:rFonts w:ascii="Calibri" w:cs="Calibri" w:eastAsia="Calibri" w:hAnsi="Calibri"/>
          <w:b/>
          <w:bCs/>
          <w:sz w:val="21"/>
          <w:szCs w:val="21"/>
        </w:rPr>
        <w:t xml:space="preserve">este</w:t>
      </w:r>
      <w:r>
        <w:rPr>
          <w:rFonts w:ascii="Calibri" w:cs="Calibri" w:eastAsia="Calibri" w:hAnsi="Calibri"/>
          <w:sz w:val="21"/>
          <w:szCs w:val="21"/>
        </w:rPr>
        <w:t xml:space="preserve"> contrato entra en ese plan, la relación con el objeto pasa a ser derivada de una política municipal aprobada. </w:t>
      </w:r>
      <w:r>
        <w:rPr>
          <w:rFonts w:ascii="Calibri" w:cs="Calibri" w:eastAsia="Calibri" w:hAnsi="Calibri"/>
          <w:b/>
          <w:bCs/>
          <w:sz w:val="21"/>
          <w:szCs w:val="21"/>
        </w:rPr>
        <w:t xml:space="preserve">Sin ese acuerdo previo, la recomendación de este documento es marcar la fila 9 como NO APLICA en este expediente</w:t>
      </w:r>
      <w:r>
        <w:rPr>
          <w:rFonts w:ascii="Calibri" w:cs="Calibri" w:eastAsia="Calibri" w:hAnsi="Calibri"/>
          <w:sz w:val="21"/>
          <w:szCs w:val="21"/>
        </w:rPr>
        <w:t xml:space="preserve"> y contratar la solución sin ella. Es preferible un piloto que aplique nueve cláusulas bien fundadas que uno que aplique once con una sostenida por una frase.</w:t>
      </w:r>
    </w:p>
    <w:p>
      <w:pPr>
        <w:pStyle w:val="Heading3"/>
        <w:keepNext/>
        <w:spacing w:after="140" w:before="320"/>
      </w:pPr>
      <w:r>
        <w:rPr>
          <w:rFonts w:ascii="Georgia" w:cs="Georgia" w:eastAsia="Georgia" w:hAnsi="Georgia"/>
          <w:b/>
          <w:bCs/>
          <w:color w:val="2F5496"/>
          <w:sz w:val="22"/>
          <w:szCs w:val="22"/>
        </w:rPr>
        <w:t xml:space="preserve">VI.4.3 Qué cláusulas aplican y cuáles no</w:t>
      </w:r>
    </w:p>
    <w:p>
      <w:pPr>
        <w:spacing w:after="140" w:line="276"/>
      </w:pPr>
      <w:r>
        <w:rPr>
          <w:rFonts w:ascii="Calibri" w:cs="Calibri" w:eastAsia="Calibri" w:hAnsi="Calibri"/>
          <w:sz w:val="21"/>
          <w:szCs w:val="21"/>
        </w:rPr>
        <w:t xml:space="preserve">Ficha de aplicabilidad cumplimentada. Instrumentos: </w:t>
      </w:r>
      <w:r>
        <w:rPr>
          <w:rFonts w:ascii="Calibri" w:cs="Calibri" w:eastAsia="Calibri" w:hAnsi="Calibri"/>
          <w:b/>
          <w:bCs/>
          <w:sz w:val="21"/>
          <w:szCs w:val="21"/>
        </w:rPr>
        <w:t xml:space="preserve">P</w:t>
      </w:r>
      <w:r>
        <w:rPr>
          <w:rFonts w:ascii="Calibri" w:cs="Calibri" w:eastAsia="Calibri" w:hAnsi="Calibri"/>
          <w:sz w:val="21"/>
          <w:szCs w:val="21"/>
        </w:rPr>
        <w:t xml:space="preserve"> prescripción técnica · </w:t>
      </w:r>
      <w:r>
        <w:rPr>
          <w:rFonts w:ascii="Calibri" w:cs="Calibri" w:eastAsia="Calibri" w:hAnsi="Calibri"/>
          <w:b/>
          <w:bCs/>
          <w:sz w:val="21"/>
          <w:szCs w:val="21"/>
        </w:rPr>
        <w:t xml:space="preserve">S</w:t>
      </w:r>
      <w:r>
        <w:rPr>
          <w:rFonts w:ascii="Calibri" w:cs="Calibri" w:eastAsia="Calibri" w:hAnsi="Calibri"/>
          <w:sz w:val="21"/>
          <w:szCs w:val="21"/>
        </w:rPr>
        <w:t xml:space="preserve"> solvencia · </w:t>
      </w:r>
      <w:r>
        <w:rPr>
          <w:rFonts w:ascii="Calibri" w:cs="Calibri" w:eastAsia="Calibri" w:hAnsi="Calibri"/>
          <w:b/>
          <w:bCs/>
          <w:sz w:val="21"/>
          <w:szCs w:val="21"/>
        </w:rPr>
        <w:t xml:space="preserve">CEE</w:t>
      </w:r>
      <w:r>
        <w:rPr>
          <w:rFonts w:ascii="Calibri" w:cs="Calibri" w:eastAsia="Calibri" w:hAnsi="Calibri"/>
          <w:sz w:val="21"/>
          <w:szCs w:val="21"/>
        </w:rPr>
        <w:t xml:space="preserve"> condición especial de ejecución · </w:t>
      </w:r>
      <w:r>
        <w:rPr>
          <w:rFonts w:ascii="Calibri" w:cs="Calibri" w:eastAsia="Calibri" w:hAnsi="Calibri"/>
          <w:b/>
          <w:bCs/>
          <w:sz w:val="21"/>
          <w:szCs w:val="21"/>
        </w:rPr>
        <w:t xml:space="preserve">CEE-E</w:t>
      </w:r>
      <w:r>
        <w:rPr>
          <w:rFonts w:ascii="Calibri" w:cs="Calibri" w:eastAsia="Calibri" w:hAnsi="Calibri"/>
          <w:sz w:val="21"/>
          <w:szCs w:val="21"/>
        </w:rPr>
        <w:t xml:space="preserve"> condición especial de ejecución de carácter esencial · </w:t>
      </w:r>
      <w:r>
        <w:rPr>
          <w:rFonts w:ascii="Calibri" w:cs="Calibri" w:eastAsia="Calibri" w:hAnsi="Calibri"/>
          <w:b/>
          <w:bCs/>
          <w:sz w:val="21"/>
          <w:szCs w:val="21"/>
        </w:rPr>
        <w:t xml:space="preserve">CA</w:t>
      </w:r>
      <w:r>
        <w:rPr>
          <w:rFonts w:ascii="Calibri" w:cs="Calibri" w:eastAsia="Calibri" w:hAnsi="Calibri"/>
          <w:sz w:val="21"/>
          <w:szCs w:val="21"/>
        </w:rPr>
        <w:t xml:space="preserve"> criterio de adjudicación · </w:t>
      </w:r>
      <w:r>
        <w:rPr>
          <w:rFonts w:ascii="Calibri" w:cs="Calibri" w:eastAsia="Calibri" w:hAnsi="Calibri"/>
          <w:b/>
          <w:bCs/>
          <w:sz w:val="21"/>
          <w:szCs w:val="21"/>
        </w:rPr>
        <w:t xml:space="preserve">NA</w:t>
      </w:r>
      <w:r>
        <w:rPr>
          <w:rFonts w:ascii="Calibri" w:cs="Calibri" w:eastAsia="Calibri" w:hAnsi="Calibri"/>
          <w:sz w:val="21"/>
          <w:szCs w:val="21"/>
        </w:rPr>
        <w:t xml:space="preserve"> no aplica. Cada exigencia lleva </w:t>
      </w:r>
      <w:r>
        <w:rPr>
          <w:rFonts w:ascii="Calibri" w:cs="Calibri" w:eastAsia="Calibri" w:hAnsi="Calibri"/>
          <w:b/>
          <w:bCs/>
          <w:sz w:val="21"/>
          <w:szCs w:val="21"/>
        </w:rPr>
        <w:t xml:space="preserve">un solo</w:t>
      </w:r>
      <w:r>
        <w:rPr>
          <w:rFonts w:ascii="Calibri" w:cs="Calibri" w:eastAsia="Calibri" w:hAnsi="Calibri"/>
          <w:sz w:val="21"/>
          <w:szCs w:val="21"/>
        </w:rPr>
        <w:t xml:space="preserve"> instrumento (Anexo I).</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 v3</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Instrumento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Origen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Motivación de la decisión</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DT-0·v3</w:t>
            </w:r>
            <w:r>
              <w:rPr>
                <w:rFonts w:ascii="Calibri" w:cs="Calibri" w:eastAsia="Calibri" w:hAnsi="Calibri"/>
                <w:b w:val="false"/>
                <w:bCs w:val="false"/>
                <w:sz w:val="18"/>
                <w:szCs w:val="18"/>
              </w:rPr>
              <w:t xml:space="preserve"> Equivalencia y acreditación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Obligatoria siempre que el pliego cite cualquier producto, protocolo, norma o red. Nunca puede marcarse NA en un pliego tecnológico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DT-1·v3</w:t>
            </w:r>
            <w:r>
              <w:rPr>
                <w:rFonts w:ascii="Calibri" w:cs="Calibri" w:eastAsia="Calibri" w:hAnsi="Calibri"/>
                <w:b w:val="false"/>
                <w:bCs w:val="false"/>
                <w:sz w:val="18"/>
                <w:szCs w:val="18"/>
              </w:rPr>
              <w:t xml:space="preserve"> IA, IA generativa y agentes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Aplica en su bloque de reparto de papeles y decisiones automatizadas. La tramitación de subvenciones no está configurada en el ejemplo como actuación administrativa automatizada del art. 41 de la Ley 40/2015, pero el sistema soportará propuestas asistidas: la cláusula fija que ninguna decisión con efecto jurídico o económico se ejecute sin validación humana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DT-2·v3</w:t>
            </w:r>
            <w:r>
              <w:rPr>
                <w:rFonts w:ascii="Calibri" w:cs="Calibri" w:eastAsia="Calibri" w:hAnsi="Calibri"/>
                <w:b w:val="false"/>
                <w:bCs w:val="false"/>
                <w:sz w:val="18"/>
                <w:szCs w:val="18"/>
              </w:rPr>
              <w:t xml:space="preserve"> Capa de confianza (anclaje de evidencias, identidad verificable)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hay necesidad identificada: la integridad de los asientos y del inventario se resuelve con el registro de auditoría del sistema y con el ENS. Añadir anclaje distribuido sería exigencia sin necesidad. </w:t>
            </w:r>
            <w:r>
              <w:rPr>
                <w:rFonts w:ascii="Calibri" w:cs="Calibri" w:eastAsia="Calibri" w:hAnsi="Calibri"/>
                <w:b/>
                <w:bCs/>
                <w:sz w:val="18"/>
                <w:szCs w:val="18"/>
              </w:rPr>
              <w:t xml:space="preserve">Arrastra: se suprime el criterio de adjudicación que, en su caso, hubiera valorado esa capacidad, si el órgano de contratación lo hubiera añadido al baremo</w:t>
            </w:r>
            <w:r>
              <w:rPr>
                <w:rFonts w:ascii="Calibri" w:cs="Calibri" w:eastAsia="Calibri" w:hAnsi="Calibri"/>
                <w:b w:val="false"/>
                <w:bCs w:val="false"/>
                <w:sz w:val="18"/>
                <w:szCs w:val="18"/>
              </w:rPr>
              <w:t xml:space="preserve"> (Anexo VI)</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DT-3·v3</w:t>
            </w:r>
            <w:r>
              <w:rPr>
                <w:rFonts w:ascii="Calibri" w:cs="Calibri" w:eastAsia="Calibri" w:hAnsi="Calibri"/>
                <w:b w:val="false"/>
                <w:bCs w:val="false"/>
                <w:sz w:val="18"/>
                <w:szCs w:val="18"/>
              </w:rPr>
              <w:t xml:space="preserve"> Criptoagilidad y transición post-cuántica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cláusula se activa en sistemas con datos de conservación prolongada o especialmente protegidos. Los datos contables tienen conservación larga, pero no son datos de categoría especial y su confidencialidad no es el riesgo dominante. Decisión: NA, con revisión en la licitación siguiente. Si el análisis de riesgos del expediente concluyera lo contrario, se activa sólo el inventario criptográfico y el plan de transición, nunca un algoritmo nominado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DT-4·v3</w:t>
            </w:r>
            <w:r>
              <w:rPr>
                <w:rFonts w:ascii="Calibri" w:cs="Calibri" w:eastAsia="Calibri" w:hAnsi="Calibri"/>
                <w:b w:val="false"/>
                <w:bCs w:val="false"/>
                <w:sz w:val="18"/>
                <w:szCs w:val="18"/>
              </w:rPr>
              <w:t xml:space="preserve"> Automatización de procesos identificados — </w:t>
            </w:r>
            <w:r>
              <w:rPr>
                <w:rFonts w:ascii="Calibri" w:cs="Calibri" w:eastAsia="Calibri" w:hAnsi="Calibri"/>
                <w:b/>
                <w:bCs/>
                <w:sz w:val="18"/>
                <w:szCs w:val="18"/>
              </w:rPr>
              <w:t xml:space="preserve">procesos mínimos</w:t>
            </w:r>
            <w:r>
              <w:rPr>
                <w:rFonts w:ascii="Calibri" w:cs="Calibri" w:eastAsia="Calibri" w:hAnsi="Calibri"/>
                <w:b w:val="false"/>
                <w:bCs w:val="false"/>
                <w:sz w:val="18"/>
                <w:szCs w:val="18"/>
              </w:rPr>
              <w:t xml:space="preserve"> de la lista cerrada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Aplica sobre </w:t>
            </w:r>
            <w:r>
              <w:rPr>
                <w:rFonts w:ascii="Calibri" w:cs="Calibri" w:eastAsia="Calibri" w:hAnsi="Calibri"/>
                <w:b/>
                <w:bCs/>
                <w:sz w:val="18"/>
                <w:szCs w:val="18"/>
              </w:rPr>
              <w:t xml:space="preserve">lista cerrada y numerada de procesos</w:t>
            </w:r>
            <w:r>
              <w:rPr>
                <w:rFonts w:ascii="Calibri" w:cs="Calibri" w:eastAsia="Calibri" w:hAnsi="Calibri"/>
                <w:b w:val="false"/>
                <w:bCs w:val="false"/>
                <w:sz w:val="18"/>
                <w:szCs w:val="18"/>
              </w:rPr>
              <w:t xml:space="preserve"> publicada en el PPT (conciliación bancaria, contabilización de facturas de la plataforma de facturación electrónica, propuestas de amortización, cierre del ejercicio, altas y bajas de inventario, generación de rendiciones). Los procesos marcados como mínimos son prescripción y no puntúan</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DT-4·v3</w:t>
            </w:r>
            <w:r>
              <w:rPr>
                <w:rFonts w:ascii="Calibri" w:cs="Calibri" w:eastAsia="Calibri" w:hAnsi="Calibri"/>
                <w:b w:val="false"/>
                <w:bCs w:val="false"/>
                <w:sz w:val="18"/>
                <w:szCs w:val="18"/>
              </w:rPr>
              <w:t xml:space="preserve"> Automatización de procesos identificados — </w:t>
            </w:r>
            <w:r>
              <w:rPr>
                <w:rFonts w:ascii="Calibri" w:cs="Calibri" w:eastAsia="Calibri" w:hAnsi="Calibri"/>
                <w:b/>
                <w:bCs/>
                <w:sz w:val="18"/>
                <w:szCs w:val="18"/>
              </w:rPr>
              <w:t xml:space="preserve">procesos adicionales</w:t>
            </w:r>
            <w:r>
              <w:rPr>
                <w:rFonts w:ascii="Calibri" w:cs="Calibri" w:eastAsia="Calibri" w:hAnsi="Calibri"/>
                <w:b w:val="false"/>
                <w:bCs w:val="false"/>
                <w:sz w:val="18"/>
                <w:szCs w:val="18"/>
              </w:rPr>
              <w:t xml:space="preserve"> de la misma lista cerrada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el exceso sobre los mínimos anteriores, valorado por el criterio H del baremo (VI.4.6) sobre la misma lista cerrada y numerada del PPT</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DT-5·v3</w:t>
            </w:r>
            <w:r>
              <w:rPr>
                <w:rFonts w:ascii="Calibri" w:cs="Calibri" w:eastAsia="Calibri" w:hAnsi="Calibri"/>
                <w:b w:val="false"/>
                <w:bCs w:val="false"/>
                <w:sz w:val="18"/>
                <w:szCs w:val="18"/>
              </w:rPr>
              <w:t xml:space="preserve"> Interoperabilidad, servicios comunes y soberanía del dato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 la excepción expresa: a los servicios comunes de obligada utilización </w:t>
            </w: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se les añade «o equivalente»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DT-6·v3</w:t>
            </w:r>
            <w:r>
              <w:rPr>
                <w:rFonts w:ascii="Calibri" w:cs="Calibri" w:eastAsia="Calibri" w:hAnsi="Calibri"/>
                <w:b w:val="false"/>
                <w:bCs w:val="false"/>
                <w:sz w:val="18"/>
                <w:szCs w:val="18"/>
              </w:rPr>
              <w:t xml:space="preserve"> Seguridad conforme al ENS en la categoría que corresponda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Aplica. La categoría es la resultante del anexo I del RD 311/2022 y </w:t>
            </w:r>
            <w:r>
              <w:rPr>
                <w:rFonts w:ascii="Calibri" w:cs="Calibri" w:eastAsia="Calibri" w:hAnsi="Calibri"/>
                <w:b/>
                <w:bCs/>
                <w:sz w:val="18"/>
                <w:szCs w:val="18"/>
              </w:rPr>
              <w:t xml:space="preserve">se consigna en el expediente antes de aprobar el pliego</w:t>
            </w:r>
            <w:r>
              <w:rPr>
                <w:rFonts w:ascii="Calibri" w:cs="Calibri" w:eastAsia="Calibri" w:hAnsi="Calibri"/>
                <w:b w:val="false"/>
                <w:bCs w:val="false"/>
                <w:sz w:val="18"/>
                <w:szCs w:val="18"/>
              </w:rPr>
              <w:t xml:space="preserve"> (VI.4.4)</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DT-7·v3</w:t>
            </w:r>
            <w:r>
              <w:rPr>
                <w:rFonts w:ascii="Calibri" w:cs="Calibri" w:eastAsia="Calibri" w:hAnsi="Calibri"/>
                <w:b w:val="false"/>
                <w:bCs w:val="false"/>
                <w:sz w:val="18"/>
                <w:szCs w:val="18"/>
              </w:rPr>
              <w:t xml:space="preserve"> Interfaz normalizada de acceso programático para agentes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Aplica </w:t>
            </w:r>
            <w:r>
              <w:rPr>
                <w:rFonts w:ascii="Calibri" w:cs="Calibri" w:eastAsia="Calibri" w:hAnsi="Calibri"/>
                <w:b/>
                <w:bCs/>
                <w:sz w:val="18"/>
                <w:szCs w:val="18"/>
              </w:rPr>
              <w:t xml:space="preserve">sólo si existe el acuerdo del órgano de gobierno</w:t>
            </w:r>
            <w:r>
              <w:rPr>
                <w:rFonts w:ascii="Calibri" w:cs="Calibri" w:eastAsia="Calibri" w:hAnsi="Calibri"/>
                <w:b w:val="false"/>
                <w:bCs w:val="false"/>
                <w:sz w:val="18"/>
                <w:szCs w:val="18"/>
              </w:rPr>
              <w:t xml:space="preserve"> (fila 9 de VI.4.2). Ámbito modulado: los módulos que identifique el Anexo V, no «todas las aplicaciones municipales»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DT-8·v3</w:t>
            </w:r>
            <w:r>
              <w:rPr>
                <w:rFonts w:ascii="Calibri" w:cs="Calibri" w:eastAsia="Calibri" w:hAnsi="Calibri"/>
                <w:b w:val="false"/>
                <w:bCs w:val="false"/>
                <w:sz w:val="18"/>
                <w:szCs w:val="18"/>
              </w:rPr>
              <w:t xml:space="preserve"> Reversibilidad, inventario de componentes y dossier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Aplica íntegra. Es la cláusula con más valor real en un sistema contable: el día que se cambia de proveedor, el problema no es el software, son veinte ejercicios de datos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DT-9·v3</w:t>
            </w:r>
            <w:r>
              <w:rPr>
                <w:rFonts w:ascii="Calibri" w:cs="Calibri" w:eastAsia="Calibri" w:hAnsi="Calibri"/>
                <w:b w:val="false"/>
                <w:bCs w:val="false"/>
                <w:sz w:val="18"/>
                <w:szCs w:val="18"/>
              </w:rPr>
              <w:t xml:space="preserve"> Exigencias tecnológicas determinadas del ejercicio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Aplica con DT-7·v3 y con la misma condición. El Anexo V se </w:t>
            </w:r>
            <w:r>
              <w:rPr>
                <w:rFonts w:ascii="Calibri" w:cs="Calibri" w:eastAsia="Calibri" w:hAnsi="Calibri"/>
                <w:b/>
                <w:bCs/>
                <w:sz w:val="18"/>
                <w:szCs w:val="18"/>
              </w:rPr>
              <w:t xml:space="preserve">transcribe físicamente</w:t>
            </w:r>
            <w:r>
              <w:rPr>
                <w:rFonts w:ascii="Calibri" w:cs="Calibri" w:eastAsia="Calibri" w:hAnsi="Calibri"/>
                <w:b w:val="false"/>
                <w:bCs w:val="false"/>
                <w:sz w:val="18"/>
                <w:szCs w:val="18"/>
              </w:rPr>
              <w:t xml:space="preserve"> en el PPT, recortado a este objeto (VI.4.5)</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ADM-1·v3</w:t>
            </w:r>
            <w:r>
              <w:rPr>
                <w:rFonts w:ascii="Calibri" w:cs="Calibri" w:eastAsia="Calibri" w:hAnsi="Calibri"/>
                <w:b w:val="false"/>
                <w:bCs w:val="false"/>
                <w:sz w:val="18"/>
                <w:szCs w:val="18"/>
              </w:rPr>
              <w:t xml:space="preserve"> Solvencia técnica y profesional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Solvencia técnica ordinaria por experiencia y medios, en los términos de los arts. 90 y 93 LCSP</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ADM-1·v3</w:t>
            </w:r>
            <w:r>
              <w:rPr>
                <w:rFonts w:ascii="Calibri" w:cs="Calibri" w:eastAsia="Calibri" w:hAnsi="Calibri"/>
                <w:b w:val="false"/>
                <w:bCs w:val="false"/>
                <w:sz w:val="18"/>
                <w:szCs w:val="18"/>
              </w:rPr>
              <w:t xml:space="preserve"> Sistema de gestión de la IA (gobernanza)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gobernanza de IA (UNE-EN ISO/IEC 42001:2026 o equivalente) </w:t>
            </w:r>
            <w:r>
              <w:rPr>
                <w:rFonts w:ascii="Calibri" w:cs="Calibri" w:eastAsia="Calibri" w:hAnsi="Calibri"/>
                <w:b/>
                <w:bCs/>
                <w:sz w:val="18"/>
                <w:szCs w:val="18"/>
              </w:rPr>
              <w:t xml:space="preserve">no se exige como solvencia</w:t>
            </w:r>
            <w:r>
              <w:rPr>
                <w:rFonts w:ascii="Calibri" w:cs="Calibri" w:eastAsia="Calibri" w:hAnsi="Calibri"/>
                <w:b w:val="false"/>
                <w:bCs w:val="false"/>
                <w:sz w:val="18"/>
                <w:szCs w:val="18"/>
              </w:rPr>
              <w:t xml:space="preserve"> en este contrato. No porque el contrato no esté sujeto a regulación armonizada —lo está, según VI.4.7—, sino porque </w:t>
            </w:r>
            <w:r>
              <w:rPr>
                <w:rFonts w:ascii="Calibri" w:cs="Calibri" w:eastAsia="Calibri" w:hAnsi="Calibri"/>
                <w:b/>
                <w:bCs/>
                <w:sz w:val="18"/>
                <w:szCs w:val="18"/>
              </w:rPr>
              <w:t xml:space="preserve">falta el segundo requisito acumulativo de la modalidad A</w:t>
            </w:r>
            <w:r>
              <w:rPr>
                <w:rFonts w:ascii="Calibri" w:cs="Calibri" w:eastAsia="Calibri" w:hAnsi="Calibri"/>
                <w:b w:val="false"/>
                <w:bCs w:val="false"/>
                <w:sz w:val="18"/>
                <w:szCs w:val="18"/>
              </w:rPr>
              <w:t xml:space="preserve"> de ADM-1·v3: el sistema de inteligencia artificial no constituye elemento determinante de la prestación, que es la tramitación y el seguimiento de las subvenciones. Se configura, por tanto, como condición especial de ejecución (modalidad B), con compromiso de obtención</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ADM-2·v3</w:t>
            </w:r>
            <w:r>
              <w:rPr>
                <w:rFonts w:ascii="Calibri" w:cs="Calibri" w:eastAsia="Calibri" w:hAnsi="Calibri"/>
                <w:b w:val="false"/>
                <w:bCs w:val="false"/>
                <w:sz w:val="18"/>
                <w:szCs w:val="18"/>
              </w:rPr>
              <w:t xml:space="preserve"> Compromiso de evolución tecnológica determinada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Aplica, con alcance cerrado al Anexo V. Si el Anexo V no se incorpora, esta cláusula decae entera. </w:t>
            </w:r>
            <w:r>
              <w:rPr>
                <w:rFonts w:ascii="Calibri" w:cs="Calibri" w:eastAsia="Calibri" w:hAnsi="Calibri"/>
                <w:b/>
                <w:bCs/>
                <w:sz w:val="18"/>
                <w:szCs w:val="18"/>
              </w:rPr>
              <w:t xml:space="preserve">No se califica de esencial en este expediente</w:t>
            </w:r>
            <w:r>
              <w:rPr>
                <w:rFonts w:ascii="Calibri" w:cs="Calibri" w:eastAsia="Calibri" w:hAnsi="Calibri"/>
                <w:b w:val="false"/>
                <w:bCs w:val="false"/>
                <w:sz w:val="18"/>
                <w:szCs w:val="18"/>
              </w:rPr>
              <w:t xml:space="preserve">: su esencialidad depende del bloque B.2 de ADM-6·v3, que aquí no se marca por no superarse el test de relevancia (párrafo siguiente a esta tabla). El incumplimiento queda en penalidad conforme a ADM-5·v3 (tipos G2, M1 y M2)</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ADM-3·v3</w:t>
            </w:r>
            <w:r>
              <w:rPr>
                <w:rFonts w:ascii="Calibri" w:cs="Calibri" w:eastAsia="Calibri" w:hAnsi="Calibri"/>
                <w:b w:val="false"/>
                <w:bCs w:val="false"/>
                <w:sz w:val="18"/>
                <w:szCs w:val="18"/>
              </w:rPr>
              <w:t xml:space="preserve"> Plazos, Plan Anual y bolsa de servicios evolutivos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Aplica. La bolsa se incorpora al amparo del art. 308.3 LCSP, con precio por unidades de actividad del Cuadro de Precios Unitarios y </w:t>
            </w:r>
            <w:r>
              <w:rPr>
                <w:rFonts w:ascii="Calibri" w:cs="Calibri" w:eastAsia="Calibri" w:hAnsi="Calibri"/>
                <w:b/>
                <w:bCs/>
                <w:sz w:val="18"/>
                <w:szCs w:val="18"/>
              </w:rPr>
              <w:t xml:space="preserve">peticiones de servicio del responsable del contrato</w:t>
            </w:r>
            <w:r>
              <w:rPr>
                <w:rFonts w:ascii="Calibri" w:cs="Calibri" w:eastAsia="Calibri" w:hAnsi="Calibri"/>
                <w:b w:val="false"/>
                <w:bCs w:val="false"/>
                <w:sz w:val="18"/>
                <w:szCs w:val="18"/>
              </w:rPr>
              <w:t xml:space="preserve">, nunca dirección de personal (art. 308.2 LCSP)</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ADM-4·v3</w:t>
            </w:r>
            <w:r>
              <w:rPr>
                <w:rFonts w:ascii="Calibri" w:cs="Calibri" w:eastAsia="Calibri" w:hAnsi="Calibri"/>
                <w:b w:val="false"/>
                <w:bCs w:val="false"/>
                <w:sz w:val="18"/>
                <w:szCs w:val="18"/>
              </w:rPr>
              <w:t xml:space="preserve"> Seguimiento, responsable del contrato y Comisión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Aplica, con periodicidad y carga dimensionadas (VI.4.8)</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ADM-5·v3</w:t>
            </w:r>
            <w:r>
              <w:rPr>
                <w:rFonts w:ascii="Calibri" w:cs="Calibri" w:eastAsia="Calibri" w:hAnsi="Calibri"/>
                <w:b w:val="false"/>
                <w:bCs w:val="false"/>
                <w:sz w:val="18"/>
                <w:szCs w:val="18"/>
              </w:rPr>
              <w:t xml:space="preserve"> Penalidades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Cláusula del 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Aplica, depurada de las penalidades cuyas cláusulas se han marcado NA (Anexo VI)</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ADM-6·v3</w:t>
            </w:r>
            <w:r>
              <w:rPr>
                <w:rFonts w:ascii="Calibri" w:cs="Calibri" w:eastAsia="Calibri" w:hAnsi="Calibri"/>
                <w:b w:val="false"/>
                <w:bCs w:val="false"/>
                <w:sz w:val="18"/>
                <w:szCs w:val="18"/>
              </w:rPr>
              <w:t xml:space="preserve"> Obligaciones esenciales y resolución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Cláusula del 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Aplica. </w:t>
            </w:r>
            <w:r>
              <w:rPr>
                <w:rFonts w:ascii="Calibri" w:cs="Calibri" w:eastAsia="Calibri" w:hAnsi="Calibri"/>
                <w:b/>
                <w:bCs/>
                <w:sz w:val="18"/>
                <w:szCs w:val="18"/>
              </w:rPr>
              <w:t xml:space="preserve">Bloque A condicionado</w:t>
            </w:r>
            <w:r>
              <w:rPr>
                <w:rFonts w:ascii="Calibri" w:cs="Calibri" w:eastAsia="Calibri" w:hAnsi="Calibri"/>
                <w:b w:val="false"/>
                <w:bCs w:val="false"/>
                <w:sz w:val="18"/>
                <w:szCs w:val="18"/>
              </w:rPr>
              <w:t xml:space="preserve">: sólo si el contrato implica cesión de datos por el Ayuntamiento al contratista (art. 202.1 párr. 3.º) o tratamiento de datos personales por cuenta del responsable (art. 122.2). En este contrato ambos supuestos concurren y deben declararse expresamente en el PCAP. </w:t>
            </w:r>
            <w:r>
              <w:rPr>
                <w:rFonts w:ascii="Calibri" w:cs="Calibri" w:eastAsia="Calibri" w:hAnsi="Calibri"/>
                <w:b/>
                <w:bCs/>
                <w:sz w:val="18"/>
                <w:szCs w:val="18"/>
              </w:rPr>
              <w:t xml:space="preserve">Bloque B.1</w:t>
            </w:r>
            <w:r>
              <w:rPr>
                <w:rFonts w:ascii="Calibri" w:cs="Calibri" w:eastAsia="Calibri" w:hAnsi="Calibri"/>
                <w:b w:val="false"/>
                <w:bCs w:val="false"/>
                <w:sz w:val="18"/>
                <w:szCs w:val="18"/>
              </w:rPr>
              <w:t xml:space="preserve">: se conservan las letras a) —reversibilidad, DT-8·v3—, c) —acceso de los órganos de control, ADM-12·v3— y d) —uso de sistemas de IA sobre información municipal, ADM-13·v3—, y </w:t>
            </w:r>
            <w:r>
              <w:rPr>
                <w:rFonts w:ascii="Calibri" w:cs="Calibri" w:eastAsia="Calibri" w:hAnsi="Calibri"/>
                <w:b/>
                <w:bCs/>
                <w:sz w:val="18"/>
                <w:szCs w:val="18"/>
              </w:rPr>
              <w:t xml:space="preserve">se borra la letra b)</w:t>
            </w:r>
            <w:r>
              <w:rPr>
                <w:rFonts w:ascii="Calibri" w:cs="Calibri" w:eastAsia="Calibri" w:hAnsi="Calibri"/>
                <w:b w:val="false"/>
                <w:bCs w:val="false"/>
                <w:sz w:val="18"/>
                <w:szCs w:val="18"/>
              </w:rPr>
              <w:t xml:space="preserve"> por estar ADM-11·v3 marcada NO APLICA (Anexo VI). </w:t>
            </w:r>
            <w:r>
              <w:rPr>
                <w:rFonts w:ascii="Calibri" w:cs="Calibri" w:eastAsia="Calibri" w:hAnsi="Calibri"/>
                <w:b/>
                <w:bCs/>
                <w:sz w:val="18"/>
                <w:szCs w:val="18"/>
              </w:rPr>
              <w:t xml:space="preserve">Bloque B.2: no se marca ninguna letra en el cuadro de características</w:t>
            </w:r>
            <w:r>
              <w:rPr>
                <w:rFonts w:ascii="Calibri" w:cs="Calibri" w:eastAsia="Calibri" w:hAnsi="Calibri"/>
                <w:b w:val="false"/>
                <w:bCs w:val="false"/>
                <w:sz w:val="18"/>
                <w:szCs w:val="18"/>
              </w:rPr>
              <w:t xml:space="preserve">, por el test de relevancia resuelto tras esta tabla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ADM-7·v3</w:t>
            </w:r>
            <w:r>
              <w:rPr>
                <w:rFonts w:ascii="Calibri" w:cs="Calibri" w:eastAsia="Calibri" w:hAnsi="Calibri"/>
                <w:b w:val="false"/>
                <w:bCs w:val="false"/>
                <w:sz w:val="18"/>
                <w:szCs w:val="18"/>
              </w:rPr>
              <w:t xml:space="preserve"> Criterios de adjudicación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Aplica el baremo de VI.4.6, con precio y criterios funcionales dentro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ADM-8·v3</w:t>
            </w:r>
            <w:r>
              <w:rPr>
                <w:rFonts w:ascii="Calibri" w:cs="Calibri" w:eastAsia="Calibri" w:hAnsi="Calibri"/>
                <w:b w:val="false"/>
                <w:bCs w:val="false"/>
                <w:sz w:val="18"/>
                <w:szCs w:val="18"/>
              </w:rPr>
              <w:t xml:space="preserve"> Propiedad intelectual, titularidad y no dependencia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Cláusula del 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Aplica con la delimitación de VI.4.1: nada sobre el producto base salvo licencia y delimitación; todo sobre desarrollos específicos, parametrizaciones, lógica y datos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ADM-9·v3</w:t>
            </w:r>
            <w:r>
              <w:rPr>
                <w:rFonts w:ascii="Calibri" w:cs="Calibri" w:eastAsia="Calibri" w:hAnsi="Calibri"/>
                <w:b w:val="false"/>
                <w:bCs w:val="false"/>
                <w:sz w:val="18"/>
                <w:szCs w:val="18"/>
              </w:rPr>
              <w:t xml:space="preserve"> Verificación mediante demostración funcional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Medio de comprobación de un criterio (art. 145.5.c)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Aplica, </w:t>
            </w:r>
            <w:r>
              <w:rPr>
                <w:rFonts w:ascii="Calibri" w:cs="Calibri" w:eastAsia="Calibri" w:hAnsi="Calibri"/>
                <w:b/>
                <w:bCs/>
                <w:sz w:val="18"/>
                <w:szCs w:val="18"/>
              </w:rPr>
              <w:t xml:space="preserve">sin atribuir puntuación adicional</w:t>
            </w:r>
            <w:r>
              <w:rPr>
                <w:rFonts w:ascii="Calibri" w:cs="Calibri" w:eastAsia="Calibri" w:hAnsi="Calibri"/>
                <w:b w:val="false"/>
                <w:bCs w:val="false"/>
                <w:sz w:val="18"/>
                <w:szCs w:val="18"/>
              </w:rPr>
              <w:t xml:space="preserve">, con dos medios separados: la sesión comprueba el criterio D y sólo confirma o retira los puntos asignados a la memoria técnica; la comprobación documental verifica C1, A y H respecto de todas las ofertas admitidas, después de abrir el sobre de fórmulas y antes de clasificarlas. Momento procedimental fijado en el PCAP y relación cerrada de elementos verificables publicada (VI.5)</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ADM-10·v3</w:t>
            </w:r>
            <w:r>
              <w:rPr>
                <w:rFonts w:ascii="Calibri" w:cs="Calibri" w:eastAsia="Calibri" w:hAnsi="Calibri"/>
                <w:b w:val="false"/>
                <w:bCs w:val="false"/>
                <w:sz w:val="18"/>
                <w:szCs w:val="18"/>
              </w:rPr>
              <w:t xml:space="preserve"> Plan Anual de Evolución Tecnológica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Aplica como instrumento de seguimiento, con el modelo del Anexo XIV. Sólo los hitos aprobados expresamente y con fecha cierta en acta son esenciales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ADM-11·v3</w:t>
            </w:r>
            <w:r>
              <w:rPr>
                <w:rFonts w:ascii="Calibri" w:cs="Calibri" w:eastAsia="Calibri" w:hAnsi="Calibri"/>
                <w:b w:val="false"/>
                <w:bCs w:val="false"/>
                <w:sz w:val="18"/>
                <w:szCs w:val="18"/>
              </w:rPr>
              <w:t xml:space="preserve"> Depósito de código y continuidad</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NA (condicionada)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aplica en este expediente.</w:t>
            </w:r>
            <w:r>
              <w:rPr>
                <w:rFonts w:ascii="Calibri" w:cs="Calibri" w:eastAsia="Calibri" w:hAnsi="Calibri"/>
                <w:b w:val="false"/>
                <w:bCs w:val="false"/>
                <w:sz w:val="18"/>
                <w:szCs w:val="18"/>
              </w:rPr>
              <w:t xml:space="preserve"> ADM-11·v3.1 exige la concurrencia de </w:t>
            </w:r>
            <w:r>
              <w:rPr>
                <w:rFonts w:ascii="Calibri" w:cs="Calibri" w:eastAsia="Calibri" w:hAnsi="Calibri"/>
                <w:b/>
                <w:bCs/>
                <w:sz w:val="18"/>
                <w:szCs w:val="18"/>
              </w:rPr>
              <w:t xml:space="preserve">todas</w:t>
            </w:r>
            <w:r>
              <w:rPr>
                <w:rFonts w:ascii="Calibri" w:cs="Calibri" w:eastAsia="Calibri" w:hAnsi="Calibri"/>
                <w:b w:val="false"/>
                <w:bCs w:val="false"/>
                <w:sz w:val="18"/>
                <w:szCs w:val="18"/>
              </w:rPr>
              <w:t xml:space="preserve"> las circunstancias de su apartado 1, la primera de las cuales es la categoría ALTA en la dimensión de disponibilidad, y la categorización propuesta en VI.4.4 la sitúa en MEDIA. Sólo si el análisis de riesgos firmado situara la disponibilidad en ALTA </w:t>
            </w:r>
            <w:r>
              <w:rPr>
                <w:rFonts w:ascii="Calibri" w:cs="Calibri" w:eastAsia="Calibri" w:hAnsi="Calibri"/>
                <w:b/>
                <w:bCs/>
                <w:sz w:val="18"/>
                <w:szCs w:val="18"/>
              </w:rPr>
              <w:t xml:space="preserve">y</w:t>
            </w:r>
            <w:r>
              <w:rPr>
                <w:rFonts w:ascii="Calibri" w:cs="Calibri" w:eastAsia="Calibri" w:hAnsi="Calibri"/>
                <w:b w:val="false"/>
                <w:bCs w:val="false"/>
                <w:sz w:val="18"/>
                <w:szCs w:val="18"/>
              </w:rPr>
              <w:t xml:space="preserve"> concurrieran además las otras tres circunstancias —valor estimado superior al umbral, servicio de la lista tasada y estudio de mercado que acredite la ausencia de alternativa sustituible en menos de seis meses— procedería su incorporación, con su coste consignado como partida independiente del presupuesto base. La ficha debe recoger esta motivación</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ADM-12·v3</w:t>
            </w:r>
            <w:r>
              <w:rPr>
                <w:rFonts w:ascii="Calibri" w:cs="Calibri" w:eastAsia="Calibri" w:hAnsi="Calibri"/>
                <w:b w:val="false"/>
                <w:bCs w:val="false"/>
                <w:sz w:val="18"/>
                <w:szCs w:val="18"/>
              </w:rPr>
              <w:t xml:space="preserve"> Acceso de los órganos de control a los datos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Aplica. Es la cláusula que estrena el piloto (VI.4.9)</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ADM-13·v3</w:t>
            </w:r>
            <w:r>
              <w:rPr>
                <w:rFonts w:ascii="Calibri" w:cs="Calibri" w:eastAsia="Calibri" w:hAnsi="Calibri"/>
                <w:b w:val="false"/>
                <w:bCs w:val="false"/>
                <w:sz w:val="18"/>
                <w:szCs w:val="18"/>
              </w:rPr>
              <w:t xml:space="preserve"> Uso de sistemas de IA sobre información municipal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Aplica. La declaración de sistemas se presenta con la oferta pero </w:t>
            </w:r>
            <w:r>
              <w:rPr>
                <w:rFonts w:ascii="Calibri" w:cs="Calibri" w:eastAsia="Calibri" w:hAnsi="Calibri"/>
                <w:b/>
                <w:bCs/>
                <w:sz w:val="18"/>
                <w:szCs w:val="18"/>
              </w:rPr>
              <w:t xml:space="preserve">no puntúa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ADM-14·v3</w:t>
            </w:r>
            <w:r>
              <w:rPr>
                <w:rFonts w:ascii="Calibri" w:cs="Calibri" w:eastAsia="Calibri" w:hAnsi="Calibri"/>
                <w:b w:val="false"/>
                <w:bCs w:val="false"/>
                <w:sz w:val="18"/>
                <w:szCs w:val="18"/>
              </w:rPr>
              <w:t xml:space="preserve"> Modificación prevista y valor estimado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NA</w:t>
            </w:r>
            <w:r>
              <w:rPr>
                <w:rFonts w:ascii="Calibri" w:cs="Calibri" w:eastAsia="Calibri" w:hAnsi="Calibri"/>
                <w:b w:val="false"/>
                <w:bCs w:val="false"/>
                <w:sz w:val="18"/>
                <w:szCs w:val="18"/>
              </w:rPr>
              <w:t xml:space="preserve"> por defecto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se incorpora: la evolución exigible está determinada en el Anexo V y retribuida con el precio, y cada euro de reserva sube el valor estimado (VI.4.7). Si el expediente decidiera incorporarla, se motiva y se recalcula el valor estimado antes de aprobar</w:t>
            </w:r>
          </w:p>
        </w:tc>
      </w:tr>
    </w:tbl>
    <w:p>
      <w:pPr>
        <w:spacing w:after="200"/>
      </w:pPr>
    </w:p>
    <w:p>
      <w:pPr>
        <w:spacing w:after="140" w:line="276"/>
      </w:pPr>
      <w:r>
        <w:rPr>
          <w:rFonts w:ascii="Calibri" w:cs="Calibri" w:eastAsia="Calibri" w:hAnsi="Calibri"/>
          <w:b/>
          <w:bCs/>
          <w:sz w:val="21"/>
          <w:szCs w:val="21"/>
        </w:rPr>
        <w:t xml:space="preserve">El test de relevancia del bloque B.2 de ADM-6·v3, resuelto para este contrato.</w:t>
      </w:r>
      <w:r>
        <w:rPr>
          <w:rFonts w:ascii="Calibri" w:cs="Calibri" w:eastAsia="Calibri" w:hAnsi="Calibri"/>
          <w:sz w:val="21"/>
          <w:szCs w:val="21"/>
        </w:rPr>
        <w:t xml:space="preserve"> ADM-6·v3 no permite marcar ninguna letra del bloque B.2 sin superar antes su test de relevancia, y obliga a que la conclusión conste en la memoria justificativa. Las únicas letras que este expediente podría marcar son la </w:t>
      </w:r>
      <w:r>
        <w:rPr>
          <w:rFonts w:ascii="Calibri" w:cs="Calibri" w:eastAsia="Calibri" w:hAnsi="Calibri"/>
          <w:b/>
          <w:bCs/>
          <w:sz w:val="21"/>
          <w:szCs w:val="21"/>
        </w:rPr>
        <w:t xml:space="preserve">e)</w:t>
      </w:r>
      <w:r>
        <w:rPr>
          <w:rFonts w:ascii="Calibri" w:cs="Calibri" w:eastAsia="Calibri" w:hAnsi="Calibri"/>
          <w:sz w:val="21"/>
          <w:szCs w:val="21"/>
        </w:rPr>
        <w:t xml:space="preserve"> —falta de implantación de una exigencia del Anexo V transcrito en el PPT— y la </w:t>
      </w:r>
      <w:r>
        <w:rPr>
          <w:rFonts w:ascii="Calibri" w:cs="Calibri" w:eastAsia="Calibri" w:hAnsi="Calibri"/>
          <w:b/>
          <w:bCs/>
          <w:sz w:val="21"/>
          <w:szCs w:val="21"/>
        </w:rPr>
        <w:t xml:space="preserve">g)</w:t>
      </w:r>
      <w:r>
        <w:rPr>
          <w:rFonts w:ascii="Calibri" w:cs="Calibri" w:eastAsia="Calibri" w:hAnsi="Calibri"/>
          <w:sz w:val="21"/>
          <w:szCs w:val="21"/>
        </w:rPr>
        <w:t xml:space="preserve"> —falta de entrega de la interfaz normalizada en el plazo máximo del PPT—. Resuelto sobre ellas:</w:t>
      </w:r>
    </w:p>
    <w:p>
      <w:pPr>
        <w:pStyle w:val="ListParagraph"/>
        <w:numPr>
          <w:ilvl w:val="0"/>
          <w:numId w:val="1"/>
        </w:numPr>
        <w:spacing w:after="70" w:line="268"/>
      </w:pPr>
      <w:r>
        <w:rPr>
          <w:rFonts w:ascii="Calibri" w:cs="Calibri" w:eastAsia="Calibri" w:hAnsi="Calibri"/>
          <w:b/>
          <w:bCs/>
          <w:sz w:val="21"/>
          <w:szCs w:val="21"/>
        </w:rPr>
        <w:t xml:space="preserve">(i) ¿Capacidad identificada en el Informe de Necesidad como determinante de la finalidad del contrato?</w:t>
      </w:r>
      <w:r>
        <w:rPr>
          <w:rFonts w:ascii="Calibri" w:cs="Calibri" w:eastAsia="Calibri" w:hAnsi="Calibri"/>
          <w:sz w:val="21"/>
          <w:szCs w:val="21"/>
        </w:rPr>
        <w:t xml:space="preserve"> </w:t>
      </w:r>
      <w:r>
        <w:rPr>
          <w:rFonts w:ascii="Calibri" w:cs="Calibri" w:eastAsia="Calibri" w:hAnsi="Calibri"/>
          <w:b/>
          <w:bCs/>
          <w:sz w:val="21"/>
          <w:szCs w:val="21"/>
        </w:rPr>
        <w:t xml:space="preserve">No.</w:t>
      </w:r>
      <w:r>
        <w:rPr>
          <w:rFonts w:ascii="Calibri" w:cs="Calibri" w:eastAsia="Calibri" w:hAnsi="Calibri"/>
          <w:sz w:val="21"/>
          <w:szCs w:val="21"/>
        </w:rPr>
        <w:t xml:space="preserve"> La finalidad es la tramitación, el seguimiento y la justificación de las subvenciones municipales: es la necesidad 1 de VI.4.2, de origen funcional. La capacidad de ser operada y auditada por agentes es la necesidad 9, de origen </w:t>
      </w:r>
      <w:r>
        <w:rPr>
          <w:rFonts w:ascii="Calibri" w:cs="Calibri" w:eastAsia="Calibri" w:hAnsi="Calibri"/>
          <w:b/>
          <w:bCs/>
          <w:sz w:val="21"/>
          <w:szCs w:val="21"/>
        </w:rPr>
        <w:t xml:space="preserve">institucional</w:t>
      </w:r>
      <w:r>
        <w:rPr>
          <w:rFonts w:ascii="Calibri" w:cs="Calibri" w:eastAsia="Calibri" w:hAnsi="Calibri"/>
          <w:sz w:val="21"/>
          <w:szCs w:val="21"/>
        </w:rPr>
        <w:t xml:space="preserve">, y su propia fila declara que «ninguna norma lo impone y el gestor no lo ha pedido». El informe de necesidad no puede calificarla de determinante de la finalidad sin contradecir esa ficha.</w:t>
      </w:r>
    </w:p>
    <w:p>
      <w:pPr>
        <w:pStyle w:val="ListParagraph"/>
        <w:numPr>
          <w:ilvl w:val="0"/>
          <w:numId w:val="1"/>
        </w:numPr>
        <w:spacing w:after="70" w:line="268"/>
      </w:pPr>
      <w:r>
        <w:rPr>
          <w:rFonts w:ascii="Calibri" w:cs="Calibri" w:eastAsia="Calibri" w:hAnsi="Calibri"/>
          <w:b/>
          <w:bCs/>
          <w:sz w:val="21"/>
          <w:szCs w:val="21"/>
        </w:rPr>
        <w:t xml:space="preserve">(ii) ¿Peso económico en la oferta igual o superior al [X; se recomienda 10] por ciento del precio del contrato?</w:t>
      </w:r>
      <w:r>
        <w:rPr>
          <w:rFonts w:ascii="Calibri" w:cs="Calibri" w:eastAsia="Calibri" w:hAnsi="Calibri"/>
          <w:sz w:val="21"/>
          <w:szCs w:val="21"/>
        </w:rPr>
        <w:t xml:space="preserve"> </w:t>
      </w:r>
      <w:r>
        <w:rPr>
          <w:rFonts w:ascii="Calibri" w:cs="Calibri" w:eastAsia="Calibri" w:hAnsi="Calibri"/>
          <w:b/>
          <w:bCs/>
          <w:sz w:val="21"/>
          <w:szCs w:val="21"/>
        </w:rPr>
        <w:t xml:space="preserve">No consta.</w:t>
      </w:r>
      <w:r>
        <w:rPr>
          <w:rFonts w:ascii="Calibri" w:cs="Calibri" w:eastAsia="Calibri" w:hAnsi="Calibri"/>
          <w:sz w:val="21"/>
          <w:szCs w:val="21"/>
        </w:rPr>
        <w:t xml:space="preserve"> El expediente no imputa a esta capacidad un coste de esa magnitud. Su peso en el baremo es de 13 puntos sobre 100 —criterios A (8) y B (5)—, que es medida de puntuación y no de precio. Si el estudio económico del expediente cifrara ese coste por encima del umbral, el test se rehace y se hace constar.</w:t>
      </w:r>
    </w:p>
    <w:p>
      <w:pPr>
        <w:pStyle w:val="ListParagraph"/>
        <w:numPr>
          <w:ilvl w:val="0"/>
          <w:numId w:val="1"/>
        </w:numPr>
        <w:spacing w:after="70" w:line="268"/>
      </w:pPr>
      <w:r>
        <w:rPr>
          <w:rFonts w:ascii="Calibri" w:cs="Calibri" w:eastAsia="Calibri" w:hAnsi="Calibri"/>
          <w:b/>
          <w:bCs/>
          <w:sz w:val="21"/>
          <w:szCs w:val="21"/>
        </w:rPr>
        <w:t xml:space="preserve">(iii) ¿Su falta impide el uso de la solución para la finalidad contratada, o impide al Ayuntamiento cumplir una obligación legal propia?</w:t>
      </w:r>
      <w:r>
        <w:rPr>
          <w:rFonts w:ascii="Calibri" w:cs="Calibri" w:eastAsia="Calibri" w:hAnsi="Calibri"/>
          <w:sz w:val="21"/>
          <w:szCs w:val="21"/>
        </w:rPr>
        <w:t xml:space="preserve"> </w:t>
      </w:r>
      <w:r>
        <w:rPr>
          <w:rFonts w:ascii="Calibri" w:cs="Calibri" w:eastAsia="Calibri" w:hAnsi="Calibri"/>
          <w:b/>
          <w:bCs/>
          <w:sz w:val="21"/>
          <w:szCs w:val="21"/>
        </w:rPr>
        <w:t xml:space="preserve">No.</w:t>
      </w:r>
      <w:r>
        <w:rPr>
          <w:rFonts w:ascii="Calibri" w:cs="Calibri" w:eastAsia="Calibri" w:hAnsi="Calibri"/>
          <w:sz w:val="21"/>
          <w:szCs w:val="21"/>
        </w:rPr>
        <w:t xml:space="preserve"> Sin la interfaz normalizada el Ayuntamiento convoca, concede, paga y justifica sus subvenciones exactamente igual.</w:t>
      </w:r>
    </w:p>
    <w:p>
      <w:pPr>
        <w:spacing w:after="140" w:line="276"/>
      </w:pPr>
      <w:r>
        <w:rPr>
          <w:rFonts w:ascii="Calibri" w:cs="Calibri" w:eastAsia="Calibri" w:hAnsi="Calibri"/>
          <w:b/>
          <w:bCs/>
          <w:sz w:val="21"/>
          <w:szCs w:val="21"/>
        </w:rPr>
        <w:t xml:space="preserve">Conclusión: no concurre ninguno de los tres supuestos, la casilla no se marca y ADM-2·v3 no se califica de esencial en este contrato.</w:t>
      </w:r>
      <w:r>
        <w:rPr>
          <w:rFonts w:ascii="Calibri" w:cs="Calibri" w:eastAsia="Calibri" w:hAnsi="Calibri"/>
          <w:sz w:val="21"/>
          <w:szCs w:val="21"/>
        </w:rPr>
        <w:t xml:space="preserve"> Es la conclusión que la nota al redactor de ADM-6·v3 anticipa con este mismo ejemplo: resolver un contrato de gestión de subvenciones y ayudas municipales porque el contratista no entregó en plazo una interfaz para agentes de inteligencia artificial es desproporcionado en grado manifiesto. La consecuencia del incumplimiento queda en penalidad grave o muy grave —tipos G2 y M1 de ADM-5·v3 para las exigencias del Anexo V, y G19 y M15 para la interfaz normalizada—, con los límites del art. 192.1 LCSP; no es consecuencia simbólica. </w:t>
      </w:r>
      <w:r>
        <w:rPr>
          <w:rFonts w:ascii="Calibri" w:cs="Calibri" w:eastAsia="Calibri" w:hAnsi="Calibri"/>
          <w:b/>
          <w:bCs/>
          <w:sz w:val="21"/>
          <w:szCs w:val="21"/>
        </w:rPr>
        <w:t xml:space="preserve">Esta conclusión se transcribe en la memoria justificativa del expediente</w:t>
      </w:r>
      <w:r>
        <w:rPr>
          <w:rFonts w:ascii="Calibri" w:cs="Calibri" w:eastAsia="Calibri" w:hAnsi="Calibri"/>
          <w:sz w:val="21"/>
          <w:szCs w:val="21"/>
        </w:rPr>
        <w:t xml:space="preserve">, que es donde ADM-6·v3 exige que conste.</w:t>
      </w:r>
    </w:p>
    <w:p>
      <w:pPr>
        <w:spacing w:after="140" w:line="276"/>
      </w:pPr>
      <w:r>
        <w:rPr>
          <w:rFonts w:ascii="Calibri" w:cs="Calibri" w:eastAsia="Calibri" w:hAnsi="Calibri"/>
          <w:b/>
          <w:bCs/>
          <w:sz w:val="21"/>
          <w:szCs w:val="21"/>
        </w:rPr>
        <w:t xml:space="preserve">Nota sobre las filas desdobladas.</w:t>
      </w:r>
      <w:r>
        <w:rPr>
          <w:rFonts w:ascii="Calibri" w:cs="Calibri" w:eastAsia="Calibri" w:hAnsi="Calibri"/>
          <w:sz w:val="21"/>
          <w:szCs w:val="21"/>
        </w:rPr>
        <w:t xml:space="preserve"> Una cláusula que exige un mínimo y puntúa el exceso ocupa </w:t>
      </w:r>
      <w:r>
        <w:rPr>
          <w:rFonts w:ascii="Calibri" w:cs="Calibri" w:eastAsia="Calibri" w:hAnsi="Calibri"/>
          <w:b/>
          <w:bCs/>
          <w:sz w:val="21"/>
          <w:szCs w:val="21"/>
        </w:rPr>
        <w:t xml:space="preserve">dos filas</w:t>
      </w:r>
      <w:r>
        <w:rPr>
          <w:rFonts w:ascii="Calibri" w:cs="Calibri" w:eastAsia="Calibri" w:hAnsi="Calibri"/>
          <w:sz w:val="21"/>
          <w:szCs w:val="21"/>
        </w:rPr>
        <w:t xml:space="preserve"> de la ficha, nunca una con dos instrumentos. Es lo que hace el Anexo I con DT-4·v3 (filas 13 y 14) y con ADM-1·v3 (filas 16 y 18), y lo que esta ficha reproduce. Una fila con dos instrumentos no supera la primera comprobación de cierre del Anexo II.</w:t>
      </w:r>
    </w:p>
    <w:p>
      <w:pPr>
        <w:spacing w:after="140" w:line="276"/>
      </w:pPr>
      <w:r>
        <w:rPr>
          <w:rFonts w:ascii="Calibri" w:cs="Calibri" w:eastAsia="Calibri" w:hAnsi="Calibri"/>
          <w:b/>
          <w:bCs/>
          <w:sz w:val="21"/>
          <w:szCs w:val="21"/>
        </w:rPr>
        <w:t xml:space="preserve">Recuento del piloto: 24 cláusulas · 17 aplicadas sin condición · 3 condicionadas</w:t>
      </w:r>
      <w:r>
        <w:rPr>
          <w:rFonts w:ascii="Calibri" w:cs="Calibri" w:eastAsia="Calibri" w:hAnsi="Calibri"/>
          <w:sz w:val="21"/>
          <w:szCs w:val="21"/>
        </w:rPr>
        <w:t xml:space="preserve"> al acuerdo del órgano de gobierno (DT-7·v3, DT-9·v3 y, con ellas, ADM-2·v3) </w:t>
      </w:r>
      <w:r>
        <w:rPr>
          <w:rFonts w:ascii="Calibri" w:cs="Calibri" w:eastAsia="Calibri" w:hAnsi="Calibri"/>
          <w:b/>
          <w:bCs/>
          <w:sz w:val="21"/>
          <w:szCs w:val="21"/>
        </w:rPr>
        <w:t xml:space="preserve">· 4 marcadas NO APLICA</w:t>
      </w:r>
      <w:r>
        <w:rPr>
          <w:rFonts w:ascii="Calibri" w:cs="Calibri" w:eastAsia="Calibri" w:hAnsi="Calibri"/>
          <w:sz w:val="21"/>
          <w:szCs w:val="21"/>
        </w:rPr>
        <w:t xml:space="preserve"> (DT-2·v3, DT-3·v3, ADM-11·v3 y ADM-14·v3). La ficha firmada, con esta motivación, es documento público desde su incorporación al expediente (arts. 63.3.a) y 116.1 LCSP): se redacta sabiendo que la lee el recurrente.</w:t>
      </w:r>
    </w:p>
    <w:p>
      <w:pPr>
        <w:pStyle w:val="Heading3"/>
        <w:keepNext/>
        <w:spacing w:after="140" w:before="320"/>
      </w:pPr>
      <w:r>
        <w:rPr>
          <w:rFonts w:ascii="Georgia" w:cs="Georgia" w:eastAsia="Georgia" w:hAnsi="Georgia"/>
          <w:b/>
          <w:bCs/>
          <w:color w:val="2F5496"/>
          <w:sz w:val="22"/>
          <w:szCs w:val="22"/>
        </w:rPr>
        <w:t xml:space="preserve">VI.4.4 Categoría del Esquema Nacional de Seguridad</w:t>
      </w:r>
    </w:p>
    <w:p>
      <w:pPr>
        <w:spacing w:after="140" w:line="276"/>
      </w:pPr>
      <w:r>
        <w:rPr>
          <w:rFonts w:ascii="Calibri" w:cs="Calibri" w:eastAsia="Calibri" w:hAnsi="Calibri"/>
          <w:sz w:val="21"/>
          <w:szCs w:val="21"/>
        </w:rPr>
        <w:t xml:space="preserve">La categoría </w:t>
      </w:r>
      <w:r>
        <w:rPr>
          <w:rFonts w:ascii="Calibri" w:cs="Calibri" w:eastAsia="Calibri" w:hAnsi="Calibri"/>
          <w:b/>
          <w:bCs/>
          <w:sz w:val="21"/>
          <w:szCs w:val="21"/>
        </w:rPr>
        <w:t xml:space="preserve">no se elige</w:t>
      </w:r>
      <w:r>
        <w:rPr>
          <w:rFonts w:ascii="Calibri" w:cs="Calibri" w:eastAsia="Calibri" w:hAnsi="Calibri"/>
          <w:sz w:val="21"/>
          <w:szCs w:val="21"/>
        </w:rPr>
        <w:t xml:space="preserve">: resulta de valorar el nivel de cada dimensión de seguridad conforme al anexo I del RD 311/2022, y la categoría del sistema es la de la dimensión más alta. Escribir «ENS Nivel Alto» en la rúbrica de una cláusula, como hacía la versión 2, es fijar el resultado antes de hacer el análisis.</w:t>
      </w:r>
    </w:p>
    <w:p>
      <w:pPr>
        <w:spacing w:after="140" w:line="276"/>
      </w:pPr>
      <w:r>
        <w:rPr>
          <w:rFonts w:ascii="Calibri" w:cs="Calibri" w:eastAsia="Calibri" w:hAnsi="Calibri"/>
          <w:sz w:val="21"/>
          <w:szCs w:val="21"/>
        </w:rPr>
        <w:t xml:space="preserve">Esto no es una cautela teórica: es el supuesto exacto de la </w:t>
      </w:r>
      <w:r>
        <w:rPr>
          <w:rFonts w:ascii="Calibri" w:cs="Calibri" w:eastAsia="Calibri" w:hAnsi="Calibri"/>
          <w:b/>
          <w:bCs/>
          <w:sz w:val="21"/>
          <w:szCs w:val="21"/>
        </w:rPr>
        <w:t xml:space="preserve">Resolución 383/2024 del Tribunal Administrativo de Contratación Pública de la Comunidad de Madrid</w:t>
      </w:r>
      <w:r>
        <w:rPr>
          <w:rFonts w:ascii="Calibri" w:cs="Calibri" w:eastAsia="Calibri" w:hAnsi="Calibri"/>
          <w:sz w:val="21"/>
          <w:szCs w:val="21"/>
        </w:rPr>
        <w:t xml:space="preserve"> (Parla), tratada íntegramente, con su literal y con el sentido de su fallo, en la Parte IV, IV.0, y en la Parte V, V.5.6. Su consecuencia operativa es la que aquí importa: </w:t>
      </w:r>
      <w:r>
        <w:rPr>
          <w:rFonts w:ascii="Calibri" w:cs="Calibri" w:eastAsia="Calibri" w:hAnsi="Calibri"/>
          <w:b/>
          <w:bCs/>
          <w:sz w:val="21"/>
          <w:szCs w:val="21"/>
        </w:rPr>
        <w:t xml:space="preserve">la justificación va en la memoria del expediente, y lo que no esté ahí no se puede arreglar después.</w:t>
      </w:r>
      <w:r>
        <w:rPr>
          <w:rFonts w:ascii="Calibri" w:cs="Calibri" w:eastAsia="Calibri" w:hAnsi="Calibri"/>
          <w:sz w:val="21"/>
          <w:szCs w:val="21"/>
        </w:rPr>
        <w:t xml:space="preserve"> Ni este catálogo, ni sus anexos, ni la ficha de aplicabilidad son la memoria justificativa del expediente.</w:t>
      </w:r>
    </w:p>
    <w:p>
      <w:pPr>
        <w:spacing w:after="140" w:line="276"/>
      </w:pPr>
      <w:r>
        <w:rPr>
          <w:rFonts w:ascii="Calibri" w:cs="Calibri" w:eastAsia="Calibri" w:hAnsi="Calibri"/>
          <w:sz w:val="21"/>
          <w:szCs w:val="21"/>
        </w:rPr>
        <w:t xml:space="preserve">Análisis para este contrato, que el expediente debe recoger firmado por el responsable de la información y el responsable del servicio en cuanto a la valoración de cada dimensión (art. 41.1 del RD 311/2022) y </w:t>
      </w:r>
      <w:r>
        <w:rPr>
          <w:rFonts w:ascii="Calibri" w:cs="Calibri" w:eastAsia="Calibri" w:hAnsi="Calibri"/>
          <w:b/>
          <w:bCs/>
          <w:sz w:val="21"/>
          <w:szCs w:val="21"/>
        </w:rPr>
        <w:t xml:space="preserve">por el responsable de la seguridad en cuanto a la determinación de la categoría del sistema</w:t>
      </w:r>
      <w:r>
        <w:rPr>
          <w:rFonts w:ascii="Calibri" w:cs="Calibri" w:eastAsia="Calibri" w:hAnsi="Calibri"/>
          <w:sz w:val="21"/>
          <w:szCs w:val="21"/>
        </w:rPr>
        <w:t xml:space="preserve"> (art. 41.2 del mismo real decreto), a quien corresponde asimismo la Declaración de Aplicabilidad (art. 28.2):</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Dimensión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Razonamiento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Nivel propuesto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Disponibilidad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interrupción del sistema paraliza el reconocimiento de obligaciones y el pago, pero admite continuidad manual acotada y no afecta a servicios esenciales para la ciudadanía en el corto plazo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MEDIO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Integridad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alteración no detectada de asientos o del inventario produce cuentas incorrectas, con efectos en la rendición de cuentas y en el control externo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MEDIO / ALTO según el análisis de riesgos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Confidencialidad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Datos económicos de terceros y datos personales de proveedores y personal; no hay categorías especiales del art. 9 RGPD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MEDIO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Autenticidad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imputación de un asiento a un usuario determinado es determinante de responsabilidad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MEDIO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Trazabilidad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Sostiene la función interventora y la auditoría posterior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MEDIO / ALTO</w:t>
            </w:r>
          </w:p>
        </w:tc>
      </w:tr>
    </w:tbl>
    <w:p>
      <w:pPr>
        <w:spacing w:after="200"/>
      </w:pPr>
    </w:p>
    <w:p>
      <w:pPr>
        <w:spacing w:after="140" w:line="276"/>
      </w:pPr>
      <w:r>
        <w:rPr>
          <w:rFonts w:ascii="Calibri" w:cs="Calibri" w:eastAsia="Calibri" w:hAnsi="Calibri"/>
          <w:b/>
          <w:bCs/>
          <w:sz w:val="21"/>
          <w:szCs w:val="21"/>
        </w:rPr>
        <w:t xml:space="preserve">Categoría propuesta: [MEDIA; elévese a ALTA sólo si el análisis de riesgos sitúa integridad o trazabilidad en nivel alto].</w:t>
      </w:r>
      <w:r>
        <w:rPr>
          <w:rFonts w:ascii="Calibri" w:cs="Calibri" w:eastAsia="Calibri" w:hAnsi="Calibri"/>
          <w:sz w:val="21"/>
          <w:szCs w:val="21"/>
        </w:rPr>
        <w:t xml:space="preserve"> Consecuencias directas: en categoría MEDIA o ALTA la conformidad se acredita mediante </w:t>
      </w:r>
      <w:r>
        <w:rPr>
          <w:rFonts w:ascii="Calibri" w:cs="Calibri" w:eastAsia="Calibri" w:hAnsi="Calibri"/>
          <w:b/>
          <w:bCs/>
          <w:sz w:val="21"/>
          <w:szCs w:val="21"/>
        </w:rPr>
        <w:t xml:space="preserve">certificación</w:t>
      </w:r>
      <w:r>
        <w:rPr>
          <w:rFonts w:ascii="Calibri" w:cs="Calibri" w:eastAsia="Calibri" w:hAnsi="Calibri"/>
          <w:sz w:val="21"/>
          <w:szCs w:val="21"/>
        </w:rPr>
        <w:t xml:space="preserve">; en BÁSICA, mediante declaración de conformidad basada en autoevaluación (art. 38.1 RD 311/2022). Y el umbral de activación del depósito de código de ADM-11·v3 está anudado a la </w:t>
      </w:r>
      <w:r>
        <w:rPr>
          <w:rFonts w:ascii="Calibri" w:cs="Calibri" w:eastAsia="Calibri" w:hAnsi="Calibri"/>
          <w:b/>
          <w:bCs/>
          <w:sz w:val="21"/>
          <w:szCs w:val="21"/>
        </w:rPr>
        <w:t xml:space="preserve">concurrencia acumulativa de las cuatro circunstancias de su apartado 1</w:t>
      </w:r>
      <w:r>
        <w:rPr>
          <w:rFonts w:ascii="Calibri" w:cs="Calibri" w:eastAsia="Calibri" w:hAnsi="Calibri"/>
          <w:sz w:val="21"/>
          <w:szCs w:val="21"/>
        </w:rPr>
        <w:t xml:space="preserve">, entre ellas la categoría ALTA en la dimensión de disponibilidad. Con la categorización propuesta (MEDIA), </w:t>
      </w:r>
      <w:r>
        <w:rPr>
          <w:rFonts w:ascii="Calibri" w:cs="Calibri" w:eastAsia="Calibri" w:hAnsi="Calibri"/>
          <w:b/>
          <w:bCs/>
          <w:sz w:val="21"/>
          <w:szCs w:val="21"/>
        </w:rPr>
        <w:t xml:space="preserve">ADM-11·v3 se marca NO APLICA en este expediente</w:t>
      </w:r>
      <w:r>
        <w:rPr>
          <w:rFonts w:ascii="Calibri" w:cs="Calibri" w:eastAsia="Calibri" w:hAnsi="Calibri"/>
          <w:sz w:val="21"/>
          <w:szCs w:val="21"/>
        </w:rPr>
        <w:t xml:space="preserve"> y así debe decirlo la ficha. En este ejemplo fallan además otras circunstancias del apartado 1 —entre ellas la de la lista tasada de servicios, en la que la gestión de subvenciones no figura—, y conviene subrayar la regla: la lista es una de las cuatro circunstancias, no una vía alternativa, de modo que su concurrencia sola tampoco bastaría. Sólo si el análisis de riesgos firmado sitúa la disponibilidad en ALTA, y concurren además las otras tres, procede su incorporación, con su coste consignado como partida independiente del presupuesto base de licitación.</w:t>
      </w:r>
    </w:p>
    <w:p>
      <w:pPr>
        <w:pStyle w:val="Heading3"/>
        <w:keepNext/>
        <w:spacing w:after="140" w:before="320"/>
      </w:pPr>
      <w:r>
        <w:rPr>
          <w:rFonts w:ascii="Georgia" w:cs="Georgia" w:eastAsia="Georgia" w:hAnsi="Georgia"/>
          <w:b/>
          <w:bCs/>
          <w:color w:val="2F5496"/>
          <w:sz w:val="22"/>
          <w:szCs w:val="22"/>
        </w:rPr>
        <w:t xml:space="preserve">VI.4.5 El Anexo V recortado a este objeto</w:t>
      </w:r>
    </w:p>
    <w:p>
      <w:pPr>
        <w:spacing w:after="140" w:line="276"/>
      </w:pPr>
      <w:r>
        <w:rPr>
          <w:rFonts w:ascii="Calibri" w:cs="Calibri" w:eastAsia="Calibri" w:hAnsi="Calibri"/>
          <w:sz w:val="21"/>
          <w:szCs w:val="21"/>
        </w:rPr>
        <w:t xml:space="preserve">El Anexo V del ejercicio (Anexo V de este documento, apartado V.A.2) se </w:t>
      </w:r>
      <w:r>
        <w:rPr>
          <w:rFonts w:ascii="Calibri" w:cs="Calibri" w:eastAsia="Calibri" w:hAnsi="Calibri"/>
          <w:b/>
          <w:bCs/>
          <w:sz w:val="21"/>
          <w:szCs w:val="21"/>
        </w:rPr>
        <w:t xml:space="preserve">transcribe físicamente en el PPT</w:t>
      </w:r>
      <w:r>
        <w:rPr>
          <w:rFonts w:ascii="Calibri" w:cs="Calibri" w:eastAsia="Calibri" w:hAnsi="Calibri"/>
          <w:sz w:val="21"/>
          <w:szCs w:val="21"/>
        </w:rPr>
        <w:t xml:space="preserve">, recortado a los módulos de este contrato. No se incorpora por remisión: un pliego que remita a un documento municipal revisable cada año es un pliego con obligación indeterminada.</w:t>
      </w:r>
    </w:p>
    <w:p>
      <w:pPr>
        <w:spacing w:after="140" w:line="276"/>
      </w:pPr>
      <w:r>
        <w:rPr>
          <w:rFonts w:ascii="Calibri" w:cs="Calibri" w:eastAsia="Calibri" w:hAnsi="Calibri"/>
          <w:sz w:val="21"/>
          <w:szCs w:val="21"/>
        </w:rPr>
        <w:t xml:space="preserve">El apéndice que lo contiene es el </w:t>
      </w:r>
      <w:r>
        <w:rPr>
          <w:rFonts w:ascii="Calibri" w:cs="Calibri" w:eastAsia="Calibri" w:hAnsi="Calibri"/>
          <w:b/>
          <w:bCs/>
          <w:sz w:val="21"/>
          <w:szCs w:val="21"/>
        </w:rPr>
        <w:t xml:space="preserve">Apéndice técnico 2 · Exigencias tecnológicas determinadas</w:t>
      </w:r>
      <w:r>
        <w:rPr>
          <w:rFonts w:ascii="Calibri" w:cs="Calibri" w:eastAsia="Calibri" w:hAnsi="Calibri"/>
          <w:sz w:val="21"/>
          <w:szCs w:val="21"/>
        </w:rPr>
        <w:t xml:space="preserve"> (Anexo XXV), y lleva delante, en su apartado 1, la relación cerrada y numerada de módulos y funciones de la interfaz. </w:t>
      </w:r>
      <w:r>
        <w:rPr>
          <w:rFonts w:ascii="Calibri" w:cs="Calibri" w:eastAsia="Calibri" w:hAnsi="Calibri"/>
          <w:b/>
          <w:bCs/>
          <w:sz w:val="21"/>
          <w:szCs w:val="21"/>
        </w:rPr>
        <w:t xml:space="preserve">Es la sede única de esa relación</w:t>
      </w:r>
      <w:r>
        <w:rPr>
          <w:rFonts w:ascii="Calibri" w:cs="Calibri" w:eastAsia="Calibri" w:hAnsi="Calibri"/>
          <w:sz w:val="21"/>
          <w:szCs w:val="21"/>
        </w:rPr>
        <w:t xml:space="preserve">: este pliego no abre un apéndice separado para DT-7·v3, porque dos listas cerradas sobre la misma interfaz dejarían sin término de comparación al criterio A del baremo.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APÉNDICE TÉCNICO 2 · EXIGENCIAS TECNOLÓGICAS DETERMINADAS APLICABLES A ESTE CONTRATO</w:t>
            </w:r>
          </w:p>
          <w:p>
            <w:pPr>
              <w:spacing w:after="100" w:line="264"/>
            </w:pPr>
            <w:r>
              <w:rPr>
                <w:rFonts w:ascii="Georgia" w:cs="Georgia" w:eastAsia="Georgia" w:hAnsi="Georgia"/>
                <w:b/>
                <w:bCs/>
                <w:sz w:val="20"/>
                <w:szCs w:val="20"/>
              </w:rPr>
              <w:t xml:space="preserve">1. Módulos y funciones de la interfaz normalizada.</w:t>
            </w:r>
            <w:r>
              <w:rPr>
                <w:rFonts w:ascii="Georgia" w:cs="Georgia" w:eastAsia="Georgia" w:hAnsi="Georgia"/>
                <w:sz w:val="20"/>
                <w:szCs w:val="20"/>
              </w:rPr>
              <w:t xml:space="preserve"> Este apartado es la </w:t>
            </w:r>
            <w:r>
              <w:rPr>
                <w:rFonts w:ascii="Georgia" w:cs="Georgia" w:eastAsia="Georgia" w:hAnsi="Georgia"/>
                <w:b/>
                <w:bCs/>
                <w:sz w:val="20"/>
                <w:szCs w:val="20"/>
              </w:rPr>
              <w:t xml:space="preserve">única</w:t>
            </w:r>
            <w:r>
              <w:rPr>
                <w:rFonts w:ascii="Georgia" w:cs="Georgia" w:eastAsia="Georgia" w:hAnsi="Georgia"/>
                <w:sz w:val="20"/>
                <w:szCs w:val="20"/>
              </w:rPr>
              <w:t xml:space="preserve"> relación de este pliego sobre los módulos y las funciones de la interfaz normalizada. Ningún otro documento del pliego contiene una relación distinta sobre la misma interfaz, y el exceso que valora el criterio A del pliego de cláusulas administrativas particulares se mide exclusivamente sobre el bloque B.</w:t>
            </w:r>
          </w:p>
          <w:p>
            <w:pPr>
              <w:spacing w:after="100" w:line="264"/>
            </w:pPr>
            <w:r>
              <w:rPr>
                <w:rFonts w:ascii="Georgia" w:cs="Georgia" w:eastAsia="Georgia" w:hAnsi="Georgia"/>
                <w:sz w:val="20"/>
                <w:szCs w:val="20"/>
              </w:rPr>
              <w:t xml:space="preserve">Módulos alcanzados por la exigencia ET-1: (i) convocatorias y bases reguladoras; (ii) solicitudes, valoración y resolución de concesión; (iii) pagos, justificación y reintegros. Quedan excluidos los módulos [relación de módulos excluidos].</w:t>
            </w:r>
          </w:p>
          <w:p>
            <w:pPr>
              <w:spacing w:after="100" w:line="264"/>
            </w:pPr>
            <w:r>
              <w:rPr>
                <w:rFonts w:ascii="Georgia" w:cs="Georgia" w:eastAsia="Georgia" w:hAnsi="Georgia"/>
                <w:b/>
                <w:bCs/>
                <w:sz w:val="20"/>
                <w:szCs w:val="20"/>
              </w:rPr>
              <w:t xml:space="preserve">Bloque A · Funciones mínimas</w:t>
            </w:r>
            <w:r>
              <w:rPr>
                <w:rFonts w:ascii="Georgia" w:cs="Georgia" w:eastAsia="Georgia" w:hAnsi="Georgia"/>
                <w:sz w:val="20"/>
                <w:szCs w:val="20"/>
              </w:rPr>
              <w:t xml:space="preserve"> que la interfaz debe exponer sobre los módulos anteriores, todas ellas </w:t>
            </w:r>
            <w:r>
              <w:rPr>
                <w:rFonts w:ascii="Georgia" w:cs="Georgia" w:eastAsia="Georgia" w:hAnsi="Georgia"/>
                <w:b/>
                <w:bCs/>
                <w:sz w:val="20"/>
                <w:szCs w:val="20"/>
              </w:rPr>
              <w:t xml:space="preserve">de consulta</w:t>
            </w:r>
            <w:r>
              <w:rPr>
                <w:rFonts w:ascii="Georgia" w:cs="Georgia" w:eastAsia="Georgia" w:hAnsi="Georgia"/>
                <w:sz w:val="20"/>
                <w:szCs w:val="20"/>
              </w:rPr>
              <w:t xml:space="preserve">. Son prescripción técnica obligatoria y </w:t>
            </w:r>
            <w:r>
              <w:rPr>
                <w:rFonts w:ascii="Georgia" w:cs="Georgia" w:eastAsia="Georgia" w:hAnsi="Georgia"/>
                <w:b/>
                <w:bCs/>
                <w:sz w:val="20"/>
                <w:szCs w:val="20"/>
              </w:rPr>
              <w:t xml:space="preserve">no puntúan</w:t>
            </w:r>
            <w:r>
              <w:rPr>
                <w:rFonts w:ascii="Georgia" w:cs="Georgia" w:eastAsia="Georgia" w:hAnsi="Georgia"/>
                <w:sz w:val="20"/>
                <w:szCs w:val="20"/>
              </w:rPr>
              <w:t xml:space="preserve">:</w:t>
            </w:r>
          </w:p>
          <w:p>
            <w:pPr>
              <w:spacing w:after="100" w:line="264"/>
            </w:pPr>
            <w:r>
              <w:rPr>
                <w:rFonts w:ascii="Georgia" w:cs="Georgia" w:eastAsia="Georgia" w:hAnsi="Georgia"/>
                <w:sz w:val="20"/>
                <w:szCs w:val="20"/>
              </w:rPr>
              <w:t xml:space="preserve">a) Consulta de saldos y movimientos por aplicación presupuestaria, ejercicio y fecha.</w:t>
            </w:r>
          </w:p>
          <w:p>
            <w:pPr>
              <w:spacing w:after="100" w:line="264"/>
            </w:pPr>
            <w:r>
              <w:rPr>
                <w:rFonts w:ascii="Georgia" w:cs="Georgia" w:eastAsia="Georgia" w:hAnsi="Georgia"/>
                <w:sz w:val="20"/>
                <w:szCs w:val="20"/>
              </w:rPr>
              <w:t xml:space="preserve">b) Consulta del estado de tramitación de un documento contable identificado.</w:t>
            </w:r>
          </w:p>
          <w:p>
            <w:pPr>
              <w:spacing w:after="100" w:line="264"/>
            </w:pPr>
            <w:r>
              <w:rPr>
                <w:rFonts w:ascii="Georgia" w:cs="Georgia" w:eastAsia="Georgia" w:hAnsi="Georgia"/>
                <w:sz w:val="20"/>
                <w:szCs w:val="20"/>
              </w:rPr>
              <w:t xml:space="preserve">c) Consulta de obligaciones reconocidas y pagos por tercero y por período.</w:t>
            </w:r>
          </w:p>
          <w:p>
            <w:pPr>
              <w:spacing w:after="100" w:line="264"/>
            </w:pPr>
            <w:r>
              <w:rPr>
                <w:rFonts w:ascii="Georgia" w:cs="Georgia" w:eastAsia="Georgia" w:hAnsi="Georgia"/>
                <w:sz w:val="20"/>
                <w:szCs w:val="20"/>
              </w:rPr>
              <w:t xml:space="preserve">d) Consulta de la ficha de un bien del inventario y de su histórico de movimientos.</w:t>
            </w:r>
          </w:p>
          <w:p>
            <w:pPr>
              <w:spacing w:after="100" w:line="264"/>
            </w:pPr>
            <w:r>
              <w:rPr>
                <w:rFonts w:ascii="Georgia" w:cs="Georgia" w:eastAsia="Georgia" w:hAnsi="Georgia"/>
                <w:sz w:val="20"/>
                <w:szCs w:val="20"/>
              </w:rPr>
              <w:t xml:space="preserve">e) Consulta del diccionario de datos y del catálogo de funciones expuestas.</w:t>
            </w:r>
          </w:p>
          <w:p>
            <w:pPr>
              <w:spacing w:after="100" w:line="264"/>
            </w:pPr>
            <w:r>
              <w:rPr>
                <w:rFonts w:ascii="Georgia" w:cs="Georgia" w:eastAsia="Georgia" w:hAnsi="Georgia"/>
                <w:b/>
                <w:bCs/>
                <w:sz w:val="20"/>
                <w:szCs w:val="20"/>
              </w:rPr>
              <w:t xml:space="preserve">Bloque B · Funciones adicionales ofertables</w:t>
            </w:r>
            <w:r>
              <w:rPr>
                <w:rFonts w:ascii="Georgia" w:cs="Georgia" w:eastAsia="Georgia" w:hAnsi="Georgia"/>
                <w:sz w:val="20"/>
                <w:szCs w:val="20"/>
              </w:rPr>
              <w:t xml:space="preserve"> sobre esos mismos módulos, todas ellas </w:t>
            </w:r>
            <w:r>
              <w:rPr>
                <w:rFonts w:ascii="Georgia" w:cs="Georgia" w:eastAsia="Georgia" w:hAnsi="Georgia"/>
                <w:b/>
                <w:bCs/>
                <w:sz w:val="20"/>
                <w:szCs w:val="20"/>
              </w:rPr>
              <w:t xml:space="preserve">de consulta</w:t>
            </w:r>
            <w:r>
              <w:rPr>
                <w:rFonts w:ascii="Georgia" w:cs="Georgia" w:eastAsia="Georgia" w:hAnsi="Georgia"/>
                <w:sz w:val="20"/>
                <w:szCs w:val="20"/>
              </w:rPr>
              <w:t xml:space="preserve">. Relación cerrada y numerada: es la única base del criterio A del pliego de cláusulas administrativas particulares, que cuenta las funciones de este bloque que el licitador se compromete a exponer por encima de las cinco del bloque A. </w:t>
            </w:r>
            <w:r>
              <w:rPr>
                <w:rFonts w:ascii="Georgia" w:cs="Georgia" w:eastAsia="Georgia" w:hAnsi="Georgia"/>
                <w:b/>
                <w:bCs/>
                <w:sz w:val="20"/>
                <w:szCs w:val="20"/>
              </w:rPr>
              <w:t xml:space="preserve">Se valora el compromiso</w:t>
            </w:r>
            <w:r>
              <w:rPr>
                <w:rFonts w:ascii="Georgia" w:cs="Georgia" w:eastAsia="Georgia" w:hAnsi="Georgia"/>
                <w:sz w:val="20"/>
                <w:szCs w:val="20"/>
              </w:rPr>
              <w:t xml:space="preserve">, con independencia de que la función se entregue desde la puesta en producción inicial o mediante desarrollo dentro del plazo de entrega fijado más abajo:</w:t>
            </w:r>
          </w:p>
          <w:p>
            <w:pPr>
              <w:spacing w:after="100" w:line="264"/>
            </w:pPr>
            <w:r>
              <w:rPr>
                <w:rFonts w:ascii="Georgia" w:cs="Georgia" w:eastAsia="Georgia" w:hAnsi="Georgia"/>
                <w:sz w:val="20"/>
                <w:szCs w:val="20"/>
              </w:rPr>
              <w:t xml:space="preserve">B.1) Consulta de la ejecución del presupuesto de gastos y de ingresos por programa y por clasificación orgánica, con detalle por fases del gasto.</w:t>
            </w:r>
          </w:p>
          <w:p>
            <w:pPr>
              <w:spacing w:after="100" w:line="264"/>
            </w:pPr>
            <w:r>
              <w:rPr>
                <w:rFonts w:ascii="Georgia" w:cs="Georgia" w:eastAsia="Georgia" w:hAnsi="Georgia"/>
                <w:sz w:val="20"/>
                <w:szCs w:val="20"/>
              </w:rPr>
              <w:t xml:space="preserve">B.2) Consulta de las obligaciones pendientes de pago y del período medio de pago a proveedores.</w:t>
            </w:r>
          </w:p>
          <w:p>
            <w:pPr>
              <w:spacing w:after="100" w:line="264"/>
            </w:pPr>
            <w:r>
              <w:rPr>
                <w:rFonts w:ascii="Georgia" w:cs="Georgia" w:eastAsia="Georgia" w:hAnsi="Georgia"/>
                <w:sz w:val="20"/>
                <w:szCs w:val="20"/>
              </w:rPr>
              <w:t xml:space="preserve">B.3) Consulta de las facturas registradas y de su estado de tramitación, por proveedor y por período.</w:t>
            </w:r>
          </w:p>
          <w:p>
            <w:pPr>
              <w:spacing w:after="100" w:line="264"/>
            </w:pPr>
            <w:r>
              <w:rPr>
                <w:rFonts w:ascii="Georgia" w:cs="Georgia" w:eastAsia="Georgia" w:hAnsi="Georgia"/>
                <w:sz w:val="20"/>
                <w:szCs w:val="20"/>
              </w:rPr>
              <w:t xml:space="preserve">B.4) Consulta de proyectos de gasto con financiación afectada y de sus desviaciones.</w:t>
            </w:r>
          </w:p>
          <w:p>
            <w:pPr>
              <w:spacing w:after="100" w:line="264"/>
            </w:pPr>
            <w:r>
              <w:rPr>
                <w:rFonts w:ascii="Georgia" w:cs="Georgia" w:eastAsia="Georgia" w:hAnsi="Georgia"/>
                <w:sz w:val="20"/>
                <w:szCs w:val="20"/>
              </w:rPr>
              <w:t xml:space="preserve">B.5) Consulta de los movimientos del inventario por tipo de bien, epígrafe y período, con la amortización acumulada.</w:t>
            </w:r>
          </w:p>
          <w:p>
            <w:pPr>
              <w:spacing w:after="100" w:line="264"/>
            </w:pPr>
            <w:r>
              <w:rPr>
                <w:rFonts w:ascii="Georgia" w:cs="Georgia" w:eastAsia="Georgia" w:hAnsi="Georgia"/>
                <w:sz w:val="20"/>
                <w:szCs w:val="20"/>
              </w:rPr>
              <w:t xml:space="preserve">B.6) Consulta de los datos de terceros y de los endosos asociados a una obligación reconocida.</w:t>
            </w:r>
          </w:p>
          <w:p>
            <w:pPr>
              <w:spacing w:after="100" w:line="264"/>
            </w:pPr>
            <w:r>
              <w:rPr>
                <w:rFonts w:ascii="Georgia" w:cs="Georgia" w:eastAsia="Georgia" w:hAnsi="Georgia"/>
                <w:sz w:val="20"/>
                <w:szCs w:val="20"/>
              </w:rPr>
              <w:t xml:space="preserve">B.7) Consulta de los asientos del registro de auditoría por persona usuaria, agente, fecha y módulo, con exportación en formato abierto.</w:t>
            </w:r>
          </w:p>
          <w:p>
            <w:pPr>
              <w:spacing w:after="100" w:line="264"/>
            </w:pPr>
            <w:r>
              <w:rPr>
                <w:rFonts w:ascii="Georgia" w:cs="Georgia" w:eastAsia="Georgia" w:hAnsi="Georgia"/>
                <w:sz w:val="20"/>
                <w:szCs w:val="20"/>
              </w:rPr>
              <w:t xml:space="preserve">B.8) Suscripción a avisos de cambio de estado sobre un documento contable identificado.</w:t>
            </w:r>
          </w:p>
          <w:p>
            <w:pPr>
              <w:spacing w:after="100" w:line="264"/>
            </w:pPr>
            <w:r>
              <w:rPr>
                <w:rFonts w:ascii="Georgia" w:cs="Georgia" w:eastAsia="Georgia" w:hAnsi="Georgia"/>
                <w:b/>
                <w:bCs/>
                <w:sz w:val="20"/>
                <w:szCs w:val="20"/>
              </w:rPr>
              <w:t xml:space="preserve">2. Transcripción del Catálogo de Exigencias Tecnológicas Determinadas.</w:t>
            </w:r>
            <w:r>
              <w:rPr>
                <w:rFonts w:ascii="Georgia" w:cs="Georgia" w:eastAsia="Georgia" w:hAnsi="Georgia"/>
                <w:sz w:val="20"/>
                <w:szCs w:val="20"/>
              </w:rPr>
              <w:t xml:space="preserve"> Se transcriben a continuación las exigencias tecnológicas ET-1, ET-2 y ET-3 del Catálogo de Exigencias Tecnológicas Determinadas del ejercicio 2026-2027, versión [1.0], aprobado por [órgano competente] con fecha [fecha], en su redacción vigente en la fecha de aprobación del presente pliego. Las revisiones posteriores del Catálogo </w:t>
            </w:r>
            <w:r>
              <w:rPr>
                <w:rFonts w:ascii="Georgia" w:cs="Georgia" w:eastAsia="Georgia" w:hAnsi="Georgia"/>
                <w:b/>
                <w:bCs/>
                <w:sz w:val="20"/>
                <w:szCs w:val="20"/>
              </w:rPr>
              <w:t xml:space="preserve">no</w:t>
            </w:r>
            <w:r>
              <w:rPr>
                <w:rFonts w:ascii="Georgia" w:cs="Georgia" w:eastAsia="Georgia" w:hAnsi="Georgia"/>
                <w:sz w:val="20"/>
                <w:szCs w:val="20"/>
              </w:rPr>
              <w:t xml:space="preserve"> afectan a este contrato.</w:t>
            </w:r>
          </w:p>
          <w:p>
            <w:pPr>
              <w:spacing w:after="100" w:line="264"/>
            </w:pPr>
            <w:r>
              <w:rPr>
                <w:rFonts w:ascii="Georgia" w:cs="Georgia" w:eastAsia="Georgia" w:hAnsi="Georgia"/>
                <w:sz w:val="20"/>
                <w:szCs w:val="20"/>
              </w:rPr>
              <w:t xml:space="preserve">Operaciones de escritura habilitables al amparo de la exigencia ET-2 en este contrato: </w:t>
            </w:r>
            <w:r>
              <w:rPr>
                <w:rFonts w:ascii="Georgia" w:cs="Georgia" w:eastAsia="Georgia" w:hAnsi="Georgia"/>
                <w:b/>
                <w:bCs/>
                <w:sz w:val="20"/>
                <w:szCs w:val="20"/>
              </w:rPr>
              <w:t xml:space="preserve">ninguna con efecto contable</w:t>
            </w:r>
            <w:r>
              <w:rPr>
                <w:rFonts w:ascii="Georgia" w:cs="Georgia" w:eastAsia="Georgia" w:hAnsi="Georgia"/>
                <w:sz w:val="20"/>
                <w:szCs w:val="20"/>
              </w:rPr>
              <w:t xml:space="preserve">. Se habilitan exclusivamente operaciones sin efecto jurídico ni económico: creación de borradores de documento contable no contabilizado y generación de informes. Toda operación con efecto jurídico o económico requiere validación expresa de la persona competente, sin posibilidad de configuración en sentido contrario.</w:t>
            </w:r>
          </w:p>
          <w:p>
            <w:pPr>
              <w:spacing w:after="100" w:line="264"/>
            </w:pPr>
            <w:r>
              <w:rPr>
                <w:rFonts w:ascii="Georgia" w:cs="Georgia" w:eastAsia="Georgia" w:hAnsi="Georgia"/>
                <w:sz w:val="20"/>
                <w:szCs w:val="20"/>
              </w:rPr>
              <w:t xml:space="preserve">Alcance de la exigencia ET-3 en este contrato: el registro de trazabilidad y auditoría comprende la totalidad de las consultas, propuestas y acciones realizadas sobre los módulos alcanzados por ET-1 y sobre las operaciones habilitadas conforme a ET-2, con los cinco criterios de aceptación del Catálogo, sin recorte alguno. La periodicidad de la copia exportada con resumen criptográfico es [X; se recomienda DIARIA] y el registro se conserva por un período no inferior a [VEINTICUATRO (24)] meses, por sostener el sistema funciones de control interno y actos susceptibles de impugnación.</w:t>
            </w:r>
          </w:p>
          <w:p>
            <w:pPr>
              <w:spacing w:after="100" w:line="264"/>
            </w:pPr>
            <w:r>
              <w:rPr>
                <w:rFonts w:ascii="Georgia" w:cs="Georgia" w:eastAsia="Georgia" w:hAnsi="Georgia"/>
                <w:sz w:val="20"/>
                <w:szCs w:val="20"/>
              </w:rPr>
              <w:t xml:space="preserve">Plazo de entrega: [X; se recomienda DOCE (12)] meses desde la formalización del contrato o, si fuera posterior, desde la puesta en producción del módulo correspondiente.</w:t>
            </w:r>
          </w:p>
          <w:p>
            <w:pPr>
              <w:spacing w:after="100" w:line="264"/>
            </w:pPr>
            <w:r>
              <w:rPr>
                <w:rFonts w:ascii="Georgia" w:cs="Georgia" w:eastAsia="Georgia" w:hAnsi="Georgia"/>
                <w:sz w:val="20"/>
                <w:szCs w:val="20"/>
              </w:rPr>
              <w:t xml:space="preserve">Verificación: prueba de aceptación ejecutada por los servicios municipales sobre el entorno de pruebas, documentada en acta suscrita por el responsable del contrato.</w:t>
            </w:r>
          </w:p>
        </w:tc>
      </w:tr>
    </w:tbl>
    <w:p>
      <w:pPr>
        <w:spacing w:after="220"/>
      </w:pPr>
    </w:p>
    <w:p>
      <w:pPr>
        <w:spacing w:after="140" w:line="276"/>
      </w:pPr>
      <w:r>
        <w:rPr>
          <w:rFonts w:ascii="Calibri" w:cs="Calibri" w:eastAsia="Calibri" w:hAnsi="Calibri"/>
          <w:sz w:val="21"/>
          <w:szCs w:val="21"/>
        </w:rPr>
        <w:t xml:space="preserve">Por qué se recorta así: la operación autónoma sobre un sistema contable es donde el catálogo puede hacer daño de verdad. Limitar ET-2 a operaciones sin efecto contable convierte una exigencia discutible en una exigencia que un interventor puede firmar, y no impide la evolución: cuando el Ayuntamiento quiera habilitar escritura contable, lo hará en la licitación siguiente con el Anexo V actualizado y con el circuito de autorización resuelto.</w:t>
      </w:r>
    </w:p>
    <w:p>
      <w:pPr>
        <w:pStyle w:val="Heading3"/>
        <w:keepNext/>
        <w:spacing w:after="140" w:before="320"/>
      </w:pPr>
      <w:r>
        <w:rPr>
          <w:rFonts w:ascii="Georgia" w:cs="Georgia" w:eastAsia="Georgia" w:hAnsi="Georgia"/>
          <w:b/>
          <w:bCs/>
          <w:color w:val="2F5496"/>
          <w:sz w:val="22"/>
          <w:szCs w:val="22"/>
        </w:rPr>
        <w:t xml:space="preserve">VI.4.6 El baremo completo, con el precio dentro</w:t>
      </w:r>
    </w:p>
    <w:p>
      <w:pPr>
        <w:spacing w:after="140" w:line="276"/>
      </w:pPr>
      <w:r>
        <w:rPr>
          <w:rFonts w:ascii="Calibri" w:cs="Calibri" w:eastAsia="Calibri" w:hAnsi="Calibri"/>
          <w:sz w:val="21"/>
          <w:szCs w:val="21"/>
        </w:rPr>
        <w:t xml:space="preserve">Tres advertencias antes de la tabla, porque son las tres formas de tumbar un baremo:</w:t>
      </w:r>
    </w:p>
    <w:p>
      <w:pPr>
        <w:pStyle w:val="ListParagraph"/>
        <w:numPr>
          <w:ilvl w:val="0"/>
          <w:numId w:val="2"/>
        </w:numPr>
        <w:spacing w:after="70" w:line="268"/>
      </w:pPr>
      <w:r>
        <w:rPr>
          <w:rFonts w:ascii="Calibri" w:cs="Calibri" w:eastAsia="Calibri" w:hAnsi="Calibri"/>
          <w:b/>
          <w:bCs/>
          <w:sz w:val="21"/>
          <w:szCs w:val="21"/>
        </w:rPr>
        <w:t xml:space="preserve">Un baremo de 100 puntos en el que ningún punto valora la prestación es indefendible.</w:t>
      </w:r>
      <w:r>
        <w:rPr>
          <w:rFonts w:ascii="Calibri" w:cs="Calibri" w:eastAsia="Calibri" w:hAnsi="Calibri"/>
          <w:sz w:val="21"/>
          <w:szCs w:val="21"/>
        </w:rPr>
        <w:t xml:space="preserve"> El bloque de innovación es un bloque </w:t>
      </w:r>
      <w:r>
        <w:rPr>
          <w:rFonts w:ascii="Calibri" w:cs="Calibri" w:eastAsia="Calibri" w:hAnsi="Calibri"/>
          <w:b/>
          <w:bCs/>
          <w:sz w:val="21"/>
          <w:szCs w:val="21"/>
        </w:rPr>
        <w:t xml:space="preserve">dentro</w:t>
      </w:r>
      <w:r>
        <w:rPr>
          <w:rFonts w:ascii="Calibri" w:cs="Calibri" w:eastAsia="Calibri" w:hAnsi="Calibri"/>
          <w:sz w:val="21"/>
          <w:szCs w:val="21"/>
        </w:rPr>
        <w:t xml:space="preserve"> del baremo del contrato, no el baremo.</w:t>
      </w:r>
    </w:p>
    <w:p>
      <w:pPr>
        <w:pStyle w:val="ListParagraph"/>
        <w:numPr>
          <w:ilvl w:val="0"/>
          <w:numId w:val="2"/>
        </w:numPr>
        <w:spacing w:after="70" w:line="268"/>
      </w:pPr>
      <w:r>
        <w:rPr>
          <w:rFonts w:ascii="Calibri" w:cs="Calibri" w:eastAsia="Calibri" w:hAnsi="Calibri"/>
          <w:b/>
          <w:bCs/>
          <w:sz w:val="21"/>
          <w:szCs w:val="21"/>
        </w:rPr>
        <w:t xml:space="preserve">No se puntúa el cumplimiento de lo que el pliego ya impone como obligación.</w:t>
      </w:r>
      <w:r>
        <w:rPr>
          <w:rFonts w:ascii="Calibri" w:cs="Calibri" w:eastAsia="Calibri" w:hAnsi="Calibri"/>
          <w:sz w:val="21"/>
          <w:szCs w:val="21"/>
        </w:rPr>
        <w:t xml:space="preserve"> Cada criterio de abajo lleva escrito qué valora </w:t>
      </w:r>
      <w:r>
        <w:rPr>
          <w:rFonts w:ascii="Calibri" w:cs="Calibri" w:eastAsia="Calibri" w:hAnsi="Calibri"/>
          <w:b/>
          <w:bCs/>
          <w:sz w:val="21"/>
          <w:szCs w:val="21"/>
        </w:rPr>
        <w:t xml:space="preserve">por encima del mínimo</w:t>
      </w:r>
      <w:r>
        <w:rPr>
          <w:rFonts w:ascii="Calibri" w:cs="Calibri" w:eastAsia="Calibri" w:hAnsi="Calibri"/>
          <w:sz w:val="21"/>
          <w:szCs w:val="21"/>
        </w:rPr>
        <w:t xml:space="preserve">, y ese mínimo está en el PPT.</w:t>
      </w:r>
    </w:p>
    <w:p>
      <w:pPr>
        <w:pStyle w:val="ListParagraph"/>
        <w:numPr>
          <w:ilvl w:val="0"/>
          <w:numId w:val="2"/>
        </w:numPr>
        <w:spacing w:after="70" w:line="268"/>
      </w:pPr>
      <w:r>
        <w:rPr>
          <w:rFonts w:ascii="Calibri" w:cs="Calibri" w:eastAsia="Calibri" w:hAnsi="Calibri"/>
          <w:b/>
          <w:bCs/>
          <w:sz w:val="21"/>
          <w:szCs w:val="21"/>
        </w:rPr>
        <w:t xml:space="preserve">El encaje procedimental manda sobre el diseño.</w:t>
      </w:r>
      <w:r>
        <w:rPr>
          <w:rFonts w:ascii="Calibri" w:cs="Calibri" w:eastAsia="Calibri" w:hAnsi="Calibri"/>
          <w:sz w:val="21"/>
          <w:szCs w:val="21"/>
        </w:rPr>
        <w:t xml:space="preserve"> El porcentaje de juicio de valor decide el procedimiento utilizable y la necesidad de comité de expertos, no al revés.</w:t>
      </w:r>
    </w:p>
    <w:p>
      <w:pPr>
        <w:spacing w:after="140" w:line="276"/>
      </w:pPr>
      <w:r>
        <w:rPr>
          <w:rFonts w:ascii="Calibri" w:cs="Calibri" w:eastAsia="Calibri" w:hAnsi="Calibri"/>
          <w:b/>
          <w:bCs/>
          <w:sz w:val="21"/>
          <w:szCs w:val="21"/>
        </w:rPr>
        <w:t xml:space="preserve">Variante A — procedimiento abierto ordinario (recomendada para este contrato)</w:t>
      </w:r>
    </w:p>
    <w:p>
      <w:pPr>
        <w:spacing w:after="140" w:line="276"/>
      </w:pPr>
      <w:r>
        <w:rPr>
          <w:rFonts w:ascii="Calibri" w:cs="Calibri" w:eastAsia="Calibri" w:hAnsi="Calibri"/>
          <w:sz w:val="21"/>
          <w:szCs w:val="21"/>
        </w:rPr>
        <w:t xml:space="preserve">Es el baremo modelo de ADM-7·v3, apartado 2, aplicado a este expediente: mismos criterios, mismos códigos y mismas cifras del contrato de ejemplo. No hay dos baremos modelo en este documento.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Criterio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Puntos</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valora exactamente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Mínimo obligatorio de referencia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 Precio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Baja sobre el presupuesto base de licitación, con la fórmula del Anexo XVII y el tratamiento de ofertas anormalmente bajas allí previsto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C1. Cobertura funcional comprometida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 E del Anexo XVII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Número de requisitos funcionales del </w:t>
            </w:r>
            <w:r>
              <w:rPr>
                <w:rFonts w:ascii="Calibri" w:cs="Calibri" w:eastAsia="Calibri" w:hAnsi="Calibri"/>
                <w:b/>
                <w:bCs/>
                <w:sz w:val="18"/>
                <w:szCs w:val="18"/>
              </w:rPr>
              <w:t xml:space="preserve">bloque B · Requisitos funcionales valorables</w:t>
            </w:r>
            <w:r>
              <w:rPr>
                <w:rFonts w:ascii="Calibri" w:cs="Calibri" w:eastAsia="Calibri" w:hAnsi="Calibri"/>
                <w:b w:val="false"/>
                <w:bCs w:val="false"/>
                <w:sz w:val="18"/>
                <w:szCs w:val="18"/>
              </w:rPr>
              <w:t xml:space="preserve"> del </w:t>
            </w:r>
            <w:r>
              <w:rPr>
                <w:rFonts w:ascii="Calibri" w:cs="Calibri" w:eastAsia="Calibri" w:hAnsi="Calibri"/>
                <w:b/>
                <w:bCs/>
                <w:sz w:val="18"/>
                <w:szCs w:val="18"/>
              </w:rPr>
              <w:t xml:space="preserve">Apéndice técnico 0 · Matriz de requisitos funcionales</w:t>
            </w:r>
            <w:r>
              <w:rPr>
                <w:rFonts w:ascii="Calibri" w:cs="Calibri" w:eastAsia="Calibri" w:hAnsi="Calibri"/>
                <w:b w:val="false"/>
                <w:bCs w:val="false"/>
                <w:sz w:val="18"/>
                <w:szCs w:val="18"/>
              </w:rPr>
              <w:t xml:space="preserve"> que el licitador </w:t>
            </w:r>
            <w:r>
              <w:rPr>
                <w:rFonts w:ascii="Calibri" w:cs="Calibri" w:eastAsia="Calibri" w:hAnsi="Calibri"/>
                <w:b/>
                <w:bCs/>
                <w:sz w:val="18"/>
                <w:szCs w:val="18"/>
              </w:rPr>
              <w:t xml:space="preserve">se compromete</w:t>
            </w:r>
            <w:r>
              <w:rPr>
                <w:rFonts w:ascii="Calibri" w:cs="Calibri" w:eastAsia="Calibri" w:hAnsi="Calibri"/>
                <w:b w:val="false"/>
                <w:bCs w:val="false"/>
                <w:sz w:val="18"/>
                <w:szCs w:val="18"/>
              </w:rPr>
              <w:t xml:space="preserve"> a tener operativos en el plazo del PPT, sea porque la solución los cubre desde su entrega inicial, sea porque los desarrolla dentro de ese plazo. </w:t>
            </w:r>
            <w:r>
              <w:rPr>
                <w:rFonts w:ascii="Calibri" w:cs="Calibri" w:eastAsia="Calibri" w:hAnsi="Calibri"/>
                <w:b/>
                <w:bCs/>
                <w:sz w:val="18"/>
                <w:szCs w:val="18"/>
              </w:rPr>
              <w:t xml:space="preserve">Cmín = 0</w:t>
            </w:r>
            <w:r>
              <w:rPr>
                <w:rFonts w:ascii="Calibri" w:cs="Calibri" w:eastAsia="Calibri" w:hAnsi="Calibri"/>
                <w:b w:val="false"/>
                <w:bCs w:val="false"/>
                <w:sz w:val="18"/>
                <w:szCs w:val="18"/>
              </w:rPr>
              <w:t xml:space="preserve"> y </w:t>
            </w:r>
            <w:r>
              <w:rPr>
                <w:rFonts w:ascii="Calibri" w:cs="Calibri" w:eastAsia="Calibri" w:hAnsi="Calibri"/>
                <w:b/>
                <w:bCs/>
                <w:sz w:val="18"/>
                <w:szCs w:val="18"/>
              </w:rPr>
              <w:t xml:space="preserve">Ctecho = número total de requisitos del bloque B</w:t>
            </w:r>
            <w:r>
              <w:rPr>
                <w:rFonts w:ascii="Calibri" w:cs="Calibri" w:eastAsia="Calibri" w:hAnsi="Calibri"/>
                <w:b w:val="false"/>
                <w:bCs w:val="false"/>
                <w:sz w:val="18"/>
                <w:szCs w:val="18"/>
              </w:rPr>
              <w:t xml:space="preserve">. La disponibilidad a la fecha de la oferta no se valora ni se exige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Los requisitos mínimos obligatorios del bloque A del mismo apéndice, que no puntúan</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C2. Plan de implantación y migración de datos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Calidad del plan de migración de los ejercicios históricos, plan de pruebas y plan de vuelta atrás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Existencia de plan, exigida por el PPT</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C3. Niveles de servicio ofertados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Tiempos de respuesta y resolución ofertados </w:t>
            </w:r>
            <w:r>
              <w:rPr>
                <w:rFonts w:ascii="Calibri" w:cs="Calibri" w:eastAsia="Calibri" w:hAnsi="Calibri"/>
                <w:b/>
                <w:bCs/>
                <w:sz w:val="18"/>
                <w:szCs w:val="18"/>
              </w:rPr>
              <w:t xml:space="preserve">por debajo</w:t>
            </w:r>
            <w:r>
              <w:rPr>
                <w:rFonts w:ascii="Calibri" w:cs="Calibri" w:eastAsia="Calibri" w:hAnsi="Calibri"/>
                <w:b w:val="false"/>
                <w:bCs w:val="false"/>
                <w:sz w:val="18"/>
                <w:szCs w:val="18"/>
              </w:rPr>
              <w:t xml:space="preserve"> de los máximos del PPT, en horas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Los niveles de servicio máximos del PPT</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C4. Plan de formación y acompañamiento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Adecuación a los perfiles municipales reales (servicio gestor de subvenciones, órganos de control interno)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Horas mínimas de formación del PPT</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 Alcance funcional adicional de la interfaz normalizada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Número de funciones del </w:t>
            </w:r>
            <w:r>
              <w:rPr>
                <w:rFonts w:ascii="Calibri" w:cs="Calibri" w:eastAsia="Calibri" w:hAnsi="Calibri"/>
                <w:b/>
                <w:bCs/>
                <w:sz w:val="18"/>
                <w:szCs w:val="18"/>
              </w:rPr>
              <w:t xml:space="preserve">bloque B · Funciones adicionales ofertables</w:t>
            </w:r>
            <w:r>
              <w:rPr>
                <w:rFonts w:ascii="Calibri" w:cs="Calibri" w:eastAsia="Calibri" w:hAnsi="Calibri"/>
                <w:b w:val="false"/>
                <w:bCs w:val="false"/>
                <w:sz w:val="18"/>
                <w:szCs w:val="18"/>
              </w:rPr>
              <w:t xml:space="preserve"> del apartado 1 del </w:t>
            </w:r>
            <w:r>
              <w:rPr>
                <w:rFonts w:ascii="Calibri" w:cs="Calibri" w:eastAsia="Calibri" w:hAnsi="Calibri"/>
                <w:b/>
                <w:bCs/>
                <w:sz w:val="18"/>
                <w:szCs w:val="18"/>
              </w:rPr>
              <w:t xml:space="preserve">Apéndice técnico 2 · Exigencias tecnológicas determinadas</w:t>
            </w:r>
            <w:r>
              <w:rPr>
                <w:rFonts w:ascii="Calibri" w:cs="Calibri" w:eastAsia="Calibri" w:hAnsi="Calibri"/>
                <w:b w:val="false"/>
                <w:bCs w:val="false"/>
                <w:sz w:val="18"/>
                <w:szCs w:val="18"/>
              </w:rPr>
              <w:t xml:space="preserve"> del PPT (ocho funciones) que el licitador se compromete a exponer </w:t>
            </w:r>
            <w:r>
              <w:rPr>
                <w:rFonts w:ascii="Calibri" w:cs="Calibri" w:eastAsia="Calibri" w:hAnsi="Calibri"/>
                <w:b/>
                <w:bCs/>
                <w:sz w:val="18"/>
                <w:szCs w:val="18"/>
              </w:rPr>
              <w:t xml:space="preserve">por encima</w:t>
            </w:r>
            <w:r>
              <w:rPr>
                <w:rFonts w:ascii="Calibri" w:cs="Calibri" w:eastAsia="Calibri" w:hAnsi="Calibri"/>
                <w:b w:val="false"/>
                <w:bCs w:val="false"/>
                <w:sz w:val="18"/>
                <w:szCs w:val="18"/>
              </w:rPr>
              <w:t xml:space="preserve"> de las cinco del bloque A. Es indiferente que se entreguen de origen o mediante desarrollo dentro del plazo de ET-1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Las cinco funciones mínimas del bloque A del mismo apartado (ET-1)</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B. Plazo ofertado de puesta en producción de ET-1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Meses ofertados por debajo del máximo de 12, con puntuación proporcional y suelo en [X; se recomienda 6]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 meses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 Tratamiento del caso de uso municipal publicado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 con rúbrica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Descripción, en la memoria técnica presentada en plazo</w:t>
            </w:r>
            <w:r>
              <w:rPr>
                <w:rFonts w:ascii="Calibri" w:cs="Calibri" w:eastAsia="Calibri" w:hAnsi="Calibri"/>
                <w:b w:val="false"/>
                <w:bCs w:val="false"/>
                <w:sz w:val="18"/>
                <w:szCs w:val="18"/>
              </w:rPr>
              <w:t xml:space="preserve">, de cómo la solución ofertada resuelve las cinco tareas del caso de uso publicado en el PCAP, valorada conforme a la rúbrica de VI.5. La demostración funcional de ADM-9·v3 </w:t>
            </w:r>
            <w:r>
              <w:rPr>
                <w:rFonts w:ascii="Calibri" w:cs="Calibri" w:eastAsia="Calibri" w:hAnsi="Calibri"/>
                <w:b/>
                <w:bCs/>
                <w:sz w:val="18"/>
                <w:szCs w:val="18"/>
              </w:rPr>
              <w:t xml:space="preserve">confirma o retira</w:t>
            </w:r>
            <w:r>
              <w:rPr>
                <w:rFonts w:ascii="Calibri" w:cs="Calibri" w:eastAsia="Calibri" w:hAnsi="Calibri"/>
                <w:b w:val="false"/>
                <w:bCs w:val="false"/>
                <w:sz w:val="18"/>
                <w:szCs w:val="18"/>
              </w:rPr>
              <w:t xml:space="preserve"> estos puntos; no puede añadir ninguno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 Plan de gobernanza de IA aplicado a este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Supervisión humana, registro y trazabilidad de decisiones, gestión de sesgos y plan de retirada, </w:t>
            </w:r>
            <w:r>
              <w:rPr>
                <w:rFonts w:ascii="Calibri" w:cs="Calibri" w:eastAsia="Calibri" w:hAnsi="Calibri"/>
                <w:b/>
                <w:bCs/>
                <w:sz w:val="18"/>
                <w:szCs w:val="18"/>
              </w:rPr>
              <w:t xml:space="preserve">referidos a este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H. Procesos automatizados adicionales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Número de procesos de la lista cerrada y numerada del </w:t>
            </w:r>
            <w:r>
              <w:rPr>
                <w:rFonts w:ascii="Calibri" w:cs="Calibri" w:eastAsia="Calibri" w:hAnsi="Calibri"/>
                <w:b/>
                <w:bCs/>
                <w:sz w:val="18"/>
                <w:szCs w:val="18"/>
              </w:rPr>
              <w:t xml:space="preserve">Apéndice técnico 1 · Procesos automatizables</w:t>
            </w:r>
            <w:r>
              <w:rPr>
                <w:rFonts w:ascii="Calibri" w:cs="Calibri" w:eastAsia="Calibri" w:hAnsi="Calibri"/>
                <w:b w:val="false"/>
                <w:bCs w:val="false"/>
                <w:sz w:val="18"/>
                <w:szCs w:val="18"/>
              </w:rPr>
              <w:t xml:space="preserve"> del PPT que el licitador se compromete a automatizar por encima de los mínimos exigidos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Los procesos mínimos de DT-4·v3, relacionados en el mismo apéndice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F. Precio unitario ponderado del Cuadro de Precios Unitarios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Precio/hora ponderado de los perfiles de la bolsa de servicios evolutivos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TOTAL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100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200"/>
      </w:pPr>
    </w:p>
    <w:p>
      <w:pPr>
        <w:spacing w:after="140" w:line="276"/>
      </w:pPr>
      <w:r>
        <w:rPr>
          <w:rFonts w:ascii="Calibri" w:cs="Calibri" w:eastAsia="Calibri" w:hAnsi="Calibri"/>
          <w:sz w:val="21"/>
          <w:szCs w:val="21"/>
        </w:rPr>
        <w:t xml:space="preserve">Comprobaciones obligatorias sobre este baremo, que son las que la hoja del Anexo IV automatiza:</w:t>
      </w:r>
    </w:p>
    <w:p>
      <w:pPr>
        <w:pStyle w:val="ListParagraph"/>
        <w:numPr>
          <w:ilvl w:val="0"/>
          <w:numId w:val="1"/>
        </w:numPr>
        <w:spacing w:after="70" w:line="268"/>
      </w:pPr>
      <w:r>
        <w:rPr>
          <w:rFonts w:ascii="Calibri" w:cs="Calibri" w:eastAsia="Calibri" w:hAnsi="Calibri"/>
          <w:b/>
          <w:bCs/>
          <w:sz w:val="21"/>
          <w:szCs w:val="21"/>
        </w:rPr>
        <w:t xml:space="preserve">Juicio de valor: 24 puntos (24 %)</w:t>
      </w:r>
      <w:r>
        <w:rPr>
          <w:rFonts w:ascii="Calibri" w:cs="Calibri" w:eastAsia="Calibri" w:hAnsi="Calibri"/>
          <w:sz w:val="21"/>
          <w:szCs w:val="21"/>
        </w:rPr>
        <w:t xml:space="preserve"> —C2, C4, D y E—. Criterios evaluables por fórmula: 76 %. Hay preponderancia clara de los criterios automáticos, luego </w:t>
      </w:r>
      <w:r>
        <w:rPr>
          <w:rFonts w:ascii="Calibri" w:cs="Calibri" w:eastAsia="Calibri" w:hAnsi="Calibri"/>
          <w:b/>
          <w:bCs/>
          <w:sz w:val="21"/>
          <w:szCs w:val="21"/>
        </w:rPr>
        <w:t xml:space="preserve">no procede el comité de expertos</w:t>
      </w:r>
      <w:r>
        <w:rPr>
          <w:rFonts w:ascii="Calibri" w:cs="Calibri" w:eastAsia="Calibri" w:hAnsi="Calibri"/>
          <w:sz w:val="21"/>
          <w:szCs w:val="21"/>
        </w:rPr>
        <w:t xml:space="preserve"> del art. 146.2.a) LCSP.</w:t>
      </w:r>
    </w:p>
    <w:p>
      <w:pPr>
        <w:pStyle w:val="ListParagraph"/>
        <w:numPr>
          <w:ilvl w:val="0"/>
          <w:numId w:val="1"/>
        </w:numPr>
        <w:spacing w:after="70" w:line="268"/>
      </w:pPr>
      <w:r>
        <w:rPr>
          <w:rFonts w:ascii="Calibri" w:cs="Calibri" w:eastAsia="Calibri" w:hAnsi="Calibri"/>
          <w:b/>
          <w:bCs/>
          <w:sz w:val="21"/>
          <w:szCs w:val="21"/>
        </w:rPr>
        <w:t xml:space="preserve">Criterios relacionados con la calidad: 55 puntos (55 %)</w:t>
      </w:r>
      <w:r>
        <w:rPr>
          <w:rFonts w:ascii="Calibri" w:cs="Calibri" w:eastAsia="Calibri" w:hAnsi="Calibri"/>
          <w:sz w:val="21"/>
          <w:szCs w:val="21"/>
        </w:rPr>
        <w:t xml:space="preserve">, todos salvo </w:t>
      </w:r>
      <w:r>
        <w:rPr>
          <w:rFonts w:ascii="Calibri" w:cs="Calibri" w:eastAsia="Calibri" w:hAnsi="Calibri"/>
          <w:b/>
          <w:bCs/>
          <w:sz w:val="21"/>
          <w:szCs w:val="21"/>
        </w:rPr>
        <w:t xml:space="preserve">P</w:t>
      </w:r>
      <w:r>
        <w:rPr>
          <w:rFonts w:ascii="Calibri" w:cs="Calibri" w:eastAsia="Calibri" w:hAnsi="Calibri"/>
          <w:sz w:val="21"/>
          <w:szCs w:val="21"/>
        </w:rPr>
        <w:t xml:space="preserve"> y </w:t>
      </w:r>
      <w:r>
        <w:rPr>
          <w:rFonts w:ascii="Calibri" w:cs="Calibri" w:eastAsia="Calibri" w:hAnsi="Calibri"/>
          <w:b/>
          <w:bCs/>
          <w:sz w:val="21"/>
          <w:szCs w:val="21"/>
        </w:rPr>
        <w:t xml:space="preserve">F</w:t>
      </w:r>
      <w:r>
        <w:rPr>
          <w:rFonts w:ascii="Calibri" w:cs="Calibri" w:eastAsia="Calibri" w:hAnsi="Calibri"/>
          <w:sz w:val="21"/>
          <w:szCs w:val="21"/>
        </w:rPr>
        <w:t xml:space="preserve">, que son criterios de precio. Se cumple el 51 % del art. 145.4 LCSP tanto si el contrato se califica de prestación intelectual como si no.</w:t>
      </w:r>
    </w:p>
    <w:p>
      <w:pPr>
        <w:pStyle w:val="ListParagraph"/>
        <w:numPr>
          <w:ilvl w:val="0"/>
          <w:numId w:val="1"/>
        </w:numPr>
        <w:spacing w:after="70" w:line="268"/>
      </w:pPr>
      <w:r>
        <w:rPr>
          <w:rFonts w:ascii="Calibri" w:cs="Calibri" w:eastAsia="Calibri" w:hAnsi="Calibri"/>
          <w:b/>
          <w:bCs/>
          <w:sz w:val="21"/>
          <w:szCs w:val="21"/>
        </w:rPr>
        <w:t xml:space="preserve">Mejoras:</w:t>
      </w:r>
      <w:r>
        <w:rPr>
          <w:rFonts w:ascii="Calibri" w:cs="Calibri" w:eastAsia="Calibri" w:hAnsi="Calibri"/>
          <w:sz w:val="21"/>
          <w:szCs w:val="21"/>
        </w:rPr>
        <w:t xml:space="preserve"> los criterios A y H de la lista cerrada son prestaciones adicionales a las definidas en el PPT y, por tanto, mejoras en el sentido del art. 145.7 LCSP. Por eso el PPT publica la lista cerrada, sus límites y su vinculación al objeto, y </w:t>
      </w:r>
      <w:r>
        <w:rPr>
          <w:rFonts w:ascii="Calibri" w:cs="Calibri" w:eastAsia="Calibri" w:hAnsi="Calibri"/>
          <w:b/>
          <w:bCs/>
          <w:sz w:val="21"/>
          <w:szCs w:val="21"/>
        </w:rPr>
        <w:t xml:space="preserve">se valoran por fórmula</w:t>
      </w:r>
      <w:r>
        <w:rPr>
          <w:rFonts w:ascii="Calibri" w:cs="Calibri" w:eastAsia="Calibri" w:hAnsi="Calibri"/>
          <w:sz w:val="21"/>
          <w:szCs w:val="21"/>
        </w:rPr>
        <w:t xml:space="preserve">: si el órgano de contratación decidiera valorarlas por juicio de valor, les sería aplicable el tope del 2,5 %.</w:t>
      </w:r>
    </w:p>
    <w:p>
      <w:pPr>
        <w:pStyle w:val="ListParagraph"/>
        <w:numPr>
          <w:ilvl w:val="0"/>
          <w:numId w:val="1"/>
        </w:numPr>
        <w:spacing w:after="70" w:line="268"/>
      </w:pPr>
      <w:r>
        <w:rPr>
          <w:rFonts w:ascii="Calibri" w:cs="Calibri" w:eastAsia="Calibri" w:hAnsi="Calibri"/>
          <w:b/>
          <w:bCs/>
          <w:sz w:val="21"/>
          <w:szCs w:val="21"/>
        </w:rPr>
        <w:t xml:space="preserve">Doble cómputo:</w:t>
      </w:r>
      <w:r>
        <w:rPr>
          <w:rFonts w:ascii="Calibri" w:cs="Calibri" w:eastAsia="Calibri" w:hAnsi="Calibri"/>
          <w:sz w:val="21"/>
          <w:szCs w:val="21"/>
        </w:rPr>
        <w:t xml:space="preserve"> ningún criterio retribuye una obligación del PPT. A valora funciones adicionales; H, procesos adicionales de la misma lista cerrada; B, plazo inferior al máximo; C3, niveles de servicio mejores que los exigidos; E, un plan que el PPT no exige. Si el PPT llegara a exigir el plan de gobernanza del contrato, </w:t>
      </w:r>
      <w:r>
        <w:rPr>
          <w:rFonts w:ascii="Calibri" w:cs="Calibri" w:eastAsia="Calibri" w:hAnsi="Calibri"/>
          <w:b/>
          <w:bCs/>
          <w:sz w:val="21"/>
          <w:szCs w:val="21"/>
        </w:rPr>
        <w:t xml:space="preserve">el criterio E decae</w:t>
      </w:r>
      <w:r>
        <w:rPr>
          <w:rFonts w:ascii="Calibri" w:cs="Calibri" w:eastAsia="Calibri" w:hAnsi="Calibri"/>
          <w:sz w:val="21"/>
          <w:szCs w:val="21"/>
        </w:rPr>
        <w:t xml:space="preserve"> (Anexo I). Y ninguna capacidad valorada por el baremo figura además entre las obligaciones esenciales del bloque B.2 de ADM-6·v3, </w:t>
      </w:r>
      <w:r>
        <w:rPr>
          <w:rFonts w:ascii="Calibri" w:cs="Calibri" w:eastAsia="Calibri" w:hAnsi="Calibri"/>
          <w:b/>
          <w:bCs/>
          <w:sz w:val="21"/>
          <w:szCs w:val="21"/>
        </w:rPr>
        <w:t xml:space="preserve">porque en este expediente no se marca ninguna letra de ese bloque</w:t>
      </w:r>
      <w:r>
        <w:rPr>
          <w:rFonts w:ascii="Calibri" w:cs="Calibri" w:eastAsia="Calibri" w:hAnsi="Calibri"/>
          <w:sz w:val="21"/>
          <w:szCs w:val="21"/>
        </w:rPr>
        <w:t xml:space="preserve">: el test de relevancia se resuelve en VI.4.3 y su conclusión es negativa. La regla que hay que respetar el día que se marque alguna letra es la del Anexo IV: </w:t>
      </w:r>
      <w:r>
        <w:rPr>
          <w:rFonts w:ascii="Calibri" w:cs="Calibri" w:eastAsia="Calibri" w:hAnsi="Calibri"/>
          <w:b/>
          <w:bCs/>
          <w:sz w:val="21"/>
          <w:szCs w:val="21"/>
        </w:rPr>
        <w:t xml:space="preserve">ninguna capacidad puede figurar a la vez como criterio del baremo y como obligación esencial sobre el mismo nivel de exigencia</w:t>
      </w:r>
      <w:r>
        <w:rPr>
          <w:rFonts w:ascii="Calibri" w:cs="Calibri" w:eastAsia="Calibri" w:hAnsi="Calibri"/>
          <w:sz w:val="21"/>
          <w:szCs w:val="21"/>
        </w:rPr>
        <w:t xml:space="preserve">. Si un expediente marcara las letras e) o g), la esencialidad quedaría acotada al mínimo del PPT —nunca al alcance ofertado por encima de él, como la propia letra e) advierte— y los criterios A y B seguirían valorando exclusivamente el exceso. Acumular sobre el mismo elemento, y sobre el mismo nivel de exigencia, un premio y una pena de máxima intensidad está prohibido.</w:t>
      </w:r>
    </w:p>
    <w:p>
      <w:pPr>
        <w:pStyle w:val="ListParagraph"/>
        <w:numPr>
          <w:ilvl w:val="0"/>
          <w:numId w:val="1"/>
        </w:numPr>
        <w:spacing w:after="70" w:line="268"/>
      </w:pPr>
      <w:r>
        <w:rPr>
          <w:rFonts w:ascii="Calibri" w:cs="Calibri" w:eastAsia="Calibri" w:hAnsi="Calibri"/>
          <w:b/>
          <w:bCs/>
          <w:sz w:val="21"/>
          <w:szCs w:val="21"/>
        </w:rPr>
        <w:t xml:space="preserve">Criterio suprimido:</w:t>
      </w:r>
      <w:r>
        <w:rPr>
          <w:rFonts w:ascii="Calibri" w:cs="Calibri" w:eastAsia="Calibri" w:hAnsi="Calibri"/>
          <w:sz w:val="21"/>
          <w:szCs w:val="21"/>
        </w:rPr>
        <w:t xml:space="preserve"> no figura ningún criterio sobre capacidades de infraestructuras de servicios de confianza, porque DT-2·v3 está marcada NO APLICA. Puntuar una capacidad cuya cláusula técnica se ha declarado innecesaria no se motiva: se suprime el criterio y </w:t>
      </w:r>
      <w:r>
        <w:rPr>
          <w:rFonts w:ascii="Calibri" w:cs="Calibri" w:eastAsia="Calibri" w:hAnsi="Calibri"/>
          <w:b/>
          <w:bCs/>
          <w:sz w:val="21"/>
          <w:szCs w:val="21"/>
        </w:rPr>
        <w:t xml:space="preserve">se recompone el baremo antes de publicar el anuncio</w:t>
      </w:r>
      <w:r>
        <w:rPr>
          <w:rFonts w:ascii="Calibri" w:cs="Calibri" w:eastAsia="Calibri" w:hAnsi="Calibri"/>
          <w:sz w:val="21"/>
          <w:szCs w:val="21"/>
        </w:rPr>
        <w:t xml:space="preserve"> (Anexo VI).</w:t>
      </w:r>
    </w:p>
    <w:p>
      <w:pPr>
        <w:pStyle w:val="ListParagraph"/>
        <w:numPr>
          <w:ilvl w:val="0"/>
          <w:numId w:val="1"/>
        </w:numPr>
        <w:spacing w:after="70" w:line="268"/>
      </w:pPr>
      <w:r>
        <w:rPr>
          <w:rFonts w:ascii="Calibri" w:cs="Calibri" w:eastAsia="Calibri" w:hAnsi="Calibri"/>
          <w:b/>
          <w:bCs/>
          <w:sz w:val="21"/>
          <w:szCs w:val="21"/>
        </w:rPr>
        <w:t xml:space="preserve">Nada puntúa la tenencia previa:</w:t>
      </w:r>
      <w:r>
        <w:rPr>
          <w:rFonts w:ascii="Calibri" w:cs="Calibri" w:eastAsia="Calibri" w:hAnsi="Calibri"/>
          <w:sz w:val="21"/>
          <w:szCs w:val="21"/>
        </w:rPr>
        <w:t xml:space="preserve"> ni certificaciones (ENS, 27001, 27701, 42001), ni experiencia, ni medios, instalaciones o desarrollos ajenos al objeto ya disponibles a fecha de licitación. Lo que sí se valora es la </w:t>
      </w:r>
      <w:r>
        <w:rPr>
          <w:rFonts w:ascii="Calibri" w:cs="Calibri" w:eastAsia="Calibri" w:hAnsi="Calibri"/>
          <w:b/>
          <w:bCs/>
          <w:sz w:val="21"/>
          <w:szCs w:val="21"/>
        </w:rPr>
        <w:t xml:space="preserve">prestación comprometida</w:t>
      </w:r>
      <w:r>
        <w:rPr>
          <w:rFonts w:ascii="Calibri" w:cs="Calibri" w:eastAsia="Calibri" w:hAnsi="Calibri"/>
          <w:sz w:val="21"/>
          <w:szCs w:val="21"/>
        </w:rPr>
        <w:t xml:space="preserve">, que es cosa distinta: los criterios C1 y A cuentan lo que el licitador se obliga a entregar dentro del plazo del contrato, </w:t>
      </w:r>
      <w:r>
        <w:rPr>
          <w:rFonts w:ascii="Calibri" w:cs="Calibri" w:eastAsia="Calibri" w:hAnsi="Calibri"/>
          <w:b/>
          <w:bCs/>
          <w:sz w:val="21"/>
          <w:szCs w:val="21"/>
        </w:rPr>
        <w:t xml:space="preserve">sin exigir que esté disponible el día de ofertar y sin penalizar a quien lo desarrolle</w:t>
      </w:r>
      <w:r>
        <w:rPr>
          <w:rFonts w:ascii="Calibri" w:cs="Calibri" w:eastAsia="Calibri" w:hAnsi="Calibri"/>
          <w:sz w:val="21"/>
          <w:szCs w:val="21"/>
        </w:rPr>
        <w:t xml:space="preserve">, de modo que el licitador que se compromete a desarrollar la funcionalidad puntúa igual que el que ya la trae hecha (ADM-7·v3.1.2). </w:t>
      </w:r>
      <w:r>
        <w:rPr>
          <w:rFonts w:ascii="Calibri" w:cs="Calibri" w:eastAsia="Calibri" w:hAnsi="Calibri"/>
          <w:b/>
          <w:bCs/>
          <w:sz w:val="21"/>
          <w:szCs w:val="21"/>
        </w:rPr>
        <w:t xml:space="preserve">Una precisión que conviene hacer antes de que la haga otro:</w:t>
      </w:r>
      <w:r>
        <w:rPr>
          <w:rFonts w:ascii="Calibri" w:cs="Calibri" w:eastAsia="Calibri" w:hAnsi="Calibri"/>
          <w:sz w:val="21"/>
          <w:szCs w:val="21"/>
        </w:rPr>
        <w:t xml:space="preserve"> el criterio B puntúa un plazo, y un plazo refleja de forma indirecta la disponibilidad previa, porque quien ya tiene la capacidad puede ofertar el mínimo. Por eso el criterio B tiene </w:t>
      </w:r>
      <w:r>
        <w:rPr>
          <w:rFonts w:ascii="Calibri" w:cs="Calibri" w:eastAsia="Calibri" w:hAnsi="Calibri"/>
          <w:b/>
          <w:bCs/>
          <w:sz w:val="21"/>
          <w:szCs w:val="21"/>
        </w:rPr>
        <w:t xml:space="preserve">suelo</w:t>
      </w:r>
      <w:r>
        <w:rPr>
          <w:rFonts w:ascii="Calibri" w:cs="Calibri" w:eastAsia="Calibri" w:hAnsi="Calibri"/>
          <w:sz w:val="21"/>
          <w:szCs w:val="21"/>
        </w:rPr>
        <w:t xml:space="preserve"> —no se puntúa por debajo de [X; se recomienda 6] meses, de modo que esa ventaja queda acotada— y </w:t>
      </w:r>
      <w:r>
        <w:rPr>
          <w:rFonts w:ascii="Calibri" w:cs="Calibri" w:eastAsia="Calibri" w:hAnsi="Calibri"/>
          <w:b/>
          <w:bCs/>
          <w:sz w:val="21"/>
          <w:szCs w:val="21"/>
        </w:rPr>
        <w:t xml:space="preserve">peso bajo</w:t>
      </w:r>
      <w:r>
        <w:rPr>
          <w:rFonts w:ascii="Calibri" w:cs="Calibri" w:eastAsia="Calibri" w:hAnsi="Calibri"/>
          <w:sz w:val="21"/>
          <w:szCs w:val="21"/>
        </w:rPr>
        <w:t xml:space="preserve"> (5 sobre 100). En C1 y en A la acotación es distinta y opera en el propio enunciado del criterio: se valora compromiso, no tenencia. En los tres casos lo valorado es una cualidad de la prestación —qué hará el sistema y cuándo estará disponible para el Ayuntamiento—, no una característica de la empresa. Esta motivación se reproduce en la casilla 5 de las fichas de los criterios B, C1 y A del Anexo IV.</w:t>
      </w:r>
    </w:p>
    <w:p>
      <w:pPr>
        <w:pStyle w:val="ListParagraph"/>
        <w:numPr>
          <w:ilvl w:val="0"/>
          <w:numId w:val="1"/>
        </w:numPr>
        <w:spacing w:after="70" w:line="268"/>
      </w:pPr>
      <w:r>
        <w:rPr>
          <w:rFonts w:ascii="Calibri" w:cs="Calibri" w:eastAsia="Calibri" w:hAnsi="Calibri"/>
          <w:b/>
          <w:bCs/>
          <w:sz w:val="21"/>
          <w:szCs w:val="21"/>
        </w:rPr>
        <w:t xml:space="preserve">Ofertas anormalmente bajas, que con 45 puntos de precio entre P y F son la principal defensa de este contrato y no un trámite.</w:t>
      </w:r>
      <w:r>
        <w:rPr>
          <w:rFonts w:ascii="Calibri" w:cs="Calibri" w:eastAsia="Calibri" w:hAnsi="Calibri"/>
          <w:sz w:val="21"/>
          <w:szCs w:val="21"/>
        </w:rPr>
        <w:t xml:space="preserve"> El PCAP de este expediente hace tres cosas, que son las tres reglas del </w:t>
      </w:r>
      <w:r>
        <w:rPr>
          <w:rFonts w:ascii="Calibri" w:cs="Calibri" w:eastAsia="Calibri" w:hAnsi="Calibri"/>
          <w:b/>
          <w:bCs/>
          <w:sz w:val="21"/>
          <w:szCs w:val="21"/>
        </w:rPr>
        <w:t xml:space="preserve">Anexo XVII, apartado 5</w:t>
      </w:r>
      <w:r>
        <w:rPr>
          <w:rFonts w:ascii="Calibri" w:cs="Calibri" w:eastAsia="Calibri" w:hAnsi="Calibri"/>
          <w:sz w:val="21"/>
          <w:szCs w:val="21"/>
        </w:rPr>
        <w:t xml:space="preserve">, y se copian de allí: (1) </w:t>
      </w:r>
      <w:r>
        <w:rPr>
          <w:rFonts w:ascii="Calibri" w:cs="Calibri" w:eastAsia="Calibri" w:hAnsi="Calibri"/>
          <w:b/>
          <w:bCs/>
          <w:sz w:val="21"/>
          <w:szCs w:val="21"/>
        </w:rPr>
        <w:t xml:space="preserve">publica antes de licitar los parámetros objetivos</w:t>
      </w:r>
      <w:r>
        <w:rPr>
          <w:rFonts w:ascii="Calibri" w:cs="Calibri" w:eastAsia="Calibri" w:hAnsi="Calibri"/>
          <w:sz w:val="21"/>
          <w:szCs w:val="21"/>
        </w:rPr>
        <w:t xml:space="preserve"> de identificación de la oferta presuntamente anormal, referidos a la oferta en su conjunto o al criterio de precio, según decida el expediente; (2) tramita el requerimiento de justificación al licitador, el informe técnico y la resolución motivada del </w:t>
      </w:r>
      <w:r>
        <w:rPr>
          <w:rFonts w:ascii="Calibri" w:cs="Calibri" w:eastAsia="Calibri" w:hAnsi="Calibri"/>
          <w:b/>
          <w:bCs/>
          <w:sz w:val="21"/>
          <w:szCs w:val="21"/>
        </w:rPr>
        <w:t xml:space="preserve">art. 149 LCSP antes de puntuar</w:t>
      </w:r>
      <w:r>
        <w:rPr>
          <w:rFonts w:ascii="Calibri" w:cs="Calibri" w:eastAsia="Calibri" w:hAnsi="Calibri"/>
          <w:sz w:val="21"/>
          <w:szCs w:val="21"/>
        </w:rPr>
        <w:t xml:space="preserve">, no después; y (3) hace constar expresamente que </w:t>
      </w:r>
      <w:r>
        <w:rPr>
          <w:rFonts w:ascii="Calibri" w:cs="Calibri" w:eastAsia="Calibri" w:hAnsi="Calibri"/>
          <w:b/>
          <w:bCs/>
          <w:sz w:val="21"/>
          <w:szCs w:val="21"/>
        </w:rPr>
        <w:t xml:space="preserve">la oferta excluida no forma parte de la referencia de cálculo de ninguna fórmula</w:t>
      </w:r>
      <w:r>
        <w:rPr>
          <w:rFonts w:ascii="Calibri" w:cs="Calibri" w:eastAsia="Calibri" w:hAnsi="Calibri"/>
          <w:sz w:val="21"/>
          <w:szCs w:val="21"/>
        </w:rPr>
        <w:t xml:space="preserve">. Este expediente </w:t>
      </w:r>
      <w:r>
        <w:rPr>
          <w:rFonts w:ascii="Calibri" w:cs="Calibri" w:eastAsia="Calibri" w:hAnsi="Calibri"/>
          <w:b/>
          <w:bCs/>
          <w:sz w:val="21"/>
          <w:szCs w:val="21"/>
        </w:rPr>
        <w:t xml:space="preserve">no se remite a parámetros supletorios</w:t>
      </w:r>
      <w:r>
        <w:rPr>
          <w:rFonts w:ascii="Calibri" w:cs="Calibri" w:eastAsia="Calibri" w:hAnsi="Calibri"/>
          <w:sz w:val="21"/>
          <w:szCs w:val="21"/>
        </w:rPr>
        <w:t xml:space="preserve"> de ninguna norma de desarrollo: publica los suyos, que es la recomendación del propio Anexo XVII.</w:t>
      </w:r>
    </w:p>
    <w:p>
      <w:pPr>
        <w:spacing w:after="140" w:line="276"/>
      </w:pPr>
      <w:r>
        <w:rPr>
          <w:rFonts w:ascii="Calibri" w:cs="Calibri" w:eastAsia="Calibri" w:hAnsi="Calibri"/>
          <w:b/>
          <w:bCs/>
          <w:sz w:val="21"/>
          <w:szCs w:val="21"/>
        </w:rPr>
        <w:t xml:space="preserve">Variante B — procedimiento abierto simplificado (art. 159 LCSP)</w:t>
      </w:r>
    </w:p>
    <w:p>
      <w:pPr>
        <w:spacing w:after="140" w:line="276"/>
      </w:pPr>
      <w:r>
        <w:rPr>
          <w:rFonts w:ascii="Calibri" w:cs="Calibri" w:eastAsia="Calibri" w:hAnsi="Calibri"/>
          <w:sz w:val="21"/>
          <w:szCs w:val="21"/>
        </w:rPr>
        <w:t xml:space="preserve">Sólo utilizable si el valor estimado no supera el umbral del art. 159.1.a) para servicios y suministros. El límite que aquí manda es el del art. 159.1.b): el juicio de valor no puede superar el </w:t>
      </w:r>
      <w:r>
        <w:rPr>
          <w:rFonts w:ascii="Calibri" w:cs="Calibri" w:eastAsia="Calibri" w:hAnsi="Calibri"/>
          <w:b/>
          <w:bCs/>
          <w:sz w:val="21"/>
          <w:szCs w:val="21"/>
        </w:rPr>
        <w:t xml:space="preserve">25 %</w:t>
      </w:r>
      <w:r>
        <w:rPr>
          <w:rFonts w:ascii="Calibri" w:cs="Calibri" w:eastAsia="Calibri" w:hAnsi="Calibri"/>
          <w:sz w:val="21"/>
          <w:szCs w:val="21"/>
        </w:rPr>
        <w:t xml:space="preserve"> (45 % en prestaciones de carácter intelectual). La variante A, con 24 %, </w:t>
      </w:r>
      <w:r>
        <w:rPr>
          <w:rFonts w:ascii="Calibri" w:cs="Calibri" w:eastAsia="Calibri" w:hAnsi="Calibri"/>
          <w:b/>
          <w:bCs/>
          <w:sz w:val="21"/>
          <w:szCs w:val="21"/>
        </w:rPr>
        <w:t xml:space="preserve">cabe tal cual</w:t>
      </w:r>
      <w:r>
        <w:rPr>
          <w:rFonts w:ascii="Calibri" w:cs="Calibri" w:eastAsia="Calibri" w:hAnsi="Calibri"/>
          <w:sz w:val="21"/>
          <w:szCs w:val="21"/>
        </w:rPr>
        <w:t xml:space="preserve">. Es deliberado: el baremo se ha diseñado para no expulsar al contrato del procedimiento más ágil. </w:t>
      </w:r>
      <w:r>
        <w:rPr>
          <w:rFonts w:ascii="Calibri" w:cs="Calibri" w:eastAsia="Calibri" w:hAnsi="Calibri"/>
          <w:b/>
          <w:bCs/>
          <w:sz w:val="21"/>
          <w:szCs w:val="21"/>
        </w:rPr>
        <w:t xml:space="preserve">Con las cifras de este expediente (valor estimado 504.000 €) esta variante no es utilizable</w:t>
      </w:r>
      <w:r>
        <w:rPr>
          <w:rFonts w:ascii="Calibri" w:cs="Calibri" w:eastAsia="Calibri" w:hAnsi="Calibri"/>
          <w:sz w:val="21"/>
          <w:szCs w:val="21"/>
        </w:rPr>
        <w:t xml:space="preserve">; se ofrece como ejemplo reutilizable para contratos por debajo del umbral del art. 159.1.a).</w:t>
      </w:r>
    </w:p>
    <w:p>
      <w:pPr>
        <w:spacing w:after="140" w:line="276"/>
      </w:pPr>
      <w:r>
        <w:rPr>
          <w:rFonts w:ascii="Calibri" w:cs="Calibri" w:eastAsia="Calibri" w:hAnsi="Calibri"/>
          <w:b/>
          <w:bCs/>
          <w:sz w:val="21"/>
          <w:szCs w:val="21"/>
        </w:rPr>
        <w:t xml:space="preserve">Variante C — procedimiento abreviado (art. 159.6 LCSP)</w:t>
      </w:r>
    </w:p>
    <w:p>
      <w:pPr>
        <w:spacing w:after="140" w:line="276"/>
      </w:pPr>
      <w:r>
        <w:rPr>
          <w:rFonts w:ascii="Calibri" w:cs="Calibri" w:eastAsia="Calibri" w:hAnsi="Calibri"/>
          <w:b/>
          <w:bCs/>
          <w:sz w:val="21"/>
          <w:szCs w:val="21"/>
        </w:rPr>
        <w:t xml:space="preserve">Con las cifras de este expediente esta variante tampoco es utilizable</w:t>
      </w:r>
      <w:r>
        <w:rPr>
          <w:rFonts w:ascii="Calibri" w:cs="Calibri" w:eastAsia="Calibri" w:hAnsi="Calibri"/>
          <w:sz w:val="21"/>
          <w:szCs w:val="21"/>
        </w:rPr>
        <w:t xml:space="preserve">: el valor estimado supera con mucho el umbral del art. 159.6 y, si el expediente motiva el carácter intelectual de la prestación, el procedimiento queda además excluido por razón del objeto. Se ofrece igualmente como </w:t>
      </w:r>
      <w:r>
        <w:rPr>
          <w:rFonts w:ascii="Calibri" w:cs="Calibri" w:eastAsia="Calibri" w:hAnsi="Calibri"/>
          <w:b/>
          <w:bCs/>
          <w:sz w:val="21"/>
          <w:szCs w:val="21"/>
        </w:rPr>
        <w:t xml:space="preserve">ejemplo reutilizable</w:t>
      </w:r>
      <w:r>
        <w:rPr>
          <w:rFonts w:ascii="Calibri" w:cs="Calibri" w:eastAsia="Calibri" w:hAnsi="Calibri"/>
          <w:sz w:val="21"/>
          <w:szCs w:val="21"/>
        </w:rPr>
        <w:t xml:space="preserve"> para contratos de menor cuantía.</w:t>
      </w:r>
    </w:p>
    <w:p>
      <w:pPr>
        <w:spacing w:after="140" w:line="276"/>
      </w:pPr>
      <w:r>
        <w:rPr>
          <w:rFonts w:ascii="Calibri" w:cs="Calibri" w:eastAsia="Calibri" w:hAnsi="Calibri"/>
          <w:sz w:val="21"/>
          <w:szCs w:val="21"/>
        </w:rPr>
        <w:t xml:space="preserve">Sin criterios de juicio de valor y sin demostración funcional. Se suprimen C2, C4, D y E (24 puntos) y se redistribuyen: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Criterio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Puntos</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 Precio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C1. Cobertura funcional comprometida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C3. Niveles de servicio ofertados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Alcance funcional adicional de la interfaz</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 Plazo ofertado de ET-1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 Procesos automatizados adicionales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 Precio unitario ponderado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TOTAL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100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200"/>
      </w:pPr>
    </w:p>
    <w:p>
      <w:pPr>
        <w:spacing w:after="140" w:line="276"/>
      </w:pPr>
      <w:r>
        <w:rPr>
          <w:rFonts w:ascii="Calibri" w:cs="Calibri" w:eastAsia="Calibri" w:hAnsi="Calibri"/>
          <w:sz w:val="21"/>
          <w:szCs w:val="21"/>
        </w:rPr>
        <w:t xml:space="preserve">Comprobación previa: el procedimiento abreviado no está disponible para prestaciones de carácter intelectual. Si el expediente ha motivado ese carácter para invocar el 51 % del art. 145.4, no puede después acudir a esta variante. </w:t>
      </w:r>
      <w:r>
        <w:rPr>
          <w:rFonts w:ascii="Calibri" w:cs="Calibri" w:eastAsia="Calibri" w:hAnsi="Calibri"/>
          <w:b/>
          <w:bCs/>
          <w:sz w:val="21"/>
          <w:szCs w:val="21"/>
        </w:rPr>
        <w:t xml:space="preserve">Criterios de calidad en esta variante: 50 %</w:t>
      </w:r>
      <w:r>
        <w:rPr>
          <w:rFonts w:ascii="Calibri" w:cs="Calibri" w:eastAsia="Calibri" w:hAnsi="Calibri"/>
          <w:sz w:val="21"/>
          <w:szCs w:val="21"/>
        </w:rPr>
        <w:t xml:space="preserve"> —todos salvo P (45) y F (5)—. Por debajo del 51 %, la variante </w:t>
      </w:r>
      <w:r>
        <w:rPr>
          <w:rFonts w:ascii="Calibri" w:cs="Calibri" w:eastAsia="Calibri" w:hAnsi="Calibri"/>
          <w:b/>
          <w:bCs/>
          <w:sz w:val="21"/>
          <w:szCs w:val="21"/>
        </w:rPr>
        <w:t xml:space="preserve">no es utilizable</w:t>
      </w:r>
      <w:r>
        <w:rPr>
          <w:rFonts w:ascii="Calibri" w:cs="Calibri" w:eastAsia="Calibri" w:hAnsi="Calibri"/>
          <w:sz w:val="21"/>
          <w:szCs w:val="21"/>
        </w:rPr>
        <w:t xml:space="preserve"> si el expediente ha motivado el carácter intelectual de la prestación, lo que además la excluye por el art. 159.6 LCSP. Con la calificación ordinaria, el 50 % es admisible, pero el margen es nulo: cualquier ajuste al alza del peso del precio la invalida.</w:t>
      </w:r>
    </w:p>
    <w:p>
      <w:pPr>
        <w:spacing w:after="140" w:line="276"/>
      </w:pPr>
      <w:r>
        <w:rPr>
          <w:rFonts w:ascii="Calibri" w:cs="Calibri" w:eastAsia="Calibri" w:hAnsi="Calibri"/>
          <w:b/>
          <w:bCs/>
          <w:sz w:val="21"/>
          <w:szCs w:val="21"/>
        </w:rPr>
        <w:t xml:space="preserve">Regla común a las tres variantes:</w:t>
      </w:r>
      <w:r>
        <w:rPr>
          <w:rFonts w:ascii="Calibri" w:cs="Calibri" w:eastAsia="Calibri" w:hAnsi="Calibri"/>
          <w:sz w:val="21"/>
          <w:szCs w:val="21"/>
        </w:rPr>
        <w:t xml:space="preserve"> el baremo se publica con la ponderación exacta de cada criterio y </w:t>
      </w:r>
      <w:r>
        <w:rPr>
          <w:rFonts w:ascii="Calibri" w:cs="Calibri" w:eastAsia="Calibri" w:hAnsi="Calibri"/>
          <w:b/>
          <w:bCs/>
          <w:sz w:val="21"/>
          <w:szCs w:val="21"/>
        </w:rPr>
        <w:t xml:space="preserve">no se reescala en ningún caso una vez publicado el anuncio de licitación</w:t>
      </w:r>
      <w:r>
        <w:rPr>
          <w:rFonts w:ascii="Calibri" w:cs="Calibri" w:eastAsia="Calibri" w:hAnsi="Calibri"/>
          <w:sz w:val="21"/>
          <w:szCs w:val="21"/>
        </w:rPr>
        <w:t xml:space="preserve"> (Parte I, §7.8.b). La cláusula de separabilidad de la Parte I opera sobre cláusulas y obligaciones; sobre las ponderaciones, la única operación admisible es la </w:t>
      </w:r>
      <w:r>
        <w:rPr>
          <w:rFonts w:ascii="Calibri" w:cs="Calibri" w:eastAsia="Calibri" w:hAnsi="Calibri"/>
          <w:b/>
          <w:bCs/>
          <w:sz w:val="21"/>
          <w:szCs w:val="21"/>
        </w:rPr>
        <w:t xml:space="preserve">recomposición del baremo antes de publicar</w:t>
      </w:r>
      <w:r>
        <w:rPr>
          <w:rFonts w:ascii="Calibri" w:cs="Calibri" w:eastAsia="Calibri" w:hAnsi="Calibri"/>
          <w:sz w:val="21"/>
          <w:szCs w:val="21"/>
        </w:rPr>
        <w:t xml:space="preserve">, y requiere informe del órgano al que corresponda el informe jurídico preceptivo.</w:t>
      </w:r>
    </w:p>
    <w:p>
      <w:pPr>
        <w:pStyle w:val="Heading3"/>
        <w:keepNext/>
        <w:spacing w:after="140" w:before="320"/>
      </w:pPr>
      <w:r>
        <w:rPr>
          <w:rFonts w:ascii="Georgia" w:cs="Georgia" w:eastAsia="Georgia" w:hAnsi="Georgia"/>
          <w:b/>
          <w:bCs/>
          <w:color w:val="2F5496"/>
          <w:sz w:val="22"/>
          <w:szCs w:val="22"/>
        </w:rPr>
        <w:t xml:space="preserve">VI.4.7 Valor estimado, umbrales y decisión sobre la modificación prevista</w:t>
      </w:r>
    </w:p>
    <w:p>
      <w:pPr>
        <w:spacing w:after="140" w:line="276"/>
      </w:pPr>
      <w:r>
        <w:rPr>
          <w:rFonts w:ascii="Calibri" w:cs="Calibri" w:eastAsia="Calibri" w:hAnsi="Calibri"/>
          <w:sz w:val="21"/>
          <w:szCs w:val="21"/>
        </w:rPr>
        <w:t xml:space="preserve">Método de cálculo, que debe figurar en el PCAP (art. 101.5 LCSP):</w:t>
      </w:r>
    </w:p>
    <w:p>
      <w:pPr>
        <w:spacing w:after="0" w:line="240"/>
        <w:ind w:left="300"/>
      </w:pPr>
      <w:r>
        <w:rPr>
          <w:rFonts w:ascii="Consolas" w:cs="Consolas" w:eastAsia="Consolas" w:hAnsi="Consolas"/>
          <w:color w:val="2F5496"/>
          <w:sz w:val="18"/>
          <w:szCs w:val="18"/>
        </w:rPr>
        <w:t xml:space="preserve">VE = (presupuesto base de licitación anual del servicio, sin IVA × años de duración inicial)</w:t>
      </w:r>
    </w:p>
    <w:p>
      <w:pPr>
        <w:spacing w:after="0" w:line="240"/>
        <w:ind w:left="300"/>
      </w:pPr>
      <w:r>
        <w:rPr>
          <w:rFonts w:ascii="Consolas" w:cs="Consolas" w:eastAsia="Consolas" w:hAnsi="Consolas"/>
          <w:color w:val="2F5496"/>
          <w:sz w:val="18"/>
          <w:szCs w:val="18"/>
        </w:rPr>
        <w:t xml:space="preserve">   + (presupuesto base de licitación anual del servicio, sin IVA × años de prórrogas previstas)</w:t>
      </w:r>
    </w:p>
    <w:p>
      <w:pPr>
        <w:spacing w:after="0" w:line="240"/>
        <w:ind w:left="300"/>
      </w:pPr>
      <w:r>
        <w:rPr>
          <w:rFonts w:ascii="Consolas" w:cs="Consolas" w:eastAsia="Consolas" w:hAnsi="Consolas"/>
          <w:color w:val="2F5496"/>
          <w:sz w:val="18"/>
          <w:szCs w:val="18"/>
        </w:rPr>
        <w:t xml:space="preserve">   + importe máximo de la bolsa de servicios evolutivos de todas esas anualidades</w:t>
      </w:r>
    </w:p>
    <w:p>
      <w:pPr>
        <w:spacing w:after="0" w:line="240"/>
        <w:ind w:left="300"/>
      </w:pPr>
      <w:r>
        <w:rPr>
          <w:rFonts w:ascii="Consolas" w:cs="Consolas" w:eastAsia="Consolas" w:hAnsi="Consolas"/>
          <w:color w:val="2F5496"/>
          <w:sz w:val="18"/>
          <w:szCs w:val="18"/>
        </w:rPr>
        <w:t xml:space="preserve">   + importe máximo de las modificaciones al alza previstas (art. 101.2.c)</w:t>
      </w:r>
    </w:p>
    <w:p>
      <w:pPr>
        <w:spacing w:after="0" w:line="240"/>
        <w:ind w:left="300"/>
      </w:pPr>
      <w:r>
        <w:rPr>
          <w:rFonts w:ascii="Consolas" w:cs="Consolas" w:eastAsia="Consolas" w:hAnsi="Consolas"/>
          <w:color w:val="2F5496"/>
          <w:sz w:val="18"/>
          <w:szCs w:val="18"/>
        </w:rPr>
        <w:t xml:space="preserve">   + primas o pagos a los licitadores, si los hubiera</w:t>
      </w:r>
    </w:p>
    <w:p>
      <w:pPr>
        <w:spacing w:after="140" w:line="276"/>
      </w:pPr>
      <w:r>
        <w:rPr>
          <w:rFonts w:ascii="Calibri" w:cs="Calibri" w:eastAsia="Calibri" w:hAnsi="Calibri"/>
          <w:sz w:val="21"/>
          <w:szCs w:val="21"/>
        </w:rPr>
        <w:t xml:space="preserve">Los tres primeros sumandos no se solapan: los dos primeros recogen el servicio y el tercero la bolsa. La bolsa está </w:t>
      </w:r>
      <w:r>
        <w:rPr>
          <w:rFonts w:ascii="Calibri" w:cs="Calibri" w:eastAsia="Calibri" w:hAnsi="Calibri"/>
          <w:b/>
          <w:bCs/>
          <w:sz w:val="21"/>
          <w:szCs w:val="21"/>
        </w:rPr>
        <w:t xml:space="preserve">dentro</w:t>
      </w:r>
      <w:r>
        <w:rPr>
          <w:rFonts w:ascii="Calibri" w:cs="Calibri" w:eastAsia="Calibri" w:hAnsi="Calibri"/>
          <w:sz w:val="21"/>
          <w:szCs w:val="21"/>
        </w:rPr>
        <w:t xml:space="preserve"> del presupuesto base de licitación, y por eso se separa aquí sólo a efectos de cálculo, nunca para dejarla fuera de él.</w:t>
      </w:r>
    </w:p>
    <w:p>
      <w:pPr>
        <w:spacing w:after="140" w:line="276"/>
      </w:pPr>
      <w:r>
        <w:rPr>
          <w:rFonts w:ascii="Calibri" w:cs="Calibri" w:eastAsia="Calibri" w:hAnsi="Calibri"/>
          <w:sz w:val="21"/>
          <w:szCs w:val="21"/>
        </w:rPr>
        <w:t xml:space="preserve">Tres reglas que se olvidan y cuestan el expediente:</w:t>
      </w:r>
    </w:p>
    <w:p>
      <w:pPr>
        <w:pStyle w:val="ListParagraph"/>
        <w:numPr>
          <w:ilvl w:val="0"/>
          <w:numId w:val="2"/>
        </w:numPr>
        <w:spacing w:after="70" w:line="268"/>
      </w:pPr>
      <w:r>
        <w:rPr>
          <w:rFonts w:ascii="Calibri" w:cs="Calibri" w:eastAsia="Calibri" w:hAnsi="Calibri"/>
          <w:b/>
          <w:bCs/>
          <w:sz w:val="21"/>
          <w:szCs w:val="21"/>
        </w:rPr>
        <w:t xml:space="preserve">Las prórrogas previstas computan aunque no se ejerzan.</w:t>
      </w:r>
    </w:p>
    <w:p>
      <w:pPr>
        <w:pStyle w:val="ListParagraph"/>
        <w:numPr>
          <w:ilvl w:val="0"/>
          <w:numId w:val="2"/>
        </w:numPr>
        <w:spacing w:after="70" w:line="268"/>
      </w:pPr>
      <w:r>
        <w:rPr>
          <w:rFonts w:ascii="Calibri" w:cs="Calibri" w:eastAsia="Calibri" w:hAnsi="Calibri"/>
          <w:b/>
          <w:bCs/>
          <w:sz w:val="21"/>
          <w:szCs w:val="21"/>
        </w:rPr>
        <w:t xml:space="preserve">La bolsa de servicios evolutivos computa, y su base de cálculo se escribe.</w:t>
      </w:r>
      <w:r>
        <w:rPr>
          <w:rFonts w:ascii="Calibri" w:cs="Calibri" w:eastAsia="Calibri" w:hAnsi="Calibri"/>
          <w:sz w:val="21"/>
          <w:szCs w:val="21"/>
        </w:rPr>
        <w:t xml:space="preserve"> Está dentro del presupuesto base de licitación, luego está en el valor estimado. Escribir que no lo infla es un error de cálculo del valor estimado, y el valor estimado determina la publicidad armonizada y el acceso al recurso especial. El porcentaje de la bolsa se aplica sobre el </w:t>
      </w:r>
      <w:r>
        <w:rPr>
          <w:rFonts w:ascii="Calibri" w:cs="Calibri" w:eastAsia="Calibri" w:hAnsi="Calibri"/>
          <w:b/>
          <w:bCs/>
          <w:sz w:val="21"/>
          <w:szCs w:val="21"/>
        </w:rPr>
        <w:t xml:space="preserve">presupuesto base de licitación del servicio correspondiente a la duración inicial, sin IVA</w:t>
      </w:r>
      <w:r>
        <w:rPr>
          <w:rFonts w:ascii="Calibri" w:cs="Calibri" w:eastAsia="Calibri" w:hAnsi="Calibri"/>
          <w:sz w:val="21"/>
          <w:szCs w:val="21"/>
        </w:rPr>
        <w:t xml:space="preserve"> (ADM-3·v3, bloque 2, apartado 5), y el pliego dice expresamente si la bolsa se dota además en las anualidades de prórroga y por qué importe. «Importe del contrato» no es término de la Ley 9/2017 y no se emplea como base.</w:t>
      </w:r>
    </w:p>
    <w:p>
      <w:pPr>
        <w:pStyle w:val="ListParagraph"/>
        <w:numPr>
          <w:ilvl w:val="0"/>
          <w:numId w:val="2"/>
        </w:numPr>
        <w:spacing w:after="70" w:line="268"/>
      </w:pPr>
      <w:r>
        <w:rPr>
          <w:rFonts w:ascii="Calibri" w:cs="Calibri" w:eastAsia="Calibri" w:hAnsi="Calibri"/>
          <w:b/>
          <w:bCs/>
          <w:sz w:val="21"/>
          <w:szCs w:val="21"/>
        </w:rPr>
        <w:t xml:space="preserve">El porcentaje de la modificación prevista se calcula sobre el presupuesto base de licitación a efectos del valor estimado, y sobre el precio de adjudicación a efectos de ejecución.</w:t>
      </w:r>
      <w:r>
        <w:rPr>
          <w:rFonts w:ascii="Calibri" w:cs="Calibri" w:eastAsia="Calibri" w:hAnsi="Calibri"/>
          <w:sz w:val="21"/>
          <w:szCs w:val="21"/>
        </w:rPr>
        <w:t xml:space="preserve"> Una baja del 15 % en la licitación se lleva por delante el 15 % de la reserva.</w:t>
      </w:r>
    </w:p>
    <w:p>
      <w:pPr>
        <w:spacing w:after="140" w:line="276"/>
      </w:pPr>
      <w:r>
        <w:rPr>
          <w:rFonts w:ascii="Calibri" w:cs="Calibri" w:eastAsia="Calibri" w:hAnsi="Calibri"/>
          <w:sz w:val="21"/>
          <w:szCs w:val="21"/>
        </w:rPr>
        <w:t xml:space="preserve">Ilustración numérica —</w:t>
      </w:r>
      <w:r>
        <w:rPr>
          <w:rFonts w:ascii="Calibri" w:cs="Calibri" w:eastAsia="Calibri" w:hAnsi="Calibri"/>
          <w:b/>
          <w:bCs/>
          <w:sz w:val="21"/>
          <w:szCs w:val="21"/>
        </w:rPr>
        <w:t xml:space="preserve">cifras hipotéticas</w:t>
      </w:r>
      <w:r>
        <w:rPr>
          <w:rFonts w:ascii="Calibri" w:cs="Calibri" w:eastAsia="Calibri" w:hAnsi="Calibri"/>
          <w:sz w:val="21"/>
          <w:szCs w:val="21"/>
        </w:rPr>
        <w:t xml:space="preserve">, sustitúyanse por las del expediente; mientras el expediente no se publique, ninguna cifra de este apartado debe citarse como dato real—.</w:t>
      </w:r>
    </w:p>
    <w:p>
      <w:pPr>
        <w:spacing w:after="140" w:line="276"/>
      </w:pPr>
      <w:r>
        <w:rPr>
          <w:rFonts w:ascii="Calibri" w:cs="Calibri" w:eastAsia="Calibri" w:hAnsi="Calibri"/>
          <w:b/>
          <w:bCs/>
          <w:sz w:val="21"/>
          <w:szCs w:val="21"/>
        </w:rPr>
        <w:t xml:space="preserve">Presupuesto base de licitación y su desglose (art. 100.2 LCSP).</w:t>
      </w:r>
      <w:r>
        <w:rPr>
          <w:rFonts w:ascii="Calibri" w:cs="Calibri" w:eastAsia="Calibri" w:hAnsi="Calibri"/>
          <w:sz w:val="21"/>
          <w:szCs w:val="21"/>
        </w:rPr>
        <w:t xml:space="preserve"> Es lo primero que comprueba la fiscalización previa, y sin él la tabla del valor estimado no se sostiene.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Concepto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Importe anual (IVA excluido)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Costes directos de personal, conforme al convenio colectivo de referencia [identifíquese el convenio sectorial aplicable y el grupo profesional de cada perfil]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Otros costes directos (licencias, suscripción, entorno de pruebas, migración)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Gastos generales de estructura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Beneficio industrial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Presupuesto base de licitación anual del servicio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120.000 €</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Bolsa de servicios evolutivos imputada a la anualidad (ADM-3·v3, bloque 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6.000 €</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Presupuesto base de licitación anual, bolsa incluida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126.000 €</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IVA (21 %)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t>
            </w:r>
          </w:p>
        </w:tc>
      </w:tr>
    </w:tbl>
    <w:p>
      <w:pPr>
        <w:spacing w:after="200"/>
      </w:pP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Concepto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Importe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Presupuesto base de licitación anual del servicio (IVA excluido)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120.000 €</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Bolsa de servicios evolutivos anual: [X; se recomienda 5] % del presupuesto base de licitación del servicio de la duración inicial (240.000 €), imputado por anualidades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6.000 €</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Presupuesto base de licitación anual, bolsa incluida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126.000 €</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Duración inicial: 2 años — presupuesto base de licitación del contrato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252.000 €</w:t>
            </w:r>
            <w:r>
              <w:rPr>
                <w:rFonts w:ascii="Calibri" w:cs="Calibri" w:eastAsia="Calibri" w:hAnsi="Calibri"/>
                <w:b w:val="false"/>
                <w:bCs w:val="false"/>
                <w:sz w:val="18"/>
                <w:szCs w:val="18"/>
              </w:rPr>
              <w:t xml:space="preserve"> (240.000 de servicio + 12.000 de bolsa)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Prórrogas previstas: 2 años, con la bolsa dotada en la misma proporción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252.000 € (240.000 de servicio + 12.000 de bolsa)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Modificación prevista (ADM-14·v3 marcada NO APLICA)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0 €</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Valor estimado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504.000 €</w:t>
            </w:r>
          </w:p>
        </w:tc>
      </w:tr>
    </w:tbl>
    <w:p>
      <w:pPr>
        <w:spacing w:after="200"/>
      </w:pPr>
    </w:p>
    <w:p>
      <w:pPr>
        <w:spacing w:after="140" w:line="276"/>
      </w:pPr>
      <w:r>
        <w:rPr>
          <w:rFonts w:ascii="Calibri" w:cs="Calibri" w:eastAsia="Calibri" w:hAnsi="Calibri"/>
          <w:b/>
          <w:bCs/>
          <w:sz w:val="21"/>
          <w:szCs w:val="21"/>
        </w:rPr>
        <w:t xml:space="preserve">Base de cálculo de la bolsa y crédito que hay que autorizar.</w:t>
      </w:r>
      <w:r>
        <w:rPr>
          <w:rFonts w:ascii="Calibri" w:cs="Calibri" w:eastAsia="Calibri" w:hAnsi="Calibri"/>
          <w:sz w:val="21"/>
          <w:szCs w:val="21"/>
        </w:rPr>
        <w:t xml:space="preserve"> El 5 % se aplica sobre el presupuesto base de licitación del servicio de la </w:t>
      </w:r>
      <w:r>
        <w:rPr>
          <w:rFonts w:ascii="Calibri" w:cs="Calibri" w:eastAsia="Calibri" w:hAnsi="Calibri"/>
          <w:b/>
          <w:bCs/>
          <w:sz w:val="21"/>
          <w:szCs w:val="21"/>
        </w:rPr>
        <w:t xml:space="preserve">duración inicial</w:t>
      </w:r>
      <w:r>
        <w:rPr>
          <w:rFonts w:ascii="Calibri" w:cs="Calibri" w:eastAsia="Calibri" w:hAnsi="Calibri"/>
          <w:sz w:val="21"/>
          <w:szCs w:val="21"/>
        </w:rPr>
        <w:t xml:space="preserve">, sin IVA —240.000 €—, y arroja </w:t>
      </w:r>
      <w:r>
        <w:rPr>
          <w:rFonts w:ascii="Calibri" w:cs="Calibri" w:eastAsia="Calibri" w:hAnsi="Calibri"/>
          <w:b/>
          <w:bCs/>
          <w:sz w:val="21"/>
          <w:szCs w:val="21"/>
        </w:rPr>
        <w:t xml:space="preserve">12.000 €</w:t>
      </w:r>
      <w:r>
        <w:rPr>
          <w:rFonts w:ascii="Calibri" w:cs="Calibri" w:eastAsia="Calibri" w:hAnsi="Calibri"/>
          <w:sz w:val="21"/>
          <w:szCs w:val="21"/>
        </w:rPr>
        <w:t xml:space="preserve"> para los dos años iniciales, la mitad del techo del 10 % que ADM-3·v3 se impone. La bolsa se dota </w:t>
      </w:r>
      <w:r>
        <w:rPr>
          <w:rFonts w:ascii="Calibri" w:cs="Calibri" w:eastAsia="Calibri" w:hAnsi="Calibri"/>
          <w:b/>
          <w:bCs/>
          <w:sz w:val="21"/>
          <w:szCs w:val="21"/>
        </w:rPr>
        <w:t xml:space="preserve">también</w:t>
      </w:r>
      <w:r>
        <w:rPr>
          <w:rFonts w:ascii="Calibri" w:cs="Calibri" w:eastAsia="Calibri" w:hAnsi="Calibri"/>
          <w:sz w:val="21"/>
          <w:szCs w:val="21"/>
        </w:rPr>
        <w:t xml:space="preserve"> en las dos anualidades de prórroga, en la misma proporción y por otros 12.000 €, que sólo se autorizan si la prórroga se acuerda. De ahí la consecuencia que el expediente debe escribir y no deducir: el presupuesto base de licitación de la duración inicial es </w:t>
      </w:r>
      <w:r>
        <w:rPr>
          <w:rFonts w:ascii="Calibri" w:cs="Calibri" w:eastAsia="Calibri" w:hAnsi="Calibri"/>
          <w:b/>
          <w:bCs/>
          <w:sz w:val="21"/>
          <w:szCs w:val="21"/>
        </w:rPr>
        <w:t xml:space="preserve">252.000 €</w:t>
      </w:r>
      <w:r>
        <w:rPr>
          <w:rFonts w:ascii="Calibri" w:cs="Calibri" w:eastAsia="Calibri" w:hAnsi="Calibri"/>
          <w:sz w:val="21"/>
          <w:szCs w:val="21"/>
        </w:rPr>
        <w:t xml:space="preserve"> (IVA excluido), y ése —no 240.000 €— es el importe del desglose del art. 100.2 LCSP, del certificado de existencia de crédito del art. 116.3 LCSP y del compromiso de gasto plurianual del art. 174 TRLRHL. El valor estimado no varía por escribirlo bien: 252.000 + 252.000 = </w:t>
      </w:r>
      <w:r>
        <w:rPr>
          <w:rFonts w:ascii="Calibri" w:cs="Calibri" w:eastAsia="Calibri" w:hAnsi="Calibri"/>
          <w:b/>
          <w:bCs/>
          <w:sz w:val="21"/>
          <w:szCs w:val="21"/>
        </w:rPr>
        <w:t xml:space="preserve">504.000 €</w:t>
      </w:r>
      <w:r>
        <w:rPr>
          <w:rFonts w:ascii="Calibri" w:cs="Calibri" w:eastAsia="Calibri" w:hAnsi="Calibri"/>
          <w:sz w:val="21"/>
          <w:szCs w:val="21"/>
        </w:rPr>
        <w:t xml:space="preserve">, exactamente lo que resultaba de sumar la bolsa como línea aparte. Una precisión que el PCAP debe recoger para que la bolsa dentro del presupuesto base no confunda al licitador: </w:t>
      </w:r>
      <w:r>
        <w:rPr>
          <w:rFonts w:ascii="Calibri" w:cs="Calibri" w:eastAsia="Calibri" w:hAnsi="Calibri"/>
          <w:b/>
          <w:bCs/>
          <w:sz w:val="21"/>
          <w:szCs w:val="21"/>
        </w:rPr>
        <w:t xml:space="preserve">la baja del criterio P se oferta sobre el presupuesto base de licitación del servicio —240.000 €—</w:t>
      </w:r>
      <w:r>
        <w:rPr>
          <w:rFonts w:ascii="Calibri" w:cs="Calibri" w:eastAsia="Calibri" w:hAnsi="Calibri"/>
          <w:sz w:val="21"/>
          <w:szCs w:val="21"/>
        </w:rPr>
        <w:t xml:space="preserve">, porque la bolsa no se retribuye a tanto alzado, sino a los precios unitarios que el criterio F valora y sólo por las horas efectivamente ejecutadas y recibidas de conformidad (ADM-3·v3, bloque 2, apartado 3).</w:t>
      </w:r>
    </w:p>
    <w:p>
      <w:pPr>
        <w:spacing w:after="140" w:line="276"/>
      </w:pPr>
      <w:r>
        <w:rPr>
          <w:rFonts w:ascii="Calibri" w:cs="Calibri" w:eastAsia="Calibri" w:hAnsi="Calibri"/>
          <w:b/>
          <w:bCs/>
          <w:sz w:val="21"/>
          <w:szCs w:val="21"/>
        </w:rPr>
        <w:t xml:space="preserve">Coste de las cláusulas del catálogo efectivamente activadas</w:t>
      </w:r>
      <w:r>
        <w:rPr>
          <w:rFonts w:ascii="Calibri" w:cs="Calibri" w:eastAsia="Calibri" w:hAnsi="Calibri"/>
          <w:sz w:val="21"/>
          <w:szCs w:val="21"/>
        </w:rPr>
        <w:t xml:space="preserve">, cumplimentando la tabla de la Parte V, V.4.16. Un expediente que incorpora estas cláusulas y no cifra su coste no se fiscaliza de conformidad.</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 activada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Coste imputado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Dónde se consigna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ADM-3·v3, bloque 2 — bolsa de servicios evolutivos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12.000 € en la duración inicial (24.000 € si se ejercen las dos prórrogas)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Dentro del presupuesto base de licitación; computada en el valor estimado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 — entorno de pruebas y ensayo de reversibilidad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Presupuesto base, dentro de otros costes directos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ADM-11·v3 — depósito de código y su verificación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0 €</w:t>
            </w:r>
            <w:r>
              <w:rPr>
                <w:rFonts w:ascii="Calibri" w:cs="Calibri" w:eastAsia="Calibri" w:hAnsi="Calibri"/>
                <w:b w:val="false"/>
                <w:bCs w:val="false"/>
                <w:sz w:val="18"/>
                <w:szCs w:val="18"/>
              </w:rPr>
              <w:t xml:space="preserve">, por marcarse NO APLICA (VI.4.3)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ADM-12·v3 — [X; se recomienda 3] accesos de control incluidos en el precio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coste adicional: incluidos en el precio ofertado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 cláusula de acceso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Horas municipales de verificación (VI.4.8)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h/año × [coste hora del puesto]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justificativa, no presupuesto del contrato</w:t>
            </w:r>
          </w:p>
        </w:tc>
      </w:tr>
    </w:tbl>
    <w:p>
      <w:pPr>
        <w:spacing w:after="200"/>
      </w:pPr>
    </w:p>
    <w:p>
      <w:pPr>
        <w:spacing w:after="140" w:line="276"/>
      </w:pPr>
      <w:r>
        <w:rPr>
          <w:rFonts w:ascii="Calibri" w:cs="Calibri" w:eastAsia="Calibri" w:hAnsi="Calibri"/>
          <w:sz w:val="21"/>
          <w:szCs w:val="21"/>
        </w:rPr>
        <w:t xml:space="preserve">Comprobación de los </w:t>
      </w:r>
      <w:r>
        <w:rPr>
          <w:rFonts w:ascii="Calibri" w:cs="Calibri" w:eastAsia="Calibri" w:hAnsi="Calibri"/>
          <w:b/>
          <w:bCs/>
          <w:sz w:val="21"/>
          <w:szCs w:val="21"/>
        </w:rPr>
        <w:t xml:space="preserve">cuatro umbrales</w:t>
      </w:r>
      <w:r>
        <w:rPr>
          <w:rFonts w:ascii="Calibri" w:cs="Calibri" w:eastAsia="Calibri" w:hAnsi="Calibri"/>
          <w:sz w:val="21"/>
          <w:szCs w:val="21"/>
        </w:rPr>
        <w:t xml:space="preserve"> de la Parte V, V.4.10, con ese resultado. Se añade, por su efecto sobre la variante B del baremo, el tope del procedimiento abierto simplificado, que no es umbral autónomo: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Umbral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Precepto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Efecto en este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Contrato menor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118.1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procede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Procedimiento abierto abreviado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159.6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procede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Recurso especial en materia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44.1.a) LCSP: valor estimado superior a 100.000 € en servicios y suministros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Procede</w:t>
            </w:r>
            <w:r>
              <w:rPr>
                <w:rFonts w:ascii="Calibri" w:cs="Calibri" w:eastAsia="Calibri" w:hAnsi="Calibri"/>
                <w:b w:val="false"/>
                <w:bCs w:val="false"/>
                <w:sz w:val="18"/>
                <w:szCs w:val="18"/>
              </w:rPr>
              <w:t xml:space="preserve">. Los pliegos son directamente recurribles (art. 44.2.a). La defensa se juega en las dos primeras semanas desde su publicación y con lo que en ese momento conste en el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Contrato sujeto a regulación armonizada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Reglamento Delegado (UE) 2025/2152, incorporado a los arts. 21.1.b) y 22.1.b) LCSP por la Orden HAC/1517/2025, de 18 de diciembre (BOE-A-2025-26605): 216.000 € en servicios y suministros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Procede</w:t>
            </w:r>
            <w:r>
              <w:rPr>
                <w:rFonts w:ascii="Calibri" w:cs="Calibri" w:eastAsia="Calibri" w:hAnsi="Calibri"/>
                <w:b w:val="false"/>
                <w:bCs w:val="false"/>
                <w:sz w:val="18"/>
                <w:szCs w:val="18"/>
              </w:rPr>
              <w:t xml:space="preserve">. Publicidad en el DOUE y plazos armonizados. Compruébese la vigencia del importe antes de publicar: se revisa cada dos años</w:t>
            </w:r>
          </w:p>
        </w:tc>
      </w:tr>
      <w:tr>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(Tope, no umbral)</w:t>
            </w:r>
            <w:r>
              <w:rPr>
                <w:rFonts w:ascii="Calibri" w:cs="Calibri" w:eastAsia="Calibri" w:hAnsi="Calibri"/>
                <w:b w:val="false"/>
                <w:bCs w:val="false"/>
                <w:sz w:val="18"/>
                <w:szCs w:val="18"/>
              </w:rPr>
              <w:t xml:space="preserve"> Procedimiento abierto simplificado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159.1.a) LCSP</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procede</w:t>
            </w:r>
            <w:r>
              <w:rPr>
                <w:rFonts w:ascii="Calibri" w:cs="Calibri" w:eastAsia="Calibri" w:hAnsi="Calibri"/>
                <w:b w:val="false"/>
                <w:bCs w:val="false"/>
                <w:sz w:val="18"/>
                <w:szCs w:val="18"/>
              </w:rPr>
              <w:t xml:space="preserve">: el valor estimado supera el umbral de servicios y suministros. La variante B del baremo no es utilizable en este expediente</w:t>
            </w:r>
          </w:p>
        </w:tc>
      </w:tr>
    </w:tbl>
    <w:p>
      <w:pPr>
        <w:spacing w:after="200"/>
      </w:pPr>
    </w:p>
    <w:p>
      <w:pPr>
        <w:spacing w:after="140" w:line="276"/>
      </w:pPr>
      <w:r>
        <w:rPr>
          <w:rFonts w:ascii="Calibri" w:cs="Calibri" w:eastAsia="Calibri" w:hAnsi="Calibri"/>
          <w:b/>
          <w:bCs/>
          <w:sz w:val="21"/>
          <w:szCs w:val="21"/>
        </w:rPr>
        <w:t xml:space="preserve">Decisión sobre ADM-14·v3 (modificación prevista): NO se incorpora.</w:t>
      </w:r>
      <w:r>
        <w:rPr>
          <w:rFonts w:ascii="Calibri" w:cs="Calibri" w:eastAsia="Calibri" w:hAnsi="Calibri"/>
          <w:sz w:val="21"/>
          <w:szCs w:val="21"/>
        </w:rPr>
        <w:t xml:space="preserve"> Motivos, en este orden: la evolución exigible está determinada en el Anexo V y retribuida con el precio ofertado; la bolsa de servicios evolutivos del art. 308.3 LCSP cubre las peticiones de servicio no previstas dentro del objeto; y toda reserva adicional sube el valor estimado sin contrapartida. El ejemplo numérico de por qué una reserva pequeña puede abrir el recurso especial en un contrato que estaba por debajo del umbral está en ADM-14·v3 y en la Parte 0, §0.2, y no se repite aquí.</w:t>
      </w:r>
    </w:p>
    <w:p>
      <w:pPr>
        <w:pStyle w:val="Heading3"/>
        <w:keepNext/>
        <w:spacing w:after="140" w:before="320"/>
      </w:pPr>
      <w:r>
        <w:rPr>
          <w:rFonts w:ascii="Georgia" w:cs="Georgia" w:eastAsia="Georgia" w:hAnsi="Georgia"/>
          <w:b/>
          <w:bCs/>
          <w:color w:val="2F5496"/>
          <w:sz w:val="22"/>
          <w:szCs w:val="22"/>
        </w:rPr>
        <w:t xml:space="preserve">VI.4.8 Quién verifica, cuándo y cuánto cuesta</w:t>
      </w:r>
    </w:p>
    <w:p>
      <w:pPr>
        <w:spacing w:after="140" w:line="276"/>
      </w:pPr>
      <w:r>
        <w:rPr>
          <w:rFonts w:ascii="Calibri" w:cs="Calibri" w:eastAsia="Calibri" w:hAnsi="Calibri"/>
          <w:sz w:val="21"/>
          <w:szCs w:val="21"/>
        </w:rPr>
        <w:t xml:space="preserve">La segunda dificultad del §M1.1 es que el seguimiento real de los contratos es escaso y se limita al control del gasto. La respuesta no es prometer más seguimiento: es dimensionarlo y decir quién lo hace. </w:t>
      </w:r>
      <w:r>
        <w:rPr>
          <w:rFonts w:ascii="Calibri" w:cs="Calibri" w:eastAsia="Calibri" w:hAnsi="Calibri"/>
          <w:b/>
          <w:bCs/>
          <w:sz w:val="21"/>
          <w:szCs w:val="21"/>
        </w:rPr>
        <w:t xml:space="preserve">Ninguna cláusula se incorpora si su verificación no tiene actor municipal designado y periodicidad</w:t>
      </w:r>
      <w:r>
        <w:rPr>
          <w:rFonts w:ascii="Calibri" w:cs="Calibri" w:eastAsia="Calibri" w:hAnsi="Calibri"/>
          <w:sz w:val="21"/>
          <w:szCs w:val="21"/>
        </w:rPr>
        <w:t xml:space="preserve">, conforme a la regla de verificabilidad municipal enunciada en la Parte I, §7.9.</w:t>
      </w:r>
    </w:p>
    <w:p>
      <w:pPr>
        <w:spacing w:after="140" w:line="276"/>
      </w:pPr>
      <w:r>
        <w:rPr>
          <w:rFonts w:ascii="Calibri" w:cs="Calibri" w:eastAsia="Calibri" w:hAnsi="Calibri"/>
          <w:b/>
          <w:bCs/>
          <w:sz w:val="21"/>
          <w:szCs w:val="21"/>
        </w:rPr>
        <w:t xml:space="preserve">Fuente única de la cuantificación: la tabla de ADM-4·v3, epígrafe 5.</w:t>
      </w:r>
      <w:r>
        <w:rPr>
          <w:rFonts w:ascii="Calibri" w:cs="Calibri" w:eastAsia="Calibri" w:hAnsi="Calibri"/>
          <w:sz w:val="21"/>
          <w:szCs w:val="21"/>
        </w:rPr>
        <w:t xml:space="preserve"> Este apartado no estima por su cuenta y no añade ninguna fila a aquélla: </w:t>
      </w:r>
      <w:r>
        <w:rPr>
          <w:rFonts w:ascii="Calibri" w:cs="Calibri" w:eastAsia="Calibri" w:hAnsi="Calibri"/>
          <w:b/>
          <w:bCs/>
          <w:sz w:val="21"/>
          <w:szCs w:val="21"/>
        </w:rPr>
        <w:t xml:space="preserve">reproduce sus filas literalmente</w:t>
      </w:r>
      <w:r>
        <w:rPr>
          <w:rFonts w:ascii="Calibri" w:cs="Calibri" w:eastAsia="Calibri" w:hAnsi="Calibri"/>
          <w:sz w:val="21"/>
          <w:szCs w:val="21"/>
        </w:rPr>
        <w:t xml:space="preserve">, con su misma numeración, y se limita a suprimir las que VI.4.3 marca NO APLICA en este expediente. Si una cifra de aquí divergiera de la de allí, prevalece aquélla y ésta se corrige.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 en ADM-4·v3.5</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se verifica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Cuándo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h/año ordinario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 año 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Aceptación de funcionalidades de IA y revisión anual del inventario (DT-1·v3)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informática + delegado de protección de datos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Aceptación y revisión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aceptación por funcionalidad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12–20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16–28</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Aceptación de automatizaciones e indicadores trimestrales (DT-4·v3)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Gestor del proceso + 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Aceptación y trimestral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aceptación; informe trimestral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26</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Pruebas de integración y de exportación autónoma (DT-5·v3)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 con el órgano interventor en la exportación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Aceptación y comprobación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integración; acta de exportación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Revisión de seguridad, vulnerabilidades y prueba de continuidad (DT-6·v3)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 la seguridad de la información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anual de seguimiento de seguridad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10–14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Aceptación y verificación anual de la interfaz normalizada (DT-7·v3)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 + 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 vencer el plazo de 12 meses y, después,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prueba de aceptación de la interfaz</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12–16</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Revisión del Plan y del Inventario de Componentes y ensayo de reversibilidad (DT-8·v3)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Cotejo con cada versión en producción; ensayo cada [X; se recomienda 24] meses y uno en el último 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Registro del contrato; acta de ensayo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12–20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Prueba de aceptación de cada exigencia del Anexo V y comprobación anual de las capacidades aceptadas (DT-9·v3)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 con el órgano interventor cuando afecte a información económico-financiera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 vencer el plazo de cada exigencia y, después,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aceptación por exigencia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28–40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Subtotal de las cláusulas técnicas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58–82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116–156</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Sesiones de la Comisión de Seguimiento (ADM-4·v3.2)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gestor + informática (+ control interno como invitado)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Semestral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anual de ejecución (ADM-4·v3.3)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Comprobación del sistema de gestión de IA (ADM-1·v3, modalidad 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Nota de comprobación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Seguimiento de versiones sucesoras y fines de soporte (ADM-2·v3.6)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Continuo, balance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Registro + acta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Revisión del Plan Anual de Evolución Tecnológica y aprobación de hitos (ADM-10·v3)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 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 acuerdo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Tramitación y recepción de peticiones de la bolsa (ADM-3·v3, bloque 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petición ([X; se recomienda 20]/año)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Petición + acta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Cierre anual de la bolsa (ADM-3·v3)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 unidad gestora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Cuadro acumulado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Comprobación del depósito de código (ADM-11·v3)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0</w:t>
            </w:r>
            <w:r>
              <w:rPr>
                <w:rFonts w:ascii="Calibri" w:cs="Calibri" w:eastAsia="Calibri" w:hAnsi="Calibri"/>
                <w:b w:val="false"/>
                <w:bCs w:val="false"/>
                <w:sz w:val="18"/>
                <w:szCs w:val="18"/>
              </w:rPr>
              <w:t xml:space="preserve">, por marcarse NO APLICA (VI.4.3)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Comprobación del acceso de los órganos de control (ADM-12·v3)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interventor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Diligencia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Autorización de altas y comprobación de la declaración de sistemas de IA (ADM-13·v3)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 y por alta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Autorización escrita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Subtotal de las cláusulas administrativas, descontada C8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59,5</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61,5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Total de ejecución de este expediente (B + 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117,5–141,5 h/año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177,5–217,5 h</w:t>
            </w:r>
          </w:p>
        </w:tc>
      </w:tr>
    </w:tbl>
    <w:p>
      <w:pPr>
        <w:spacing w:after="200"/>
      </w:pPr>
    </w:p>
    <w:p>
      <w:pPr>
        <w:spacing w:after="140" w:line="276"/>
      </w:pPr>
      <w:r>
        <w:rPr>
          <w:rFonts w:ascii="Calibri" w:cs="Calibri" w:eastAsia="Calibri" w:hAnsi="Calibri"/>
          <w:b/>
          <w:bCs/>
          <w:sz w:val="21"/>
          <w:szCs w:val="21"/>
        </w:rPr>
        <w:t xml:space="preserve">Aritmética de los subtotales, para que pueda rehacerse.</w:t>
      </w:r>
      <w:r>
        <w:rPr>
          <w:rFonts w:ascii="Calibri" w:cs="Calibri" w:eastAsia="Calibri" w:hAnsi="Calibri"/>
          <w:sz w:val="21"/>
          <w:szCs w:val="21"/>
        </w:rPr>
        <w:t xml:space="preserve"> El subtotal técnico es el de ADM-4·v3.5 sin variación, porque las siete cláusulas técnicas aplican y DT-2·v3 y DT-3·v3 ya estaban excluidas de aquella tabla. El subtotal administrativo es el de ADM-4·v3.5 —62,5 y 64,5 horas— menos las 3 horas de C8, que aquí es cero por estar ADM-11·v3 marcada NO APLICA: 59,5 y 61,5. Total de la duración ordinaria, 58 + 59,5 = 117,5 y 82 + 59,5 = 141,5; total del primer año, 116 + 61,5 = 177,5 y 156 + 61,5 = 217,5.</w:t>
      </w:r>
    </w:p>
    <w:p>
      <w:pPr>
        <w:spacing w:after="140" w:line="276"/>
      </w:pPr>
      <w:r>
        <w:rPr>
          <w:rFonts w:ascii="Calibri" w:cs="Calibri" w:eastAsia="Calibri" w:hAnsi="Calibri"/>
          <w:b/>
          <w:bCs/>
          <w:sz w:val="21"/>
          <w:szCs w:val="21"/>
        </w:rPr>
        <w:t xml:space="preserve">Carga de licitación, que no es anual y no se suma a la anterior</w:t>
      </w:r>
      <w:r>
        <w:rPr>
          <w:rFonts w:ascii="Calibri" w:cs="Calibri" w:eastAsia="Calibri" w:hAnsi="Calibri"/>
          <w:sz w:val="21"/>
          <w:szCs w:val="21"/>
        </w:rPr>
        <w:t xml:space="preserve"> (filas A1 a A3 de ADM-4·v3.5): apreciación de las equivalencias invocadas por los licitadores (DT-0·v3), </w:t>
      </w:r>
      <w:r>
        <w:rPr>
          <w:rFonts w:ascii="Calibri" w:cs="Calibri" w:eastAsia="Calibri" w:hAnsi="Calibri"/>
          <w:b/>
          <w:bCs/>
          <w:sz w:val="21"/>
          <w:szCs w:val="21"/>
        </w:rPr>
        <w:t xml:space="preserve">6–18 h</w:t>
      </w:r>
      <w:r>
        <w:rPr>
          <w:rFonts w:ascii="Calibri" w:cs="Calibri" w:eastAsia="Calibri" w:hAnsi="Calibri"/>
          <w:sz w:val="21"/>
          <w:szCs w:val="21"/>
        </w:rPr>
        <w:t xml:space="preserve">; ficha por criterio y hoja de comprobación del baremo (ADM-7·v3), </w:t>
      </w:r>
      <w:r>
        <w:rPr>
          <w:rFonts w:ascii="Calibri" w:cs="Calibri" w:eastAsia="Calibri" w:hAnsi="Calibri"/>
          <w:b/>
          <w:bCs/>
          <w:sz w:val="21"/>
          <w:szCs w:val="21"/>
        </w:rPr>
        <w:t xml:space="preserve">3–6 h</w:t>
      </w:r>
      <w:r>
        <w:rPr>
          <w:rFonts w:ascii="Calibri" w:cs="Calibri" w:eastAsia="Calibri" w:hAnsi="Calibri"/>
          <w:sz w:val="21"/>
          <w:szCs w:val="21"/>
        </w:rPr>
        <w:t xml:space="preserve">; y demostración funcional más comprobación documental de ADM-9·v3 con cinco ofertas admitidas y sin requerimientos adicionales, </w:t>
      </w:r>
      <w:r>
        <w:rPr>
          <w:rFonts w:ascii="Calibri" w:cs="Calibri" w:eastAsia="Calibri" w:hAnsi="Calibri"/>
          <w:b/>
          <w:bCs/>
          <w:sz w:val="21"/>
          <w:szCs w:val="21"/>
        </w:rPr>
        <w:t xml:space="preserve">24–29 h</w:t>
      </w:r>
      <w:r>
        <w:rPr>
          <w:rFonts w:ascii="Calibri" w:cs="Calibri" w:eastAsia="Calibri" w:hAnsi="Calibri"/>
          <w:sz w:val="21"/>
          <w:szCs w:val="21"/>
        </w:rPr>
        <w:t xml:space="preserve">, que es la cláusula más cara del catálogo en horas municipales. </w:t>
      </w:r>
      <w:r>
        <w:rPr>
          <w:rFonts w:ascii="Calibri" w:cs="Calibri" w:eastAsia="Calibri" w:hAnsi="Calibri"/>
          <w:b/>
          <w:bCs/>
          <w:sz w:val="21"/>
          <w:szCs w:val="21"/>
        </w:rPr>
        <w:t xml:space="preserve">Subtotal por licitación: 33–53 h.</w:t>
      </w:r>
    </w:p>
    <w:p>
      <w:pPr>
        <w:spacing w:after="140" w:line="276"/>
      </w:pPr>
      <w:r>
        <w:rPr>
          <w:rFonts w:ascii="Calibri" w:cs="Calibri" w:eastAsia="Calibri" w:hAnsi="Calibri"/>
          <w:b/>
          <w:bCs/>
          <w:sz w:val="21"/>
          <w:szCs w:val="21"/>
        </w:rPr>
        <w:t xml:space="preserve">Fuera del cómputo anual</w:t>
      </w:r>
      <w:r>
        <w:rPr>
          <w:rFonts w:ascii="Calibri" w:cs="Calibri" w:eastAsia="Calibri" w:hAnsi="Calibri"/>
          <w:sz w:val="21"/>
          <w:szCs w:val="21"/>
        </w:rPr>
        <w:t xml:space="preserve">, por no ser recurrentes: entre </w:t>
      </w:r>
      <w:r>
        <w:rPr>
          <w:rFonts w:ascii="Calibri" w:cs="Calibri" w:eastAsia="Calibri" w:hAnsi="Calibri"/>
          <w:b/>
          <w:bCs/>
          <w:sz w:val="21"/>
          <w:szCs w:val="21"/>
        </w:rPr>
        <w:t xml:space="preserve">20 y 40 horas</w:t>
      </w:r>
      <w:r>
        <w:rPr>
          <w:rFonts w:ascii="Calibri" w:cs="Calibri" w:eastAsia="Calibri" w:hAnsi="Calibri"/>
          <w:sz w:val="21"/>
          <w:szCs w:val="21"/>
        </w:rPr>
        <w:t xml:space="preserve"> en el último año por la reversión efectiva; unas </w:t>
      </w:r>
      <w:r>
        <w:rPr>
          <w:rFonts w:ascii="Calibri" w:cs="Calibri" w:eastAsia="Calibri" w:hAnsi="Calibri"/>
          <w:b/>
          <w:bCs/>
          <w:sz w:val="21"/>
          <w:szCs w:val="21"/>
        </w:rPr>
        <w:t xml:space="preserve">6 horas</w:t>
      </w:r>
      <w:r>
        <w:rPr>
          <w:rFonts w:ascii="Calibri" w:cs="Calibri" w:eastAsia="Calibri" w:hAnsi="Calibri"/>
          <w:sz w:val="21"/>
          <w:szCs w:val="21"/>
        </w:rPr>
        <w:t xml:space="preserve"> por cada expediente de penalidad (ADM-5·v3); y entre </w:t>
      </w:r>
      <w:r>
        <w:rPr>
          <w:rFonts w:ascii="Calibri" w:cs="Calibri" w:eastAsia="Calibri" w:hAnsi="Calibri"/>
          <w:b/>
          <w:bCs/>
          <w:sz w:val="21"/>
          <w:szCs w:val="21"/>
        </w:rPr>
        <w:t xml:space="preserve">25 y 40 horas</w:t>
      </w:r>
      <w:r>
        <w:rPr>
          <w:rFonts w:ascii="Calibri" w:cs="Calibri" w:eastAsia="Calibri" w:hAnsi="Calibri"/>
          <w:sz w:val="21"/>
          <w:szCs w:val="21"/>
        </w:rPr>
        <w:t xml:space="preserve"> por cada expediente de resolución. El ensayo de reversibilidad no se suma aparte: está dentro de la fila B6.</w:t>
      </w:r>
    </w:p>
    <w:p>
      <w:pPr>
        <w:spacing w:after="140" w:line="276"/>
      </w:pPr>
      <w:r>
        <w:rPr>
          <w:rFonts w:ascii="Calibri" w:cs="Calibri" w:eastAsia="Calibri" w:hAnsi="Calibri"/>
          <w:b/>
          <w:bCs/>
          <w:sz w:val="21"/>
          <w:szCs w:val="21"/>
        </w:rPr>
        <w:t xml:space="preserve">Sobre las cinco verificaciones que una versión anterior de este apartado presentaba como «añadidas».</w:t>
      </w:r>
      <w:r>
        <w:rPr>
          <w:rFonts w:ascii="Calibri" w:cs="Calibri" w:eastAsia="Calibri" w:hAnsi="Calibri"/>
          <w:sz w:val="21"/>
          <w:szCs w:val="21"/>
        </w:rPr>
        <w:t xml:space="preserve"> DT-1·v3, DT-4·v3, DT-5·v3, DT-6·v3 y el cotejo del Inventario de Componentes </w:t>
      </w:r>
      <w:r>
        <w:rPr>
          <w:rFonts w:ascii="Calibri" w:cs="Calibri" w:eastAsia="Calibri" w:hAnsi="Calibri"/>
          <w:b/>
          <w:bCs/>
          <w:sz w:val="21"/>
          <w:szCs w:val="21"/>
        </w:rPr>
        <w:t xml:space="preserve">ya figuran</w:t>
      </w:r>
      <w:r>
        <w:rPr>
          <w:rFonts w:ascii="Calibri" w:cs="Calibri" w:eastAsia="Calibri" w:hAnsi="Calibri"/>
          <w:sz w:val="21"/>
          <w:szCs w:val="21"/>
        </w:rPr>
        <w:t xml:space="preserve"> en la tabla de ADM-4·v3, epígrafe 5, como filas B1, B2, B3, B4 y B6. No se añaden aquí, y no procede corregir la fuente única en ese sentido: contarlas dos veces era el error.</w:t>
      </w:r>
    </w:p>
    <w:p>
      <w:pPr>
        <w:spacing w:after="140" w:line="276"/>
      </w:pPr>
      <w:r>
        <w:rPr>
          <w:rFonts w:ascii="Calibri" w:cs="Calibri" w:eastAsia="Calibri" w:hAnsi="Calibri"/>
          <w:b/>
          <w:bCs/>
          <w:sz w:val="21"/>
          <w:szCs w:val="21"/>
        </w:rPr>
        <w:t xml:space="preserve">Las cláusulas aplicables que no generan carga anual de ejecución, y dónde se comprueban</w:t>
      </w:r>
      <w:r>
        <w:rPr>
          <w:rFonts w:ascii="Calibri" w:cs="Calibri" w:eastAsia="Calibri" w:hAnsi="Calibri"/>
          <w:sz w:val="21"/>
          <w:szCs w:val="21"/>
        </w:rPr>
        <w:t xml:space="preserve">, para que ninguna quede sin actor: DT-0·v3, ADM-6·v3 y ADM-8·v3 se verifican </w:t>
      </w:r>
      <w:r>
        <w:rPr>
          <w:rFonts w:ascii="Calibri" w:cs="Calibri" w:eastAsia="Calibri" w:hAnsi="Calibri"/>
          <w:b/>
          <w:bCs/>
          <w:sz w:val="21"/>
          <w:szCs w:val="21"/>
        </w:rPr>
        <w:t xml:space="preserve">una sola vez, al aprobar el pliego</w:t>
      </w:r>
      <w:r>
        <w:rPr>
          <w:rFonts w:ascii="Calibri" w:cs="Calibri" w:eastAsia="Calibri" w:hAnsi="Calibri"/>
          <w:sz w:val="21"/>
          <w:szCs w:val="21"/>
        </w:rPr>
        <w:t xml:space="preserve">, por el órgano al que corresponda el informe jurídico preceptivo; ADM-7·v3 y ADM-9·v3, </w:t>
      </w:r>
      <w:r>
        <w:rPr>
          <w:rFonts w:ascii="Calibri" w:cs="Calibri" w:eastAsia="Calibri" w:hAnsi="Calibri"/>
          <w:b/>
          <w:bCs/>
          <w:sz w:val="21"/>
          <w:szCs w:val="21"/>
        </w:rPr>
        <w:t xml:space="preserve">en la licitación</w:t>
      </w:r>
      <w:r>
        <w:rPr>
          <w:rFonts w:ascii="Calibri" w:cs="Calibri" w:eastAsia="Calibri" w:hAnsi="Calibri"/>
          <w:sz w:val="21"/>
          <w:szCs w:val="21"/>
        </w:rPr>
        <w:t xml:space="preserve">, por la mesa de contratación, con la carga por expediente ya indicada; y ADM-5·v3 se activa </w:t>
      </w:r>
      <w:r>
        <w:rPr>
          <w:rFonts w:ascii="Calibri" w:cs="Calibri" w:eastAsia="Calibri" w:hAnsi="Calibri"/>
          <w:b/>
          <w:bCs/>
          <w:sz w:val="21"/>
          <w:szCs w:val="21"/>
        </w:rPr>
        <w:t xml:space="preserve">ante cada incumplimiento</w:t>
      </w:r>
      <w:r>
        <w:rPr>
          <w:rFonts w:ascii="Calibri" w:cs="Calibri" w:eastAsia="Calibri" w:hAnsi="Calibri"/>
          <w:sz w:val="21"/>
          <w:szCs w:val="21"/>
        </w:rPr>
        <w:t xml:space="preserve">, con la carga por expediente ya indicada. Todas ellas figuran con su verificador y su periodicidad en el Anexo I.</w:t>
      </w:r>
    </w:p>
    <w:p>
      <w:pPr>
        <w:spacing w:after="140" w:line="276"/>
      </w:pPr>
      <w:r>
        <w:rPr>
          <w:rFonts w:ascii="Calibri" w:cs="Calibri" w:eastAsia="Calibri" w:hAnsi="Calibri"/>
          <w:sz w:val="21"/>
          <w:szCs w:val="21"/>
        </w:rPr>
        <w:t xml:space="preserve">Lectura honesta de esa cifra: con [X; se recomienda 10] contratos activos bajo este catálogo, la carga anual está entre </w:t>
      </w:r>
      <w:r>
        <w:rPr>
          <w:rFonts w:ascii="Calibri" w:cs="Calibri" w:eastAsia="Calibri" w:hAnsi="Calibri"/>
          <w:b/>
          <w:bCs/>
          <w:sz w:val="21"/>
          <w:szCs w:val="21"/>
        </w:rPr>
        <w:t xml:space="preserve">1.175 y 1.415 horas</w:t>
      </w:r>
      <w:r>
        <w:rPr>
          <w:rFonts w:ascii="Calibri" w:cs="Calibri" w:eastAsia="Calibri" w:hAnsi="Calibri"/>
          <w:sz w:val="21"/>
          <w:szCs w:val="21"/>
        </w:rPr>
        <w:t xml:space="preserve">, del orden de </w:t>
      </w:r>
      <w:r>
        <w:rPr>
          <w:rFonts w:ascii="Calibri" w:cs="Calibri" w:eastAsia="Calibri" w:hAnsi="Calibri"/>
          <w:b/>
          <w:bCs/>
          <w:sz w:val="21"/>
          <w:szCs w:val="21"/>
        </w:rPr>
        <w:t xml:space="preserve">0,7 a 0,9 efectivos a jornada completa</w:t>
      </w:r>
      <w:r>
        <w:rPr>
          <w:rFonts w:ascii="Calibri" w:cs="Calibri" w:eastAsia="Calibri" w:hAnsi="Calibri"/>
          <w:sz w:val="21"/>
          <w:szCs w:val="21"/>
        </w:rPr>
        <w:t xml:space="preserve">, que es la misma lectura que ADM-4·v3.5 hace para el catálogo completo. Es asumible si se planifica y es inasumible si se descubre a posteriori. Crear obligaciones esenciales que después nadie verifica es peor que no crearlas: convierte cada penalidad en una discusión sobre por qué no se detectó antes.</w:t>
      </w:r>
    </w:p>
    <w:p>
      <w:pPr>
        <w:spacing w:after="140" w:line="276"/>
      </w:pPr>
      <w:r>
        <w:rPr>
          <w:rFonts w:ascii="Calibri" w:cs="Calibri" w:eastAsia="Calibri" w:hAnsi="Calibri"/>
          <w:b/>
          <w:bCs/>
          <w:sz w:val="21"/>
          <w:szCs w:val="21"/>
        </w:rPr>
        <w:t xml:space="preserve">Consecuencia de los umbrales del §7.9.2 de la Parte I.</w:t>
      </w:r>
      <w:r>
        <w:rPr>
          <w:rFonts w:ascii="Calibri" w:cs="Calibri" w:eastAsia="Calibri" w:hAnsi="Calibri"/>
          <w:sz w:val="21"/>
          <w:szCs w:val="21"/>
        </w:rPr>
        <w:t xml:space="preserve"> La carga de este contrato supera las 40 horas al año —las supera con holgura incluso en el extremo más favorable de la horquilla, 117,5 h—, de modo que </w:t>
      </w:r>
      <w:r>
        <w:rPr>
          <w:rFonts w:ascii="Calibri" w:cs="Calibri" w:eastAsia="Calibri" w:hAnsi="Calibri"/>
          <w:b/>
          <w:bCs/>
          <w:sz w:val="21"/>
          <w:szCs w:val="21"/>
        </w:rPr>
        <w:t xml:space="preserve">se requiere la conformidad expresa del servicio verificador</w:t>
      </w:r>
      <w:r>
        <w:rPr>
          <w:rFonts w:ascii="Calibri" w:cs="Calibri" w:eastAsia="Calibri" w:hAnsi="Calibri"/>
          <w:sz w:val="21"/>
          <w:szCs w:val="21"/>
        </w:rPr>
        <w:t xml:space="preserve">, que se incorpora al expediente como documento propio (VI.4.10, fila 19) y se marca en la casilla correspondiente de la ficha del Anexo II. Esa conformidad se firma sobre la horquilla completa de 117,5 a 141,5 horas al año, no sobre su extremo inferior. El umbral no se recalibra por el hecho de que el primer expediente lo supere: la alternativa prevista es incorporar menos cláusulas, en los términos de la versión mínima de ADM-4·v3.5.</w:t>
      </w:r>
    </w:p>
    <w:p>
      <w:pPr>
        <w:pStyle w:val="Heading3"/>
        <w:keepNext/>
        <w:spacing w:after="140" w:before="320"/>
      </w:pPr>
      <w:r>
        <w:rPr>
          <w:rFonts w:ascii="Georgia" w:cs="Georgia" w:eastAsia="Georgia" w:hAnsi="Georgia"/>
          <w:b/>
          <w:bCs/>
          <w:color w:val="2F5496"/>
          <w:sz w:val="22"/>
          <w:szCs w:val="22"/>
        </w:rPr>
        <w:t xml:space="preserve">VI.4.9 Cómo se estrena ADM-12·v3</w:t>
      </w:r>
    </w:p>
    <w:p>
      <w:pPr>
        <w:spacing w:after="140" w:line="276"/>
      </w:pPr>
      <w:r>
        <w:rPr>
          <w:rFonts w:ascii="Calibri" w:cs="Calibri" w:eastAsia="Calibri" w:hAnsi="Calibri"/>
          <w:sz w:val="21"/>
          <w:szCs w:val="21"/>
        </w:rPr>
        <w:t xml:space="preserve">La cláusula que pidió el área de control se aplica en el contrato de su propia materia. Contenido concreto para este expediente:</w:t>
      </w:r>
    </w:p>
    <w:p>
      <w:pPr>
        <w:pStyle w:val="ListParagraph"/>
        <w:numPr>
          <w:ilvl w:val="0"/>
          <w:numId w:val="1"/>
        </w:numPr>
        <w:spacing w:after="70" w:line="268"/>
      </w:pPr>
      <w:r>
        <w:rPr>
          <w:rFonts w:ascii="Calibri" w:cs="Calibri" w:eastAsia="Calibri" w:hAnsi="Calibri"/>
          <w:b/>
          <w:bCs/>
          <w:sz w:val="21"/>
          <w:szCs w:val="21"/>
        </w:rPr>
        <w:t xml:space="preserve">[X; se recomienda 3] accesos nominativos de consulta incluidos en el precio</w:t>
      </w:r>
      <w:r>
        <w:rPr>
          <w:rFonts w:ascii="Calibri" w:cs="Calibri" w:eastAsia="Calibri" w:hAnsi="Calibri"/>
          <w:sz w:val="21"/>
          <w:szCs w:val="21"/>
        </w:rPr>
        <w:t xml:space="preserve">, que permitirán consultar los datos de ejecución del contrato </w:t>
      </w:r>
      <w:r>
        <w:rPr>
          <w:rFonts w:ascii="Calibri" w:cs="Calibri" w:eastAsia="Calibri" w:hAnsi="Calibri"/>
          <w:b/>
          <w:bCs/>
          <w:sz w:val="21"/>
          <w:szCs w:val="21"/>
        </w:rPr>
        <w:t xml:space="preserve">con el detalle funcional definido en el apartado [ ] del Pliego de Prescripciones Técnicas</w:t>
      </w:r>
      <w:r>
        <w:rPr>
          <w:rFonts w:ascii="Calibri" w:cs="Calibri" w:eastAsia="Calibri" w:hAnsi="Calibri"/>
          <w:sz w:val="21"/>
          <w:szCs w:val="21"/>
        </w:rPr>
        <w:t xml:space="preserve">, sin coste adicional, durante toda la vigencia y las prórrogas. Es la formulación del apartado 1 de ADM-12·v3, y se emplea por la razón que allí se explica: «acceso de alcance no inferior al del gestor» es indeterminado y desproporcionado, y el propio catálogo lo suprimió. </w:t>
      </w:r>
      <w:r>
        <w:rPr>
          <w:rFonts w:ascii="Calibri" w:cs="Calibri" w:eastAsia="Calibri" w:hAnsi="Calibri"/>
          <w:b/>
          <w:bCs/>
          <w:sz w:val="21"/>
          <w:szCs w:val="21"/>
        </w:rPr>
        <w:t xml:space="preserve">Antes de aprobar el pliego hay que comprobar que el PPT contiene efectivamente ese apartado</w:t>
      </w:r>
      <w:r>
        <w:rPr>
          <w:rFonts w:ascii="Calibri" w:cs="Calibri" w:eastAsia="Calibri" w:hAnsi="Calibri"/>
          <w:sz w:val="21"/>
          <w:szCs w:val="21"/>
        </w:rPr>
        <w:t xml:space="preserve">, con la relación de consultas y de exportaciones que el órgano de control necesita. El número de accesos es un parámetro del pliego: fijarlo evita la discusión sobre el modelo de licenciamiento y no expulsa del procedimiento a las soluciones que licencian por usuario.</w:t>
      </w:r>
    </w:p>
    <w:p>
      <w:pPr>
        <w:pStyle w:val="ListParagraph"/>
        <w:numPr>
          <w:ilvl w:val="0"/>
          <w:numId w:val="1"/>
        </w:numPr>
        <w:spacing w:after="70" w:line="268"/>
      </w:pPr>
      <w:r>
        <w:rPr>
          <w:rFonts w:ascii="Calibri" w:cs="Calibri" w:eastAsia="Calibri" w:hAnsi="Calibri"/>
          <w:b/>
          <w:bCs/>
          <w:sz w:val="21"/>
          <w:szCs w:val="21"/>
        </w:rPr>
        <w:t xml:space="preserve">Extracción en formato abierto</w:t>
      </w:r>
      <w:r>
        <w:rPr>
          <w:rFonts w:ascii="Calibri" w:cs="Calibri" w:eastAsia="Calibri" w:hAnsi="Calibri"/>
          <w:sz w:val="21"/>
          <w:szCs w:val="21"/>
        </w:rPr>
        <w:t xml:space="preserve"> por interfaz documentada, sin intervención del adjudicatario y sin tarificación por consulta.</w:t>
      </w:r>
    </w:p>
    <w:p>
      <w:pPr>
        <w:pStyle w:val="ListParagraph"/>
        <w:numPr>
          <w:ilvl w:val="0"/>
          <w:numId w:val="1"/>
        </w:numPr>
        <w:spacing w:after="70" w:line="268"/>
      </w:pPr>
      <w:r>
        <w:rPr>
          <w:rFonts w:ascii="Calibri" w:cs="Calibri" w:eastAsia="Calibri" w:hAnsi="Calibri"/>
          <w:b/>
          <w:bCs/>
          <w:sz w:val="21"/>
          <w:szCs w:val="21"/>
        </w:rPr>
        <w:t xml:space="preserve">Diccionario de datos</w:t>
      </w:r>
      <w:r>
        <w:rPr>
          <w:rFonts w:ascii="Calibri" w:cs="Calibri" w:eastAsia="Calibri" w:hAnsi="Calibri"/>
          <w:sz w:val="21"/>
          <w:szCs w:val="21"/>
        </w:rPr>
        <w:t xml:space="preserve"> entregado y mantenido actualizado.</w:t>
      </w:r>
    </w:p>
    <w:p>
      <w:pPr>
        <w:pStyle w:val="ListParagraph"/>
        <w:numPr>
          <w:ilvl w:val="0"/>
          <w:numId w:val="1"/>
        </w:numPr>
        <w:spacing w:after="70" w:line="268"/>
      </w:pPr>
      <w:r>
        <w:rPr>
          <w:rFonts w:ascii="Calibri" w:cs="Calibri" w:eastAsia="Calibri" w:hAnsi="Calibri"/>
          <w:b/>
          <w:bCs/>
          <w:sz w:val="21"/>
          <w:szCs w:val="21"/>
        </w:rPr>
        <w:t xml:space="preserve">Permanencia</w:t>
      </w:r>
      <w:r>
        <w:rPr>
          <w:rFonts w:ascii="Calibri" w:cs="Calibri" w:eastAsia="Calibri" w:hAnsi="Calibri"/>
          <w:sz w:val="21"/>
          <w:szCs w:val="21"/>
        </w:rPr>
        <w:t xml:space="preserve"> de estas obligaciones en las prórrogas y durante el período de reversión.</w:t>
      </w:r>
    </w:p>
    <w:p>
      <w:pPr>
        <w:pStyle w:val="ListParagraph"/>
        <w:numPr>
          <w:ilvl w:val="0"/>
          <w:numId w:val="1"/>
        </w:numPr>
        <w:spacing w:after="70" w:line="268"/>
      </w:pPr>
      <w:r>
        <w:rPr>
          <w:rFonts w:ascii="Calibri" w:cs="Calibri" w:eastAsia="Calibri" w:hAnsi="Calibri"/>
          <w:b/>
          <w:bCs/>
          <w:sz w:val="21"/>
          <w:szCs w:val="21"/>
        </w:rPr>
        <w:t xml:space="preserve">Límites:</w:t>
      </w:r>
      <w:r>
        <w:rPr>
          <w:rFonts w:ascii="Calibri" w:cs="Calibri" w:eastAsia="Calibri" w:hAnsi="Calibri"/>
          <w:sz w:val="21"/>
          <w:szCs w:val="21"/>
        </w:rPr>
        <w:t xml:space="preserve"> finalidad exclusiva de control interno, deber de sigilo del personal que accede (art. 5.1 RD 424/2017) y sujeción al régimen de protección de datos.</w:t>
      </w:r>
    </w:p>
    <w:p>
      <w:pPr>
        <w:spacing w:after="140" w:line="276"/>
      </w:pPr>
      <w:r>
        <w:rPr>
          <w:rFonts w:ascii="Calibri" w:cs="Calibri" w:eastAsia="Calibri" w:hAnsi="Calibri"/>
          <w:sz w:val="21"/>
          <w:szCs w:val="21"/>
        </w:rPr>
        <w:t xml:space="preserve">Anclaje: función interventora y control financiero (art. 214 TRLRHL; arts. 4.3, 6.3, 6.7, 20 y 30 del RD 424/2017) y DA 3.ª.3 LCSP. La cadena completa del control interno, y la advertencia sobre lo que el art. 33.4.d) del RD 424/2017 </w:t>
      </w:r>
      <w:r>
        <w:rPr>
          <w:rFonts w:ascii="Calibri" w:cs="Calibri" w:eastAsia="Calibri" w:hAnsi="Calibri"/>
          <w:b/>
          <w:bCs/>
          <w:sz w:val="21"/>
          <w:szCs w:val="21"/>
        </w:rPr>
        <w:t xml:space="preserve">no</w:t>
      </w:r>
      <w:r>
        <w:rPr>
          <w:rFonts w:ascii="Calibri" w:cs="Calibri" w:eastAsia="Calibri" w:hAnsi="Calibri"/>
          <w:sz w:val="21"/>
          <w:szCs w:val="21"/>
        </w:rPr>
        <w:t xml:space="preserve"> ampara —es circularización de saldos en auditoría pública, no título para exigir acceso funcional permanente a la aplicación—, están desarrolladas en ADM-12·v3 y en la Parte IV, M1.4, y no se repiten aquí. En este expediente basta con dejar constancia de que el fundamento es la previsión contractual y de que el art. 33.4.d) se cita sólo como refuerzo.</w:t>
      </w:r>
    </w:p>
    <w:p>
      <w:pPr>
        <w:pStyle w:val="Heading3"/>
        <w:keepNext/>
        <w:spacing w:after="140" w:before="320"/>
      </w:pPr>
      <w:r>
        <w:rPr>
          <w:rFonts w:ascii="Georgia" w:cs="Georgia" w:eastAsia="Georgia" w:hAnsi="Georgia"/>
          <w:b/>
          <w:bCs/>
          <w:color w:val="2F5496"/>
          <w:sz w:val="22"/>
          <w:szCs w:val="22"/>
        </w:rPr>
        <w:t xml:space="preserve">VI.4.10 Los documentos del expediente</w:t>
      </w:r>
    </w:p>
    <w:p>
      <w:pPr>
        <w:spacing w:after="140" w:line="276"/>
      </w:pPr>
      <w:r>
        <w:rPr>
          <w:rFonts w:ascii="Calibri" w:cs="Calibri" w:eastAsia="Calibri" w:hAnsi="Calibri"/>
          <w:sz w:val="21"/>
          <w:szCs w:val="21"/>
        </w:rPr>
        <w:t xml:space="preserve">La relación reproduce el circuito general de la Parte V, V.2.1, aplicado a este expediente, y le añade los documentos propios del catálogo. </w:t>
      </w:r>
      <w:r>
        <w:rPr>
          <w:rFonts w:ascii="Calibri" w:cs="Calibri" w:eastAsia="Calibri" w:hAnsi="Calibri"/>
          <w:b/>
          <w:bCs/>
          <w:sz w:val="21"/>
          <w:szCs w:val="21"/>
        </w:rPr>
        <w:t xml:space="preserve">No concurre en él la justificación de la elección del procedimiento</w:t>
      </w:r>
      <w:r>
        <w:rPr>
          <w:rFonts w:ascii="Calibri" w:cs="Calibri" w:eastAsia="Calibri" w:hAnsi="Calibri"/>
          <w:sz w:val="21"/>
          <w:szCs w:val="21"/>
        </w:rPr>
        <w:t xml:space="preserve"> (paso B-2 del circuito), porque el contrato se tramita por procedimiento abierto y el art. 63.3.a) LCSP sólo la exige cuando el procedimiento es distinto del abierto o del restringido. Ninguno de los demás es nuevo salvo tres.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 lo firma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Precepto o modelo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¿Se publica?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necesidad e idoneidad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Gestor y/o servicio competente según el origen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28.1 y 116.4.e) LCSP · modelo en el Anexo III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(art. 63.3.a)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Ficha de aplicabilidad firmada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Gestor / servicio competente / remisión al acuerdo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en el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justificativa del expediente, </w:t>
            </w:r>
            <w:r>
              <w:rPr>
                <w:rFonts w:ascii="Calibri" w:cs="Calibri" w:eastAsia="Calibri" w:hAnsi="Calibri"/>
                <w:b/>
                <w:bCs/>
                <w:sz w:val="18"/>
                <w:szCs w:val="18"/>
              </w:rPr>
              <w:t xml:space="preserve">con la justificación de la categoría ENS y de cada exigencia tecnológica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 / servicio promotor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116 LCSP · doctrina de la Res. TACP Madrid 383/2024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insuficiencia de medios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promotor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116.4.f)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Determinación de la categoría ENS y análisis de riesgos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Valoración: responsable de la información y responsable del servicio (art. 41.1). Categoría y Declaración de Aplicabilidad: responsable de la seguridad (arts. 41.2 y 28.2)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 y arts. 2.3, 28, 38.1, 40 y 41 RD 311/2022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el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Consulta al directorio general de aplicaciones y justificación de no reutilización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157.3 Ley 40/2015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el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de criterios de adjudicación y hoja de comprobación del baremo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promotor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Cálculo del valor estimado y método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101.2.c) y 101.5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el método en el PCAP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Declaración de conflicto de interés y de participación previa en la preparación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Cargos y asesores intervinientes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64 y 70 LCSP · modelo en el Anexo IX</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el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Documentación de la consulta preliminar del mercado, si se realizó</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promotor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115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Contraste de mercado del Anexo 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V, apartado V.A.4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el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PPT y PCAP, con el Anexo V transcrito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jurídico preceptivo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al que corresponda (Asesoría Jurídica en municipios de gran población; Secretaría en el régimen común)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DA 3.ª.8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el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Fiscalización previa y certificado de existencia de crédito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Intervención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DA 3.ª.3 LCSP y RD 424/2017 · art. 116.3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el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Valoración de repercusiones en la estabilidad presupuestaria y la sostenibilidad financiera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Intervención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DA 3.ª.3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el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Acuerdo de aprobación del expediente y de los pliegos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Justificación de la decisión de no dividir en lotes, si no se divide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116.4.g)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través de la memoria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Compromiso de gasto plurianual y consignación de la aplicación presupuestaria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Intervención y 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174 TRLRHL; bases de ejecución del presupuesto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el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Conformidad expresa del servicio verificador con la carga anual de verificación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verificador designado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 §7.9.2, por superar el contrato las 40 h/año (VI.4.8)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el expediente</w:t>
            </w:r>
          </w:p>
        </w:tc>
      </w:tr>
    </w:tbl>
    <w:p>
      <w:pPr>
        <w:spacing w:after="200"/>
      </w:pPr>
    </w:p>
    <w:p>
      <w:pPr>
        <w:spacing w:after="140" w:line="276"/>
      </w:pPr>
      <w:r>
        <w:rPr>
          <w:rFonts w:ascii="Calibri" w:cs="Calibri" w:eastAsia="Calibri" w:hAnsi="Calibri"/>
          <w:sz w:val="21"/>
          <w:szCs w:val="21"/>
        </w:rPr>
        <w:t xml:space="preserve">Los documentos 5, 6 y 11 son los que el circuito actual no produce. Los tres son baratos y los tres son exactamente lo que se echa en falta cuando llega un recurso. Los documentos 18 y 19 son los que la fiscalización previa echa en falta en primer lugar: un contrato de dos años más dos de prórroga es gasto plurianual, y una carga de verificación que supera el umbral del §7.9.2 sin conformidad del servicio que ha de asumirla es una obligación sin actor.</w:t>
      </w:r>
    </w:p>
    <w:p>
      <w:pPr>
        <w:spacing w:after="140" w:line="276"/>
      </w:pPr>
      <w:r>
        <w:rPr>
          <w:rFonts w:ascii="Calibri" w:cs="Calibri" w:eastAsia="Calibri" w:hAnsi="Calibri"/>
          <w:b/>
          <w:bCs/>
          <w:sz w:val="21"/>
          <w:szCs w:val="21"/>
        </w:rPr>
        <w:t xml:space="preserve">Carpeta de defensa.</w:t>
      </w:r>
      <w:r>
        <w:rPr>
          <w:rFonts w:ascii="Calibri" w:cs="Calibri" w:eastAsia="Calibri" w:hAnsi="Calibri"/>
          <w:sz w:val="21"/>
          <w:szCs w:val="21"/>
        </w:rPr>
        <w:t xml:space="preserve"> Antes de publicar el anuncio, se deja preparado un índice con todos los documentos de la tabla y sus enlaces internos. Si se interpone recurso especial, el expediente y el informe se remiten en plazo brevísimo: eso se prepara antes, no después.</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VI.5 Guion y rúbrica de la demostración funcional del piloto</w:t>
      </w:r>
    </w:p>
    <w:p>
      <w:pPr>
        <w:spacing w:after="140" w:line="276"/>
      </w:pPr>
      <w:r>
        <w:rPr>
          <w:rFonts w:ascii="Calibri" w:cs="Calibri" w:eastAsia="Calibri" w:hAnsi="Calibri"/>
          <w:sz w:val="21"/>
          <w:szCs w:val="21"/>
        </w:rPr>
        <w:t xml:space="preserve">El caso de uso y su rúbrica se recogen aquí, y no en un anexo, porque son específicos de este contrato; el guion, la relación cerrada de elementos verificables y la rúbrica </w:t>
      </w:r>
      <w:r>
        <w:rPr>
          <w:rFonts w:ascii="Calibri" w:cs="Calibri" w:eastAsia="Calibri" w:hAnsi="Calibri"/>
          <w:b/>
          <w:bCs/>
          <w:sz w:val="21"/>
          <w:szCs w:val="21"/>
        </w:rPr>
        <w:t xml:space="preserve">genéricos</w:t>
      </w:r>
      <w:r>
        <w:rPr>
          <w:rFonts w:ascii="Calibri" w:cs="Calibri" w:eastAsia="Calibri" w:hAnsi="Calibri"/>
          <w:sz w:val="21"/>
          <w:szCs w:val="21"/>
        </w:rPr>
        <w:t xml:space="preserve">, reutilizables por cualquier objeto, están en el Anexo XX. </w:t>
      </w:r>
      <w:r>
        <w:rPr>
          <w:rFonts w:ascii="Calibri" w:cs="Calibri" w:eastAsia="Calibri" w:hAnsi="Calibri"/>
          <w:b/>
          <w:bCs/>
          <w:sz w:val="21"/>
          <w:szCs w:val="21"/>
        </w:rPr>
        <w:t xml:space="preserve">Regla que gobierna todo este apartado:</w:t>
      </w:r>
      <w:r>
        <w:rPr>
          <w:rFonts w:ascii="Calibri" w:cs="Calibri" w:eastAsia="Calibri" w:hAnsi="Calibri"/>
          <w:sz w:val="21"/>
          <w:szCs w:val="21"/>
        </w:rPr>
        <w:t xml:space="preserve"> la demostración funcional </w:t>
      </w:r>
      <w:r>
        <w:rPr>
          <w:rFonts w:ascii="Calibri" w:cs="Calibri" w:eastAsia="Calibri" w:hAnsi="Calibri"/>
          <w:b/>
          <w:bCs/>
          <w:sz w:val="21"/>
          <w:szCs w:val="21"/>
        </w:rPr>
        <w:t xml:space="preserve">no constituye criterio de adjudicación y no atribuye puntuación alguna</w:t>
      </w:r>
      <w:r>
        <w:rPr>
          <w:rFonts w:ascii="Calibri" w:cs="Calibri" w:eastAsia="Calibri" w:hAnsi="Calibri"/>
          <w:sz w:val="21"/>
          <w:szCs w:val="21"/>
        </w:rPr>
        <w:t xml:space="preserve"> (ADM-9·v3, apartados 1 y 4). Lo que se puntúa es la memoria técnica escrita; la sesión sólo confirma o retira los puntos ya asignados a ella.</w:t>
      </w:r>
    </w:p>
    <w:p>
      <w:pPr>
        <w:spacing w:after="140" w:line="276"/>
      </w:pPr>
      <w:r>
        <w:rPr>
          <w:rFonts w:ascii="Calibri" w:cs="Calibri" w:eastAsia="Calibri" w:hAnsi="Calibri"/>
          <w:b/>
          <w:bCs/>
          <w:sz w:val="21"/>
          <w:szCs w:val="21"/>
        </w:rPr>
        <w:t xml:space="preserve">Caso de uso publicado en el PCAP, idéntico para todos los licitadores, sobre datos ficticios facilitados por el Ayuntamiento:</w:t>
      </w:r>
    </w:p>
    <w:p>
      <w:pPr>
        <w:pBdr>
          <w:left w:val="single" w:color="BFBFBF" w:sz="12" w:space="8"/>
        </w:pBdr>
        <w:spacing w:after="140" w:line="264"/>
        <w:ind w:left="400"/>
      </w:pPr>
      <w:r>
        <w:rPr>
          <w:rFonts w:ascii="Georgia" w:cs="Georgia" w:eastAsia="Georgia" w:hAnsi="Georgia"/>
          <w:i/>
          <w:iCs/>
          <w:color w:val="595959"/>
          <w:sz w:val="20"/>
          <w:szCs w:val="20"/>
        </w:rPr>
        <w:t xml:space="preserve">«A partir del fichero de datos ficticios que se entrega con el pliego, y en un máximo de noventa minutos: (1) registrar una factura recibida y su documento contable hasta la fase de reconocimiento de la obligación, con el circuito de validación configurado; (2) localizar y corregir un asiento erróneo, mostrando el rastro completo de la modificación; (3) dar de alta un bien en el inventario y vincularlo al documento contable que lo origina; (4) obtener, para una aplicación presupuestaria y un período, el detalle de obligaciones reconocidas y pagos en formato exportable; (5) mostrar el registro de auditoría de todo lo anterior, identificando usuario, momento y datos afectados.»</w:t>
      </w:r>
    </w:p>
    <w:p>
      <w:pPr>
        <w:spacing w:after="140" w:line="276"/>
      </w:pPr>
      <w:r>
        <w:rPr>
          <w:rFonts w:ascii="Calibri" w:cs="Calibri" w:eastAsia="Calibri" w:hAnsi="Calibri"/>
          <w:b/>
          <w:bCs/>
          <w:sz w:val="21"/>
          <w:szCs w:val="21"/>
        </w:rPr>
        <w:t xml:space="preserve">Reglas de la sesión:</w:t>
      </w:r>
      <w:r>
        <w:rPr>
          <w:rFonts w:ascii="Calibri" w:cs="Calibri" w:eastAsia="Calibri" w:hAnsi="Calibri"/>
          <w:sz w:val="21"/>
          <w:szCs w:val="21"/>
        </w:rPr>
        <w:t xml:space="preserve"> modalidad por defecto videoconferencia sobre el entorno del propio licitador, sin despliegue previo ni coste para el Ayuntamiento; duración máxima [X; se recomienda 90] minutos; orden por sorteo; mismo guion y mismo tiempo para todos; incidencias técnicas documentadas y reanudación por una sola vez.</w:t>
      </w:r>
    </w:p>
    <w:p>
      <w:pPr>
        <w:spacing w:after="140" w:line="276"/>
      </w:pPr>
      <w:r>
        <w:rPr>
          <w:rFonts w:ascii="Calibri" w:cs="Calibri" w:eastAsia="Calibri" w:hAnsi="Calibri"/>
          <w:b/>
          <w:bCs/>
          <w:sz w:val="21"/>
          <w:szCs w:val="21"/>
        </w:rPr>
        <w:t xml:space="preserve">Momento procedimental, como regla imperativa del PCAP:</w:t>
      </w:r>
      <w:r>
        <w:rPr>
          <w:rFonts w:ascii="Calibri" w:cs="Calibri" w:eastAsia="Calibri" w:hAnsi="Calibri"/>
          <w:sz w:val="21"/>
          <w:szCs w:val="21"/>
        </w:rPr>
        <w:t xml:space="preserve"> la demostración se celebra </w:t>
      </w:r>
      <w:r>
        <w:rPr>
          <w:rFonts w:ascii="Calibri" w:cs="Calibri" w:eastAsia="Calibri" w:hAnsi="Calibri"/>
          <w:b/>
          <w:bCs/>
          <w:sz w:val="21"/>
          <w:szCs w:val="21"/>
        </w:rPr>
        <w:t xml:space="preserve">después</w:t>
      </w:r>
      <w:r>
        <w:rPr>
          <w:rFonts w:ascii="Calibri" w:cs="Calibri" w:eastAsia="Calibri" w:hAnsi="Calibri"/>
          <w:sz w:val="21"/>
          <w:szCs w:val="21"/>
        </w:rPr>
        <w:t xml:space="preserve"> de abrir el sobre de criterios sujetos a juicio de valor y </w:t>
      </w:r>
      <w:r>
        <w:rPr>
          <w:rFonts w:ascii="Calibri" w:cs="Calibri" w:eastAsia="Calibri" w:hAnsi="Calibri"/>
          <w:b/>
          <w:bCs/>
          <w:sz w:val="21"/>
          <w:szCs w:val="21"/>
        </w:rPr>
        <w:t xml:space="preserve">siempre antes</w:t>
      </w:r>
      <w:r>
        <w:rPr>
          <w:rFonts w:ascii="Calibri" w:cs="Calibri" w:eastAsia="Calibri" w:hAnsi="Calibri"/>
          <w:sz w:val="21"/>
          <w:szCs w:val="21"/>
        </w:rPr>
        <w:t xml:space="preserve"> de abrir el de criterios evaluables por fórmula, con constancia documental previa de la fecha y del guion. Una demostración cuya puntuación se cierre después de conocerse los precios no se retrotrae: anula la licitación entera.</w:t>
      </w:r>
    </w:p>
    <w:p>
      <w:pPr>
        <w:spacing w:after="140" w:line="276"/>
      </w:pPr>
      <w:r>
        <w:rPr>
          <w:rFonts w:ascii="Calibri" w:cs="Calibri" w:eastAsia="Calibri" w:hAnsi="Calibri"/>
          <w:b/>
          <w:bCs/>
          <w:sz w:val="21"/>
          <w:szCs w:val="21"/>
        </w:rPr>
        <w:t xml:space="preserve">Qué se valora y qué no:</w:t>
      </w:r>
      <w:r>
        <w:rPr>
          <w:rFonts w:ascii="Calibri" w:cs="Calibri" w:eastAsia="Calibri" w:hAnsi="Calibri"/>
          <w:sz w:val="21"/>
          <w:szCs w:val="21"/>
        </w:rPr>
        <w:t xml:space="preserve"> sólo lo descrito en la memoria técnica presentada en plazo. Lo mostrado y no descrito no puntúa; lo descrito y no acreditado puntúa cero. La demostración </w:t>
      </w:r>
      <w:r>
        <w:rPr>
          <w:rFonts w:ascii="Calibri" w:cs="Calibri" w:eastAsia="Calibri" w:hAnsi="Calibri"/>
          <w:b/>
          <w:bCs/>
          <w:sz w:val="21"/>
          <w:szCs w:val="21"/>
        </w:rPr>
        <w:t xml:space="preserve">verifica</w:t>
      </w:r>
      <w:r>
        <w:rPr>
          <w:rFonts w:ascii="Calibri" w:cs="Calibri" w:eastAsia="Calibri" w:hAnsi="Calibri"/>
          <w:sz w:val="21"/>
          <w:szCs w:val="21"/>
        </w:rPr>
        <w:t xml:space="preserve"> lo declarado por escrito en la oferta: no la sustituye ni la completa. Con ese anclaje se resuelve el encaje con la DA 15.ª.2 LCSP, que sólo admite la comunicación oral para comunicaciones distintas de las relativas a los elementos esenciales del procedimiento, entre los que enumera las ofertas.</w:t>
      </w:r>
    </w:p>
    <w:p>
      <w:pPr>
        <w:spacing w:after="140" w:line="276"/>
      </w:pPr>
      <w:r>
        <w:rPr>
          <w:rFonts w:ascii="Calibri" w:cs="Calibri" w:eastAsia="Calibri" w:hAnsi="Calibri"/>
          <w:b/>
          <w:bCs/>
          <w:sz w:val="21"/>
          <w:szCs w:val="21"/>
        </w:rPr>
        <w:t xml:space="preserve">Documentación de la sesión:</w:t>
      </w:r>
      <w:r>
        <w:rPr>
          <w:rFonts w:ascii="Calibri" w:cs="Calibri" w:eastAsia="Calibri" w:hAnsi="Calibri"/>
          <w:sz w:val="21"/>
          <w:szCs w:val="21"/>
        </w:rPr>
        <w:t xml:space="preserve"> acta escrita detallada suscrita por quienes asistan, conforme al modelo de acta del Anexo XX, con una fila por cada una de las cinco tareas y </w:t>
      </w:r>
      <w:r>
        <w:rPr>
          <w:rFonts w:ascii="Calibri" w:cs="Calibri" w:eastAsia="Calibri" w:hAnsi="Calibri"/>
          <w:b/>
          <w:bCs/>
          <w:sz w:val="21"/>
          <w:szCs w:val="21"/>
        </w:rPr>
        <w:t xml:space="preserve">cuatro columnas obligatorias: «declarado» · «acreditado» · «no acreditado» · «evidencia observada»</w:t>
      </w:r>
      <w:r>
        <w:rPr>
          <w:rFonts w:ascii="Calibri" w:cs="Calibri" w:eastAsia="Calibri" w:hAnsi="Calibri"/>
          <w:sz w:val="21"/>
          <w:szCs w:val="21"/>
        </w:rPr>
        <w:t xml:space="preserve">, más las incidencias. Regla expresa que se transcribe al PCAP: </w:t>
      </w:r>
      <w:r>
        <w:rPr>
          <w:rFonts w:ascii="Calibri" w:cs="Calibri" w:eastAsia="Calibri" w:hAnsi="Calibri"/>
          <w:i/>
          <w:iCs/>
          <w:sz w:val="21"/>
          <w:szCs w:val="21"/>
        </w:rPr>
        <w:t xml:space="preserve">lo declarado en la memoria y no acreditado en la sesión puntúa cero en el subcriterio correspondiente; lo mostrado en la sesión y no declarado en la memoria no puntúa.</w:t>
      </w:r>
      <w:r>
        <w:rPr>
          <w:rFonts w:ascii="Calibri" w:cs="Calibri" w:eastAsia="Calibri" w:hAnsi="Calibri"/>
          <w:sz w:val="21"/>
          <w:szCs w:val="21"/>
        </w:rPr>
        <w:t xml:space="preserve"> La DA 15.ª.2 LCSP exige que las comunicaciones orales que puedan incidir sustancialmente en la evaluación queden documentadas «a través de los medios adecuados, tales como los archivos o resúmenes escritos o sonoros»: </w:t>
      </w:r>
      <w:r>
        <w:rPr>
          <w:rFonts w:ascii="Calibri" w:cs="Calibri" w:eastAsia="Calibri" w:hAnsi="Calibri"/>
          <w:b/>
          <w:bCs/>
          <w:sz w:val="21"/>
          <w:szCs w:val="21"/>
        </w:rPr>
        <w:t xml:space="preserve">el acta escrita detallada basta</w:t>
      </w:r>
      <w:r>
        <w:rPr>
          <w:rFonts w:ascii="Calibri" w:cs="Calibri" w:eastAsia="Calibri" w:hAnsi="Calibri"/>
          <w:sz w:val="21"/>
          <w:szCs w:val="21"/>
        </w:rPr>
        <w:t xml:space="preserve">; puede añadirse archivo sonoro si el órgano lo considera conveniente, previa información a los licitadores. Escribir que la norma impone grabación audiovisual es sobredimensionar la exigencia y regalar un motivo de recurso.</w:t>
      </w:r>
    </w:p>
    <w:p>
      <w:pPr>
        <w:spacing w:after="140" w:line="276"/>
      </w:pPr>
      <w:r>
        <w:rPr>
          <w:rFonts w:ascii="Calibri" w:cs="Calibri" w:eastAsia="Calibri" w:hAnsi="Calibri"/>
          <w:b/>
          <w:bCs/>
          <w:sz w:val="21"/>
          <w:szCs w:val="21"/>
        </w:rPr>
        <w:t xml:space="preserve">Rúbrica del criterio D (7 puntos), publicada en el PCAP.</w:t>
      </w:r>
      <w:r>
        <w:rPr>
          <w:rFonts w:ascii="Calibri" w:cs="Calibri" w:eastAsia="Calibri" w:hAnsi="Calibri"/>
          <w:sz w:val="21"/>
          <w:szCs w:val="21"/>
        </w:rPr>
        <w:t xml:space="preserve"> Valora </w:t>
      </w:r>
      <w:r>
        <w:rPr>
          <w:rFonts w:ascii="Calibri" w:cs="Calibri" w:eastAsia="Calibri" w:hAnsi="Calibri"/>
          <w:b/>
          <w:bCs/>
          <w:sz w:val="21"/>
          <w:szCs w:val="21"/>
        </w:rPr>
        <w:t xml:space="preserve">la cobertura y la precisión de lo descrito por escrito</w:t>
      </w:r>
      <w:r>
        <w:rPr>
          <w:rFonts w:ascii="Calibri" w:cs="Calibri" w:eastAsia="Calibri" w:hAnsi="Calibri"/>
          <w:sz w:val="21"/>
          <w:szCs w:val="21"/>
        </w:rPr>
        <w:t xml:space="preserve"> en la memoria técnica para las cinco tareas del caso de uso, no el desempeño en sala. Cada tramo exige la evidencia documental que se indica, aportada con la oferta.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Tramo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Puntos</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debe contener la memoria técnica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Descripción completa y documentada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Las cinco tareas descritas paso a paso sobre funciones existentes de la solución, con identificación de la pantalla, función o servicio que ejecuta cada paso; se acompaña documentación de producto o manual que las recoge; se describe qué queda registrado en el registro de auditoría en cada una y en qué formato abierto se obtiene la exportación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Descripción completa con soporte parcial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Las cinco tareas descritas, pero en alguna la documentación aportada no cubre todos los pasos, o alguno requiere una intervención manual del proveedor que la propia memoria declara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Descripción parcial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Tres o cuatro tareas descritas con ese nivel de detalle; en las restantes la descripción es genérica o no identifica la función que las ejecuta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Descripción insuficiente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o dos tareas descritas con ese nivel de detalle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descripción útil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Ninguna tarea descrita con ese nivel de detalle, o la memoria se limita a afirmar que la solución las cubre</w:t>
            </w:r>
          </w:p>
        </w:tc>
      </w:tr>
    </w:tbl>
    <w:p>
      <w:pPr>
        <w:spacing w:after="200"/>
      </w:pPr>
    </w:p>
    <w:p>
      <w:pPr>
        <w:spacing w:after="140" w:line="276"/>
      </w:pPr>
      <w:r>
        <w:rPr>
          <w:rFonts w:ascii="Calibri" w:cs="Calibri" w:eastAsia="Calibri" w:hAnsi="Calibri"/>
          <w:b/>
          <w:bCs/>
          <w:sz w:val="21"/>
          <w:szCs w:val="21"/>
        </w:rPr>
        <w:t xml:space="preserve">Efecto de la sesión sobre esta rúbrica.</w:t>
      </w:r>
      <w:r>
        <w:rPr>
          <w:rFonts w:ascii="Calibri" w:cs="Calibri" w:eastAsia="Calibri" w:hAnsi="Calibri"/>
          <w:sz w:val="21"/>
          <w:szCs w:val="21"/>
        </w:rPr>
        <w:t xml:space="preserve"> La demostración funcional de ADM-9·v3 no altera los tramos: comprueba, tarea por tarea, si lo descrito es exacto. Lo declarado y no acreditado pasa a cero en su subcriterio; lo acreditado y no declarado no suma. </w:t>
      </w:r>
      <w:r>
        <w:rPr>
          <w:rFonts w:ascii="Calibri" w:cs="Calibri" w:eastAsia="Calibri" w:hAnsi="Calibri"/>
          <w:b/>
          <w:bCs/>
          <w:sz w:val="21"/>
          <w:szCs w:val="21"/>
        </w:rPr>
        <w:t xml:space="preserve">La sesión no puede subir la puntuación de ningún licitador.</w:t>
      </w:r>
    </w:p>
    <w:p>
      <w:pPr>
        <w:spacing w:after="140" w:line="276"/>
      </w:pPr>
      <w:r>
        <w:rPr>
          <w:rFonts w:ascii="Calibri" w:cs="Calibri" w:eastAsia="Calibri" w:hAnsi="Calibri"/>
          <w:b/>
          <w:bCs/>
          <w:sz w:val="21"/>
          <w:szCs w:val="21"/>
        </w:rPr>
        <w:t xml:space="preserve">Advertencia que debe constar en el PCAP:</w:t>
      </w:r>
      <w:r>
        <w:rPr>
          <w:rFonts w:ascii="Calibri" w:cs="Calibri" w:eastAsia="Calibri" w:hAnsi="Calibri"/>
          <w:sz w:val="21"/>
          <w:szCs w:val="21"/>
        </w:rPr>
        <w:t xml:space="preserve"> el resultado de la demostración no acredita solvencia y </w:t>
      </w:r>
      <w:r>
        <w:rPr>
          <w:rFonts w:ascii="Calibri" w:cs="Calibri" w:eastAsia="Calibri" w:hAnsi="Calibri"/>
          <w:b/>
          <w:bCs/>
          <w:sz w:val="21"/>
          <w:szCs w:val="21"/>
        </w:rPr>
        <w:t xml:space="preserve">no puede fundar por sí solo la exclusión</w:t>
      </w:r>
      <w:r>
        <w:rPr>
          <w:rFonts w:ascii="Calibri" w:cs="Calibri" w:eastAsia="Calibri" w:hAnsi="Calibri"/>
          <w:sz w:val="21"/>
          <w:szCs w:val="21"/>
        </w:rPr>
        <w:t xml:space="preserve"> del licitador. El criterio valora lo descrito por escrito, no el desempeño en sala; la sesión sólo comprueba la exactitud de lo descrito, que es la función que le atribuyen el art. 145.5.c) LCSP y la cláusula ADM-9·v3. La demostración se celebra sobre un entorno de pruebas o preproducción del licitador, sin exigir instalación en el Ayuntamiento.</w:t>
      </w:r>
    </w:p>
    <w:p>
      <w:pPr>
        <w:spacing w:after="140" w:line="276"/>
      </w:pPr>
      <w:r>
        <w:rPr>
          <w:rFonts w:ascii="Calibri" w:cs="Calibri" w:eastAsia="Calibri" w:hAnsi="Calibri"/>
          <w:b/>
          <w:bCs/>
          <w:sz w:val="21"/>
          <w:szCs w:val="21"/>
        </w:rPr>
        <w:t xml:space="preserve">Sobre en que se presenta cada declaración, y qué se comprueba en la sesión.</w:t>
      </w:r>
      <w:r>
        <w:rPr>
          <w:rFonts w:ascii="Calibri" w:cs="Calibri" w:eastAsia="Calibri" w:hAnsi="Calibri"/>
          <w:sz w:val="21"/>
          <w:szCs w:val="21"/>
        </w:rPr>
        <w:t xml:space="preserve"> Cada declaración viaja en el sobre del criterio al que sirve, sin excepción. La memoria técnica y las declaraciones que sostienen los criterios sujetos a juicio de valor —C2, C4, </w:t>
      </w:r>
      <w:r>
        <w:rPr>
          <w:rFonts w:ascii="Calibri" w:cs="Calibri" w:eastAsia="Calibri" w:hAnsi="Calibri"/>
          <w:b/>
          <w:bCs/>
          <w:sz w:val="21"/>
          <w:szCs w:val="21"/>
        </w:rPr>
        <w:t xml:space="preserve">D</w:t>
      </w:r>
      <w:r>
        <w:rPr>
          <w:rFonts w:ascii="Calibri" w:cs="Calibri" w:eastAsia="Calibri" w:hAnsi="Calibri"/>
          <w:sz w:val="21"/>
          <w:szCs w:val="21"/>
        </w:rPr>
        <w:t xml:space="preserve"> y E— van al </w:t>
      </w:r>
      <w:r>
        <w:rPr>
          <w:rFonts w:ascii="Calibri" w:cs="Calibri" w:eastAsia="Calibri" w:hAnsi="Calibri"/>
          <w:b/>
          <w:bCs/>
          <w:sz w:val="21"/>
          <w:szCs w:val="21"/>
        </w:rPr>
        <w:t xml:space="preserve">sobre de criterios sujetos a juicio de valor</w:t>
      </w:r>
      <w:r>
        <w:rPr>
          <w:rFonts w:ascii="Calibri" w:cs="Calibri" w:eastAsia="Calibri" w:hAnsi="Calibri"/>
          <w:sz w:val="21"/>
          <w:szCs w:val="21"/>
        </w:rPr>
        <w:t xml:space="preserve">. Las declaraciones que sostienen criterios evaluables por fórmula —el bloque B del Apéndice técnico 0 del criterio C1, la relación de funciones del bloque B del Apéndice técnico 2 del criterio A y la relación de procesos del criterio H— van al </w:t>
      </w:r>
      <w:r>
        <w:rPr>
          <w:rFonts w:ascii="Calibri" w:cs="Calibri" w:eastAsia="Calibri" w:hAnsi="Calibri"/>
          <w:b/>
          <w:bCs/>
          <w:sz w:val="21"/>
          <w:szCs w:val="21"/>
        </w:rPr>
        <w:t xml:space="preserve">sobre de criterios evaluables mediante fórmulas</w:t>
      </w:r>
      <w:r>
        <w:rPr>
          <w:rFonts w:ascii="Calibri" w:cs="Calibri" w:eastAsia="Calibri" w:hAnsi="Calibri"/>
          <w:sz w:val="21"/>
          <w:szCs w:val="21"/>
        </w:rPr>
        <w:t xml:space="preserve">, acompañadas de la documentación técnica que identifica la versión, el módulo o el hito de desarrollo que sostiene cada compromiso, con el Cuadro de Precios Unitarios y el resto de la proposición sometida a ese régimen.</w:t>
      </w:r>
    </w:p>
    <w:p>
      <w:pPr>
        <w:spacing w:after="140" w:line="276"/>
      </w:pPr>
      <w:r>
        <w:rPr>
          <w:rFonts w:ascii="Calibri" w:cs="Calibri" w:eastAsia="Calibri" w:hAnsi="Calibri"/>
          <w:sz w:val="21"/>
          <w:szCs w:val="21"/>
        </w:rPr>
        <w:t xml:space="preserve">En consecuencia, </w:t>
      </w:r>
      <w:r>
        <w:rPr>
          <w:rFonts w:ascii="Calibri" w:cs="Calibri" w:eastAsia="Calibri" w:hAnsi="Calibri"/>
          <w:b/>
          <w:bCs/>
          <w:sz w:val="21"/>
          <w:szCs w:val="21"/>
        </w:rPr>
        <w:t xml:space="preserve">la sesión de este apartado versa exclusivamente sobre el criterio D</w:t>
      </w:r>
      <w:r>
        <w:rPr>
          <w:rFonts w:ascii="Calibri" w:cs="Calibri" w:eastAsia="Calibri" w:hAnsi="Calibri"/>
          <w:sz w:val="21"/>
          <w:szCs w:val="21"/>
        </w:rPr>
        <w:t xml:space="preserve">, que es el único de juicio de valor al que sirve la demostración, y se celebra antes de abrir el sobre de fórmulas (ADM-9·v3.5). La exactitud de lo declarado para C1, A y H se comprueba por medios documentales </w:t>
      </w:r>
      <w:r>
        <w:rPr>
          <w:rFonts w:ascii="Calibri" w:cs="Calibri" w:eastAsia="Calibri" w:hAnsi="Calibri"/>
          <w:b/>
          <w:bCs/>
          <w:sz w:val="21"/>
          <w:szCs w:val="21"/>
        </w:rPr>
        <w:t xml:space="preserve">después de abrir ese sobre y antes de clasificar las ofertas, respecto de todas las ofertas admitidas</w:t>
      </w:r>
      <w:r>
        <w:rPr>
          <w:rFonts w:ascii="Calibri" w:cs="Calibri" w:eastAsia="Calibri" w:hAnsi="Calibri"/>
          <w:sz w:val="21"/>
          <w:szCs w:val="21"/>
        </w:rPr>
        <w:t xml:space="preserve">, conforme al apartado 5 de ADM-9·v3. Si se aprecia una duda, la mesa requiere la documentación técnica que la resuelva, sin permitir que se amplíe ni modifique la oferta; la fórmula se aplica sobre los elementos efectivamente acreditados.</w:t>
      </w:r>
    </w:p>
    <w:p>
      <w:pPr>
        <w:spacing w:after="140" w:line="276"/>
      </w:pPr>
      <w:r>
        <w:rPr>
          <w:rFonts w:ascii="Calibri" w:cs="Calibri" w:eastAsia="Calibri" w:hAnsi="Calibri"/>
          <w:b/>
          <w:bCs/>
          <w:sz w:val="21"/>
          <w:szCs w:val="21"/>
        </w:rPr>
        <w:t xml:space="preserve">Por qué se resuelve así y no al revés.</w:t>
      </w:r>
      <w:r>
        <w:rPr>
          <w:rFonts w:ascii="Calibri" w:cs="Calibri" w:eastAsia="Calibri" w:hAnsi="Calibri"/>
          <w:sz w:val="21"/>
          <w:szCs w:val="21"/>
        </w:rPr>
        <w:t xml:space="preserve"> Llevar al sobre de juicio de valor las declaraciones de C1, A y H habría puesto 20 de los 100 puntos del baremo —8 + 8 + 4, todos ellos automáticos— en manos de quien todavía tenía que valorar los 24 puntos subjetivos. Eso es lo que el artículo 26 del Real Decreto 817/2009 impide al exigir sobre independiente «del resto de la proposición», y lo que el artículo 146.2 de la LCSP ordena en cuanto al orden de valoración. El vicio se produciría en el trámite de la mesa, donde no cabe retroacción: obligaría a repetir la licitación entera. Con el reparto anterior no hay contaminación posible, y los criterios automáticos conservan una comprobación documental igual para todas las ofertas antes de su clasificación.</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VI.6 Tabla de rectificación de un pliego redactado con la versión 2</w:t>
      </w:r>
    </w:p>
    <w:p>
      <w:pPr>
        <w:spacing w:after="140" w:line="276"/>
      </w:pPr>
      <w:r>
        <w:rPr>
          <w:rFonts w:ascii="Calibri" w:cs="Calibri" w:eastAsia="Calibri" w:hAnsi="Calibri"/>
          <w:sz w:val="21"/>
          <w:szCs w:val="21"/>
        </w:rPr>
        <w:t xml:space="preserve">Este apartado no depende del ejemplo: sirve a cualquier administración que tenga pliegos ya redactados con el clausulado de la versión 2.0 y quiera saber, cláusula por cláusula, qué hay que cambiar y con qué urgencia. Es también el mejor resumen de por qué existe la versión 3.</w:t>
      </w:r>
    </w:p>
    <w:p>
      <w:pPr>
        <w:spacing w:after="140" w:line="276"/>
      </w:pPr>
      <w:r>
        <w:rPr>
          <w:rFonts w:ascii="Calibri" w:cs="Calibri" w:eastAsia="Calibri" w:hAnsi="Calibri"/>
          <w:sz w:val="21"/>
          <w:szCs w:val="21"/>
        </w:rPr>
        <w:t xml:space="preserve">Tabla de rectificación, cláusula por cláusula. </w:t>
      </w:r>
      <w:r>
        <w:rPr>
          <w:rFonts w:ascii="Calibri" w:cs="Calibri" w:eastAsia="Calibri" w:hAnsi="Calibri"/>
          <w:b/>
          <w:bCs/>
          <w:sz w:val="21"/>
          <w:szCs w:val="21"/>
        </w:rPr>
        <w:t xml:space="preserve">Prioridad P1</w:t>
      </w:r>
      <w:r>
        <w:rPr>
          <w:rFonts w:ascii="Calibri" w:cs="Calibri" w:eastAsia="Calibri" w:hAnsi="Calibri"/>
          <w:sz w:val="21"/>
          <w:szCs w:val="21"/>
        </w:rPr>
        <w:t xml:space="preserve">: defecto que bloquea la aprobación o produce un motivo de recurso directo; se corrige antes de aprobar. </w:t>
      </w:r>
      <w:r>
        <w:rPr>
          <w:rFonts w:ascii="Calibri" w:cs="Calibri" w:eastAsia="Calibri" w:hAnsi="Calibri"/>
          <w:b/>
          <w:bCs/>
          <w:sz w:val="21"/>
          <w:szCs w:val="21"/>
        </w:rPr>
        <w:t xml:space="preserve">P2</w:t>
      </w:r>
      <w:r>
        <w:rPr>
          <w:rFonts w:ascii="Calibri" w:cs="Calibri" w:eastAsia="Calibri" w:hAnsi="Calibri"/>
          <w:sz w:val="21"/>
          <w:szCs w:val="21"/>
        </w:rPr>
        <w:t xml:space="preserve">: defecto que debilita la posición del Ayuntamiento; se corrige antes de publicar. </w:t>
      </w:r>
      <w:r>
        <w:rPr>
          <w:rFonts w:ascii="Calibri" w:cs="Calibri" w:eastAsia="Calibri" w:hAnsi="Calibri"/>
          <w:b/>
          <w:bCs/>
          <w:sz w:val="21"/>
          <w:szCs w:val="21"/>
        </w:rPr>
        <w:t xml:space="preserve">P3</w:t>
      </w:r>
      <w:r>
        <w:rPr>
          <w:rFonts w:ascii="Calibri" w:cs="Calibri" w:eastAsia="Calibri" w:hAnsi="Calibri"/>
          <w:sz w:val="21"/>
          <w:szCs w:val="21"/>
        </w:rPr>
        <w:t xml:space="preserve">: mejora de claridad.</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 redactada con el texto de la versión 2</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Defecto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se pone en su lugar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Rúbrica «DT-6. Seguridad (</w:t>
            </w:r>
            <w:r>
              <w:rPr>
                <w:rFonts w:ascii="Calibri" w:cs="Calibri" w:eastAsia="Calibri" w:hAnsi="Calibri"/>
                <w:b/>
                <w:bCs/>
                <w:sz w:val="18"/>
                <w:szCs w:val="18"/>
              </w:rPr>
              <w:t xml:space="preserve">ENS Nivel Alto</w:t>
            </w: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Fija la categoría antes del análisis y sin justificación en la memoria. Es el supuesto exacto de la Res. TACP Madrid 383/2024 (Parla)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DT-6·v3</w:t>
            </w:r>
            <w:r>
              <w:rPr>
                <w:rFonts w:ascii="Calibri" w:cs="Calibri" w:eastAsia="Calibri" w:hAnsi="Calibri"/>
                <w:b w:val="false"/>
                <w:bCs w:val="false"/>
                <w:sz w:val="18"/>
                <w:szCs w:val="18"/>
              </w:rPr>
              <w:t xml:space="preserve">: «Seguridad conforme al ENS en la categoría que corresponda». Categoría del anexo I del RD 311/2022 consignada en el expediente </w:t>
            </w:r>
            <w:r>
              <w:rPr>
                <w:rFonts w:ascii="Calibri" w:cs="Calibri" w:eastAsia="Calibri" w:hAnsi="Calibri"/>
                <w:b/>
                <w:bCs/>
                <w:sz w:val="18"/>
                <w:szCs w:val="18"/>
              </w:rPr>
              <w:t xml:space="preserve">y justificada en la memoria</w:t>
            </w:r>
            <w:r>
              <w:rPr>
                <w:rFonts w:ascii="Calibri" w:cs="Calibri" w:eastAsia="Calibri" w:hAnsi="Calibri"/>
                <w:b w:val="false"/>
                <w:bCs w:val="false"/>
                <w:sz w:val="18"/>
                <w:szCs w:val="18"/>
              </w:rPr>
              <w:t xml:space="preserve">, con certificación en MEDIA/ALTA y autoevaluación en BÁSICA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 </w:t>
            </w:r>
            <w:r>
              <w:rPr>
                <w:rFonts w:ascii="Calibri" w:cs="Calibri" w:eastAsia="Calibri" w:hAnsi="Calibri"/>
                <w:b/>
                <w:bCs/>
                <w:sz w:val="18"/>
                <w:szCs w:val="18"/>
              </w:rPr>
              <w:t xml:space="preserve">Servidor MCP</w:t>
            </w:r>
            <w:r>
              <w:rPr>
                <w:rFonts w:ascii="Calibri" w:cs="Calibri" w:eastAsia="Calibri" w:hAnsi="Calibri"/>
                <w:b w:val="false"/>
                <w:bCs w:val="false"/>
                <w:sz w:val="18"/>
                <w:szCs w:val="18"/>
              </w:rPr>
              <w:t xml:space="preserve"> por cada plataforma y ERP», con ámbito «la totalidad de las aplicaciones municipales»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Obligación definida por el nombre de un protocolo privado, sin admisión de equivalentes, y ámbito universal desvinculado del objeto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DT-7·v3</w:t>
            </w:r>
            <w:r>
              <w:rPr>
                <w:rFonts w:ascii="Calibri" w:cs="Calibri" w:eastAsia="Calibri" w:hAnsi="Calibri"/>
                <w:b w:val="false"/>
                <w:bCs w:val="false"/>
                <w:sz w:val="18"/>
                <w:szCs w:val="18"/>
              </w:rPr>
              <w:t xml:space="preserve">: obligación funcional (qué debe hacer la interfaz), ámbito modulado a los módulos del Anexo V, y el protocolo citado sólo fuera del articulado como referencia del estado del arte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Inciso de DT-7 v2 «obteniendo mayor puntuación conforme a la cláusula ADM-7»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Mezcla prescripción y criterio en la misma cláusula: doble cómputo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suprime el inciso. La prescripción impone el mínimo; el criterio A del baremo valora sólo lo que excede de ese mínimo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 v2, criterio A: «Servidor MCP </w:t>
            </w:r>
            <w:r>
              <w:rPr>
                <w:rFonts w:ascii="Calibri" w:cs="Calibri" w:eastAsia="Calibri" w:hAnsi="Calibri"/>
                <w:b/>
                <w:bCs/>
                <w:sz w:val="18"/>
                <w:szCs w:val="18"/>
              </w:rPr>
              <w:t xml:space="preserve">operativo a fecha de licitación</w:t>
            </w:r>
            <w:r>
              <w:rPr>
                <w:rFonts w:ascii="Calibri" w:cs="Calibri" w:eastAsia="Calibri" w:hAnsi="Calibri"/>
                <w:b w:val="false"/>
                <w:bCs w:val="false"/>
                <w:sz w:val="18"/>
                <w:szCs w:val="18"/>
              </w:rPr>
              <w:t xml:space="preserve">», 15 puntos automáticos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Puntúa la tenencia previa: ventaja indirecta al contratista previo (art. 40.b LCSP)</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ADM-7·v3</w:t>
            </w:r>
            <w:r>
              <w:rPr>
                <w:rFonts w:ascii="Calibri" w:cs="Calibri" w:eastAsia="Calibri" w:hAnsi="Calibri"/>
                <w:b w:val="false"/>
                <w:bCs w:val="false"/>
                <w:sz w:val="18"/>
                <w:szCs w:val="18"/>
              </w:rPr>
              <w:t xml:space="preserve">, criterios A y B: alcance funcional </w:t>
            </w:r>
            <w:r>
              <w:rPr>
                <w:rFonts w:ascii="Calibri" w:cs="Calibri" w:eastAsia="Calibri" w:hAnsi="Calibri"/>
                <w:b/>
                <w:bCs/>
                <w:sz w:val="18"/>
                <w:szCs w:val="18"/>
              </w:rPr>
              <w:t xml:space="preserve">comprometido</w:t>
            </w:r>
            <w:r>
              <w:rPr>
                <w:rFonts w:ascii="Calibri" w:cs="Calibri" w:eastAsia="Calibri" w:hAnsi="Calibri"/>
                <w:b w:val="false"/>
                <w:bCs w:val="false"/>
                <w:sz w:val="18"/>
                <w:szCs w:val="18"/>
              </w:rPr>
              <w:t xml:space="preserve"> y plazo </w:t>
            </w:r>
            <w:r>
              <w:rPr>
                <w:rFonts w:ascii="Calibri" w:cs="Calibri" w:eastAsia="Calibri" w:hAnsi="Calibri"/>
                <w:b/>
                <w:bCs/>
                <w:sz w:val="18"/>
                <w:szCs w:val="18"/>
              </w:rPr>
              <w:t xml:space="preserve">ofertado</w:t>
            </w:r>
            <w:r>
              <w:rPr>
                <w:rFonts w:ascii="Calibri" w:cs="Calibri" w:eastAsia="Calibri" w:hAnsi="Calibri"/>
                <w:b w:val="false"/>
                <w:bCs w:val="false"/>
                <w:sz w:val="18"/>
                <w:szCs w:val="18"/>
              </w:rPr>
              <w:t xml:space="preserve">. Nada puntúa por estar ya disponible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 v2, criterio E: ISO/IEC 42001 vigente y «cumplimiento del AI Act», 13 puntos, tipo «Mixto»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Puntúa una certificación de empresa y el cumplimiento de una obligación legal; la categoría «Mixto» no existe en la LCSP y obliga a adivinar el sobre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gobernanza de IA sale del baremo y vive en </w:t>
            </w:r>
            <w:r>
              <w:rPr>
                <w:rFonts w:ascii="Calibri" w:cs="Calibri" w:eastAsia="Calibri" w:hAnsi="Calibri"/>
                <w:b/>
                <w:bCs/>
                <w:sz w:val="18"/>
                <w:szCs w:val="18"/>
              </w:rPr>
              <w:t xml:space="preserve">ADM-1·v3</w:t>
            </w:r>
            <w:r>
              <w:rPr>
                <w:rFonts w:ascii="Calibri" w:cs="Calibri" w:eastAsia="Calibri" w:hAnsi="Calibri"/>
                <w:b w:val="false"/>
                <w:bCs w:val="false"/>
                <w:sz w:val="18"/>
                <w:szCs w:val="18"/>
              </w:rPr>
              <w:t xml:space="preserve"> como condición especial de ejecución. El baremo valora, en su caso, el </w:t>
            </w:r>
            <w:r>
              <w:rPr>
                <w:rFonts w:ascii="Calibri" w:cs="Calibri" w:eastAsia="Calibri" w:hAnsi="Calibri"/>
                <w:b/>
                <w:bCs/>
                <w:sz w:val="18"/>
                <w:szCs w:val="18"/>
              </w:rPr>
              <w:t xml:space="preserve">plan aplicado a este contrato</w:t>
            </w:r>
            <w:r>
              <w:rPr>
                <w:rFonts w:ascii="Calibri" w:cs="Calibri" w:eastAsia="Calibri" w:hAnsi="Calibri"/>
                <w:b w:val="false"/>
                <w:bCs w:val="false"/>
                <w:sz w:val="18"/>
                <w:szCs w:val="18"/>
              </w:rPr>
              <w:t xml:space="preserve">. Cada criterio se clasifica como fórmula o juicio de valor, sin tercera categoría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 v2: baremo de 100 puntos íntegramente de innovación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Ningún punto valora la prestación principal en el contrato que la tiene por objeto (art. 145.6 LCSP). Además, 57 de 100 por 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Baremo completo de VI.4.6, con precio y criterios funcionales dentro, 24 % de juicio de valor y comprobación del art. 146.2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ADM-2 v2: «las tecnologías que el Ayuntamiento determine como necesarias </w:t>
            </w:r>
            <w:r>
              <w:rPr>
                <w:rFonts w:ascii="Calibri" w:cs="Calibri" w:eastAsia="Calibri" w:hAnsi="Calibri"/>
                <w:b/>
                <w:bCs/>
                <w:sz w:val="18"/>
                <w:szCs w:val="18"/>
              </w:rPr>
              <w:t xml:space="preserve">o convenientes</w:t>
            </w: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Obligación de contenido indeterminado: el licitador no puede valorarla y el Ayuntamiento no puede exigirla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ADM-2·v3</w:t>
            </w:r>
            <w:r>
              <w:rPr>
                <w:rFonts w:ascii="Calibri" w:cs="Calibri" w:eastAsia="Calibri" w:hAnsi="Calibri"/>
                <w:b w:val="false"/>
                <w:bCs w:val="false"/>
                <w:sz w:val="18"/>
                <w:szCs w:val="18"/>
              </w:rPr>
              <w:t xml:space="preserve">: alcance cerrado al Anexo V, con hechos desencadenantes tasados y regla de agotamiento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ADM-6 v2: se califican como esenciales «el compromiso de evolución», «el cumplimiento del Plan» y «el mantenimiento de las certificaciones»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Califica conceptos y un plan redactado por el propio adjudicatario. El art. 211.1.f).2.º exige enumeración precisa, clara e inequívoca y declara inadmisibles las cláusulas de tipo general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ADM-6·v3</w:t>
            </w:r>
            <w:r>
              <w:rPr>
                <w:rFonts w:ascii="Calibri" w:cs="Calibri" w:eastAsia="Calibri" w:hAnsi="Calibri"/>
                <w:b w:val="false"/>
                <w:bCs w:val="false"/>
                <w:sz w:val="18"/>
                <w:szCs w:val="18"/>
              </w:rPr>
              <w:t xml:space="preserve">: incumplimientos tasados en lista cerrada, con el bloque </w:t>
            </w:r>
            <w:r>
              <w:rPr>
                <w:rFonts w:ascii="Calibri" w:cs="Calibri" w:eastAsia="Calibri" w:hAnsi="Calibri"/>
                <w:b w:val="false"/>
                <w:bCs w:val="false"/>
                <w:i/>
                <w:iCs/>
                <w:sz w:val="18"/>
                <w:szCs w:val="18"/>
              </w:rPr>
              <w:t xml:space="preserve">ex lege</w:t>
            </w:r>
            <w:r>
              <w:rPr>
                <w:rFonts w:ascii="Calibri" w:cs="Calibri" w:eastAsia="Calibri" w:hAnsi="Calibri"/>
                <w:b w:val="false"/>
                <w:bCs w:val="false"/>
                <w:sz w:val="18"/>
                <w:szCs w:val="18"/>
              </w:rPr>
              <w:t xml:space="preserve"> </w:t>
            </w:r>
            <w:r>
              <w:rPr>
                <w:rFonts w:ascii="Calibri" w:cs="Calibri" w:eastAsia="Calibri" w:hAnsi="Calibri"/>
                <w:b/>
                <w:bCs/>
                <w:sz w:val="18"/>
                <w:szCs w:val="18"/>
              </w:rPr>
              <w:t xml:space="preserve">condicionado</w:t>
            </w:r>
            <w:r>
              <w:rPr>
                <w:rFonts w:ascii="Calibri" w:cs="Calibri" w:eastAsia="Calibri" w:hAnsi="Calibri"/>
                <w:b w:val="false"/>
                <w:bCs w:val="false"/>
                <w:sz w:val="18"/>
                <w:szCs w:val="18"/>
              </w:rPr>
              <w:t xml:space="preserve"> a que concurran los supuestos de los arts. 202.1 párr. 3.º y 122.2 LCSP, y cláusula de cierre redactada como «ninguna otra de las obligaciones incorporadas en virtud del catálogo [denominación y versión]…», con identificación expresa del catálogo y no con la fórmula «de este clausulado»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ADM-6 v2: «resolución del contrato </w:t>
            </w:r>
            <w:r>
              <w:rPr>
                <w:rFonts w:ascii="Calibri" w:cs="Calibri" w:eastAsia="Calibri" w:hAnsi="Calibri"/>
                <w:b/>
                <w:bCs/>
                <w:sz w:val="18"/>
                <w:szCs w:val="18"/>
              </w:rPr>
              <w:t xml:space="preserve">como penalidad por obsolescencia tecnológica</w:t>
            </w: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obsolescencia así definida no es un hecho verificable; y la resolución no es una penalidad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suprime. La resolución opera sobre los incumplimientos tasados de ADM-6·v3, previa audiencia y requerimiento de subsanación, y sólo cuando el perjuicio de resolver no supere el de mantener el contrato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ADM-3 v2: adaptación en 12 meses «dentro del </w:t>
            </w:r>
            <w:r>
              <w:rPr>
                <w:rFonts w:ascii="Calibri" w:cs="Calibri" w:eastAsia="Calibri" w:hAnsi="Calibri"/>
                <w:b/>
                <w:bCs/>
                <w:sz w:val="18"/>
                <w:szCs w:val="18"/>
              </w:rPr>
              <w:t xml:space="preserve">alcance razonable</w:t>
            </w:r>
            <w:r>
              <w:rPr>
                <w:rFonts w:ascii="Calibri" w:cs="Calibri" w:eastAsia="Calibri" w:hAnsi="Calibri"/>
                <w:b w:val="false"/>
                <w:bCs w:val="false"/>
                <w:sz w:val="18"/>
                <w:szCs w:val="18"/>
              </w:rPr>
              <w:t xml:space="preserve"> del contrato», «salvo que se fije motivadamente un plazo inferior»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Dos conceptos jurídicos indeterminados en la cláusula que sostiene la penalidad</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ADM-3·v3</w:t>
            </w:r>
            <w:r>
              <w:rPr>
                <w:rFonts w:ascii="Calibri" w:cs="Calibri" w:eastAsia="Calibri" w:hAnsi="Calibri"/>
                <w:b w:val="false"/>
                <w:bCs w:val="false"/>
                <w:sz w:val="18"/>
                <w:szCs w:val="18"/>
              </w:rPr>
              <w:t xml:space="preserve">: «dentro del alcance definido en el Anexo V»; plazos inferiores sólo si están predeterminados en el Anexo V o los impone una norma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el requerimiento de adaptación de 12 meses o la previsión de modificación quedaron en el </w:t>
            </w:r>
            <w:r>
              <w:rPr>
                <w:rFonts w:ascii="Calibri" w:cs="Calibri" w:eastAsia="Calibri" w:hAnsi="Calibri"/>
                <w:b/>
                <w:bCs/>
                <w:sz w:val="18"/>
                <w:szCs w:val="18"/>
              </w:rPr>
              <w:t xml:space="preserve">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Pliego equivocado: las condiciones especiales de ejecución y la modificación prevista van siempre al PCAP; su reproducción en el PPT carece de efectos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trasladan al PCAP y se elimina la reproducción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ADM-5 v2: penalidad por «falta de la demostración exigida»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 una conducta de la fase de licitación, no de ejecución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suprime esa fila del cuadro de penalidades. Su único efecto es cero puntos en el criterio correspondiente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ADM-8 v2: titularidad «de los desarrollos, configuraciones… corresponderá al Ayuntamiento», sin tiempo, territorio ni modalidades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esas menciones, la cesión queda limitada a cinco años y al territorio de la cesión (art. 43.2 TRLPI), y sin licencia mínima dimensionada no queda garantizado el uso municipal durante la vigencia y la reversión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ADM-8·v3</w:t>
            </w:r>
            <w:r>
              <w:rPr>
                <w:rFonts w:ascii="Calibri" w:cs="Calibri" w:eastAsia="Calibri" w:hAnsi="Calibri"/>
                <w:b w:val="false"/>
                <w:bCs w:val="false"/>
                <w:sz w:val="18"/>
                <w:szCs w:val="18"/>
              </w:rPr>
              <w:t xml:space="preserve">: cesión con carácter exclusivo, todas las modalidades, todo el plazo de protección y todos los países; mención expresa del código fuente </w:t>
            </w:r>
            <w:r>
              <w:rPr>
                <w:rFonts w:ascii="Calibri" w:cs="Calibri" w:eastAsia="Calibri" w:hAnsi="Calibri"/>
                <w:b/>
                <w:bCs/>
                <w:sz w:val="18"/>
                <w:szCs w:val="18"/>
              </w:rPr>
              <w:t xml:space="preserve">y del código objeto</w:t>
            </w:r>
            <w:r>
              <w:rPr>
                <w:rFonts w:ascii="Calibri" w:cs="Calibri" w:eastAsia="Calibri" w:hAnsi="Calibri"/>
                <w:b w:val="false"/>
                <w:bCs w:val="false"/>
                <w:sz w:val="18"/>
                <w:szCs w:val="18"/>
              </w:rPr>
              <w:t xml:space="preserve">; reserva de derechos morales; licencia mínima supletoria dimensionada; reutilización limitada a los elementos de titularidad municipal, salvo pacto expreso sobre el producto base; y delimitación de lo que </w:t>
            </w: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se cede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DT-2 v2: preferencia por una red nominada con motivación territorial y el inciso «salvo justificación motivada en el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Preferencia sin fundamento funcional y puerta abierta a convertirla en excluyente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el expediente del ejemplo, </w:t>
            </w:r>
            <w:r>
              <w:rPr>
                <w:rFonts w:ascii="Calibri" w:cs="Calibri" w:eastAsia="Calibri" w:hAnsi="Calibri"/>
                <w:b/>
                <w:bCs/>
                <w:sz w:val="18"/>
                <w:szCs w:val="18"/>
              </w:rPr>
              <w:t xml:space="preserve">NO APLICA</w:t>
            </w:r>
            <w:r>
              <w:rPr>
                <w:rFonts w:ascii="Calibri" w:cs="Calibri" w:eastAsia="Calibri" w:hAnsi="Calibri"/>
                <w:b w:val="false"/>
                <w:bCs w:val="false"/>
                <w:sz w:val="18"/>
                <w:szCs w:val="18"/>
              </w:rPr>
              <w:t xml:space="preserve">. En general, </w:t>
            </w:r>
            <w:r>
              <w:rPr>
                <w:rFonts w:ascii="Calibri" w:cs="Calibri" w:eastAsia="Calibri" w:hAnsi="Calibri"/>
                <w:b/>
                <w:bCs/>
                <w:sz w:val="18"/>
                <w:szCs w:val="18"/>
              </w:rPr>
              <w:t xml:space="preserve">DT-2·v3</w:t>
            </w:r>
            <w:r>
              <w:rPr>
                <w:rFonts w:ascii="Calibri" w:cs="Calibri" w:eastAsia="Calibri" w:hAnsi="Calibri"/>
                <w:b w:val="false"/>
                <w:bCs w:val="false"/>
                <w:sz w:val="18"/>
                <w:szCs w:val="18"/>
              </w:rPr>
              <w:t xml:space="preserve"> reformulada por capacidades funcionales, con prohibición de puntuar la pertenencia a una red determinada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DT-3 v2: preparación cuántica con algoritmos nominados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Referencias a normas de un organismo nacional no europeo sin «o equivalente» ni orden de prelación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el expediente del ejemplo, </w:t>
            </w:r>
            <w:r>
              <w:rPr>
                <w:rFonts w:ascii="Calibri" w:cs="Calibri" w:eastAsia="Calibri" w:hAnsi="Calibri"/>
                <w:b/>
                <w:bCs/>
                <w:sz w:val="18"/>
                <w:szCs w:val="18"/>
              </w:rPr>
              <w:t xml:space="preserve">NO APLICA</w:t>
            </w:r>
            <w:r>
              <w:rPr>
                <w:rFonts w:ascii="Calibri" w:cs="Calibri" w:eastAsia="Calibri" w:hAnsi="Calibri"/>
                <w:b w:val="false"/>
                <w:bCs w:val="false"/>
                <w:sz w:val="18"/>
                <w:szCs w:val="18"/>
              </w:rPr>
              <w:t xml:space="preserve">. En general, </w:t>
            </w:r>
            <w:r>
              <w:rPr>
                <w:rFonts w:ascii="Calibri" w:cs="Calibri" w:eastAsia="Calibri" w:hAnsi="Calibri"/>
                <w:b/>
                <w:bCs/>
                <w:sz w:val="18"/>
                <w:szCs w:val="18"/>
              </w:rPr>
              <w:t xml:space="preserve">DT-3·v3</w:t>
            </w:r>
            <w:r>
              <w:rPr>
                <w:rFonts w:ascii="Calibri" w:cs="Calibri" w:eastAsia="Calibri" w:hAnsi="Calibri"/>
                <w:b w:val="false"/>
                <w:bCs w:val="false"/>
                <w:sz w:val="18"/>
                <w:szCs w:val="18"/>
              </w:rPr>
              <w:t xml:space="preserve"> con prelación de normas europeas e internacionales y guías del centro criptológico nacional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 v2: «hiperautomatización», «Loop Engineering», «skills, harness, loops»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Vocabulario sin definición normalizada: no sostiene criterio, ni penalidad, ni resolución en un procedimiento contradictorio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DT-4·v3</w:t>
            </w:r>
            <w:r>
              <w:rPr>
                <w:rFonts w:ascii="Calibri" w:cs="Calibri" w:eastAsia="Calibri" w:hAnsi="Calibri"/>
                <w:b w:val="false"/>
                <w:bCs w:val="false"/>
                <w:sz w:val="18"/>
                <w:szCs w:val="18"/>
              </w:rPr>
              <w:t xml:space="preserve">: lista cerrada y numerada de procesos automatizables publicada en el PPT. Los términos pasan al glosario descriptivo, sin efectos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DT-5 v2: «o servicios equivalentes» aplicado también a los servicios comunes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Debilita una exigencia obligatoria: permite ofrecer un sustitutivo propio de un servicio de obligada utilización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DT-5·v3</w:t>
            </w:r>
            <w:r>
              <w:rPr>
                <w:rFonts w:ascii="Calibri" w:cs="Calibri" w:eastAsia="Calibri" w:hAnsi="Calibri"/>
                <w:b w:val="false"/>
                <w:bCs w:val="false"/>
                <w:sz w:val="18"/>
                <w:szCs w:val="18"/>
              </w:rPr>
              <w:t xml:space="preserve">, con la excepción expresa del régimen de equivalencia para los servicios comunes de obligada utilización </w:t>
            </w:r>
            <w:r>
              <w:rPr>
                <w:rFonts w:ascii="Calibri" w:cs="Calibri" w:eastAsia="Calibri" w:hAnsi="Calibri"/>
                <w:b/>
                <w:bCs/>
                <w:sz w:val="18"/>
                <w:szCs w:val="18"/>
              </w:rPr>
              <w:t xml:space="preserve">relacionados en DT-5·v3, apartado 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 v2: facultad de requerir lo «necesario o </w:t>
            </w:r>
            <w:r>
              <w:rPr>
                <w:rFonts w:ascii="Calibri" w:cs="Calibri" w:eastAsia="Calibri" w:hAnsi="Calibri"/>
                <w:b/>
                <w:bCs/>
                <w:sz w:val="18"/>
                <w:szCs w:val="18"/>
              </w:rPr>
              <w:t xml:space="preserve">conveniente</w:t>
            </w: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Mismo vicio que ADM-2 v2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DT-1·v3</w:t>
            </w:r>
            <w:r>
              <w:rPr>
                <w:rFonts w:ascii="Calibri" w:cs="Calibri" w:eastAsia="Calibri" w:hAnsi="Calibri"/>
                <w:b w:val="false"/>
                <w:bCs w:val="false"/>
                <w:sz w:val="18"/>
                <w:szCs w:val="18"/>
              </w:rPr>
              <w:t xml:space="preserve">, con remisión al Anexo V o al régimen de modificación del contrato, y con el reparto de papeles proveedor / responsable del despliegue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Ausencia de cláusula de equivalencia y de trámite de prueba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definición ni parámetros, cualquier rechazo de un equivalente es discrecional; y sin trámite, el licitador no sabe cómo probarla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DT-0·v3</w:t>
            </w:r>
            <w:r>
              <w:rPr>
                <w:rFonts w:ascii="Calibri" w:cs="Calibri" w:eastAsia="Calibri" w:hAnsi="Calibri"/>
                <w:b w:val="false"/>
                <w:bCs w:val="false"/>
                <w:sz w:val="18"/>
                <w:szCs w:val="18"/>
              </w:rPr>
              <w:t xml:space="preserve">, con la prueba de la equivalencia </w:t>
            </w:r>
            <w:r>
              <w:rPr>
                <w:rFonts w:ascii="Calibri" w:cs="Calibri" w:eastAsia="Calibri" w:hAnsi="Calibri"/>
                <w:b/>
                <w:bCs/>
                <w:sz w:val="18"/>
                <w:szCs w:val="18"/>
              </w:rPr>
              <w:t xml:space="preserve">en la oferta</w:t>
            </w:r>
            <w:r>
              <w:rPr>
                <w:rFonts w:ascii="Calibri" w:cs="Calibri" w:eastAsia="Calibri" w:hAnsi="Calibri"/>
                <w:b w:val="false"/>
                <w:bCs w:val="false"/>
                <w:sz w:val="18"/>
                <w:szCs w:val="18"/>
              </w:rPr>
              <w:t xml:space="preserve"> y motivación escrita del rechazo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Ausencia de cláusula de acceso de los órganos de control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consolida durante toda la vida del contrato una limitación del control interno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ADM-12·v3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Ausencia de cláusula sobre uso de sistemas de IA de terceros sobre información municipal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Riesgo real y actual, no de anulación sino de brecha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ADM-13·v3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 v2 (declaración responsable): compromiso de «Servidor MCP», aceptación de la obsolescencia como causa de resolución y compromiso de demostración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Reproduce en la declaración los tres defectos ya corregidos en el articulado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Modelo del </w:t>
            </w:r>
            <w:r>
              <w:rPr>
                <w:rFonts w:ascii="Calibri" w:cs="Calibri" w:eastAsia="Calibri" w:hAnsi="Calibri"/>
                <w:b/>
                <w:bCs/>
                <w:sz w:val="18"/>
                <w:szCs w:val="18"/>
              </w:rPr>
              <w:t xml:space="preserve">Anexo VII</w:t>
            </w:r>
            <w:r>
              <w:rPr>
                <w:rFonts w:ascii="Calibri" w:cs="Calibri" w:eastAsia="Calibri" w:hAnsi="Calibri"/>
                <w:b w:val="false"/>
                <w:bCs w:val="false"/>
                <w:sz w:val="18"/>
                <w:szCs w:val="18"/>
              </w:rPr>
              <w:t xml:space="preserve"> de este documento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IV v2 (ficha de aplicabilidad): casillas sin motivación ni firma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casilla marcada no es una justificación; y sin firma no hay origen de necesidad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Modelo del </w:t>
            </w:r>
            <w:r>
              <w:rPr>
                <w:rFonts w:ascii="Calibri" w:cs="Calibri" w:eastAsia="Calibri" w:hAnsi="Calibri"/>
                <w:b/>
                <w:bCs/>
                <w:sz w:val="18"/>
                <w:szCs w:val="18"/>
              </w:rPr>
              <w:t xml:space="preserve">Anexo II</w:t>
            </w:r>
            <w:r>
              <w:rPr>
                <w:rFonts w:ascii="Calibri" w:cs="Calibri" w:eastAsia="Calibri" w:hAnsi="Calibri"/>
                <w:b w:val="false"/>
                <w:bCs w:val="false"/>
                <w:sz w:val="18"/>
                <w:szCs w:val="18"/>
              </w:rPr>
              <w:t xml:space="preserve">, con motivación por cláusula, doble vía de firma y regla de cierre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Toda cita al Reglamento (UE) 2024/1689 con el calendario original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calendario ha cambiado: el Reglamento (UE) 2026/1744, de 8 de julio de 2026, aplaza la exigibilidad de las secciones 1, 2 y 3 del capítulo III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Cita «en su redacción vigente» y remisión al Anexo XI de vigencia normativa, con la separación entre lo ya exigible y lo anticipado voluntariamente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P2</w:t>
            </w:r>
          </w:p>
        </w:tc>
      </w:tr>
    </w:tbl>
    <w:p>
      <w:pPr>
        <w:spacing w:after="200"/>
      </w:pPr>
    </w:p>
    <w:p>
      <w:pPr>
        <w:spacing w:after="140" w:line="276"/>
      </w:pPr>
      <w:r>
        <w:rPr>
          <w:rFonts w:ascii="Calibri" w:cs="Calibri" w:eastAsia="Calibri" w:hAnsi="Calibri"/>
          <w:b/>
          <w:bCs/>
          <w:sz w:val="21"/>
          <w:szCs w:val="21"/>
        </w:rPr>
        <w:t xml:space="preserve">Regla de ejecución de esta tabla:</w:t>
      </w:r>
      <w:r>
        <w:rPr>
          <w:rFonts w:ascii="Calibri" w:cs="Calibri" w:eastAsia="Calibri" w:hAnsi="Calibri"/>
          <w:sz w:val="21"/>
          <w:szCs w:val="21"/>
        </w:rPr>
        <w:t xml:space="preserve"> las correcciones P1 se hacen </w:t>
      </w:r>
      <w:r>
        <w:rPr>
          <w:rFonts w:ascii="Calibri" w:cs="Calibri" w:eastAsia="Calibri" w:hAnsi="Calibri"/>
          <w:b/>
          <w:bCs/>
          <w:sz w:val="21"/>
          <w:szCs w:val="21"/>
        </w:rPr>
        <w:t xml:space="preserve">todas o ninguna</w:t>
      </w:r>
      <w:r>
        <w:rPr>
          <w:rFonts w:ascii="Calibri" w:cs="Calibri" w:eastAsia="Calibri" w:hAnsi="Calibri"/>
          <w:sz w:val="21"/>
          <w:szCs w:val="21"/>
        </w:rPr>
        <w:t xml:space="preserve">. Corregir la mitad produce un pliego internamente contradictorio, que es peor que el pliego original: da al recurrente la prueba de que el Ayuntamiento conocía el defecto y lo dejó.</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VI.7 Orden entre la rectificación del piloto y la publicación del modelo</w:t>
      </w:r>
    </w:p>
    <w:p>
      <w:pPr>
        <w:spacing w:after="140" w:line="276"/>
      </w:pPr>
      <w:r>
        <w:rPr>
          <w:rFonts w:ascii="Calibri" w:cs="Calibri" w:eastAsia="Calibri" w:hAnsi="Calibri"/>
          <w:b/>
          <w:bCs/>
          <w:sz w:val="21"/>
          <w:szCs w:val="21"/>
        </w:rPr>
        <w:t xml:space="preserve">Regla de este catálogo:</w:t>
      </w:r>
      <w:r>
        <w:rPr>
          <w:rFonts w:ascii="Calibri" w:cs="Calibri" w:eastAsia="Calibri" w:hAnsi="Calibri"/>
          <w:sz w:val="21"/>
          <w:szCs w:val="21"/>
        </w:rPr>
        <w:t xml:space="preserve"> las correcciones de prioridad P1 de VI.6 se ejecutan </w:t>
      </w:r>
      <w:r>
        <w:rPr>
          <w:rFonts w:ascii="Calibri" w:cs="Calibri" w:eastAsia="Calibri" w:hAnsi="Calibri"/>
          <w:b/>
          <w:bCs/>
          <w:sz w:val="21"/>
          <w:szCs w:val="21"/>
        </w:rPr>
        <w:t xml:space="preserve">antes</w:t>
      </w:r>
      <w:r>
        <w:rPr>
          <w:rFonts w:ascii="Calibri" w:cs="Calibri" w:eastAsia="Calibri" w:hAnsi="Calibri"/>
          <w:sz w:val="21"/>
          <w:szCs w:val="21"/>
        </w:rPr>
        <w:t xml:space="preserve"> de publicar el modelo. Es la opción que se adopta y así debe hacerse constar por escrito en el acuerdo que ordene la publicación (Anexo VIII, punto Octavo).</w:t>
      </w:r>
    </w:p>
    <w:p>
      <w:pPr>
        <w:spacing w:after="140" w:line="276"/>
      </w:pPr>
      <w:r>
        <w:rPr>
          <w:rFonts w:ascii="Calibri" w:cs="Calibri" w:eastAsia="Calibri" w:hAnsi="Calibri"/>
          <w:sz w:val="21"/>
          <w:szCs w:val="21"/>
        </w:rPr>
        <w:t xml:space="preserve">Fundamento, en una línea: </w:t>
      </w:r>
      <w:r>
        <w:rPr>
          <w:rFonts w:ascii="Calibri" w:cs="Calibri" w:eastAsia="Calibri" w:hAnsi="Calibri"/>
          <w:b/>
          <w:bCs/>
          <w:sz w:val="21"/>
          <w:szCs w:val="21"/>
        </w:rPr>
        <w:t xml:space="preserve">la credibilidad del modelo depende de que su primera aplicación lo cumpla.</w:t>
      </w:r>
      <w:r>
        <w:rPr>
          <w:rFonts w:ascii="Calibri" w:cs="Calibri" w:eastAsia="Calibri" w:hAnsi="Calibri"/>
          <w:sz w:val="21"/>
          <w:szCs w:val="21"/>
        </w:rPr>
        <w:t xml:space="preserve"> Un catálogo cuyo primer expediente arrastra los defectos que el propio catálogo corrige no es un catálogo defectuoso; es un catálogo que nadie copia.</w:t>
      </w:r>
    </w:p>
    <w:p>
      <w:pPr>
        <w:spacing w:after="140" w:line="276"/>
      </w:pPr>
      <w:r>
        <w:rPr>
          <w:rFonts w:ascii="Calibri" w:cs="Calibri" w:eastAsia="Calibri" w:hAnsi="Calibri"/>
          <w:sz w:val="21"/>
          <w:szCs w:val="21"/>
        </w:rPr>
        <w:t xml:space="preserve">Cauces admisibles, según la situación de VI.2.3: rectificar y publicar después (regla general); o aprobar los pliegos rectificados y publicar el modelo en el mismo acto, cuando el expediente esté en las situaciones A o B y la coordinación entre los servicios intervinientes lo permita. Publicar el modelo con el piloto sin rectificar </w:t>
      </w:r>
      <w:r>
        <w:rPr>
          <w:rFonts w:ascii="Calibri" w:cs="Calibri" w:eastAsia="Calibri" w:hAnsi="Calibri"/>
          <w:b/>
          <w:bCs/>
          <w:sz w:val="21"/>
          <w:szCs w:val="21"/>
        </w:rPr>
        <w:t xml:space="preserve">no es un cauce previsto en este catálogo</w:t>
      </w:r>
      <w:r>
        <w:rPr>
          <w:rFonts w:ascii="Calibri" w:cs="Calibri" w:eastAsia="Calibri" w:hAnsi="Calibri"/>
          <w:sz w:val="21"/>
          <w:szCs w:val="21"/>
        </w:rPr>
        <w:t xml:space="preserve">; si el órgano competente decidiera hacerlo, debe consignarlo expresamente como decisión propia y motivada, con el análisis de sus consecuencias en la nota de elevación del expediente, que no forma parte de este documento.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VI.8 Compromiso de evaluación del piloto</w:t>
      </w:r>
    </w:p>
    <w:p>
      <w:pPr>
        <w:spacing w:after="140" w:line="276"/>
      </w:pPr>
      <w:r>
        <w:rPr>
          <w:rFonts w:ascii="Calibri" w:cs="Calibri" w:eastAsia="Calibri" w:hAnsi="Calibri"/>
          <w:sz w:val="21"/>
          <w:szCs w:val="21"/>
        </w:rPr>
        <w:t xml:space="preserve">Para que el piloto sea un experimento de verdad, y no una declaración de intenciones, tiene que producir datos. El servicio promotor emitirá dos informes, dirigidos al órgano de contratación y al órgano de control interno:</w:t>
      </w:r>
    </w:p>
    <w:p>
      <w:pPr>
        <w:spacing w:after="140" w:line="276"/>
      </w:pPr>
      <w:r>
        <w:rPr>
          <w:rFonts w:ascii="Calibri" w:cs="Calibri" w:eastAsia="Calibri" w:hAnsi="Calibri"/>
          <w:b/>
          <w:bCs/>
          <w:sz w:val="21"/>
          <w:szCs w:val="21"/>
        </w:rPr>
        <w:t xml:space="preserve">Informe a los 6 meses de la publicación de la licitación</w:t>
      </w:r>
      <w:r>
        <w:rPr>
          <w:rFonts w:ascii="Calibri" w:cs="Calibri" w:eastAsia="Calibri" w:hAnsi="Calibri"/>
          <w:sz w:val="21"/>
          <w:szCs w:val="21"/>
        </w:rPr>
        <w:t xml:space="preserve">, con: número de ofertas presentadas y comparación con licitaciones equivalentes anteriores del mismo objeto; consultas y aclaraciones recibidas, clasificadas por cláusula; recursos interpuestos, motivos alegados y resultado; exclusiones producidas y su causa; y tiempo real de tramitación frente al de expedientes comparables.</w:t>
      </w:r>
    </w:p>
    <w:p>
      <w:pPr>
        <w:spacing w:after="140" w:line="276"/>
      </w:pPr>
      <w:r>
        <w:rPr>
          <w:rFonts w:ascii="Calibri" w:cs="Calibri" w:eastAsia="Calibri" w:hAnsi="Calibri"/>
          <w:b/>
          <w:bCs/>
          <w:sz w:val="21"/>
          <w:szCs w:val="21"/>
        </w:rPr>
        <w:t xml:space="preserve">Informe a los 12 meses de la formalización</w:t>
      </w:r>
      <w:r>
        <w:rPr>
          <w:rFonts w:ascii="Calibri" w:cs="Calibri" w:eastAsia="Calibri" w:hAnsi="Calibri"/>
          <w:sz w:val="21"/>
          <w:szCs w:val="21"/>
        </w:rPr>
        <w:t xml:space="preserve">, con: cumplimiento de los plazos del Anexo V; resultado de las pruebas de aceptación; incidencias en la aplicación de cada cláusula; horas reales dedicadas a la verificación, contrastadas con la estimación de VI.4.8; y uso efectivo del acceso de los órganos de control.</w:t>
      </w:r>
    </w:p>
    <w:p>
      <w:pPr>
        <w:spacing w:after="140" w:line="276"/>
      </w:pPr>
      <w:r>
        <w:rPr>
          <w:rFonts w:ascii="Calibri" w:cs="Calibri" w:eastAsia="Calibri" w:hAnsi="Calibri"/>
          <w:sz w:val="21"/>
          <w:szCs w:val="21"/>
        </w:rPr>
        <w:t xml:space="preserve">Ambos informes concluyen con una </w:t>
      </w:r>
      <w:r>
        <w:rPr>
          <w:rFonts w:ascii="Calibri" w:cs="Calibri" w:eastAsia="Calibri" w:hAnsi="Calibri"/>
          <w:b/>
          <w:bCs/>
          <w:sz w:val="21"/>
          <w:szCs w:val="21"/>
        </w:rPr>
        <w:t xml:space="preserve">propuesta motivada de ajuste</w:t>
      </w:r>
      <w:r>
        <w:rPr>
          <w:rFonts w:ascii="Calibri" w:cs="Calibri" w:eastAsia="Calibri" w:hAnsi="Calibri"/>
          <w:sz w:val="21"/>
          <w:szCs w:val="21"/>
        </w:rPr>
        <w:t xml:space="preserve"> de tres cosas distintas: del catálogo (si alguna cláusula resultó inaplicable), del Anexo V del ejercicio siguiente (si alguna exigencia resultó inalcanzable o quedó superada) y de los valores por defecto de la tabla de parámetros del Anexo X. Un catálogo que no se corrige con lo que aprende es un catálogo que envejece igual que el pliego que pretende sustituir.</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PARTE VII · ANEXOS E INSTRUMENTOS</w:t>
      </w:r>
    </w:p>
    <w:p>
      <w:pPr>
        <w:spacing w:after="140" w:line="276"/>
      </w:pPr>
      <w:r>
        <w:rPr>
          <w:rFonts w:ascii="Calibri" w:cs="Calibri" w:eastAsia="Calibri" w:hAnsi="Calibri"/>
          <w:sz w:val="21"/>
          <w:szCs w:val="21"/>
        </w:rPr>
        <w:t xml:space="preserve">Regla común a toda esta parte: </w:t>
      </w:r>
      <w:r>
        <w:rPr>
          <w:rFonts w:ascii="Calibri" w:cs="Calibri" w:eastAsia="Calibri" w:hAnsi="Calibri"/>
          <w:b/>
          <w:bCs/>
          <w:sz w:val="21"/>
          <w:szCs w:val="21"/>
        </w:rPr>
        <w:t xml:space="preserve">son instrumentos de trabajo del expediente, y no se copian al pliego, los anexos I, II, III, IV, VI, X (salvo su apartado X.3), XI (salvo su extracto del anexo XIX), XII, XVIII, XXI, XXII, XXIII, XXIV y XXV.</w:t>
      </w:r>
      <w:r>
        <w:rPr>
          <w:rFonts w:ascii="Calibri" w:cs="Calibri" w:eastAsia="Calibri" w:hAnsi="Calibri"/>
          <w:sz w:val="21"/>
          <w:szCs w:val="21"/>
        </w:rPr>
        <w:t xml:space="preserve"> </w:t>
      </w:r>
      <w:r>
        <w:rPr>
          <w:rFonts w:ascii="Calibri" w:cs="Calibri" w:eastAsia="Calibri" w:hAnsi="Calibri"/>
          <w:b/>
          <w:bCs/>
          <w:sz w:val="21"/>
          <w:szCs w:val="21"/>
        </w:rPr>
        <w:t xml:space="preserve">Llevan bloque </w:t>
      </w:r>
      <w:r>
        <w:rPr>
          <w:rFonts w:ascii="Calibri" w:cs="Calibri" w:eastAsia="Calibri" w:hAnsi="Calibri"/>
          <w:b/>
          <w:bCs/>
          <w:color w:val="2F5496"/>
          <w:sz w:val="21"/>
          <w:szCs w:val="21"/>
        </w:rPr>
        <w:t xml:space="preserve">:::pliego</w:t>
      </w:r>
      <w:r>
        <w:rPr>
          <w:rFonts w:ascii="Calibri" w:cs="Calibri" w:eastAsia="Calibri" w:hAnsi="Calibri"/>
          <w:b/>
          <w:bCs/>
          <w:sz w:val="21"/>
          <w:szCs w:val="21"/>
        </w:rPr>
        <w:t xml:space="preserve">, porque su texto literal se incorpora a un pliego o a la documentación de la licitación, los anexos V, VII, X.3, XIV, XVII, XIX y XX.</w:t>
      </w:r>
      <w:r>
        <w:rPr>
          <w:rFonts w:ascii="Calibri" w:cs="Calibri" w:eastAsia="Calibri" w:hAnsi="Calibri"/>
          <w:sz w:val="21"/>
          <w:szCs w:val="21"/>
        </w:rPr>
        <w:t xml:space="preserve"> Los anexos VIII, XV y XVI son modelos de actos propios del Ayuntamiento —acuerdo del órgano de gobierno y resoluciones—, que no se copian a ningún pliego. El anexo IX contiene declaraciones que se incorporan al expediente. El anexo XIII es descriptivo y carece de efectos jurídicos.</w:t>
      </w:r>
    </w:p>
    <w:p>
      <w:pPr>
        <w:spacing w:after="140" w:line="276"/>
      </w:pPr>
      <w:r>
        <w:rPr>
          <w:rFonts w:ascii="Calibri" w:cs="Calibri" w:eastAsia="Calibri" w:hAnsi="Calibri"/>
          <w:sz w:val="21"/>
          <w:szCs w:val="21"/>
        </w:rPr>
        <w:t xml:space="preserve">Segunda regla, que es la que da valor a los anexos II y III: </w:t>
      </w:r>
      <w:r>
        <w:rPr>
          <w:rFonts w:ascii="Calibri" w:cs="Calibri" w:eastAsia="Calibri" w:hAnsi="Calibri"/>
          <w:b/>
          <w:bCs/>
          <w:sz w:val="21"/>
          <w:szCs w:val="21"/>
        </w:rPr>
        <w:t xml:space="preserve">son documento público desde su incorporación al expediente</w:t>
      </w:r>
      <w:r>
        <w:rPr>
          <w:rFonts w:ascii="Calibri" w:cs="Calibri" w:eastAsia="Calibri" w:hAnsi="Calibri"/>
          <w:sz w:val="21"/>
          <w:szCs w:val="21"/>
        </w:rPr>
        <w:t xml:space="preserve"> (arts. 63.3.a) y 116.1 LCSP). Se redactan sabiendo que los lee el licitador que va a recurrir.</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I · CUADRO MAESTRO DE EXIGENCIAS</w:t>
      </w:r>
    </w:p>
    <w:p>
      <w:pPr>
        <w:spacing w:after="140" w:line="276"/>
      </w:pPr>
      <w:r>
        <w:rPr>
          <w:rFonts w:ascii="Calibri" w:cs="Calibri" w:eastAsia="Calibri" w:hAnsi="Calibri"/>
          <w:sz w:val="21"/>
          <w:szCs w:val="21"/>
        </w:rPr>
        <w:t xml:space="preserve">Función: </w:t>
      </w:r>
      <w:r>
        <w:rPr>
          <w:rFonts w:ascii="Calibri" w:cs="Calibri" w:eastAsia="Calibri" w:hAnsi="Calibri"/>
          <w:b/>
          <w:bCs/>
          <w:sz w:val="21"/>
          <w:szCs w:val="21"/>
        </w:rPr>
        <w:t xml:space="preserve">hacer imposible el doble cómputo.</w:t>
      </w:r>
      <w:r>
        <w:rPr>
          <w:rFonts w:ascii="Calibri" w:cs="Calibri" w:eastAsia="Calibri" w:hAnsi="Calibri"/>
          <w:sz w:val="21"/>
          <w:szCs w:val="21"/>
        </w:rPr>
        <w:t xml:space="preserve"> Cada exigencia aparece una sola vez y con un único instrumento. Si una exigencia necesita aparecer en dos sitios, es que son dos exigencias distintas y hay que escribirlas por separado, con su mínimo y su exceso.</w:t>
      </w:r>
    </w:p>
    <w:p>
      <w:pPr>
        <w:spacing w:after="140" w:line="276"/>
      </w:pPr>
      <w:r>
        <w:rPr>
          <w:rFonts w:ascii="Calibri" w:cs="Calibri" w:eastAsia="Calibri" w:hAnsi="Calibri"/>
          <w:sz w:val="21"/>
          <w:szCs w:val="21"/>
        </w:rPr>
        <w:t xml:space="preserve">Instrumentos posibles, y su precepto: </w:t>
      </w:r>
      <w:r>
        <w:rPr>
          <w:rFonts w:ascii="Calibri" w:cs="Calibri" w:eastAsia="Calibri" w:hAnsi="Calibri"/>
          <w:b/>
          <w:bCs/>
          <w:sz w:val="21"/>
          <w:szCs w:val="21"/>
        </w:rPr>
        <w:t xml:space="preserve">P</w:t>
      </w:r>
      <w:r>
        <w:rPr>
          <w:rFonts w:ascii="Calibri" w:cs="Calibri" w:eastAsia="Calibri" w:hAnsi="Calibri"/>
          <w:sz w:val="21"/>
          <w:szCs w:val="21"/>
        </w:rPr>
        <w:t xml:space="preserve"> prescripción técnica (arts. 124 a 130 LCSP) · </w:t>
      </w:r>
      <w:r>
        <w:rPr>
          <w:rFonts w:ascii="Calibri" w:cs="Calibri" w:eastAsia="Calibri" w:hAnsi="Calibri"/>
          <w:b/>
          <w:bCs/>
          <w:sz w:val="21"/>
          <w:szCs w:val="21"/>
        </w:rPr>
        <w:t xml:space="preserve">S</w:t>
      </w:r>
      <w:r>
        <w:rPr>
          <w:rFonts w:ascii="Calibri" w:cs="Calibri" w:eastAsia="Calibri" w:hAnsi="Calibri"/>
          <w:sz w:val="21"/>
          <w:szCs w:val="21"/>
        </w:rPr>
        <w:t xml:space="preserve"> solvencia (arts. 87 a 95) · </w:t>
      </w:r>
      <w:r>
        <w:rPr>
          <w:rFonts w:ascii="Calibri" w:cs="Calibri" w:eastAsia="Calibri" w:hAnsi="Calibri"/>
          <w:b/>
          <w:bCs/>
          <w:sz w:val="21"/>
          <w:szCs w:val="21"/>
        </w:rPr>
        <w:t xml:space="preserve">AM</w:t>
      </w:r>
      <w:r>
        <w:rPr>
          <w:rFonts w:ascii="Calibri" w:cs="Calibri" w:eastAsia="Calibri" w:hAnsi="Calibri"/>
          <w:sz w:val="21"/>
          <w:szCs w:val="21"/>
        </w:rPr>
        <w:t xml:space="preserve"> adscripción de medios (art. 76) · </w:t>
      </w:r>
      <w:r>
        <w:rPr>
          <w:rFonts w:ascii="Calibri" w:cs="Calibri" w:eastAsia="Calibri" w:hAnsi="Calibri"/>
          <w:b/>
          <w:bCs/>
          <w:sz w:val="21"/>
          <w:szCs w:val="21"/>
        </w:rPr>
        <w:t xml:space="preserve">CEE</w:t>
      </w:r>
      <w:r>
        <w:rPr>
          <w:rFonts w:ascii="Calibri" w:cs="Calibri" w:eastAsia="Calibri" w:hAnsi="Calibri"/>
          <w:sz w:val="21"/>
          <w:szCs w:val="21"/>
        </w:rPr>
        <w:t xml:space="preserve"> condición especial de ejecución (art. 202) · </w:t>
      </w:r>
      <w:r>
        <w:rPr>
          <w:rFonts w:ascii="Calibri" w:cs="Calibri" w:eastAsia="Calibri" w:hAnsi="Calibri"/>
          <w:b/>
          <w:bCs/>
          <w:sz w:val="21"/>
          <w:szCs w:val="21"/>
        </w:rPr>
        <w:t xml:space="preserve">CEE-E</w:t>
      </w:r>
      <w:r>
        <w:rPr>
          <w:rFonts w:ascii="Calibri" w:cs="Calibri" w:eastAsia="Calibri" w:hAnsi="Calibri"/>
          <w:sz w:val="21"/>
          <w:szCs w:val="21"/>
        </w:rPr>
        <w:t xml:space="preserve"> condición especial de ejecución calificada de esencial (arts. 202.3 y 211.1.f) · </w:t>
      </w:r>
      <w:r>
        <w:rPr>
          <w:rFonts w:ascii="Calibri" w:cs="Calibri" w:eastAsia="Calibri" w:hAnsi="Calibri"/>
          <w:b/>
          <w:bCs/>
          <w:sz w:val="21"/>
          <w:szCs w:val="21"/>
        </w:rPr>
        <w:t xml:space="preserve">CA</w:t>
      </w:r>
      <w:r>
        <w:rPr>
          <w:rFonts w:ascii="Calibri" w:cs="Calibri" w:eastAsia="Calibri" w:hAnsi="Calibri"/>
          <w:sz w:val="21"/>
          <w:szCs w:val="21"/>
        </w:rPr>
        <w:t xml:space="preserve"> criterio de adjudicación (art. 145) · </w:t>
      </w:r>
      <w:r>
        <w:rPr>
          <w:rFonts w:ascii="Calibri" w:cs="Calibri" w:eastAsia="Calibri" w:hAnsi="Calibri"/>
          <w:b/>
          <w:bCs/>
          <w:sz w:val="21"/>
          <w:szCs w:val="21"/>
        </w:rPr>
        <w:t xml:space="preserve">PCAP</w:t>
      </w:r>
      <w:r>
        <w:rPr>
          <w:rFonts w:ascii="Calibri" w:cs="Calibri" w:eastAsia="Calibri" w:hAnsi="Calibri"/>
          <w:sz w:val="21"/>
          <w:szCs w:val="21"/>
        </w:rPr>
        <w:t xml:space="preserve"> cláusula contractual del pliego administrativo · </w:t>
      </w:r>
      <w:r>
        <w:rPr>
          <w:rFonts w:ascii="Calibri" w:cs="Calibri" w:eastAsia="Calibri" w:hAnsi="Calibri"/>
          <w:b/>
          <w:bCs/>
          <w:sz w:val="21"/>
          <w:szCs w:val="21"/>
        </w:rPr>
        <w:t xml:space="preserve">EXP</w:t>
      </w:r>
      <w:r>
        <w:rPr>
          <w:rFonts w:ascii="Calibri" w:cs="Calibri" w:eastAsia="Calibri" w:hAnsi="Calibri"/>
          <w:sz w:val="21"/>
          <w:szCs w:val="21"/>
        </w:rPr>
        <w:t xml:space="preserve"> documento del expediente.</w:t>
      </w:r>
    </w:p>
    <w:p>
      <w:pPr>
        <w:spacing w:after="140" w:line="276"/>
      </w:pPr>
      <w:r>
        <w:rPr>
          <w:rFonts w:ascii="Calibri" w:cs="Calibri" w:eastAsia="Calibri" w:hAnsi="Calibri"/>
          <w:b/>
          <w:bCs/>
          <w:sz w:val="21"/>
          <w:szCs w:val="21"/>
        </w:rPr>
        <w:t xml:space="preserve">Prohibición de doble asignación.</w:t>
      </w:r>
      <w:r>
        <w:rPr>
          <w:rFonts w:ascii="Calibri" w:cs="Calibri" w:eastAsia="Calibri" w:hAnsi="Calibri"/>
          <w:sz w:val="21"/>
          <w:szCs w:val="21"/>
        </w:rPr>
        <w:t xml:space="preserve"> Ninguna exigencia puede computarse a la vez como: (a) solvencia y criterio de adjudicación; (b) prescripción técnica obligatoria y criterio de adjudicación; (c) criterio de adjudicación y condición especial de ejecución. Cuando el órgano de contratación quiera valorar algo que también exige, tiene que partirlo: </w:t>
      </w:r>
      <w:r>
        <w:rPr>
          <w:rFonts w:ascii="Calibri" w:cs="Calibri" w:eastAsia="Calibri" w:hAnsi="Calibri"/>
          <w:b/>
          <w:bCs/>
          <w:sz w:val="21"/>
          <w:szCs w:val="21"/>
        </w:rPr>
        <w:t xml:space="preserve">el mínimo obligatorio va al pliego técnico y sólo el exceso sobre ese mínimo, definido en lista cerrada, puede puntuar.</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Exigencia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Instrumento </w:t>
            </w:r>
            <w:r>
              <w:rPr>
                <w:rFonts w:ascii="Calibri" w:cs="Calibri" w:eastAsia="Calibri" w:hAnsi="Calibri"/>
                <w:b/>
                <w:bCs/>
                <w:color w:val="1F3864"/>
                <w:sz w:val="18"/>
                <w:szCs w:val="18"/>
              </w:rPr>
              <w:t xml:space="preserve">único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Precepto de apoyo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Verificador municipal · periodicidad</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Nunca además como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Formulación funcional de las prescripciones y admisión de equivalentes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DT-0·v3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126.5.a)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del informe jurídico · al aprobar el pliego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 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Prueba de la equivalencia aportada con la oferta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DT-0·v3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Requisito de la oferta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126.7, 126.8 y 128.2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Mesa de contratación · en la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Utilización de los servicios comunes de obligada utilización, sin equivalente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DT-5·v3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RD 4/2010 y Ley 39/2015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Informática · aceptación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Conformidad con el ENS en la categoría que corresponda, y en la cadena de suministro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 + acreditación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2.3 y 38.1 RD 311/2022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 seguridad ·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 S adicional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Reparto de papeles proveedor / responsable del despliegue y entrega de medios para la supervisión humana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Reglamento (UE) 2024/1689, en su redacción vigente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Régimen de decisiones automatizadas y derecho a intervención humana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41 Ley 40/2015; art. 22 RGPD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del informe jurídico · al aprobar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Interfaz normalizada para agentes: </w:t>
            </w:r>
            <w:r>
              <w:rPr>
                <w:rFonts w:ascii="Calibri" w:cs="Calibri" w:eastAsia="Calibri" w:hAnsi="Calibri"/>
                <w:b/>
                <w:bCs/>
                <w:sz w:val="18"/>
                <w:szCs w:val="18"/>
              </w:rPr>
              <w:t xml:space="preserve">funciones mínimas</w:t>
            </w:r>
            <w:r>
              <w:rPr>
                <w:rFonts w:ascii="Calibri" w:cs="Calibri" w:eastAsia="Calibri" w:hAnsi="Calibri"/>
                <w:b w:val="false"/>
                <w:bCs w:val="false"/>
                <w:sz w:val="18"/>
                <w:szCs w:val="18"/>
              </w:rPr>
              <w:t xml:space="preserve"> del bloque A del apartado de módulos y funciones del </w:t>
            </w:r>
            <w:r>
              <w:rPr>
                <w:rFonts w:ascii="Calibri" w:cs="Calibri" w:eastAsia="Calibri" w:hAnsi="Calibri"/>
                <w:b/>
                <w:bCs/>
                <w:sz w:val="18"/>
                <w:szCs w:val="18"/>
              </w:rPr>
              <w:t xml:space="preserve">Apéndice técnico 2 · Exigencias tecnológicas determinadas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DT-7·v3 + ET-1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126.5.a)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Informática · acta de aceptación, una vez</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Interfaz normalizada: </w:t>
            </w:r>
            <w:r>
              <w:rPr>
                <w:rFonts w:ascii="Calibri" w:cs="Calibri" w:eastAsia="Calibri" w:hAnsi="Calibri"/>
                <w:b/>
                <w:bCs/>
                <w:sz w:val="18"/>
                <w:szCs w:val="18"/>
              </w:rPr>
              <w:t xml:space="preserve">funciones adicionales ofertables</w:t>
            </w:r>
            <w:r>
              <w:rPr>
                <w:rFonts w:ascii="Calibri" w:cs="Calibri" w:eastAsia="Calibri" w:hAnsi="Calibri"/>
                <w:b w:val="false"/>
                <w:bCs w:val="false"/>
                <w:sz w:val="18"/>
                <w:szCs w:val="18"/>
              </w:rPr>
              <w:t xml:space="preserve"> del bloque B del mismo apartado del </w:t>
            </w:r>
            <w:r>
              <w:rPr>
                <w:rFonts w:ascii="Calibri" w:cs="Calibri" w:eastAsia="Calibri" w:hAnsi="Calibri"/>
                <w:b/>
                <w:bCs/>
                <w:sz w:val="18"/>
                <w:szCs w:val="18"/>
              </w:rPr>
              <w:t xml:space="preserve">Apéndice técnico 2 · Exigencias tecnológicas determinadas</w:t>
            </w:r>
            <w:r>
              <w:rPr>
                <w:rFonts w:ascii="Calibri" w:cs="Calibri" w:eastAsia="Calibri" w:hAnsi="Calibri"/>
                <w:b w:val="false"/>
                <w:bCs w:val="false"/>
                <w:sz w:val="18"/>
                <w:szCs w:val="18"/>
              </w:rPr>
              <w:t xml:space="preserve">, comprometidas por encima de las mínimas del bloque 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ADM-7·v3 criterio 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 (fórmula)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145.6 y 145.7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Mesa · en la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 CEE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máximo de puesta en producción de la interfaz</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DT-9·v3 / ET-1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al vencimiento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w:t>
            </w:r>
            <w:r>
              <w:rPr>
                <w:rFonts w:ascii="Calibri" w:cs="Calibri" w:eastAsia="Calibri" w:hAnsi="Calibri"/>
                <w:b/>
                <w:bCs/>
                <w:sz w:val="18"/>
                <w:szCs w:val="18"/>
              </w:rPr>
              <w:t xml:space="preserve">ofertado</w:t>
            </w:r>
            <w:r>
              <w:rPr>
                <w:rFonts w:ascii="Calibri" w:cs="Calibri" w:eastAsia="Calibri" w:hAnsi="Calibri"/>
                <w:b w:val="false"/>
                <w:bCs w:val="false"/>
                <w:sz w:val="18"/>
                <w:szCs w:val="18"/>
              </w:rPr>
              <w:t xml:space="preserve"> inferior al máximo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ADM-7·v3 criterio 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 (fórmula)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145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Mesa · en la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Operación autónoma supervisada dentro de límites configurables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ET-2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Informática · acta, una vez</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Trazabilidad y auditoría de la actuación de agentes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ET-3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Informática · acta, una vez</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Automatización de los procesos </w:t>
            </w:r>
            <w:r>
              <w:rPr>
                <w:rFonts w:ascii="Calibri" w:cs="Calibri" w:eastAsia="Calibri" w:hAnsi="Calibri"/>
                <w:b/>
                <w:bCs/>
                <w:sz w:val="18"/>
                <w:szCs w:val="18"/>
              </w:rPr>
              <w:t xml:space="preserve">mínimos</w:t>
            </w:r>
            <w:r>
              <w:rPr>
                <w:rFonts w:ascii="Calibri" w:cs="Calibri" w:eastAsia="Calibri" w:hAnsi="Calibri"/>
                <w:b w:val="false"/>
                <w:bCs w:val="false"/>
                <w:sz w:val="18"/>
                <w:szCs w:val="18"/>
              </w:rPr>
              <w:t xml:space="preserve"> de la lista cerrada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Gestor · aceptación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Automatización de procesos </w:t>
            </w:r>
            <w:r>
              <w:rPr>
                <w:rFonts w:ascii="Calibri" w:cs="Calibri" w:eastAsia="Calibri" w:hAnsi="Calibri"/>
                <w:b/>
                <w:bCs/>
                <w:sz w:val="18"/>
                <w:szCs w:val="18"/>
              </w:rPr>
              <w:t xml:space="preserve">adicionales</w:t>
            </w:r>
            <w:r>
              <w:rPr>
                <w:rFonts w:ascii="Calibri" w:cs="Calibri" w:eastAsia="Calibri" w:hAnsi="Calibri"/>
                <w:b w:val="false"/>
                <w:bCs w:val="false"/>
                <w:sz w:val="18"/>
                <w:szCs w:val="18"/>
              </w:rPr>
              <w:t xml:space="preserve"> de la misma lista cerrada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ADM-7·v3 criterio H</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 (fórmula)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145.7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Mesa · en la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Reversibilidad: plan, inventario de componentes, ensayo y dossier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 + garantía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34.1 y 111.1 LCSP; art. 28.3.g) RGPD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Informática · ensayo cada [X; se recomienda 24]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Sistema de gestión de la IA (norma de gobernanza de IA o equivalente)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 (o S sólo en contratos armonizados)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202 y 93.2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anual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CA en ningún caso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Plan de gobernanza de IA </w:t>
            </w:r>
            <w:r>
              <w:rPr>
                <w:rFonts w:ascii="Calibri" w:cs="Calibri" w:eastAsia="Calibri" w:hAnsi="Calibri"/>
                <w:b/>
                <w:bCs/>
                <w:sz w:val="18"/>
                <w:szCs w:val="18"/>
              </w:rPr>
              <w:t xml:space="preserve">aplicado a este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ADM-7·v3 criterio 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 (juicio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145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Mesa · en la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 — </w:t>
            </w:r>
            <w:r>
              <w:rPr>
                <w:rFonts w:ascii="Calibri" w:cs="Calibri" w:eastAsia="Calibri" w:hAnsi="Calibri"/>
                <w:b w:val="false"/>
                <w:bCs w:val="false"/>
                <w:i/>
                <w:iCs/>
                <w:sz w:val="18"/>
                <w:szCs w:val="18"/>
              </w:rPr>
              <w:t xml:space="preserve">decae si el PPT lo exige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Solvencia técnica y profesional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90 y 93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Mesa · en la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Medios personales concretos comprometidos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76 y 150.2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continua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Evolución tecnológica determinada del Anexo 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202.1 y 202.2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Comisión de seguimiento · semestral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Plan Anual de Evolución Tecnológica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ADM-10·v3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202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 CEE-E salvo hitos aprobados con fecha cierta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Bolsa de servicios evolutivos por unidades de actividad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ADM-3·v3, bloque 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Sistema de determinación del precio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308.3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continua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Precio unitario ponderado del Cuadro de Precios Unitarios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ADM-7·v3 criterio 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 (fórmula)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145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Mesa · en la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Depósito de código y continuidad del servicio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34.1 y 202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Informática · verificación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Acceso de los órganos de control a los datos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214 TRLRHL; arts. 4.3, 6.3, 6.7, 20 y 30 RD 424/2017; DA 3.ª.3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Control interno · uso ordinario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Uso de sistemas de IA de terceros sobre información municipal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ADM-13·v3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28 RGPD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anual y ante cada alta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Declaración en la oferta de los sistemas de IA que se emplearán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ADM-13·v3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Requisito de la oferta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Mesa · en la licitación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CA en ningún caso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Titularidad, licencia y no dependencia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308.1 LCSP; arts. 43, 97.4, 99 y 100 TRLPI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del informe jurídico · al aprobar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Demostración funcional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ADM-9·v3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Medio de comprobación de un criterio (art. 145.5.c)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139.2 y 146.2 LCSP; arts. 26 a 30 RD 817/2009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Mesa · en la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 CEE, causa autónoma de exclusión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Modificación prevista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 + valor estimado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204 y 101.2.c)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 · al aprobar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Penalidades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ADM-5·v3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192.1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ante cada incumplimiento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Obligaciones esenciales y resolución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211.1.f)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bl>
    <w:p>
      <w:pPr>
        <w:spacing w:after="200"/>
      </w:pPr>
    </w:p>
    <w:p>
      <w:pPr>
        <w:spacing w:after="140" w:line="276"/>
      </w:pPr>
      <w:r>
        <w:rPr>
          <w:rFonts w:ascii="Calibri" w:cs="Calibri" w:eastAsia="Calibri" w:hAnsi="Calibri"/>
          <w:b/>
          <w:bCs/>
          <w:sz w:val="21"/>
          <w:szCs w:val="21"/>
        </w:rPr>
        <w:t xml:space="preserve">Regla de lectura del cuadro:</w:t>
      </w:r>
      <w:r>
        <w:rPr>
          <w:rFonts w:ascii="Calibri" w:cs="Calibri" w:eastAsia="Calibri" w:hAnsi="Calibri"/>
          <w:sz w:val="21"/>
          <w:szCs w:val="21"/>
        </w:rPr>
        <w:t xml:space="preserve"> la columna «verificador municipal · periodicidad» no es informativa. Si una fila no puede rellenarla, </w:t>
      </w:r>
      <w:r>
        <w:rPr>
          <w:rFonts w:ascii="Calibri" w:cs="Calibri" w:eastAsia="Calibri" w:hAnsi="Calibri"/>
          <w:b/>
          <w:bCs/>
          <w:sz w:val="21"/>
          <w:szCs w:val="21"/>
        </w:rPr>
        <w:t xml:space="preserve">la exigencia no se incorpora</w:t>
      </w:r>
      <w:r>
        <w:rPr>
          <w:rFonts w:ascii="Calibri" w:cs="Calibri" w:eastAsia="Calibri" w:hAnsi="Calibri"/>
          <w:sz w:val="21"/>
          <w:szCs w:val="21"/>
        </w:rPr>
        <w:t xml:space="preserve">. Es la regla de verificabilidad municipal: una obligación esencial que nadie comprueba no protege al Ayuntamiento, lo expone.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II · FICHA DE APLICABILIDAD POR EXPEDIENTE</w:t>
      </w:r>
    </w:p>
    <w:p>
      <w:pPr>
        <w:spacing w:after="140" w:line="276"/>
      </w:pPr>
      <w:r>
        <w:rPr>
          <w:rFonts w:ascii="Calibri" w:cs="Calibri" w:eastAsia="Calibri" w:hAnsi="Calibri"/>
          <w:sz w:val="21"/>
          <w:szCs w:val="21"/>
        </w:rPr>
        <w:t xml:space="preserve">Función: dejar constancia, cláusula por cláusula, de </w:t>
      </w:r>
      <w:r>
        <w:rPr>
          <w:rFonts w:ascii="Calibri" w:cs="Calibri" w:eastAsia="Calibri" w:hAnsi="Calibri"/>
          <w:b/>
          <w:bCs/>
          <w:sz w:val="21"/>
          <w:szCs w:val="21"/>
        </w:rPr>
        <w:t xml:space="preserve">de dónde nace</w:t>
      </w:r>
      <w:r>
        <w:rPr>
          <w:rFonts w:ascii="Calibri" w:cs="Calibri" w:eastAsia="Calibri" w:hAnsi="Calibri"/>
          <w:sz w:val="21"/>
          <w:szCs w:val="21"/>
        </w:rPr>
        <w:t xml:space="preserve"> cada exigencia que se incorpora al pliego, y </w:t>
      </w:r>
      <w:r>
        <w:rPr>
          <w:rFonts w:ascii="Calibri" w:cs="Calibri" w:eastAsia="Calibri" w:hAnsi="Calibri"/>
          <w:b/>
          <w:bCs/>
          <w:sz w:val="21"/>
          <w:szCs w:val="21"/>
        </w:rPr>
        <w:t xml:space="preserve">quién responde</w:t>
      </w:r>
      <w:r>
        <w:rPr>
          <w:rFonts w:ascii="Calibri" w:cs="Calibri" w:eastAsia="Calibri" w:hAnsi="Calibri"/>
          <w:sz w:val="21"/>
          <w:szCs w:val="21"/>
        </w:rPr>
        <w:t xml:space="preserve"> de esa afirmación. No es una tabla de casillas: es un formulario de motivación con firma.</w:t>
      </w:r>
    </w:p>
    <w:p>
      <w:pPr>
        <w:spacing w:after="140" w:line="276"/>
      </w:pPr>
      <w:r>
        <w:rPr>
          <w:rFonts w:ascii="Calibri" w:cs="Calibri" w:eastAsia="Calibri" w:hAnsi="Calibri"/>
          <w:sz w:val="21"/>
          <w:szCs w:val="21"/>
        </w:rPr>
        <w:t xml:space="preserve">---- INICIO DEL MODELO ----</w:t>
      </w:r>
    </w:p>
    <w:p>
      <w:pPr>
        <w:spacing w:after="140" w:line="276"/>
      </w:pPr>
      <w:r>
        <w:rPr>
          <w:rFonts w:ascii="Calibri" w:cs="Calibri" w:eastAsia="Calibri" w:hAnsi="Calibri"/>
          <w:b/>
          <w:bCs/>
          <w:sz w:val="21"/>
          <w:szCs w:val="21"/>
        </w:rPr>
        <w:t xml:space="preserve">FICHA DE APLICABILIDAD DEL CATÁLOGO DE CLÁUSULAS DE IA Y DEEP TECH</w:t>
      </w:r>
    </w:p>
    <w:p>
      <w:pPr>
        <w:spacing w:after="140" w:line="276"/>
      </w:pPr>
      <w:r>
        <w:rPr>
          <w:rFonts w:ascii="Calibri" w:cs="Calibri" w:eastAsia="Calibri" w:hAnsi="Calibri"/>
          <w:sz w:val="21"/>
          <w:szCs w:val="21"/>
        </w:rPr>
        <w:t xml:space="preserve">Expediente: ……………………………… · Objeto: ………………………………</w:t>
      </w:r>
    </w:p>
    <w:p>
      <w:pPr>
        <w:spacing w:after="140" w:line="276"/>
      </w:pPr>
      <w:r>
        <w:rPr>
          <w:rFonts w:ascii="Calibri" w:cs="Calibri" w:eastAsia="Calibri" w:hAnsi="Calibri"/>
          <w:sz w:val="21"/>
          <w:szCs w:val="21"/>
        </w:rPr>
        <w:t xml:space="preserve">Órgano de contratación: ……………………………… · Servicio promotor: ………………………………</w:t>
      </w:r>
    </w:p>
    <w:p>
      <w:pPr>
        <w:spacing w:after="140" w:line="276"/>
      </w:pPr>
      <w:r>
        <w:rPr>
          <w:rFonts w:ascii="Calibri" w:cs="Calibri" w:eastAsia="Calibri" w:hAnsi="Calibri"/>
          <w:sz w:val="21"/>
          <w:szCs w:val="21"/>
        </w:rPr>
        <w:t xml:space="preserve">Versión del catálogo aplicada: </w:t>
      </w:r>
      <w:r>
        <w:rPr>
          <w:rFonts w:ascii="Calibri" w:cs="Calibri" w:eastAsia="Calibri" w:hAnsi="Calibri"/>
          <w:b/>
          <w:bCs/>
          <w:sz w:val="21"/>
          <w:szCs w:val="21"/>
        </w:rPr>
        <w:t xml:space="preserve">3.0</w:t>
      </w:r>
      <w:r>
        <w:rPr>
          <w:rFonts w:ascii="Calibri" w:cs="Calibri" w:eastAsia="Calibri" w:hAnsi="Calibri"/>
          <w:sz w:val="21"/>
          <w:szCs w:val="21"/>
        </w:rPr>
        <w:t xml:space="preserve"> · Versión del Catálogo de Exigencias Tecnológicas: </w:t>
      </w:r>
      <w:r>
        <w:rPr>
          <w:rFonts w:ascii="Calibri" w:cs="Calibri" w:eastAsia="Calibri" w:hAnsi="Calibri"/>
          <w:b/>
          <w:bCs/>
          <w:sz w:val="21"/>
          <w:szCs w:val="21"/>
        </w:rPr>
        <w:t xml:space="preserve">[2026-2027, v. 1.0]</w:t>
      </w:r>
    </w:p>
    <w:p>
      <w:pPr>
        <w:spacing w:after="140" w:line="276"/>
      </w:pPr>
      <w:r>
        <w:rPr>
          <w:rFonts w:ascii="Calibri" w:cs="Calibri" w:eastAsia="Calibri" w:hAnsi="Calibri"/>
          <w:sz w:val="21"/>
          <w:szCs w:val="21"/>
        </w:rPr>
        <w:t xml:space="preserve">Fecha: …… / …… / ……</w:t>
      </w:r>
    </w:p>
    <w:p>
      <w:pPr>
        <w:spacing w:after="140" w:line="276"/>
      </w:pPr>
      <w:r>
        <w:rPr>
          <w:rFonts w:ascii="Calibri" w:cs="Calibri" w:eastAsia="Calibri" w:hAnsi="Calibri"/>
          <w:b/>
          <w:bCs/>
          <w:sz w:val="21"/>
          <w:szCs w:val="21"/>
        </w:rPr>
        <w:t xml:space="preserve">Instrucciones.</w:t>
      </w:r>
      <w:r>
        <w:rPr>
          <w:rFonts w:ascii="Calibri" w:cs="Calibri" w:eastAsia="Calibri" w:hAnsi="Calibri"/>
          <w:sz w:val="21"/>
          <w:szCs w:val="21"/>
        </w:rPr>
        <w:t xml:space="preserve"> (1) Se cumplimenta </w:t>
      </w:r>
      <w:r>
        <w:rPr>
          <w:rFonts w:ascii="Calibri" w:cs="Calibri" w:eastAsia="Calibri" w:hAnsi="Calibri"/>
          <w:b/>
          <w:bCs/>
          <w:sz w:val="21"/>
          <w:szCs w:val="21"/>
        </w:rPr>
        <w:t xml:space="preserve">después</w:t>
      </w:r>
      <w:r>
        <w:rPr>
          <w:rFonts w:ascii="Calibri" w:cs="Calibri" w:eastAsia="Calibri" w:hAnsi="Calibri"/>
          <w:sz w:val="21"/>
          <w:szCs w:val="21"/>
        </w:rPr>
        <w:t xml:space="preserve"> del informe de necesidad (Anexo III), no antes: la ficha es consecuencia de la necesidad, no su sustituto. (2) Por cada cláusula que se marque distinta de NO APLICA hay que rellenar </w:t>
      </w:r>
      <w:r>
        <w:rPr>
          <w:rFonts w:ascii="Calibri" w:cs="Calibri" w:eastAsia="Calibri" w:hAnsi="Calibri"/>
          <w:b/>
          <w:bCs/>
          <w:sz w:val="21"/>
          <w:szCs w:val="21"/>
        </w:rPr>
        <w:t xml:space="preserve">las seis casillas</w:t>
      </w:r>
      <w:r>
        <w:rPr>
          <w:rFonts w:ascii="Calibri" w:cs="Calibri" w:eastAsia="Calibri" w:hAnsi="Calibri"/>
          <w:sz w:val="21"/>
          <w:szCs w:val="21"/>
        </w:rPr>
        <w:t xml:space="preserve"> (a) a (f). Una casilla en blanco equivale a NO APLICA. (3) La casilla «origen» determina quién firma. (4) </w:t>
      </w:r>
      <w:r>
        <w:rPr>
          <w:rFonts w:ascii="Calibri" w:cs="Calibri" w:eastAsia="Calibri" w:hAnsi="Calibri"/>
          <w:b/>
          <w:bCs/>
          <w:sz w:val="21"/>
          <w:szCs w:val="21"/>
        </w:rPr>
        <w:t xml:space="preserve">Regla de cierre: la cláusula que no tenga origen marcado y firmado va a NO APLICA.</w:t>
      </w:r>
      <w:r>
        <w:rPr>
          <w:rFonts w:ascii="Calibri" w:cs="Calibri" w:eastAsia="Calibri" w:hAnsi="Calibri"/>
          <w:sz w:val="21"/>
          <w:szCs w:val="21"/>
        </w:rPr>
        <w:t xml:space="preserve"> No hay opción intermedia. (5) Una cláusula que exige un mínimo y puntúa el exceso ocupa </w:t>
      </w:r>
      <w:r>
        <w:rPr>
          <w:rFonts w:ascii="Calibri" w:cs="Calibri" w:eastAsia="Calibri" w:hAnsi="Calibri"/>
          <w:b/>
          <w:bCs/>
          <w:sz w:val="21"/>
          <w:szCs w:val="21"/>
        </w:rPr>
        <w:t xml:space="preserve">dos filas</w:t>
      </w:r>
      <w:r>
        <w:rPr>
          <w:rFonts w:ascii="Calibri" w:cs="Calibri" w:eastAsia="Calibri" w:hAnsi="Calibri"/>
          <w:sz w:val="21"/>
          <w:szCs w:val="21"/>
        </w:rPr>
        <w:t xml:space="preserve">, cada una con un solo instrumento; no se admite una fila con dos instrumentos.</w:t>
      </w:r>
    </w:p>
    <w:p>
      <w:pPr>
        <w:spacing w:after="140" w:line="276"/>
      </w:pPr>
      <w:r>
        <w:rPr>
          <w:rFonts w:ascii="Calibri" w:cs="Calibri" w:eastAsia="Calibri" w:hAnsi="Calibri"/>
          <w:b/>
          <w:bCs/>
          <w:sz w:val="21"/>
          <w:szCs w:val="21"/>
        </w:rPr>
        <w:t xml:space="preserve">Orígenes de necesidad.</w:t>
      </w:r>
      <w:r>
        <w:rPr>
          <w:rFonts w:ascii="Calibri" w:cs="Calibri" w:eastAsia="Calibri" w:hAnsi="Calibri"/>
          <w:sz w:val="21"/>
          <w:szCs w:val="21"/>
        </w:rPr>
        <w:t xml:space="preserve"> </w:t>
      </w:r>
      <w:r>
        <w:rPr>
          <w:rFonts w:ascii="Calibri" w:cs="Calibri" w:eastAsia="Calibri" w:hAnsi="Calibri"/>
          <w:b/>
          <w:bCs/>
          <w:sz w:val="21"/>
          <w:szCs w:val="21"/>
        </w:rPr>
        <w:t xml:space="preserve">N</w:t>
      </w:r>
      <w:r>
        <w:rPr>
          <w:rFonts w:ascii="Calibri" w:cs="Calibri" w:eastAsia="Calibri" w:hAnsi="Calibri"/>
          <w:sz w:val="21"/>
          <w:szCs w:val="21"/>
        </w:rPr>
        <w:t xml:space="preserve"> normativo: una norma en vigor impone al Ayuntamiento un deber que no puede cumplir sin la colaboración del contratista — lo acredita el servicio competente por razón de la materia, citando el precepto. </w:t>
      </w:r>
      <w:r>
        <w:rPr>
          <w:rFonts w:ascii="Calibri" w:cs="Calibri" w:eastAsia="Calibri" w:hAnsi="Calibri"/>
          <w:b/>
          <w:bCs/>
          <w:sz w:val="21"/>
          <w:szCs w:val="21"/>
        </w:rPr>
        <w:t xml:space="preserve">F</w:t>
      </w:r>
      <w:r>
        <w:rPr>
          <w:rFonts w:ascii="Calibri" w:cs="Calibri" w:eastAsia="Calibri" w:hAnsi="Calibri"/>
          <w:sz w:val="21"/>
          <w:szCs w:val="21"/>
        </w:rPr>
        <w:t xml:space="preserve"> funcional: lo necesita el servicio gestor para prestar su servicio — lo firma el gestor del contrato. </w:t>
      </w:r>
      <w:r>
        <w:rPr>
          <w:rFonts w:ascii="Calibri" w:cs="Calibri" w:eastAsia="Calibri" w:hAnsi="Calibri"/>
          <w:b/>
          <w:bCs/>
          <w:sz w:val="21"/>
          <w:szCs w:val="21"/>
        </w:rPr>
        <w:t xml:space="preserve">I</w:t>
      </w:r>
      <w:r>
        <w:rPr>
          <w:rFonts w:ascii="Calibri" w:cs="Calibri" w:eastAsia="Calibri" w:hAnsi="Calibri"/>
          <w:sz w:val="21"/>
          <w:szCs w:val="21"/>
        </w:rPr>
        <w:t xml:space="preserve"> institucional: no lo impone una norma ni lo ha pedido el gestor, y deriva de un plan o política aprobados por el órgano de gobierno — se acredita por remisión al acuerdo, identificándolo por fecha y número.</w:t>
      </w:r>
    </w:p>
    <w:p>
      <w:pPr>
        <w:spacing w:after="140" w:line="276"/>
      </w:pPr>
      <w:r>
        <w:rPr>
          <w:rFonts w:ascii="Calibri" w:cs="Calibri" w:eastAsia="Calibri" w:hAnsi="Calibri"/>
          <w:b/>
          <w:bCs/>
          <w:sz w:val="21"/>
          <w:szCs w:val="21"/>
        </w:rPr>
        <w:t xml:space="preserve">Instrumentos.</w:t>
      </w:r>
      <w:r>
        <w:rPr>
          <w:rFonts w:ascii="Calibri" w:cs="Calibri" w:eastAsia="Calibri" w:hAnsi="Calibri"/>
          <w:sz w:val="21"/>
          <w:szCs w:val="21"/>
        </w:rPr>
        <w:t xml:space="preserve"> P prescripción técnica · S solvencia · AM adscripción de medios · CEE condición especial de ejecución · CEE-E condición especial esencial · CA criterio de adjudicación · </w:t>
      </w:r>
      <w:r>
        <w:rPr>
          <w:rFonts w:ascii="Calibri" w:cs="Calibri" w:eastAsia="Calibri" w:hAnsi="Calibri"/>
          <w:b/>
          <w:bCs/>
          <w:sz w:val="21"/>
          <w:szCs w:val="21"/>
        </w:rPr>
        <w:t xml:space="preserve">NA no aplica</w:t>
      </w:r>
      <w:r>
        <w:rPr>
          <w:rFonts w:ascii="Calibri" w:cs="Calibri" w:eastAsia="Calibri" w:hAnsi="Calibri"/>
          <w:sz w:val="21"/>
          <w:szCs w:val="21"/>
        </w:rPr>
        <w:t xml:space="preserv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Instrumento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Origen (N/F/I)</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 Necesidad municipal concreta que satisface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(b) Norma, acuerdo o petición del gestor de que nace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 Por qué la relación con el objeto de </w:t>
            </w:r>
            <w:r>
              <w:rPr>
                <w:rFonts w:ascii="Calibri" w:cs="Calibri" w:eastAsia="Calibri" w:hAnsi="Calibri"/>
                <w:b/>
                <w:bCs/>
                <w:color w:val="1F3864"/>
                <w:sz w:val="18"/>
                <w:szCs w:val="18"/>
              </w:rPr>
              <w:t xml:space="preserve">este</w:t>
            </w:r>
            <w:r>
              <w:rPr>
                <w:rFonts w:ascii="Calibri" w:cs="Calibri" w:eastAsia="Calibri" w:hAnsi="Calibri"/>
                <w:b/>
                <w:bCs/>
                <w:color w:val="1F3864"/>
                <w:sz w:val="18"/>
                <w:szCs w:val="18"/>
              </w:rPr>
              <w:t xml:space="preserve"> contrato es directa, clara y proporcional (art. 116.4.e LCSP)</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 Verificador (puesto, no persona)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 Periodicidad y documento que la prueba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 Carga estimada (h/año)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DT-0·v3 Equivalencia y acreditación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 IA, IA generativa y agentes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DT-2·v3 Capa de confianza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DT-3·v3 Criptoagilidad y post-cuántica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DT-4·v3 Automatización de procesos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DT-5·v3 Interoperabilidad y soberanía del dato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 Seguridad conforme al ENS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DT-7·v3 Interfaz normalizada para agentes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 Reversibilidad e inventario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DT-9·v3 Exigencias tecnológicas determinadas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ADM-1·v3 Solvencia y certificaciones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ADM-2·v3 CEE de evolución determinada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ADM-3·v3 Plazos, Plan Anual y bolsa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ADM-4·v3 Seguimiento y Comisión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ADM-5·v3 Penalidades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ADM-6·v3 Obligaciones esenciales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ADM-7·v3 Criterios de adjudicación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ADM-8·v3 Propiedad intelectual y titularidad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ADM-9·v3 Demostración funcional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ADM-10·v3 Plan Anual de Evolución Tecnológica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ADM-11·v3 Depósito de código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ADM-12·v3 Acceso de los órganos de control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ADM-13·v3 Uso de sistemas de 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ADM-14·v3 Modificación prevista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200"/>
      </w:pPr>
    </w:p>
    <w:p>
      <w:pPr>
        <w:spacing w:after="140" w:line="276"/>
      </w:pPr>
      <w:r>
        <w:rPr>
          <w:rFonts w:ascii="Calibri" w:cs="Calibri" w:eastAsia="Calibri" w:hAnsi="Calibri"/>
          <w:b/>
          <w:bCs/>
          <w:sz w:val="21"/>
          <w:szCs w:val="21"/>
        </w:rPr>
        <w:t xml:space="preserve">Carga total de verificación del expediente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Concepto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Horas/año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Suma de la columna (f) de todas las cláusulas marcadas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h/año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Carga concentrada no anual (aceptación inicial, ensayo de reversibilidad, reversión, demostración funcional por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h</w:t>
            </w:r>
          </w:p>
        </w:tc>
      </w:tr>
    </w:tbl>
    <w:p>
      <w:pPr>
        <w:spacing w:after="200"/>
      </w:pPr>
    </w:p>
    <w:p>
      <w:pPr>
        <w:spacing w:after="140" w:line="276"/>
      </w:pPr>
      <w:r>
        <w:rPr>
          <w:rFonts w:ascii="Calibri" w:cs="Calibri" w:eastAsia="Calibri" w:hAnsi="Calibri"/>
          <w:sz w:val="21"/>
          <w:szCs w:val="21"/>
        </w:rPr>
        <w:t xml:space="preserve">Umbrales del §7.9.2 de la Parte I, que se comprueban sobre la primera cifra: </w:t>
      </w:r>
      <w:r>
        <w:rPr>
          <w:rFonts w:ascii="Calibri" w:cs="Calibri" w:eastAsia="Calibri" w:hAnsi="Calibri"/>
          <w:b/>
          <w:bCs/>
          <w:sz w:val="21"/>
          <w:szCs w:val="21"/>
        </w:rPr>
        <w:t xml:space="preserve">más de [X; se recomienda 20] h/año</w:t>
      </w:r>
      <w:r>
        <w:rPr>
          <w:rFonts w:ascii="Calibri" w:cs="Calibri" w:eastAsia="Calibri" w:hAnsi="Calibri"/>
          <w:sz w:val="21"/>
          <w:szCs w:val="21"/>
        </w:rPr>
        <w:t xml:space="preserve"> → revísese si procede incorporar menos cláusulas; </w:t>
      </w:r>
      <w:r>
        <w:rPr>
          <w:rFonts w:ascii="Calibri" w:cs="Calibri" w:eastAsia="Calibri" w:hAnsi="Calibri"/>
          <w:b/>
          <w:bCs/>
          <w:sz w:val="21"/>
          <w:szCs w:val="21"/>
        </w:rPr>
        <w:t xml:space="preserve">más de [X; se recomienda 40] h/año</w:t>
      </w:r>
      <w:r>
        <w:rPr>
          <w:rFonts w:ascii="Calibri" w:cs="Calibri" w:eastAsia="Calibri" w:hAnsi="Calibri"/>
          <w:sz w:val="21"/>
          <w:szCs w:val="21"/>
        </w:rPr>
        <w:t xml:space="preserve"> → se requiere la </w:t>
      </w:r>
      <w:r>
        <w:rPr>
          <w:rFonts w:ascii="Calibri" w:cs="Calibri" w:eastAsia="Calibri" w:hAnsi="Calibri"/>
          <w:b/>
          <w:bCs/>
          <w:sz w:val="21"/>
          <w:szCs w:val="21"/>
        </w:rPr>
        <w:t xml:space="preserve">conformidad expresa del servicio verificador</w:t>
      </w:r>
      <w:r>
        <w:rPr>
          <w:rFonts w:ascii="Calibri" w:cs="Calibri" w:eastAsia="Calibri" w:hAnsi="Calibri"/>
          <w:sz w:val="21"/>
          <w:szCs w:val="21"/>
        </w:rPr>
        <w:t xml:space="preserve">, que se incorpora al expediente.</w:t>
      </w:r>
    </w:p>
    <w:p>
      <w:pPr>
        <w:spacing w:after="140" w:line="276"/>
      </w:pPr>
      <w:r>
        <w:rPr>
          <w:rFonts w:ascii="Calibri" w:cs="Calibri" w:eastAsia="Calibri" w:hAnsi="Calibri"/>
          <w:b/>
          <w:bCs/>
          <w:sz w:val="21"/>
          <w:szCs w:val="21"/>
        </w:rPr>
        <w:t xml:space="preserve">Comprobaciones de cierre</w:t>
      </w:r>
      <w:r>
        <w:rPr>
          <w:rFonts w:ascii="Calibri" w:cs="Calibri" w:eastAsia="Calibri" w:hAnsi="Calibri"/>
          <w:sz w:val="21"/>
          <w:szCs w:val="21"/>
        </w:rPr>
        <w:t xml:space="preserve"> (se marcan las cinco o la ficha no se firma):</w:t>
      </w:r>
    </w:p>
    <w:p>
      <w:pPr>
        <w:pStyle w:val="ListParagraph"/>
        <w:numPr>
          <w:ilvl w:val="0"/>
          <w:numId w:val="1"/>
        </w:numPr>
        <w:spacing w:after="70" w:line="268"/>
      </w:pPr>
      <w:r>
        <w:rPr>
          <w:rFonts w:ascii="Calibri" w:cs="Calibri" w:eastAsia="Calibri" w:hAnsi="Calibri"/>
          <w:sz w:val="21"/>
          <w:szCs w:val="21"/>
        </w:rPr>
        <w:t xml:space="preserve">☐ Cada exigencia marcada aparece con </w:t>
      </w:r>
      <w:r>
        <w:rPr>
          <w:rFonts w:ascii="Calibri" w:cs="Calibri" w:eastAsia="Calibri" w:hAnsi="Calibri"/>
          <w:b/>
          <w:bCs/>
          <w:sz w:val="21"/>
          <w:szCs w:val="21"/>
        </w:rPr>
        <w:t xml:space="preserve">un solo</w:t>
      </w:r>
      <w:r>
        <w:rPr>
          <w:rFonts w:ascii="Calibri" w:cs="Calibri" w:eastAsia="Calibri" w:hAnsi="Calibri"/>
          <w:sz w:val="21"/>
          <w:szCs w:val="21"/>
        </w:rPr>
        <w:t xml:space="preserve"> instrumento, conforme al Anexo I. No hay ninguna que puntúe y a la vez sea obligatoria. Las cláusulas que exigen un mínimo y puntúan el exceso ocupan dos filas.</w:t>
      </w:r>
    </w:p>
    <w:p>
      <w:pPr>
        <w:pStyle w:val="ListParagraph"/>
        <w:numPr>
          <w:ilvl w:val="0"/>
          <w:numId w:val="1"/>
        </w:numPr>
        <w:spacing w:after="70" w:line="268"/>
      </w:pPr>
      <w:r>
        <w:rPr>
          <w:rFonts w:ascii="Calibri" w:cs="Calibri" w:eastAsia="Calibri" w:hAnsi="Calibri"/>
          <w:sz w:val="21"/>
          <w:szCs w:val="21"/>
        </w:rPr>
        <w:t xml:space="preserve">☐ Se ha ejecutado la </w:t>
      </w:r>
      <w:r>
        <w:rPr>
          <w:rFonts w:ascii="Calibri" w:cs="Calibri" w:eastAsia="Calibri" w:hAnsi="Calibri"/>
          <w:b/>
          <w:bCs/>
          <w:sz w:val="21"/>
          <w:szCs w:val="21"/>
        </w:rPr>
        <w:t xml:space="preserve">tabla de dependencias</w:t>
      </w:r>
      <w:r>
        <w:rPr>
          <w:rFonts w:ascii="Calibri" w:cs="Calibri" w:eastAsia="Calibri" w:hAnsi="Calibri"/>
          <w:sz w:val="21"/>
          <w:szCs w:val="21"/>
        </w:rPr>
        <w:t xml:space="preserve"> (Anexo VI) para todas las cláusulas marcadas NA: no queda en el pliego ninguna remisión, penalidad, criterio ni casilla de la declaración responsable que se refiera a una cláusula suprimida.</w:t>
      </w:r>
    </w:p>
    <w:p>
      <w:pPr>
        <w:pStyle w:val="ListParagraph"/>
        <w:numPr>
          <w:ilvl w:val="0"/>
          <w:numId w:val="1"/>
        </w:numPr>
        <w:spacing w:after="70" w:line="268"/>
      </w:pPr>
      <w:r>
        <w:rPr>
          <w:rFonts w:ascii="Calibri" w:cs="Calibri" w:eastAsia="Calibri" w:hAnsi="Calibri"/>
          <w:sz w:val="21"/>
          <w:szCs w:val="21"/>
        </w:rPr>
        <w:t xml:space="preserve">☐ Cada cláusula marcada tiene cumplimentadas las casillas </w:t>
      </w:r>
      <w:r>
        <w:rPr>
          <w:rFonts w:ascii="Calibri" w:cs="Calibri" w:eastAsia="Calibri" w:hAnsi="Calibri"/>
          <w:b/>
          <w:bCs/>
          <w:sz w:val="21"/>
          <w:szCs w:val="21"/>
        </w:rPr>
        <w:t xml:space="preserve">(d) verificador, (e) periodicidad y documento y (f) carga estimada</w:t>
      </w:r>
      <w:r>
        <w:rPr>
          <w:rFonts w:ascii="Calibri" w:cs="Calibri" w:eastAsia="Calibri" w:hAnsi="Calibri"/>
          <w:sz w:val="21"/>
          <w:szCs w:val="21"/>
        </w:rPr>
        <w:t xml:space="preserve">, y la carga anual resultante consta en el cuadro anterior.</w:t>
      </w:r>
    </w:p>
    <w:p>
      <w:pPr>
        <w:pStyle w:val="ListParagraph"/>
        <w:numPr>
          <w:ilvl w:val="0"/>
          <w:numId w:val="1"/>
        </w:numPr>
        <w:spacing w:after="70" w:line="268"/>
      </w:pPr>
      <w:r>
        <w:rPr>
          <w:rFonts w:ascii="Calibri" w:cs="Calibri" w:eastAsia="Calibri" w:hAnsi="Calibri"/>
          <w:sz w:val="21"/>
          <w:szCs w:val="21"/>
        </w:rPr>
        <w:t xml:space="preserve">☐ Si la carga anual supera las [X; se recomienda 40] h/año, consta en el expediente la </w:t>
      </w:r>
      <w:r>
        <w:rPr>
          <w:rFonts w:ascii="Calibri" w:cs="Calibri" w:eastAsia="Calibri" w:hAnsi="Calibri"/>
          <w:b/>
          <w:bCs/>
          <w:sz w:val="21"/>
          <w:szCs w:val="21"/>
        </w:rPr>
        <w:t xml:space="preserve">conformidad expresa del servicio verificador</w:t>
      </w:r>
      <w:r>
        <w:rPr>
          <w:rFonts w:ascii="Calibri" w:cs="Calibri" w:eastAsia="Calibri" w:hAnsi="Calibri"/>
          <w:sz w:val="21"/>
          <w:szCs w:val="21"/>
        </w:rPr>
        <w:t xml:space="preserve">, firmada y fechada.</w:t>
      </w:r>
    </w:p>
    <w:p>
      <w:pPr>
        <w:pStyle w:val="ListParagraph"/>
        <w:numPr>
          <w:ilvl w:val="0"/>
          <w:numId w:val="1"/>
        </w:numPr>
        <w:spacing w:after="70" w:line="268"/>
      </w:pPr>
      <w:r>
        <w:rPr>
          <w:rFonts w:ascii="Calibri" w:cs="Calibri" w:eastAsia="Calibri" w:hAnsi="Calibri"/>
          <w:sz w:val="21"/>
          <w:szCs w:val="21"/>
        </w:rPr>
        <w:t xml:space="preserve">☐ El Catálogo de Exigencias Tecnológicas se </w:t>
      </w:r>
      <w:r>
        <w:rPr>
          <w:rFonts w:ascii="Calibri" w:cs="Calibri" w:eastAsia="Calibri" w:hAnsi="Calibri"/>
          <w:b/>
          <w:bCs/>
          <w:sz w:val="21"/>
          <w:szCs w:val="21"/>
        </w:rPr>
        <w:t xml:space="preserve">transcribe físicamente</w:t>
      </w:r>
      <w:r>
        <w:rPr>
          <w:rFonts w:ascii="Calibri" w:cs="Calibri" w:eastAsia="Calibri" w:hAnsi="Calibri"/>
          <w:sz w:val="21"/>
          <w:szCs w:val="21"/>
        </w:rPr>
        <w:t xml:space="preserve"> en el PPT, con versión y fecha, y no se incorpora por remisión.</w:t>
      </w:r>
    </w:p>
    <w:p>
      <w:pPr>
        <w:spacing w:after="140" w:line="276"/>
      </w:pPr>
      <w:r>
        <w:rPr>
          <w:rFonts w:ascii="Calibri" w:cs="Calibri" w:eastAsia="Calibri" w:hAnsi="Calibri"/>
          <w:b/>
          <w:bCs/>
          <w:sz w:val="21"/>
          <w:szCs w:val="21"/>
        </w:rPr>
        <w:t xml:space="preserve">Firmas.</w:t>
      </w:r>
      <w:r>
        <w:rPr>
          <w:rFonts w:ascii="Calibri" w:cs="Calibri" w:eastAsia="Calibri" w:hAnsi="Calibri"/>
          <w:sz w:val="21"/>
          <w:szCs w:val="21"/>
        </w:rPr>
        <w:t xml:space="preserve"> Se firma por vía separada según el origen. Una sola persona no puede firmar orígenes que no le corresponden.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Vía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 firma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Cláusulas que ampara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Firma y fecha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Necesidad </w:t>
            </w:r>
            <w:r>
              <w:rPr>
                <w:rFonts w:ascii="Calibri" w:cs="Calibri" w:eastAsia="Calibri" w:hAnsi="Calibri"/>
                <w:b/>
                <w:bCs/>
                <w:sz w:val="18"/>
                <w:szCs w:val="18"/>
              </w:rPr>
              <w:t xml:space="preserve">funcional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gestor del contrato / responsable del servicio destinatario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Las marcadas con origen 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Necesidad </w:t>
            </w:r>
            <w:r>
              <w:rPr>
                <w:rFonts w:ascii="Calibri" w:cs="Calibri" w:eastAsia="Calibri" w:hAnsi="Calibri"/>
                <w:b/>
                <w:bCs/>
                <w:sz w:val="18"/>
                <w:szCs w:val="18"/>
              </w:rPr>
              <w:t xml:space="preserve">normativa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servicio competente por razón de la materia (informática y seguridad, control interno, delegado de protección de datos)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Las marcadas con origen 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Necesidad </w:t>
            </w:r>
            <w:r>
              <w:rPr>
                <w:rFonts w:ascii="Calibri" w:cs="Calibri" w:eastAsia="Calibri" w:hAnsi="Calibri"/>
                <w:b/>
                <w:bCs/>
                <w:sz w:val="18"/>
                <w:szCs w:val="18"/>
              </w:rPr>
              <w:t xml:space="preserve">institucional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remisión al acuerdo del órgano de gobierno de fecha …… , punto …… , más informe del servicio promotor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Las marcadas con origen 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200"/>
      </w:pPr>
    </w:p>
    <w:p>
      <w:pPr>
        <w:spacing w:after="140" w:line="276"/>
      </w:pPr>
      <w:r>
        <w:rPr>
          <w:rFonts w:ascii="Calibri" w:cs="Calibri" w:eastAsia="Calibri" w:hAnsi="Calibri"/>
          <w:sz w:val="21"/>
          <w:szCs w:val="21"/>
        </w:rPr>
        <w:t xml:space="preserve">---- FIN DEL MODELO ----</w:t>
      </w:r>
    </w:p>
    <w:p>
      <w:pPr>
        <w:spacing w:after="140" w:line="276"/>
      </w:pPr>
      <w:r>
        <w:rPr>
          <w:rFonts w:ascii="Calibri" w:cs="Calibri" w:eastAsia="Calibri" w:hAnsi="Calibri"/>
          <w:b/>
          <w:bCs/>
          <w:sz w:val="21"/>
          <w:szCs w:val="21"/>
        </w:rPr>
        <w:t xml:space="preserve">Nota para quien reutilice el documento.</w:t>
      </w:r>
      <w:r>
        <w:rPr>
          <w:rFonts w:ascii="Calibri" w:cs="Calibri" w:eastAsia="Calibri" w:hAnsi="Calibri"/>
          <w:sz w:val="21"/>
          <w:szCs w:val="21"/>
        </w:rPr>
        <w:t xml:space="preserve"> La doble vía de firma no es burocracia añadida: resuelve una contradicción real. El gestor de un servicio no puede firmar que necesita la conformidad con el esquema de seguridad ni el acceso de los órganos de control, porque no son necesidades suyas. Si se le obliga a firmarlas, o firma lo que no le corresponde o esas cláusulas no entran nunca en ningún pliego.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III · MODELO DE INFORME DE NECESIDAD</w:t>
      </w:r>
    </w:p>
    <w:p>
      <w:pPr>
        <w:spacing w:after="140" w:line="276"/>
      </w:pPr>
      <w:r>
        <w:rPr>
          <w:rFonts w:ascii="Calibri" w:cs="Calibri" w:eastAsia="Calibri" w:hAnsi="Calibri"/>
          <w:sz w:val="21"/>
          <w:szCs w:val="21"/>
        </w:rPr>
        <w:t xml:space="preserve">Función: cumplir los arts. 28.1 y 116.4.e) LCSP en </w:t>
      </w:r>
      <w:r>
        <w:rPr>
          <w:rFonts w:ascii="Calibri" w:cs="Calibri" w:eastAsia="Calibri" w:hAnsi="Calibri"/>
          <w:b/>
          <w:bCs/>
          <w:sz w:val="21"/>
          <w:szCs w:val="21"/>
        </w:rPr>
        <w:t xml:space="preserve">este</w:t>
      </w:r>
      <w:r>
        <w:rPr>
          <w:rFonts w:ascii="Calibri" w:cs="Calibri" w:eastAsia="Calibri" w:hAnsi="Calibri"/>
          <w:sz w:val="21"/>
          <w:szCs w:val="21"/>
        </w:rPr>
        <w:t xml:space="preserve"> expediente. Se redacta antes de la ficha del Anexo II. Y se redacta sabiendo que se publica: la motivación de la necesidad se publica en el perfil de contratante.</w:t>
      </w:r>
    </w:p>
    <w:p>
      <w:pPr>
        <w:spacing w:after="140" w:line="276"/>
      </w:pPr>
      <w:r>
        <w:rPr>
          <w:rFonts w:ascii="Calibri" w:cs="Calibri" w:eastAsia="Calibri" w:hAnsi="Calibri"/>
          <w:b/>
          <w:bCs/>
          <w:sz w:val="21"/>
          <w:szCs w:val="21"/>
        </w:rPr>
        <w:t xml:space="preserve">Advertencia central, que es la lección de la Resolución 383/2024 del TACP de la Comunidad de Madrid</w:t>
      </w:r>
      <w:r>
        <w:rPr>
          <w:rFonts w:ascii="Calibri" w:cs="Calibri" w:eastAsia="Calibri" w:hAnsi="Calibri"/>
          <w:sz w:val="21"/>
          <w:szCs w:val="21"/>
        </w:rPr>
        <w:t xml:space="preserve">: este informe y la memoria justificativa del expediente son el sitio donde se justifica cada exigencia. El catálogo de cláusulas no es la memoria de ningún expediente, y la justificación no puede completarse después, en sede de recurso.</w:t>
      </w:r>
    </w:p>
    <w:p>
      <w:pPr>
        <w:spacing w:after="140" w:line="276"/>
      </w:pPr>
      <w:r>
        <w:rPr>
          <w:rFonts w:ascii="Calibri" w:cs="Calibri" w:eastAsia="Calibri" w:hAnsi="Calibri"/>
          <w:sz w:val="21"/>
          <w:szCs w:val="21"/>
        </w:rPr>
        <w:t xml:space="preserve">---- INICIO DEL MODELO ----</w:t>
      </w:r>
    </w:p>
    <w:p>
      <w:pPr>
        <w:spacing w:after="140" w:line="276"/>
      </w:pPr>
      <w:r>
        <w:rPr>
          <w:rFonts w:ascii="Calibri" w:cs="Calibri" w:eastAsia="Calibri" w:hAnsi="Calibri"/>
          <w:b/>
          <w:bCs/>
          <w:sz w:val="21"/>
          <w:szCs w:val="21"/>
        </w:rPr>
        <w:t xml:space="preserve">INFORME DE NECESIDAD E IDONEIDAD DEL CONTRATO</w:t>
      </w:r>
    </w:p>
    <w:p>
      <w:pPr>
        <w:spacing w:after="140" w:line="276"/>
      </w:pPr>
      <w:r>
        <w:rPr>
          <w:rFonts w:ascii="Calibri" w:cs="Calibri" w:eastAsia="Calibri" w:hAnsi="Calibri"/>
          <w:i/>
          <w:iCs/>
          <w:sz w:val="21"/>
          <w:szCs w:val="21"/>
        </w:rPr>
        <w:t xml:space="preserve">(arts. 28.1 y 116.4 de la Ley 9/2017, de Contratos del Sector Público)</w:t>
      </w:r>
    </w:p>
    <w:p>
      <w:pPr>
        <w:spacing w:after="140" w:line="276"/>
      </w:pPr>
      <w:r>
        <w:rPr>
          <w:rFonts w:ascii="Calibri" w:cs="Calibri" w:eastAsia="Calibri" w:hAnsi="Calibri"/>
          <w:sz w:val="21"/>
          <w:szCs w:val="21"/>
        </w:rPr>
        <w:t xml:space="preserve">Expediente: ……………………… · Objeto: ………………………</w:t>
      </w:r>
    </w:p>
    <w:p>
      <w:pPr>
        <w:spacing w:after="140" w:line="276"/>
      </w:pPr>
      <w:r>
        <w:rPr>
          <w:rFonts w:ascii="Calibri" w:cs="Calibri" w:eastAsia="Calibri" w:hAnsi="Calibri"/>
          <w:sz w:val="21"/>
          <w:szCs w:val="21"/>
        </w:rPr>
        <w:t xml:space="preserve">Servicio promotor: ……………………… · Fecha: …… / …… / ……</w:t>
      </w:r>
    </w:p>
    <w:p>
      <w:pPr>
        <w:spacing w:after="140" w:line="276"/>
      </w:pPr>
      <w:r>
        <w:rPr>
          <w:rFonts w:ascii="Calibri" w:cs="Calibri" w:eastAsia="Calibri" w:hAnsi="Calibri"/>
          <w:b/>
          <w:bCs/>
          <w:sz w:val="21"/>
          <w:szCs w:val="21"/>
        </w:rPr>
        <w:t xml:space="preserve">1. Necesidad que se pretende satisfacer y su relación con el fin institucional.</w:t>
      </w:r>
    </w:p>
    <w:p>
      <w:pPr>
        <w:spacing w:after="140" w:line="276"/>
      </w:pPr>
      <w:r>
        <w:rPr>
          <w:rFonts w:ascii="Calibri" w:cs="Calibri" w:eastAsia="Calibri" w:hAnsi="Calibri"/>
          <w:sz w:val="21"/>
          <w:szCs w:val="21"/>
        </w:rPr>
        <w:t xml:space="preserve">Descríbase la situación actual y qué deja de poder hacerse si no se contrata. Evítese la fórmula genérica: la frase «para la modernización y transformación digital del Ayuntamiento» no es una necesidad, es un rótulo.</w:t>
      </w:r>
    </w:p>
    <w:p>
      <w:pPr>
        <w:spacing w:after="140" w:line="276"/>
      </w:pPr>
      <w:r>
        <w:rPr>
          <w:rFonts w:ascii="Calibri" w:cs="Calibri" w:eastAsia="Calibri" w:hAnsi="Calibri"/>
          <w:b/>
          <w:bCs/>
          <w:sz w:val="21"/>
          <w:szCs w:val="21"/>
        </w:rPr>
        <w:t xml:space="preserve">2. Idoneidad del objeto y de su contenido.</w:t>
      </w:r>
    </w:p>
    <w:p>
      <w:pPr>
        <w:spacing w:after="140" w:line="276"/>
      </w:pPr>
      <w:r>
        <w:rPr>
          <w:rFonts w:ascii="Calibri" w:cs="Calibri" w:eastAsia="Calibri" w:hAnsi="Calibri"/>
          <w:sz w:val="21"/>
          <w:szCs w:val="21"/>
        </w:rPr>
        <w:t xml:space="preserve">Por qué el objeto definido satisface esa necesidad y por qué no se ha definido de forma más amplia ni más estrecha. Delimitación de lo que queda fuera.</w:t>
      </w:r>
    </w:p>
    <w:p>
      <w:pPr>
        <w:spacing w:after="140" w:line="276"/>
      </w:pPr>
      <w:r>
        <w:rPr>
          <w:rFonts w:ascii="Calibri" w:cs="Calibri" w:eastAsia="Calibri" w:hAnsi="Calibri"/>
          <w:b/>
          <w:bCs/>
          <w:sz w:val="21"/>
          <w:szCs w:val="21"/>
        </w:rPr>
        <w:t xml:space="preserve">3. Insuficiencia de medios propios y consulta previa de soluciones ya disponibles.</w:t>
      </w:r>
    </w:p>
    <w:p>
      <w:pPr>
        <w:spacing w:after="140" w:line="276"/>
      </w:pPr>
      <w:r>
        <w:rPr>
          <w:rFonts w:ascii="Calibri" w:cs="Calibri" w:eastAsia="Calibri" w:hAnsi="Calibri"/>
          <w:sz w:val="21"/>
          <w:szCs w:val="21"/>
        </w:rPr>
        <w:t xml:space="preserve">(a) Por qué no puede atenderse con los medios personales y materiales del Ayuntamiento (art. 116.4.f). (b) Resultado de la consulta al directorio general de aplicaciones y, si existiendo una solución reutilizable no se reutiliza, justificación en términos de eficiencia (art. 157.3 de la Ley 40/2015).</w:t>
      </w:r>
    </w:p>
    <w:p>
      <w:pPr>
        <w:spacing w:after="140" w:line="276"/>
      </w:pPr>
      <w:r>
        <w:rPr>
          <w:rFonts w:ascii="Calibri" w:cs="Calibri" w:eastAsia="Calibri" w:hAnsi="Calibri"/>
          <w:b/>
          <w:bCs/>
          <w:sz w:val="21"/>
          <w:szCs w:val="21"/>
        </w:rPr>
        <w:t xml:space="preserve">4. Origen de cada exigencia tecnológica incorporada.</w:t>
      </w:r>
      <w:r>
        <w:rPr>
          <w:rFonts w:ascii="Calibri" w:cs="Calibri" w:eastAsia="Calibri" w:hAnsi="Calibri"/>
          <w:sz w:val="21"/>
          <w:szCs w:val="21"/>
        </w:rPr>
        <w:t xml:space="preserve"> </w:t>
      </w:r>
      <w:r>
        <w:rPr>
          <w:rFonts w:ascii="Calibri" w:cs="Calibri" w:eastAsia="Calibri" w:hAnsi="Calibri"/>
          <w:i/>
          <w:iCs/>
          <w:sz w:val="21"/>
          <w:szCs w:val="21"/>
        </w:rPr>
        <w:t xml:space="preserve">(Cumpliméntese una fila por cada cláusula marcada en la ficha del Anexo II)</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Origen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necesidad concreta cubre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Norma, acuerdo o petición que la sostiene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Por qué es proporcionada a este contrato</w:t>
            </w:r>
          </w:p>
        </w:tc>
      </w:tr>
    </w:tbl>
    <w:p>
      <w:pPr>
        <w:spacing w:after="200"/>
      </w:pPr>
    </w:p>
    <w:p>
      <w:pPr>
        <w:spacing w:after="140" w:line="276"/>
      </w:pPr>
      <w:r>
        <w:rPr>
          <w:rFonts w:ascii="Calibri" w:cs="Calibri" w:eastAsia="Calibri" w:hAnsi="Calibri"/>
          <w:b/>
          <w:bCs/>
          <w:sz w:val="21"/>
          <w:szCs w:val="21"/>
        </w:rPr>
        <w:t xml:space="preserve">4.bis Exigencias de origen institucional.</w:t>
      </w:r>
      <w:r>
        <w:rPr>
          <w:rFonts w:ascii="Calibri" w:cs="Calibri" w:eastAsia="Calibri" w:hAnsi="Calibri"/>
          <w:sz w:val="21"/>
          <w:szCs w:val="21"/>
        </w:rPr>
        <w:t xml:space="preserve"> Si alguna exigencia tiene origen institucional, identifíquese el acuerdo del órgano de gobierno que aprueba el plan o política de que deriva (fecha, punto del orden del día y publicación), y explíquese </w:t>
      </w:r>
      <w:r>
        <w:rPr>
          <w:rFonts w:ascii="Calibri" w:cs="Calibri" w:eastAsia="Calibri" w:hAnsi="Calibri"/>
          <w:b/>
          <w:bCs/>
          <w:sz w:val="21"/>
          <w:szCs w:val="21"/>
        </w:rPr>
        <w:t xml:space="preserve">por qué este contrato entra en su ámbito</w:t>
      </w:r>
      <w:r>
        <w:rPr>
          <w:rFonts w:ascii="Calibri" w:cs="Calibri" w:eastAsia="Calibri" w:hAnsi="Calibri"/>
          <w:sz w:val="21"/>
          <w:szCs w:val="21"/>
        </w:rPr>
        <w:t xml:space="preserve">. La remisión al acuerdo sin esa explicación es justificación estereotipada y no cumple el art. 116.4.e).</w:t>
      </w:r>
    </w:p>
    <w:p>
      <w:pPr>
        <w:spacing w:after="140" w:line="276"/>
      </w:pPr>
      <w:r>
        <w:rPr>
          <w:rFonts w:ascii="Calibri" w:cs="Calibri" w:eastAsia="Calibri" w:hAnsi="Calibri"/>
          <w:b/>
          <w:bCs/>
          <w:sz w:val="21"/>
          <w:szCs w:val="21"/>
        </w:rPr>
        <w:t xml:space="preserve">5. Necesidades declaradas por órganos distintos del gestor.</w:t>
      </w:r>
    </w:p>
    <w:p>
      <w:pPr>
        <w:spacing w:after="140" w:line="276"/>
      </w:pPr>
      <w:r>
        <w:rPr>
          <w:rFonts w:ascii="Calibri" w:cs="Calibri" w:eastAsia="Calibri" w:hAnsi="Calibri"/>
          <w:sz w:val="21"/>
          <w:szCs w:val="21"/>
        </w:rPr>
        <w:t xml:space="preserve">Hágase constar expresamente la necesidad declarada por los órganos de control interno respecto del acceso a los datos de ejecución, con identificación del documento en que consta, su fecha y su autor. Si no existe documento firmado, no se cita: se solicita.</w:t>
      </w:r>
    </w:p>
    <w:p>
      <w:pPr>
        <w:spacing w:after="140" w:line="276"/>
      </w:pPr>
      <w:r>
        <w:rPr>
          <w:rFonts w:ascii="Calibri" w:cs="Calibri" w:eastAsia="Calibri" w:hAnsi="Calibri"/>
          <w:b/>
          <w:bCs/>
          <w:sz w:val="21"/>
          <w:szCs w:val="21"/>
        </w:rPr>
        <w:t xml:space="preserve">6. Por qué el mantenimiento correctivo ordinario no cubre la necesidad de evolución.</w:t>
      </w:r>
    </w:p>
    <w:p>
      <w:pPr>
        <w:spacing w:after="140" w:line="276"/>
      </w:pPr>
      <w:r>
        <w:rPr>
          <w:rFonts w:ascii="Calibri" w:cs="Calibri" w:eastAsia="Calibri" w:hAnsi="Calibri"/>
          <w:sz w:val="21"/>
          <w:szCs w:val="21"/>
        </w:rPr>
        <w:t xml:space="preserve">Distíngase con precisión: (a) corrección de errores, incluida en el mantenimiento; (b) adaptación a cambios normativos, habitualmente incluida; (c) incorporación de capacidades nuevas determinadas, que </w:t>
      </w:r>
      <w:r>
        <w:rPr>
          <w:rFonts w:ascii="Calibri" w:cs="Calibri" w:eastAsia="Calibri" w:hAnsi="Calibri"/>
          <w:b/>
          <w:bCs/>
          <w:sz w:val="21"/>
          <w:szCs w:val="21"/>
        </w:rPr>
        <w:t xml:space="preserve">no</w:t>
      </w:r>
      <w:r>
        <w:rPr>
          <w:rFonts w:ascii="Calibri" w:cs="Calibri" w:eastAsia="Calibri" w:hAnsi="Calibri"/>
          <w:sz w:val="21"/>
          <w:szCs w:val="21"/>
        </w:rPr>
        <w:t xml:space="preserve"> está incluida y es lo que el catálogo contrata. Sin esta distinción, la exigencia de evolución se solapa con el mantenimiento y se paga dos veces.</w:t>
      </w:r>
    </w:p>
    <w:p>
      <w:pPr>
        <w:spacing w:after="140" w:line="276"/>
      </w:pPr>
      <w:r>
        <w:rPr>
          <w:rFonts w:ascii="Calibri" w:cs="Calibri" w:eastAsia="Calibri" w:hAnsi="Calibri"/>
          <w:b/>
          <w:bCs/>
          <w:sz w:val="21"/>
          <w:szCs w:val="21"/>
        </w:rPr>
        <w:t xml:space="preserve">7. Coste de no evolucionar.</w:t>
      </w:r>
    </w:p>
    <w:p>
      <w:pPr>
        <w:spacing w:after="140" w:line="276"/>
      </w:pPr>
      <w:r>
        <w:rPr>
          <w:rFonts w:ascii="Calibri" w:cs="Calibri" w:eastAsia="Calibri" w:hAnsi="Calibri"/>
          <w:sz w:val="21"/>
          <w:szCs w:val="21"/>
        </w:rPr>
        <w:t xml:space="preserve">Efecto previsible sobre la prestación si la solución permanece en su estado actual durante toda la duración del contrato y sus prórrogas: horas de trabajo manual, dependencia de terceros para obtener datos propios, coste de la migración futura.</w:t>
      </w:r>
    </w:p>
    <w:p>
      <w:pPr>
        <w:spacing w:after="140" w:line="276"/>
      </w:pPr>
      <w:r>
        <w:rPr>
          <w:rFonts w:ascii="Calibri" w:cs="Calibri" w:eastAsia="Calibri" w:hAnsi="Calibri"/>
          <w:b/>
          <w:bCs/>
          <w:sz w:val="21"/>
          <w:szCs w:val="21"/>
        </w:rPr>
        <w:t xml:space="preserve">8. Categoría de seguridad y tratamiento de datos personales.</w:t>
      </w:r>
    </w:p>
    <w:p>
      <w:pPr>
        <w:spacing w:after="140" w:line="276"/>
      </w:pPr>
      <w:r>
        <w:rPr>
          <w:rFonts w:ascii="Calibri" w:cs="Calibri" w:eastAsia="Calibri" w:hAnsi="Calibri"/>
          <w:sz w:val="21"/>
          <w:szCs w:val="21"/>
        </w:rPr>
        <w:t xml:space="preserve">Categoría del sistema conforme al anexo I del RD 311/2022, con el nivel de cada dimensión y su motivación. Declaración expresa de si el contrato implica cesión de datos por el Ayuntamiento al contratista y de si requiere tratamiento de datos personales por su cuenta —de ello depende que operen o no las obligaciones calificadas de esenciales por la propia ley—.</w:t>
      </w:r>
    </w:p>
    <w:p>
      <w:pPr>
        <w:spacing w:after="140" w:line="276"/>
      </w:pPr>
      <w:r>
        <w:rPr>
          <w:rFonts w:ascii="Calibri" w:cs="Calibri" w:eastAsia="Calibri" w:hAnsi="Calibri"/>
          <w:b/>
          <w:bCs/>
          <w:sz w:val="21"/>
          <w:szCs w:val="21"/>
        </w:rPr>
        <w:t xml:space="preserve">9. Valor estimado, método de cálculo y umbrales.</w:t>
      </w:r>
    </w:p>
    <w:p>
      <w:pPr>
        <w:spacing w:after="140" w:line="276"/>
      </w:pPr>
      <w:r>
        <w:rPr>
          <w:rFonts w:ascii="Calibri" w:cs="Calibri" w:eastAsia="Calibri" w:hAnsi="Calibri"/>
          <w:sz w:val="21"/>
          <w:szCs w:val="21"/>
        </w:rPr>
        <w:t xml:space="preserve">Importe, método (art. 101.5) y comprobación de los umbrales de procedimiento, recurso especial y regulación armonizada.</w:t>
      </w:r>
    </w:p>
    <w:p>
      <w:pPr>
        <w:spacing w:after="140" w:line="276"/>
      </w:pPr>
      <w:r>
        <w:rPr>
          <w:rFonts w:ascii="Calibri" w:cs="Calibri" w:eastAsia="Calibri" w:hAnsi="Calibri"/>
          <w:b/>
          <w:bCs/>
          <w:sz w:val="21"/>
          <w:szCs w:val="21"/>
        </w:rPr>
        <w:t xml:space="preserve">10. Conclusión.</w:t>
      </w:r>
    </w:p>
    <w:p>
      <w:pPr>
        <w:spacing w:after="140" w:line="276"/>
      </w:pPr>
      <w:r>
        <w:rPr>
          <w:rFonts w:ascii="Calibri" w:cs="Calibri" w:eastAsia="Calibri" w:hAnsi="Calibri"/>
          <w:sz w:val="21"/>
          <w:szCs w:val="21"/>
        </w:rPr>
        <w:t xml:space="preserve">Se propone la tramitación del expediente con las cláusulas marcadas en la ficha de aplicabilidad que se acompaña, cuya motivación individual figura en el apartado 4.</w:t>
      </w:r>
    </w:p>
    <w:p>
      <w:pPr>
        <w:spacing w:after="140" w:line="276"/>
      </w:pPr>
      <w:r>
        <w:rPr>
          <w:rFonts w:ascii="Calibri" w:cs="Calibri" w:eastAsia="Calibri" w:hAnsi="Calibri"/>
          <w:sz w:val="21"/>
          <w:szCs w:val="21"/>
        </w:rPr>
        <w:t xml:space="preserve">Firma del responsable del servicio promotor. Firmas adicionales según el origen de las exigencias, conforme al Anexo II.</w:t>
      </w:r>
    </w:p>
    <w:p>
      <w:pPr>
        <w:spacing w:after="140" w:line="276"/>
      </w:pPr>
      <w:r>
        <w:rPr>
          <w:rFonts w:ascii="Calibri" w:cs="Calibri" w:eastAsia="Calibri" w:hAnsi="Calibri"/>
          <w:sz w:val="21"/>
          <w:szCs w:val="21"/>
        </w:rPr>
        <w:t xml:space="preserve">---- FIN DEL MODELO ----</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IV · FICHA POR CRITERIO Y HOJA DE COMPROBACIÓN DEL BAREMO</w:t>
      </w:r>
    </w:p>
    <w:p>
      <w:pPr>
        <w:spacing w:after="140" w:line="276"/>
      </w:pPr>
      <w:r>
        <w:rPr>
          <w:rFonts w:ascii="Calibri" w:cs="Calibri" w:eastAsia="Calibri" w:hAnsi="Calibri"/>
          <w:sz w:val="21"/>
          <w:szCs w:val="21"/>
        </w:rPr>
        <w:t xml:space="preserve">Función: sumar </w:t>
      </w:r>
      <w:r>
        <w:rPr>
          <w:rFonts w:ascii="Calibri" w:cs="Calibri" w:eastAsia="Calibri" w:hAnsi="Calibri"/>
          <w:b/>
          <w:bCs/>
          <w:sz w:val="21"/>
          <w:szCs w:val="21"/>
        </w:rPr>
        <w:t xml:space="preserve">el PCAP entero</w:t>
      </w:r>
      <w:r>
        <w:rPr>
          <w:rFonts w:ascii="Calibri" w:cs="Calibri" w:eastAsia="Calibri" w:hAnsi="Calibri"/>
          <w:sz w:val="21"/>
          <w:szCs w:val="21"/>
        </w:rPr>
        <w:t xml:space="preserve"> —precio incluido— y avisar antes de publicar. Las comprobaciones legales del baremo operan sobre el total de criterios del contrato, no sobre un bloque.</w:t>
      </w:r>
    </w:p>
    <w:p>
      <w:pPr>
        <w:spacing w:after="140" w:line="276"/>
      </w:pPr>
      <w:r>
        <w:rPr>
          <w:rFonts w:ascii="Calibri" w:cs="Calibri" w:eastAsia="Calibri" w:hAnsi="Calibri"/>
          <w:b/>
          <w:bCs/>
          <w:sz w:val="21"/>
          <w:szCs w:val="21"/>
        </w:rPr>
        <w:t xml:space="preserve">IV.1 Ficha por criterio.</w:t>
      </w:r>
      <w:r>
        <w:rPr>
          <w:rFonts w:ascii="Calibri" w:cs="Calibri" w:eastAsia="Calibri" w:hAnsi="Calibri"/>
          <w:sz w:val="21"/>
          <w:szCs w:val="21"/>
        </w:rPr>
        <w:t xml:space="preserve"> Se rellena una por cada criterio del baremo. Sin ficha, el criterio no se incorpora.</w:t>
      </w:r>
    </w:p>
    <w:p>
      <w:pPr>
        <w:spacing w:after="140" w:line="276"/>
      </w:pPr>
      <w:r>
        <w:rPr>
          <w:rFonts w:ascii="Calibri" w:cs="Calibri" w:eastAsia="Calibri" w:hAnsi="Calibri"/>
          <w:sz w:val="21"/>
          <w:szCs w:val="21"/>
        </w:rPr>
        <w:t xml:space="preserve">---- INICIO DEL MODELO ----</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Casilla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Contenido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Criterio n.º y denominación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Puntos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Tipo: fórmula / 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 Necesidad</w:t>
            </w:r>
            <w:r>
              <w:rPr>
                <w:rFonts w:ascii="Calibri" w:cs="Calibri" w:eastAsia="Calibri" w:hAnsi="Calibri"/>
                <w:b w:val="false"/>
                <w:bCs w:val="false"/>
                <w:sz w:val="18"/>
                <w:szCs w:val="18"/>
              </w:rPr>
              <w:t xml:space="preserve">: qué aporta a la prestación que el pliego no exija ya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(2) Mejora del rendimiento</w:t>
            </w:r>
            <w:r>
              <w:rPr>
                <w:rFonts w:ascii="Calibri" w:cs="Calibri" w:eastAsia="Calibri" w:hAnsi="Calibri"/>
                <w:b w:val="false"/>
                <w:bCs w:val="false"/>
                <w:sz w:val="18"/>
                <w:szCs w:val="18"/>
              </w:rPr>
              <w:t xml:space="preserve">: en qué mejora objetivamente la ejecución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(3) Medio de verificación efectiva</w:t>
            </w:r>
            <w:r>
              <w:rPr>
                <w:rFonts w:ascii="Calibri" w:cs="Calibri" w:eastAsia="Calibri" w:hAnsi="Calibri"/>
                <w:b w:val="false"/>
                <w:bCs w:val="false"/>
                <w:sz w:val="18"/>
                <w:szCs w:val="18"/>
              </w:rPr>
              <w:t xml:space="preserve"> de lo declarado por el licitador (art. 145.5.c)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(4) Proporcionalidad del peso</w:t>
            </w:r>
            <w:r>
              <w:rPr>
                <w:rFonts w:ascii="Calibri" w:cs="Calibri" w:eastAsia="Calibri" w:hAnsi="Calibri"/>
                <w:b w:val="false"/>
                <w:bCs w:val="false"/>
                <w:sz w:val="18"/>
                <w:szCs w:val="18"/>
              </w:rPr>
              <w:t xml:space="preserve">: por qué esos puntos y no más ni menos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 Ventaja indirecta</w:t>
            </w:r>
            <w:r>
              <w:rPr>
                <w:rFonts w:ascii="Calibri" w:cs="Calibri" w:eastAsia="Calibri" w:hAnsi="Calibri"/>
                <w:b w:val="false"/>
                <w:bCs w:val="false"/>
                <w:sz w:val="18"/>
                <w:szCs w:val="18"/>
              </w:rPr>
              <w:t xml:space="preserve">: ¿puede el criterio reflejar de forma indirecta la disponibilidad previa de la capacidad (por ejemplo, un plazo ofertado)? Si sí, acotación adoptada —suelo de puntuación, peso máximo— y motivación de por qué lo valorado es una cualidad de la prestación y no una característica de la empresa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Mínimo obligatorio de referencia en el PPT (lo que </w:t>
            </w: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puntúa)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 «mejora» del art. 145.7? Si sí: ¿lista cerrada publicada, límites, modalidades y vinculación al objeto?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 completa o rúbrica con descriptores por tramos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200"/>
      </w:pPr>
    </w:p>
    <w:p>
      <w:pPr>
        <w:spacing w:after="140" w:line="276"/>
      </w:pPr>
      <w:r>
        <w:rPr>
          <w:rFonts w:ascii="Calibri" w:cs="Calibri" w:eastAsia="Calibri" w:hAnsi="Calibri"/>
          <w:sz w:val="21"/>
          <w:szCs w:val="21"/>
        </w:rPr>
        <w:t xml:space="preserve">---- FIN DEL MODELO ----</w:t>
      </w:r>
    </w:p>
    <w:p>
      <w:pPr>
        <w:spacing w:after="140" w:line="276"/>
      </w:pPr>
      <w:r>
        <w:rPr>
          <w:rFonts w:ascii="Calibri" w:cs="Calibri" w:eastAsia="Calibri" w:hAnsi="Calibri"/>
          <w:b/>
          <w:bCs/>
          <w:sz w:val="21"/>
          <w:szCs w:val="21"/>
        </w:rPr>
        <w:t xml:space="preserve">IV.2 Hoja de suma y avisos.</w:t>
      </w:r>
      <w:r>
        <w:rPr>
          <w:rFonts w:ascii="Calibri" w:cs="Calibri" w:eastAsia="Calibri" w:hAnsi="Calibri"/>
          <w:sz w:val="21"/>
          <w:szCs w:val="21"/>
        </w:rPr>
        <w:t xml:space="preserve"> Se cumplimenta con todos los criterios del PCAP.</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Bloque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Puntos por fórmula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Puntos por juicio de valor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Total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Precio y costes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Calidad de la prestación principal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Bloque de IA y tecnología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Otros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TOTAL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(B)</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100</w:t>
            </w:r>
          </w:p>
        </w:tc>
      </w:tr>
    </w:tbl>
    <w:p>
      <w:pPr>
        <w:spacing w:after="200"/>
      </w:pPr>
    </w:p>
    <w:p>
      <w:pPr>
        <w:spacing w:after="140" w:line="276"/>
      </w:pPr>
      <w:r>
        <w:rPr>
          <w:rFonts w:ascii="Calibri" w:cs="Calibri" w:eastAsia="Calibri" w:hAnsi="Calibri"/>
          <w:b/>
          <w:bCs/>
          <w:sz w:val="21"/>
          <w:szCs w:val="21"/>
        </w:rPr>
        <w:t xml:space="preserve">Avisos automáticos.</w:t>
      </w:r>
      <w:r>
        <w:rPr>
          <w:rFonts w:ascii="Calibri" w:cs="Calibri" w:eastAsia="Calibri" w:hAnsi="Calibri"/>
          <w:sz w:val="21"/>
          <w:szCs w:val="21"/>
        </w:rPr>
        <w:t xml:space="preserve"> Ésta es la </w:t>
      </w:r>
      <w:r>
        <w:rPr>
          <w:rFonts w:ascii="Calibri" w:cs="Calibri" w:eastAsia="Calibri" w:hAnsi="Calibri"/>
          <w:b/>
          <w:bCs/>
          <w:sz w:val="21"/>
          <w:szCs w:val="21"/>
        </w:rPr>
        <w:t xml:space="preserve">lista única</w:t>
      </w:r>
      <w:r>
        <w:rPr>
          <w:rFonts w:ascii="Calibri" w:cs="Calibri" w:eastAsia="Calibri" w:hAnsi="Calibri"/>
          <w:sz w:val="21"/>
          <w:szCs w:val="21"/>
        </w:rPr>
        <w:t xml:space="preserve"> de comprobaciones del baremo: son las </w:t>
      </w:r>
      <w:r>
        <w:rPr>
          <w:rFonts w:ascii="Calibri" w:cs="Calibri" w:eastAsia="Calibri" w:hAnsi="Calibri"/>
          <w:b/>
          <w:bCs/>
          <w:sz w:val="21"/>
          <w:szCs w:val="21"/>
        </w:rPr>
        <w:t xml:space="preserve">catorce</w:t>
      </w:r>
      <w:r>
        <w:rPr>
          <w:rFonts w:ascii="Calibri" w:cs="Calibri" w:eastAsia="Calibri" w:hAnsi="Calibri"/>
          <w:sz w:val="21"/>
          <w:szCs w:val="21"/>
        </w:rPr>
        <w:t xml:space="preserve"> de la hoja de comprobación de ADM-7·v3, apartado 5, reproducidas aquí como hoja operativa. Las dos listas deben coincidir fila por fila; si divergen, se corrige este anexo, porque manda la cláusula. Ninguna de las dos se copia al pliego: se cumplimentan y se incorporan al expediente. Cualquiera en rojo bloquea la publicación hasta que se resuelva.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Comprobación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Cálculo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Umbral y aviso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Estado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Suma de todos los criterios del contrato, precio incluido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Σ puntos = ___</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100? Si no suma 100, el baremo está incompleto o duplicado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Puntuación que valora la prestación principal del contrato (precio + criterios funcionales)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___ / 100 = ___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[X; se recomienda 70] %? </w:t>
            </w: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si es inferior: el baremo no valora aquello que se contrata (arts. 145.5.b y 145.6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Bloque «Innovación y tecnología»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___ / 100 = ___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[X; se recomienda 25] %? </w:t>
            </w: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si supera el </w:t>
            </w:r>
            <w:r>
              <w:rPr>
                <w:rFonts w:ascii="Calibri" w:cs="Calibri" w:eastAsia="Calibri" w:hAnsi="Calibri"/>
                <w:b/>
                <w:bCs/>
                <w:sz w:val="18"/>
                <w:szCs w:val="18"/>
              </w:rPr>
              <w:t xml:space="preserve">40 %</w:t>
            </w:r>
            <w:r>
              <w:rPr>
                <w:rFonts w:ascii="Calibri" w:cs="Calibri" w:eastAsia="Calibri" w:hAnsi="Calibri"/>
                <w:b w:val="false"/>
                <w:bCs w:val="false"/>
                <w:sz w:val="18"/>
                <w:szCs w:val="18"/>
              </w:rPr>
              <w:t xml:space="preserve">, que es límite absoluto no superable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Suma de criterios sujetos a juicio de valor (B) frente a los evaluables por fórmula (A)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 ___ % · (A) ___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 &lt; (A)? </w:t>
            </w: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si (B) es mayor: comité de expertos del art. 146.2.a) LCSP </w:t>
            </w:r>
            <w:r>
              <w:rPr>
                <w:rFonts w:ascii="Calibri" w:cs="Calibri" w:eastAsia="Calibri" w:hAnsi="Calibri"/>
                <w:b/>
                <w:bCs/>
                <w:sz w:val="18"/>
                <w:szCs w:val="18"/>
              </w:rPr>
              <w:t xml:space="preserve">preceptivo</w:t>
            </w:r>
            <w:r>
              <w:rPr>
                <w:rFonts w:ascii="Calibri" w:cs="Calibri" w:eastAsia="Calibri" w:hAnsi="Calibri"/>
                <w:b w:val="false"/>
                <w:bCs w:val="false"/>
                <w:sz w:val="18"/>
                <w:szCs w:val="18"/>
              </w:rPr>
              <w:t xml:space="preserve">, con un mínimo de tres miembros no adscritos al órgano proponente, identificado en el PCAP antes de licitar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el procedimiento es abierto simplificado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 = ___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25 %? (45 % si prestación intelectual motivada). </w:t>
            </w: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procedimiento indebido (art. 159.1.b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el procedimiento es abreviado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 = ___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0 %? </w:t>
            </w: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procedimiento indebido (art. 159.6.c LCSP). Tampoco cabe el abreviado en prestaciones de carácter intelectual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Mejoras valoradas por 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___ / 100 = ___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2,5 %? </w:t>
            </w: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(art. 145.7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el objeto son prestaciones de carácter intelectual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criterios de calidad = ___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51 %? </w:t>
            </w: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(art. 145.4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Criterios que valoran el cumplimiento de un mínimo ya impuesto por el PPT, por el Anexo V o por una condición especial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listar: ___</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¿ninguno? </w:t>
            </w: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doble cómputo. Reformular como incremento sobre el mínimo o suprimir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Criterios que valoran certificaciones de empresa, experiencia previa o disponibilidad de medios anterior a la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listar: ___</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¿ninguno? </w:t>
            </w: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art. 40.b) LCSP, causa de anulabilidad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Criterios que valoran una capacidad cuya cláusula técnica está marcada NO APLICA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listar: ___</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¿ninguno? </w:t>
            </w: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se puntúa lo que el pliego no exige. Se suprime el criterio y </w:t>
            </w:r>
            <w:r>
              <w:rPr>
                <w:rFonts w:ascii="Calibri" w:cs="Calibri" w:eastAsia="Calibri" w:hAnsi="Calibri"/>
                <w:b/>
                <w:bCs/>
                <w:sz w:val="18"/>
                <w:szCs w:val="18"/>
              </w:rPr>
              <w:t xml:space="preserve">se recompone el baremo antes de publicar el anuncio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Criterios sin medio de comprobación efectiva o sin ficha del apartado IV.1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listar: ___</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¿ninguno? </w:t>
            </w: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se suprime el criterio (art. 145.5.c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Capacidades que figuran a la vez como criterio del baremo y como obligación esencial del bloque B.2 de ADM-6·v3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listar: ___</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¿ninguna? </w:t>
            </w: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acumula sobre el mismo elemento un premio y una pena de máxima intensidad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ha excluido del cómputo de criterios de calidad </w:t>
            </w:r>
            <w:r>
              <w:rPr>
                <w:rFonts w:ascii="Calibri" w:cs="Calibri" w:eastAsia="Calibri" w:hAnsi="Calibri"/>
                <w:b/>
                <w:bCs/>
                <w:sz w:val="18"/>
                <w:szCs w:val="18"/>
              </w:rPr>
              <w:t xml:space="preserve">todo</w:t>
            </w:r>
            <w:r>
              <w:rPr>
                <w:rFonts w:ascii="Calibri" w:cs="Calibri" w:eastAsia="Calibri" w:hAnsi="Calibri"/>
                <w:b w:val="false"/>
                <w:bCs w:val="false"/>
                <w:sz w:val="18"/>
                <w:szCs w:val="18"/>
              </w:rPr>
              <w:t xml:space="preserve"> criterio de precio, incluidos los de precios unitarios?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___</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si no. Un criterio de precio unitario es precio, no calidad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bl>
    <w:p>
      <w:pPr>
        <w:spacing w:after="200"/>
      </w:pPr>
    </w:p>
    <w:p>
      <w:pPr>
        <w:spacing w:after="140" w:line="276"/>
      </w:pPr>
      <w:r>
        <w:rPr>
          <w:rFonts w:ascii="Calibri" w:cs="Calibri" w:eastAsia="Calibri" w:hAnsi="Calibri"/>
          <w:b/>
          <w:bCs/>
          <w:sz w:val="21"/>
          <w:szCs w:val="21"/>
        </w:rPr>
        <w:t xml:space="preserve">Regla de cierre del anexo:</w:t>
      </w:r>
      <w:r>
        <w:rPr>
          <w:rFonts w:ascii="Calibri" w:cs="Calibri" w:eastAsia="Calibri" w:hAnsi="Calibri"/>
          <w:sz w:val="21"/>
          <w:szCs w:val="21"/>
        </w:rPr>
        <w:t xml:space="preserve"> las ponderaciones publicadas no se modifican después. Si un criterio decae, </w:t>
      </w:r>
      <w:r>
        <w:rPr>
          <w:rFonts w:ascii="Calibri" w:cs="Calibri" w:eastAsia="Calibri" w:hAnsi="Calibri"/>
          <w:b/>
          <w:bCs/>
          <w:sz w:val="21"/>
          <w:szCs w:val="21"/>
        </w:rPr>
        <w:t xml:space="preserve">el baremo se recompone antes de la publicación del anuncio</w:t>
      </w:r>
      <w:r>
        <w:rPr>
          <w:rFonts w:ascii="Calibri" w:cs="Calibri" w:eastAsia="Calibri" w:hAnsi="Calibri"/>
          <w:sz w:val="21"/>
          <w:szCs w:val="21"/>
        </w:rPr>
        <w:t xml:space="preserve">, nunca por reescalado una vez publicado el pliego, que la Parte I, §7.8.b), declara prohibido.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V · CATÁLOGO DE EXIGENCIAS TECNOLÓGICAS DETERMINADAS DEL EJERCICIO 2026-2027</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Dato de control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Contenido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Denominación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Catálogo de Exigencias Tecnológicas Determinadas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Ejercicio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2026-2027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Versión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Fecha de aprobación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 …… / ……</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aprobante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gobierno municipal competente, o el órgano en quien delegue conforme al acuerdo del Anexo VIII]</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Materia del ejercicio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Capacidad de la solución para ser operada y auditada por agentes y asistentes de inteligencia artificial bajo control municipal, con supervisión humana y trazabilidad completa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Vigencia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aplica a las licitaciones que se convoquen a partir de su aprobación y hasta la aprobación de la revisión siguiente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Efecto sobre contratos en vigor</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Ninguno.</w:t>
            </w:r>
            <w:r>
              <w:rPr>
                <w:rFonts w:ascii="Calibri" w:cs="Calibri" w:eastAsia="Calibri" w:hAnsi="Calibri"/>
                <w:b w:val="false"/>
                <w:bCs w:val="false"/>
                <w:sz w:val="18"/>
                <w:szCs w:val="18"/>
              </w:rPr>
              <w:t xml:space="preserve"> A un contrato ya formalizado sólo le resultan exigibles las exigencias del Catálogo vigente en el momento de su licitación</w:t>
            </w:r>
          </w:p>
        </w:tc>
      </w:tr>
    </w:tbl>
    <w:p>
      <w:pPr>
        <w:spacing w:after="200"/>
      </w:pPr>
    </w:p>
    <w:p>
      <w:pPr>
        <w:spacing w:after="140" w:line="276"/>
      </w:pPr>
      <w:r>
        <w:rPr>
          <w:rFonts w:ascii="Calibri" w:cs="Calibri" w:eastAsia="Calibri" w:hAnsi="Calibri"/>
          <w:b/>
          <w:bCs/>
          <w:sz w:val="21"/>
          <w:szCs w:val="21"/>
        </w:rPr>
        <w:t xml:space="preserve">Advertencia de incorporación, que es de cumplimiento obligado.</w:t>
      </w:r>
      <w:r>
        <w:rPr>
          <w:rFonts w:ascii="Calibri" w:cs="Calibri" w:eastAsia="Calibri" w:hAnsi="Calibri"/>
          <w:sz w:val="21"/>
          <w:szCs w:val="21"/>
        </w:rPr>
        <w:t xml:space="preserve"> Este catálogo </w:t>
      </w:r>
      <w:r>
        <w:rPr>
          <w:rFonts w:ascii="Calibri" w:cs="Calibri" w:eastAsia="Calibri" w:hAnsi="Calibri"/>
          <w:b/>
          <w:bCs/>
          <w:sz w:val="21"/>
          <w:szCs w:val="21"/>
        </w:rPr>
        <w:t xml:space="preserve">se transcribe físicamente en el pliego de prescripciones técnicas</w:t>
      </w:r>
      <w:r>
        <w:rPr>
          <w:rFonts w:ascii="Calibri" w:cs="Calibri" w:eastAsia="Calibri" w:hAnsi="Calibri"/>
          <w:sz w:val="21"/>
          <w:szCs w:val="21"/>
        </w:rPr>
        <w:t xml:space="preserve">, con su número de versión y su fecha, recortado a los módulos del contrato. </w:t>
      </w:r>
      <w:r>
        <w:rPr>
          <w:rFonts w:ascii="Calibri" w:cs="Calibri" w:eastAsia="Calibri" w:hAnsi="Calibri"/>
          <w:b/>
          <w:bCs/>
          <w:sz w:val="21"/>
          <w:szCs w:val="21"/>
        </w:rPr>
        <w:t xml:space="preserve">No se incorpora por remisión.</w:t>
      </w:r>
      <w:r>
        <w:rPr>
          <w:rFonts w:ascii="Calibri" w:cs="Calibri" w:eastAsia="Calibri" w:hAnsi="Calibri"/>
          <w:sz w:val="21"/>
          <w:szCs w:val="21"/>
        </w:rPr>
        <w:t xml:space="preserve"> Un pliego que remita a un documento municipal revisable anualmente contiene una obligación cuyo contenido puede cambiar después de ofertar: es indeterminación, y es motivo de recurso contra el pliego. En el pliego debe constar además, expresamente, que las revisiones posteriores del catálogo no afectan al contrato.</w:t>
      </w:r>
    </w:p>
    <w:p>
      <w:pPr>
        <w:spacing w:after="140" w:line="276"/>
      </w:pPr>
      <w:r>
        <w:rPr>
          <w:rFonts w:ascii="Calibri" w:cs="Calibri" w:eastAsia="Calibri" w:hAnsi="Calibri"/>
          <w:b/>
          <w:bCs/>
          <w:sz w:val="21"/>
          <w:szCs w:val="21"/>
        </w:rPr>
        <w:t xml:space="preserve">Advertencia de contraste de mercado.</w:t>
      </w:r>
      <w:r>
        <w:rPr>
          <w:rFonts w:ascii="Calibri" w:cs="Calibri" w:eastAsia="Calibri" w:hAnsi="Calibri"/>
          <w:sz w:val="21"/>
          <w:szCs w:val="21"/>
        </w:rPr>
        <w:t xml:space="preserve"> Antes de incorporar el catálogo a un pliego concreto, su contenido se contrasta con el mercado de la tipología de solución de que se trate, y el contraste se deja documentado en el expediente. Una exigencia que ningún proveedor del sector pueda cumplir en el plazo previsto no protege al Ayuntamiento: reduce la concurrencia o produce un incumplimiento generalizado desde el primer año. El contraste se hace </w:t>
      </w:r>
      <w:r>
        <w:rPr>
          <w:rFonts w:ascii="Calibri" w:cs="Calibri" w:eastAsia="Calibri" w:hAnsi="Calibri"/>
          <w:b/>
          <w:bCs/>
          <w:sz w:val="21"/>
          <w:szCs w:val="21"/>
        </w:rPr>
        <w:t xml:space="preserve">una vez al año, al aprobar el catálogo</w:t>
      </w:r>
      <w:r>
        <w:rPr>
          <w:rFonts w:ascii="Calibri" w:cs="Calibri" w:eastAsia="Calibri" w:hAnsi="Calibri"/>
          <w:sz w:val="21"/>
          <w:szCs w:val="21"/>
        </w:rPr>
        <w:t xml:space="preserve">, y se reutiliza en cada expediente; hacerlo por expediente es inasumible y no aporta nada.</w:t>
      </w:r>
    </w:p>
    <w:p>
      <w:pPr>
        <w:pStyle w:val="Heading3"/>
        <w:keepNext/>
        <w:spacing w:after="140" w:before="320"/>
      </w:pPr>
      <w:r>
        <w:rPr>
          <w:rFonts w:ascii="Georgia" w:cs="Georgia" w:eastAsia="Georgia" w:hAnsi="Georgia"/>
          <w:b/>
          <w:bCs/>
          <w:color w:val="2F5496"/>
          <w:sz w:val="22"/>
          <w:szCs w:val="22"/>
        </w:rPr>
        <w:t xml:space="preserve">V.A.1 Reglas comunes a las tres exigencias</w:t>
      </w:r>
    </w:p>
    <w:p>
      <w:pPr>
        <w:pStyle w:val="ListParagraph"/>
        <w:numPr>
          <w:ilvl w:val="0"/>
          <w:numId w:val="2"/>
        </w:numPr>
        <w:spacing w:after="70" w:line="268"/>
      </w:pPr>
      <w:r>
        <w:rPr>
          <w:rFonts w:ascii="Calibri" w:cs="Calibri" w:eastAsia="Calibri" w:hAnsi="Calibri"/>
          <w:b/>
          <w:bCs/>
          <w:sz w:val="21"/>
          <w:szCs w:val="21"/>
        </w:rPr>
        <w:t xml:space="preserve">Alcance ordinario.</w:t>
      </w:r>
      <w:r>
        <w:rPr>
          <w:rFonts w:ascii="Calibri" w:cs="Calibri" w:eastAsia="Calibri" w:hAnsi="Calibri"/>
          <w:sz w:val="21"/>
          <w:szCs w:val="21"/>
        </w:rPr>
        <w:t xml:space="preserve"> Las exigencias forman parte del objeto del contrato y se entienden retribuidas con el precio ofertado. Su cumplimiento no da lugar a facturación adicional ni requiere modificación contractual.</w:t>
      </w:r>
    </w:p>
    <w:p>
      <w:pPr>
        <w:pStyle w:val="ListParagraph"/>
        <w:numPr>
          <w:ilvl w:val="0"/>
          <w:numId w:val="2"/>
        </w:numPr>
        <w:spacing w:after="70" w:line="268"/>
      </w:pPr>
      <w:r>
        <w:rPr>
          <w:rFonts w:ascii="Calibri" w:cs="Calibri" w:eastAsia="Calibri" w:hAnsi="Calibri"/>
          <w:b/>
          <w:bCs/>
          <w:sz w:val="21"/>
          <w:szCs w:val="21"/>
        </w:rPr>
        <w:t xml:space="preserve">Criterios binarios.</w:t>
      </w:r>
      <w:r>
        <w:rPr>
          <w:rFonts w:ascii="Calibri" w:cs="Calibri" w:eastAsia="Calibri" w:hAnsi="Calibri"/>
          <w:sz w:val="21"/>
          <w:szCs w:val="21"/>
        </w:rPr>
        <w:t xml:space="preserve"> Todo criterio de aceptación se formula de modo que la respuesta sea sí o no y se compruebe en el entorno de pruebas. Un criterio que sólo pueda valorarse por apreciación no sostiene una penalidad en un procedimiento contradictorio.</w:t>
      </w:r>
    </w:p>
    <w:p>
      <w:pPr>
        <w:pStyle w:val="ListParagraph"/>
        <w:numPr>
          <w:ilvl w:val="0"/>
          <w:numId w:val="2"/>
        </w:numPr>
        <w:spacing w:after="70" w:line="268"/>
      </w:pPr>
      <w:r>
        <w:rPr>
          <w:rFonts w:ascii="Calibri" w:cs="Calibri" w:eastAsia="Calibri" w:hAnsi="Calibri"/>
          <w:b/>
          <w:bCs/>
          <w:sz w:val="21"/>
          <w:szCs w:val="21"/>
        </w:rPr>
        <w:t xml:space="preserve">Nada exige lo imposible.</w:t>
      </w:r>
      <w:r>
        <w:rPr>
          <w:rFonts w:ascii="Calibri" w:cs="Calibri" w:eastAsia="Calibri" w:hAnsi="Calibri"/>
          <w:sz w:val="21"/>
          <w:szCs w:val="21"/>
        </w:rPr>
        <w:t xml:space="preserve"> Ningún criterio puede exigir al adjudicatario una propiedad que no esté en su mano acreditar sobre un sistema que él mismo opera. Cuando el objetivo sea la protección frente al propio operador, se formula como control verificable —segregación de funciones, sólo-anexado, exportación con resumen criptográfico— y no como una cualidad absoluta.</w:t>
      </w:r>
    </w:p>
    <w:p>
      <w:pPr>
        <w:pStyle w:val="ListParagraph"/>
        <w:numPr>
          <w:ilvl w:val="0"/>
          <w:numId w:val="2"/>
        </w:numPr>
        <w:spacing w:after="70" w:line="268"/>
      </w:pPr>
      <w:r>
        <w:rPr>
          <w:rFonts w:ascii="Calibri" w:cs="Calibri" w:eastAsia="Calibri" w:hAnsi="Calibri"/>
          <w:b/>
          <w:bCs/>
          <w:sz w:val="21"/>
          <w:szCs w:val="21"/>
        </w:rPr>
        <w:t xml:space="preserve">Verificación documentada.</w:t>
      </w:r>
      <w:r>
        <w:rPr>
          <w:rFonts w:ascii="Calibri" w:cs="Calibri" w:eastAsia="Calibri" w:hAnsi="Calibri"/>
          <w:sz w:val="21"/>
          <w:szCs w:val="21"/>
        </w:rPr>
        <w:t xml:space="preserve"> Cada exigencia se verifica mediante prueba de aceptación sobre el entorno de pruebas, documentada en acta suscrita por el responsable del contrato.</w:t>
      </w:r>
    </w:p>
    <w:p>
      <w:pPr>
        <w:pStyle w:val="ListParagraph"/>
        <w:numPr>
          <w:ilvl w:val="0"/>
          <w:numId w:val="2"/>
        </w:numPr>
        <w:spacing w:after="70" w:line="268"/>
      </w:pPr>
      <w:r>
        <w:rPr>
          <w:rFonts w:ascii="Calibri" w:cs="Calibri" w:eastAsia="Calibri" w:hAnsi="Calibri"/>
          <w:b/>
          <w:bCs/>
          <w:sz w:val="21"/>
          <w:szCs w:val="21"/>
        </w:rPr>
        <w:t xml:space="preserve">La aceptación no exime.</w:t>
      </w:r>
      <w:r>
        <w:rPr>
          <w:rFonts w:ascii="Calibri" w:cs="Calibri" w:eastAsia="Calibri" w:hAnsi="Calibri"/>
          <w:sz w:val="21"/>
          <w:szCs w:val="21"/>
        </w:rPr>
        <w:t xml:space="preserve"> La aceptación no libera al adjudicatario de responsabilidad por defectos, errores, vulnerabilidades, incumplimientos normativos o degradación posterior de la capacidad verificada, que debe mantenerse operativa durante el resto de la vigencia.</w:t>
      </w:r>
    </w:p>
    <w:p>
      <w:pPr>
        <w:pStyle w:val="ListParagraph"/>
        <w:numPr>
          <w:ilvl w:val="0"/>
          <w:numId w:val="2"/>
        </w:numPr>
        <w:spacing w:after="70" w:line="268"/>
      </w:pPr>
      <w:r>
        <w:rPr>
          <w:rFonts w:ascii="Calibri" w:cs="Calibri" w:eastAsia="Calibri" w:hAnsi="Calibri"/>
          <w:b/>
          <w:bCs/>
          <w:sz w:val="21"/>
          <w:szCs w:val="21"/>
        </w:rPr>
        <w:t xml:space="preserve">Neutralidad.</w:t>
      </w:r>
      <w:r>
        <w:rPr>
          <w:rFonts w:ascii="Calibri" w:cs="Calibri" w:eastAsia="Calibri" w:hAnsi="Calibri"/>
          <w:sz w:val="21"/>
          <w:szCs w:val="21"/>
        </w:rPr>
        <w:t xml:space="preserve"> Ninguna exigencia se define por el nombre de un producto, protocolo o red. Cuando el pliego mencione uno a título ilustrativo, la mención va acompañada de «o equivalente» y de la remisión a DT-0·v3.</w:t>
      </w:r>
    </w:p>
    <w:p>
      <w:pPr>
        <w:pStyle w:val="ListParagraph"/>
        <w:numPr>
          <w:ilvl w:val="0"/>
          <w:numId w:val="2"/>
        </w:numPr>
        <w:spacing w:after="70" w:line="268"/>
      </w:pPr>
      <w:r>
        <w:rPr>
          <w:rFonts w:ascii="Calibri" w:cs="Calibri" w:eastAsia="Calibri" w:hAnsi="Calibri"/>
          <w:b/>
          <w:bCs/>
          <w:sz w:val="21"/>
          <w:szCs w:val="21"/>
        </w:rPr>
        <w:t xml:space="preserve">Coherencia con la cláusula técnica que la soporta.</w:t>
      </w:r>
      <w:r>
        <w:rPr>
          <w:rFonts w:ascii="Calibri" w:cs="Calibri" w:eastAsia="Calibri" w:hAnsi="Calibri"/>
          <w:sz w:val="21"/>
          <w:szCs w:val="21"/>
        </w:rPr>
        <w:t xml:space="preserve"> Ningún criterio de aceptación de este catálogo puede fijar un valor distinto del que fija la cláusula técnica de la que depende. Antes de transcribir, se coteja parámetro a parámetro. Un pliego que exija conservar un registro veinticuatro meses en su cláusula técnica y seis en el apéndice que transcribe este catálogo contiene una obligación indeterminada sobre el elemento del que cuelgan una penalidad y una obligación esencial.</w:t>
      </w:r>
    </w:p>
    <w:p>
      <w:pPr>
        <w:pStyle w:val="Heading3"/>
        <w:keepNext/>
        <w:spacing w:after="140" w:before="320"/>
      </w:pPr>
      <w:r>
        <w:rPr>
          <w:rFonts w:ascii="Georgia" w:cs="Georgia" w:eastAsia="Georgia" w:hAnsi="Georgia"/>
          <w:b/>
          <w:bCs/>
          <w:color w:val="2F5496"/>
          <w:sz w:val="22"/>
          <w:szCs w:val="22"/>
        </w:rPr>
        <w:t xml:space="preserve">V.A.2 Texto que se transcribe al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ET-1. INTERFAZ NORMALIZADA DE ACCESO PROGRAMÁTICO PARA AGENTES DE INTELIGENCIA ARTIFICIAL</w:t>
            </w:r>
          </w:p>
          <w:p>
            <w:pPr>
              <w:spacing w:after="100" w:line="264"/>
            </w:pPr>
            <w:r>
              <w:rPr>
                <w:rFonts w:ascii="Georgia" w:cs="Georgia" w:eastAsia="Georgia" w:hAnsi="Georgia"/>
                <w:i/>
                <w:iCs/>
                <w:sz w:val="20"/>
                <w:szCs w:val="20"/>
              </w:rPr>
              <w:t xml:space="preserve">Objeto.</w:t>
            </w:r>
            <w:r>
              <w:rPr>
                <w:rFonts w:ascii="Georgia" w:cs="Georgia" w:eastAsia="Georgia" w:hAnsi="Georgia"/>
                <w:sz w:val="20"/>
                <w:szCs w:val="20"/>
              </w:rPr>
              <w:t xml:space="preserve"> Entrega de una interfaz de acceso programático que exponga de forma segura los datos y funciones de los módulos contratados a asistentes y agentes de inteligencia artificial operados bajo control del Ayuntamiento. La interfaz se define por las funciones que debe prestar y no por el protocolo que emplee; se admite cualquier protocolo abierto y documentado que satisfaga los criterios de aceptación, correspondiendo al licitador acreditar la equivalencia conforme a la cláusula DT-0·v3.</w:t>
            </w:r>
          </w:p>
          <w:p>
            <w:pPr>
              <w:spacing w:after="100" w:line="264"/>
            </w:pPr>
            <w:r>
              <w:rPr>
                <w:rFonts w:ascii="Georgia" w:cs="Georgia" w:eastAsia="Georgia" w:hAnsi="Georgia"/>
                <w:i/>
                <w:iCs/>
                <w:sz w:val="20"/>
                <w:szCs w:val="20"/>
              </w:rPr>
              <w:t xml:space="preserve">Ámbito y sede única de la relación.</w:t>
            </w:r>
            <w:r>
              <w:rPr>
                <w:rFonts w:ascii="Georgia" w:cs="Georgia" w:eastAsia="Georgia" w:hAnsi="Georgia"/>
                <w:sz w:val="20"/>
                <w:szCs w:val="20"/>
              </w:rPr>
              <w:t xml:space="preserve"> Los módulos alcanzados por esta exigencia, las funciones mínimas exigidas y, en bloque separado, las funciones adicionales que pueden ofertarse se relacionan de forma cerrada y numerada en el apartado de módulos y funciones de la interfaz normalizada que encabeza este mismo Apéndice técnico. </w:t>
            </w:r>
            <w:r>
              <w:rPr>
                <w:rFonts w:ascii="Georgia" w:cs="Georgia" w:eastAsia="Georgia" w:hAnsi="Georgia"/>
                <w:b/>
                <w:bCs/>
                <w:sz w:val="20"/>
                <w:szCs w:val="20"/>
              </w:rPr>
              <w:t xml:space="preserve">Esa relación es la única de este pliego sobre esta interfaz</w:t>
            </w:r>
            <w:r>
              <w:rPr>
                <w:rFonts w:ascii="Georgia" w:cs="Georgia" w:eastAsia="Georgia" w:hAnsi="Georgia"/>
                <w:sz w:val="20"/>
                <w:szCs w:val="20"/>
              </w:rPr>
              <w:t xml:space="preserve">: ningún otro documento del pliego contiene una relación distinta, y el exceso que valore el pliego de cláusulas administrativas particulares se mide exclusivamente sobre ella.</w:t>
            </w:r>
          </w:p>
          <w:p>
            <w:pPr>
              <w:spacing w:after="100" w:line="264"/>
            </w:pPr>
            <w:r>
              <w:rPr>
                <w:rFonts w:ascii="Georgia" w:cs="Georgia" w:eastAsia="Georgia" w:hAnsi="Georgia"/>
                <w:i/>
                <w:iCs/>
                <w:sz w:val="20"/>
                <w:szCs w:val="20"/>
              </w:rPr>
              <w:t xml:space="preserve">Plazo.</w:t>
            </w:r>
            <w:r>
              <w:rPr>
                <w:rFonts w:ascii="Georgia" w:cs="Georgia" w:eastAsia="Georgia" w:hAnsi="Georgia"/>
                <w:sz w:val="20"/>
                <w:szCs w:val="20"/>
              </w:rPr>
              <w:t xml:space="preserve"> [X; se recomienda DOCE (12)] meses desde la formalización del contrato o, si fuera posterior, desde la puesta en producción del módulo correspondiente.</w:t>
            </w:r>
          </w:p>
          <w:p>
            <w:pPr>
              <w:spacing w:after="100" w:line="264"/>
            </w:pPr>
            <w:r>
              <w:rPr>
                <w:rFonts w:ascii="Georgia" w:cs="Georgia" w:eastAsia="Georgia" w:hAnsi="Georgia"/>
                <w:i/>
                <w:iCs/>
                <w:sz w:val="20"/>
                <w:szCs w:val="20"/>
              </w:rPr>
              <w:t xml:space="preserve">Criterios de aceptación.</w:t>
            </w:r>
          </w:p>
          <w:p>
            <w:pPr>
              <w:pStyle w:val="ListParagraph"/>
              <w:numPr>
                <w:ilvl w:val="0"/>
                <w:numId w:val="2"/>
              </w:numPr>
              <w:spacing w:after="60" w:line="264"/>
            </w:pPr>
            <w:r>
              <w:rPr>
                <w:rFonts w:ascii="Georgia" w:cs="Georgia" w:eastAsia="Georgia" w:hAnsi="Georgia"/>
                <w:sz w:val="20"/>
                <w:szCs w:val="20"/>
              </w:rPr>
              <w:t xml:space="preserve">La interfaz expone, como mínimo, las funciones de consulta relacionadas como </w:t>
            </w:r>
            <w:r>
              <w:rPr>
                <w:rFonts w:ascii="Georgia" w:cs="Georgia" w:eastAsia="Georgia" w:hAnsi="Georgia"/>
                <w:b/>
                <w:bCs/>
                <w:sz w:val="20"/>
                <w:szCs w:val="20"/>
              </w:rPr>
              <w:t xml:space="preserve">funciones mínimas</w:t>
            </w:r>
            <w:r>
              <w:rPr>
                <w:rFonts w:ascii="Georgia" w:cs="Georgia" w:eastAsia="Georgia" w:hAnsi="Georgia"/>
                <w:sz w:val="20"/>
                <w:szCs w:val="20"/>
              </w:rPr>
              <w:t xml:space="preserve"> en el apartado de módulos y funciones de este Apéndice técnico, sobre los módulos allí identificados, y además las </w:t>
            </w:r>
            <w:r>
              <w:rPr>
                <w:rFonts w:ascii="Georgia" w:cs="Georgia" w:eastAsia="Georgia" w:hAnsi="Georgia"/>
                <w:b/>
                <w:bCs/>
                <w:sz w:val="20"/>
                <w:szCs w:val="20"/>
              </w:rPr>
              <w:t xml:space="preserve">funciones adicionales</w:t>
            </w:r>
            <w:r>
              <w:rPr>
                <w:rFonts w:ascii="Georgia" w:cs="Georgia" w:eastAsia="Georgia" w:hAnsi="Georgia"/>
                <w:sz w:val="20"/>
                <w:szCs w:val="20"/>
              </w:rPr>
              <w:t xml:space="preserve"> de ese mismo apartado que el adjudicatario haya comprometido en su oferta. Se acredita mediante inventario de funciones expuestas y ejecución de cada una de ellas en el entorno de pruebas.</w:t>
            </w:r>
          </w:p>
          <w:p>
            <w:pPr>
              <w:pStyle w:val="ListParagraph"/>
              <w:numPr>
                <w:ilvl w:val="0"/>
                <w:numId w:val="2"/>
              </w:numPr>
              <w:spacing w:after="60" w:line="264"/>
            </w:pPr>
            <w:r>
              <w:rPr>
                <w:rFonts w:ascii="Georgia" w:cs="Georgia" w:eastAsia="Georgia" w:hAnsi="Georgia"/>
                <w:sz w:val="20"/>
                <w:szCs w:val="20"/>
              </w:rPr>
              <w:t xml:space="preserve">La autenticación y la autorización se integran con el directorio corporativo del Ayuntamiento. El control de acceso se diferencia por módulo, por operación y por ámbito de datos, y distingue las operaciones de consulta de las de escritura. Se acredita creando dos perfiles con permisos distintos y comprobando que cada uno accede sólo a lo suyo.</w:t>
            </w:r>
          </w:p>
          <w:p>
            <w:pPr>
              <w:pStyle w:val="ListParagraph"/>
              <w:numPr>
                <w:ilvl w:val="0"/>
                <w:numId w:val="2"/>
              </w:numPr>
              <w:spacing w:after="60" w:line="264"/>
            </w:pPr>
            <w:r>
              <w:rPr>
                <w:rFonts w:ascii="Georgia" w:cs="Georgia" w:eastAsia="Georgia" w:hAnsi="Georgia"/>
                <w:sz w:val="20"/>
                <w:szCs w:val="20"/>
              </w:rPr>
              <w:t xml:space="preserve">Toda consulta y toda acción realizada a través de la interfaz queda registrada con identificación del agente actuante, de la persona usuaria responsable, de la marca temporal y de los datos afectados. El registro es exportable en formato abierto y se conserva conforme a la política municipal, por un período no inferior a [X; se recomienda VEINTICUATRO (24)] meses, en coherencia con el plazo que para el mismo registro fija la cláusula DT-7·v3, apartado 3.c).</w:t>
            </w:r>
          </w:p>
          <w:p>
            <w:pPr>
              <w:pStyle w:val="ListParagraph"/>
              <w:numPr>
                <w:ilvl w:val="0"/>
                <w:numId w:val="2"/>
              </w:numPr>
              <w:spacing w:after="60" w:line="264"/>
            </w:pPr>
            <w:r>
              <w:rPr>
                <w:rFonts w:ascii="Georgia" w:cs="Georgia" w:eastAsia="Georgia" w:hAnsi="Georgia"/>
                <w:sz w:val="20"/>
                <w:szCs w:val="20"/>
              </w:rPr>
              <w:t xml:space="preserve">La documentación técnica de la interfaz está publicada y versionada, y comprende la especificación de las funciones, el modelo de permisos, el diccionario de datos y las instrucciones de despliegue.</w:t>
            </w:r>
          </w:p>
          <w:p>
            <w:pPr>
              <w:pStyle w:val="ListParagraph"/>
              <w:numPr>
                <w:ilvl w:val="0"/>
                <w:numId w:val="2"/>
              </w:numPr>
              <w:spacing w:after="60" w:line="264"/>
            </w:pPr>
            <w:r>
              <w:rPr>
                <w:rFonts w:ascii="Georgia" w:cs="Georgia" w:eastAsia="Georgia" w:hAnsi="Georgia"/>
                <w:sz w:val="20"/>
                <w:szCs w:val="20"/>
              </w:rPr>
              <w:t xml:space="preserve">El Ayuntamiento dispone de un entorno de pruebas con datos ficticios o anonimizados que permite verificar los criterios anteriores sin afectar al entorno de producción.</w:t>
            </w:r>
          </w:p>
          <w:p>
            <w:pPr>
              <w:spacing w:after="100" w:line="264"/>
            </w:pPr>
            <w:r>
              <w:rPr>
                <w:rFonts w:ascii="Georgia" w:cs="Georgia" w:eastAsia="Georgia" w:hAnsi="Georgia"/>
                <w:i/>
                <w:iCs/>
                <w:sz w:val="20"/>
                <w:szCs w:val="20"/>
              </w:rPr>
              <w:t xml:space="preserve">Comprobación.</w:t>
            </w:r>
            <w:r>
              <w:rPr>
                <w:rFonts w:ascii="Georgia" w:cs="Georgia" w:eastAsia="Georgia" w:hAnsi="Georgia"/>
                <w:sz w:val="20"/>
                <w:szCs w:val="20"/>
              </w:rPr>
              <w:t xml:space="preserve"> Prueba de aceptación ejecutada por los servicios municipales sobre el entorno de pruebas, con ejecución efectiva de cada función y de cada criterio, documentada en acta.</w:t>
            </w:r>
          </w:p>
          <w:p>
            <w:pPr>
              <w:spacing w:after="100" w:line="264"/>
            </w:pPr>
            <w:r>
              <w:rPr>
                <w:rFonts w:ascii="Georgia" w:cs="Georgia" w:eastAsia="Georgia" w:hAnsi="Georgia"/>
                <w:sz w:val="20"/>
                <w:szCs w:val="20"/>
              </w:rPr>
              <w:t xml:space="preserve">---</w:t>
            </w:r>
          </w:p>
          <w:p>
            <w:pPr>
              <w:spacing w:after="100" w:line="264"/>
            </w:pPr>
            <w:r>
              <w:rPr>
                <w:rFonts w:ascii="Georgia" w:cs="Georgia" w:eastAsia="Georgia" w:hAnsi="Georgia"/>
                <w:b/>
                <w:bCs/>
                <w:sz w:val="20"/>
                <w:szCs w:val="20"/>
              </w:rPr>
              <w:t xml:space="preserve">ET-2. OPERACIÓN AUTÓNOMA SUPERVISADA</w:t>
            </w:r>
          </w:p>
          <w:p>
            <w:pPr>
              <w:spacing w:after="100" w:line="264"/>
            </w:pPr>
            <w:r>
              <w:rPr>
                <w:rFonts w:ascii="Georgia" w:cs="Georgia" w:eastAsia="Georgia" w:hAnsi="Georgia"/>
                <w:i/>
                <w:iCs/>
                <w:sz w:val="20"/>
                <w:szCs w:val="20"/>
              </w:rPr>
              <w:t xml:space="preserve">Objeto.</w:t>
            </w:r>
            <w:r>
              <w:rPr>
                <w:rFonts w:ascii="Georgia" w:cs="Georgia" w:eastAsia="Georgia" w:hAnsi="Georgia"/>
                <w:sz w:val="20"/>
                <w:szCs w:val="20"/>
              </w:rPr>
              <w:t xml:space="preserve"> Capacidad de la solución para ejecutar, a instancia de un agente de inteligencia artificial, secuencias de operaciones sobre los módulos contratados, dentro de límites configurables por el Ayuntamiento y bajo supervisión humana.</w:t>
            </w:r>
          </w:p>
          <w:p>
            <w:pPr>
              <w:spacing w:after="100" w:line="264"/>
            </w:pPr>
            <w:r>
              <w:rPr>
                <w:rFonts w:ascii="Georgia" w:cs="Georgia" w:eastAsia="Georgia" w:hAnsi="Georgia"/>
                <w:i/>
                <w:iCs/>
                <w:sz w:val="20"/>
                <w:szCs w:val="20"/>
              </w:rPr>
              <w:t xml:space="preserve">Plazo.</w:t>
            </w:r>
            <w:r>
              <w:rPr>
                <w:rFonts w:ascii="Georgia" w:cs="Georgia" w:eastAsia="Georgia" w:hAnsi="Georgia"/>
                <w:sz w:val="20"/>
                <w:szCs w:val="20"/>
              </w:rPr>
              <w:t xml:space="preserve"> [X; se recomienda DOCE (12)] meses desde la formalización del contrato.</w:t>
            </w:r>
          </w:p>
          <w:p>
            <w:pPr>
              <w:spacing w:after="100" w:line="264"/>
            </w:pPr>
            <w:r>
              <w:rPr>
                <w:rFonts w:ascii="Georgia" w:cs="Georgia" w:eastAsia="Georgia" w:hAnsi="Georgia"/>
                <w:i/>
                <w:iCs/>
                <w:sz w:val="20"/>
                <w:szCs w:val="20"/>
              </w:rPr>
              <w:t xml:space="preserve">Criterios de aceptación.</w:t>
            </w:r>
          </w:p>
          <w:p>
            <w:pPr>
              <w:pStyle w:val="ListParagraph"/>
              <w:numPr>
                <w:ilvl w:val="0"/>
                <w:numId w:val="2"/>
              </w:numPr>
              <w:spacing w:after="60" w:line="264"/>
            </w:pPr>
            <w:r>
              <w:rPr>
                <w:rFonts w:ascii="Georgia" w:cs="Georgia" w:eastAsia="Georgia" w:hAnsi="Georgia"/>
                <w:sz w:val="20"/>
                <w:szCs w:val="20"/>
              </w:rPr>
              <w:t xml:space="preserve">Los límites de actuación son configurables por el Ayuntamiento y permiten habilitar y deshabilitar de forma independiente cada operación susceptible de ser ejecutada por un agente. Se acredita deshabilitando una operación y comprobando que deja de estar disponible.</w:t>
            </w:r>
          </w:p>
          <w:p>
            <w:pPr>
              <w:pStyle w:val="ListParagraph"/>
              <w:numPr>
                <w:ilvl w:val="0"/>
                <w:numId w:val="2"/>
              </w:numPr>
              <w:spacing w:after="60" w:line="264"/>
            </w:pPr>
            <w:r>
              <w:rPr>
                <w:rFonts w:ascii="Georgia" w:cs="Georgia" w:eastAsia="Georgia" w:hAnsi="Georgia"/>
                <w:sz w:val="20"/>
                <w:szCs w:val="20"/>
              </w:rPr>
              <w:t xml:space="preserve">Las operaciones con efecto jurídico o económico requieren en todos los casos validación expresa de la persona competente antes de su ejecución, sin que exista configuración alguna que permita lo contrario. Se acredita intentando ejecutar una de ellas sin validación y comprobando que el sistema lo impide.</w:t>
            </w:r>
          </w:p>
          <w:p>
            <w:pPr>
              <w:pStyle w:val="ListParagraph"/>
              <w:numPr>
                <w:ilvl w:val="0"/>
                <w:numId w:val="2"/>
              </w:numPr>
              <w:spacing w:after="60" w:line="264"/>
            </w:pPr>
            <w:r>
              <w:rPr>
                <w:rFonts w:ascii="Georgia" w:cs="Georgia" w:eastAsia="Georgia" w:hAnsi="Georgia"/>
                <w:sz w:val="20"/>
                <w:szCs w:val="20"/>
              </w:rPr>
              <w:t xml:space="preserve">Existe un mecanismo de suspensión inmediata de la operación de agentes, accionable desde la propia solución por una persona usuaria del Ayuntamiento con perfil de administración, sin necesidad de solicitud, aviso ni intervención humana del adjudicatario, y cuyo efecto se produce en un plazo no superior a [X; se recomienda CINCO (5)] minutos. Se acredita accionándolo en el entorno de pruebas y comprobando que ninguna operación posterior se ejecuta.</w:t>
            </w:r>
          </w:p>
          <w:p>
            <w:pPr>
              <w:pStyle w:val="ListParagraph"/>
              <w:numPr>
                <w:ilvl w:val="0"/>
                <w:numId w:val="2"/>
              </w:numPr>
              <w:spacing w:after="60" w:line="264"/>
            </w:pPr>
            <w:r>
              <w:rPr>
                <w:rFonts w:ascii="Georgia" w:cs="Georgia" w:eastAsia="Georgia" w:hAnsi="Georgia"/>
                <w:sz w:val="20"/>
                <w:szCs w:val="20"/>
              </w:rPr>
              <w:t xml:space="preserve">Toda operación ejecutada por un agente es reversible desde la propia solución por una persona usuaria con perfil competente. Se acredita </w:t>
            </w:r>
            <w:r>
              <w:rPr>
                <w:rFonts w:ascii="Georgia" w:cs="Georgia" w:eastAsia="Georgia" w:hAnsi="Georgia"/>
                <w:b/>
                <w:bCs/>
                <w:sz w:val="20"/>
                <w:szCs w:val="20"/>
              </w:rPr>
              <w:t xml:space="preserve">revirtiendo efectivamente</w:t>
            </w:r>
            <w:r>
              <w:rPr>
                <w:rFonts w:ascii="Georgia" w:cs="Georgia" w:eastAsia="Georgia" w:hAnsi="Georgia"/>
                <w:sz w:val="20"/>
                <w:szCs w:val="20"/>
              </w:rPr>
              <w:t xml:space="preserve">, en la prueba de aceptación, al menos una operación de cada tipo habilitado, y comprobando que la reversión queda registrada conforme a ET-3.</w:t>
            </w:r>
          </w:p>
          <w:p>
            <w:pPr>
              <w:spacing w:after="100" w:line="264"/>
            </w:pPr>
            <w:r>
              <w:rPr>
                <w:rFonts w:ascii="Georgia" w:cs="Georgia" w:eastAsia="Georgia" w:hAnsi="Georgia"/>
                <w:i/>
                <w:iCs/>
                <w:sz w:val="20"/>
                <w:szCs w:val="20"/>
              </w:rPr>
              <w:t xml:space="preserve">Comprobación.</w:t>
            </w:r>
            <w:r>
              <w:rPr>
                <w:rFonts w:ascii="Georgia" w:cs="Georgia" w:eastAsia="Georgia" w:hAnsi="Georgia"/>
                <w:sz w:val="20"/>
                <w:szCs w:val="20"/>
              </w:rPr>
              <w:t xml:space="preserve"> Demostración sobre el entorno de pruebas, con verificación de cada criterio mediante ejecución efectiva y documentación en acta.</w:t>
            </w:r>
          </w:p>
          <w:p>
            <w:pPr>
              <w:spacing w:after="100" w:line="264"/>
            </w:pPr>
            <w:r>
              <w:rPr>
                <w:rFonts w:ascii="Georgia" w:cs="Georgia" w:eastAsia="Georgia" w:hAnsi="Georgia"/>
                <w:sz w:val="20"/>
                <w:szCs w:val="20"/>
              </w:rPr>
              <w:t xml:space="preserve">---</w:t>
            </w:r>
          </w:p>
          <w:p>
            <w:pPr>
              <w:spacing w:after="100" w:line="264"/>
            </w:pPr>
            <w:r>
              <w:rPr>
                <w:rFonts w:ascii="Georgia" w:cs="Georgia" w:eastAsia="Georgia" w:hAnsi="Georgia"/>
                <w:b/>
                <w:bCs/>
                <w:sz w:val="20"/>
                <w:szCs w:val="20"/>
              </w:rPr>
              <w:t xml:space="preserve">ET-3. TRAZABILIDAD Y AUDITORÍA DE LA ACTUACIÓN DE AGENTES</w:t>
            </w:r>
          </w:p>
          <w:p>
            <w:pPr>
              <w:spacing w:after="100" w:line="264"/>
            </w:pPr>
            <w:r>
              <w:rPr>
                <w:rFonts w:ascii="Georgia" w:cs="Georgia" w:eastAsia="Georgia" w:hAnsi="Georgia"/>
                <w:i/>
                <w:iCs/>
                <w:sz w:val="20"/>
                <w:szCs w:val="20"/>
              </w:rPr>
              <w:t xml:space="preserve">Objeto.</w:t>
            </w:r>
            <w:r>
              <w:rPr>
                <w:rFonts w:ascii="Georgia" w:cs="Georgia" w:eastAsia="Georgia" w:hAnsi="Georgia"/>
                <w:sz w:val="20"/>
                <w:szCs w:val="20"/>
              </w:rPr>
              <w:t xml:space="preserve"> Registro íntegro y consultable de la actuación de agentes de inteligencia artificial sobre los datos y procesos del Ayuntamiento.</w:t>
            </w:r>
          </w:p>
          <w:p>
            <w:pPr>
              <w:spacing w:after="100" w:line="264"/>
            </w:pPr>
            <w:r>
              <w:rPr>
                <w:rFonts w:ascii="Georgia" w:cs="Georgia" w:eastAsia="Georgia" w:hAnsi="Georgia"/>
                <w:i/>
                <w:iCs/>
                <w:sz w:val="20"/>
                <w:szCs w:val="20"/>
              </w:rPr>
              <w:t xml:space="preserve">Plazo.</w:t>
            </w:r>
            <w:r>
              <w:rPr>
                <w:rFonts w:ascii="Georgia" w:cs="Georgia" w:eastAsia="Georgia" w:hAnsi="Georgia"/>
                <w:sz w:val="20"/>
                <w:szCs w:val="20"/>
              </w:rPr>
              <w:t xml:space="preserve"> [X; se recomienda DOCE (12)] meses desde la formalización del contrato.</w:t>
            </w:r>
          </w:p>
          <w:p>
            <w:pPr>
              <w:spacing w:after="100" w:line="264"/>
            </w:pPr>
            <w:r>
              <w:rPr>
                <w:rFonts w:ascii="Georgia" w:cs="Georgia" w:eastAsia="Georgia" w:hAnsi="Georgia"/>
                <w:i/>
                <w:iCs/>
                <w:sz w:val="20"/>
                <w:szCs w:val="20"/>
              </w:rPr>
              <w:t xml:space="preserve">Criterios de aceptación.</w:t>
            </w:r>
          </w:p>
          <w:p>
            <w:pPr>
              <w:pStyle w:val="ListParagraph"/>
              <w:numPr>
                <w:ilvl w:val="0"/>
                <w:numId w:val="2"/>
              </w:numPr>
              <w:spacing w:after="60" w:line="264"/>
            </w:pPr>
            <w:r>
              <w:rPr>
                <w:rFonts w:ascii="Georgia" w:cs="Georgia" w:eastAsia="Georgia" w:hAnsi="Georgia"/>
                <w:sz w:val="20"/>
                <w:szCs w:val="20"/>
              </w:rPr>
              <w:t xml:space="preserve">El registro recoge consultas, propuestas y acciones, distinguiendo unas de otras.</w:t>
            </w:r>
          </w:p>
          <w:p>
            <w:pPr>
              <w:pStyle w:val="ListParagraph"/>
              <w:numPr>
                <w:ilvl w:val="0"/>
                <w:numId w:val="2"/>
              </w:numPr>
              <w:spacing w:after="60" w:line="264"/>
            </w:pPr>
            <w:r>
              <w:rPr>
                <w:rFonts w:ascii="Georgia" w:cs="Georgia" w:eastAsia="Georgia" w:hAnsi="Georgia"/>
                <w:sz w:val="20"/>
                <w:szCs w:val="20"/>
              </w:rPr>
              <w:t xml:space="preserve">El registro opera en modo sólo-anexado: la solución no ofrece, en ninguno de sus perfiles de administración, función alguna de modificación o borrado selectivo de asientos del registro. Las operaciones de purga por política de retención son configurables por el Ayuntamiento y quedan a su vez registradas. Se acredita revisando el catálogo de funciones de administración y comprobando en el entorno de pruebas que no existe tal función.</w:t>
            </w:r>
          </w:p>
          <w:p>
            <w:pPr>
              <w:pStyle w:val="ListParagraph"/>
              <w:numPr>
                <w:ilvl w:val="0"/>
                <w:numId w:val="2"/>
              </w:numPr>
              <w:spacing w:after="60" w:line="264"/>
            </w:pPr>
            <w:r>
              <w:rPr>
                <w:rFonts w:ascii="Georgia" w:cs="Georgia" w:eastAsia="Georgia" w:hAnsi="Georgia"/>
                <w:sz w:val="20"/>
                <w:szCs w:val="20"/>
              </w:rPr>
              <w:t xml:space="preserve">La solución entrega al Ayuntamiento, con periodicidad [X; se recomienda DIARIA], una copia exportada del registro acompañada de un resumen criptográfico que permita al Ayuntamiento detectar por sí mismo cualquier alteración posterior. Se acredita comprobando la entrega y verificando el resumen sobre una copia.</w:t>
            </w:r>
          </w:p>
          <w:p>
            <w:pPr>
              <w:pStyle w:val="ListParagraph"/>
              <w:numPr>
                <w:ilvl w:val="0"/>
                <w:numId w:val="2"/>
              </w:numPr>
              <w:spacing w:after="60" w:line="264"/>
            </w:pPr>
            <w:r>
              <w:rPr>
                <w:rFonts w:ascii="Georgia" w:cs="Georgia" w:eastAsia="Georgia" w:hAnsi="Georgia"/>
                <w:sz w:val="20"/>
                <w:szCs w:val="20"/>
              </w:rPr>
              <w:t xml:space="preserve">El registro es consultable por los servicios municipales mediante herramienta propia de la solución y exportable en formato estándar y abierto, sin intervención del adjudicatario.</w:t>
            </w:r>
          </w:p>
          <w:p>
            <w:pPr>
              <w:pStyle w:val="ListParagraph"/>
              <w:numPr>
                <w:ilvl w:val="0"/>
                <w:numId w:val="2"/>
              </w:numPr>
              <w:spacing w:after="60" w:line="264"/>
            </w:pPr>
            <w:r>
              <w:rPr>
                <w:rFonts w:ascii="Georgia" w:cs="Georgia" w:eastAsia="Georgia" w:hAnsi="Georgia"/>
                <w:sz w:val="20"/>
                <w:szCs w:val="20"/>
              </w:rPr>
              <w:t xml:space="preserve">El registro permite reconstruir, para cualquier operación registrada, el agente actuante, la persona usuaria responsable, la marca temporal y los datos consultados o modificados.</w:t>
            </w:r>
          </w:p>
          <w:p>
            <w:pPr>
              <w:spacing w:after="100" w:line="264"/>
            </w:pPr>
            <w:r>
              <w:rPr>
                <w:rFonts w:ascii="Georgia" w:cs="Georgia" w:eastAsia="Georgia" w:hAnsi="Georgia"/>
                <w:i/>
                <w:iCs/>
                <w:sz w:val="20"/>
                <w:szCs w:val="20"/>
              </w:rPr>
              <w:t xml:space="preserve">Comprobación.</w:t>
            </w:r>
            <w:r>
              <w:rPr>
                <w:rFonts w:ascii="Georgia" w:cs="Georgia" w:eastAsia="Georgia" w:hAnsi="Georgia"/>
                <w:sz w:val="20"/>
                <w:szCs w:val="20"/>
              </w:rPr>
              <w:t xml:space="preserve"> Verificación documental, revisión del catálogo de funciones de administración y prueba de exportación y de verificación del resumen criptográfico sobre el entorno de pruebas.</w:t>
            </w:r>
          </w:p>
        </w:tc>
      </w:tr>
    </w:tbl>
    <w:p>
      <w:pPr>
        <w:spacing w:after="220"/>
      </w:pPr>
    </w:p>
    <w:p>
      <w:pPr>
        <w:spacing w:after="140" w:line="276"/>
      </w:pPr>
      <w:r>
        <w:rPr>
          <w:rFonts w:ascii="Calibri" w:cs="Calibri" w:eastAsia="Calibri" w:hAnsi="Calibri"/>
          <w:b/>
          <w:bCs/>
          <w:sz w:val="21"/>
          <w:szCs w:val="21"/>
        </w:rPr>
        <w:t xml:space="preserve">Nota de alcance sobre ET-2, fuera del texto que se copia al pliego.</w:t>
      </w:r>
      <w:r>
        <w:rPr>
          <w:rFonts w:ascii="Calibri" w:cs="Calibri" w:eastAsia="Calibri" w:hAnsi="Calibri"/>
          <w:sz w:val="21"/>
          <w:szCs w:val="21"/>
        </w:rPr>
        <w:t xml:space="preserve"> El pliego identifica expresamente qué operaciones se habilitan a los agentes: la exigencia no consiste en habilitarlas todas. Cuando el objeto del contrato sostenga procedimientos con efecto económico o registral —contabilidad, recaudación, padrón, registro—, la recomendación es habilitar únicamente operaciones sin ese efecto y dejar la escritura para una licitación posterior, con el catálogo actualizado y el circuito de autorización resuelto. Una exigencia acotada que se cumple vale más que una amplia que se incumple desde el primer año.</w:t>
      </w:r>
    </w:p>
    <w:p>
      <w:pPr>
        <w:pStyle w:val="Heading3"/>
        <w:keepNext/>
        <w:spacing w:after="140" w:before="320"/>
      </w:pPr>
      <w:r>
        <w:rPr>
          <w:rFonts w:ascii="Georgia" w:cs="Georgia" w:eastAsia="Georgia" w:hAnsi="Georgia"/>
          <w:b/>
          <w:bCs/>
          <w:color w:val="2F5496"/>
          <w:sz w:val="22"/>
          <w:szCs w:val="22"/>
        </w:rPr>
        <w:t xml:space="preserve">V.A.3 Qué se ha corregido respecto de la propuesta de origen, y por qué</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Criterio original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Problema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Redacción del catálogo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ET-2, criterio 4: «Las actuaciones ejecutadas son reversibles, </w:t>
            </w:r>
            <w:r>
              <w:rPr>
                <w:rFonts w:ascii="Calibri" w:cs="Calibri" w:eastAsia="Calibri" w:hAnsi="Calibri"/>
                <w:b/>
                <w:bCs/>
                <w:sz w:val="18"/>
                <w:szCs w:val="18"/>
              </w:rPr>
              <w:t xml:space="preserve">o consta el procedimiento documentado</w:t>
            </w:r>
            <w:r>
              <w:rPr>
                <w:rFonts w:ascii="Calibri" w:cs="Calibri" w:eastAsia="Calibri" w:hAnsi="Calibri"/>
                <w:b w:val="false"/>
                <w:bCs w:val="false"/>
                <w:sz w:val="18"/>
                <w:szCs w:val="18"/>
              </w:rPr>
              <w:t xml:space="preserve"> para revertir sus efectos»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alternativa hace el criterio no binario: un documento describiendo un procedimiento no acredita que la reversión funcione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elimina la alternativa. Se acredita revirtiendo efectivamente una operación de cada tipo en la prueba de aceptación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ET-2, criterio 3: suspensión «accionable por el Ayuntamiento </w:t>
            </w:r>
            <w:r>
              <w:rPr>
                <w:rFonts w:ascii="Calibri" w:cs="Calibri" w:eastAsia="Calibri" w:hAnsi="Calibri"/>
                <w:b/>
                <w:bCs/>
                <w:sz w:val="18"/>
                <w:szCs w:val="18"/>
              </w:rPr>
              <w:t xml:space="preserve">sin intervención del adjudicatario</w:t>
            </w: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una solución operada por el adjudicatario, la exigencia leída literalmente es de imposible acreditación: todo el sistema está bajo su operación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reformula como capacidad concreta: función accionable desde la solución por un perfil municipal, sin solicitud ni aviso previo, con efecto en un plazo máximo verificable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ET-3, criterio 1: registro «</w:t>
            </w:r>
            <w:r>
              <w:rPr>
                <w:rFonts w:ascii="Calibri" w:cs="Calibri" w:eastAsia="Calibri" w:hAnsi="Calibri"/>
                <w:b/>
                <w:bCs/>
                <w:sz w:val="18"/>
                <w:szCs w:val="18"/>
              </w:rPr>
              <w:t xml:space="preserve">inalterable por el propio adjudicatario</w:t>
            </w: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Exige acreditar una imposibilidad absoluta sobre un sistema que el propio adjudicatario administra. Un criterio de aceptación que nadie puede acreditar no protege: restringe la concurrencia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sustituye por tres controles verificables: modo sólo-anexado, ausencia de función de modificación o borrado selectivo en los perfiles de administración, y entrega periódica de copia con resumen criptográfico que permite al Ayuntamiento detectar alteraciones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ET-1, criterio 1: relación de módulos abierta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ámbito universal rompe la vinculación al objeto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relación de módulos, de funciones mínimas y de funciones adicionales ofertables se publica cerrada y numerada en el apartado inicial del Apéndice técnico 2 · Exigencias tecnológicas determinadas, que es su </w:t>
            </w:r>
            <w:r>
              <w:rPr>
                <w:rFonts w:ascii="Calibri" w:cs="Calibri" w:eastAsia="Calibri" w:hAnsi="Calibri"/>
                <w:b/>
                <w:bCs/>
                <w:sz w:val="18"/>
                <w:szCs w:val="18"/>
              </w:rPr>
              <w:t xml:space="preserve">única</w:t>
            </w:r>
            <w:r>
              <w:rPr>
                <w:rFonts w:ascii="Calibri" w:cs="Calibri" w:eastAsia="Calibri" w:hAnsi="Calibri"/>
                <w:b w:val="false"/>
                <w:bCs w:val="false"/>
                <w:sz w:val="18"/>
                <w:szCs w:val="18"/>
              </w:rPr>
              <w:t xml:space="preserve"> sede en el pliego (Anexo XXV)</w:t>
            </w:r>
          </w:p>
        </w:tc>
      </w:tr>
    </w:tbl>
    <w:p>
      <w:pPr>
        <w:spacing w:after="200"/>
      </w:pPr>
    </w:p>
    <w:p>
      <w:pPr>
        <w:pStyle w:val="Heading3"/>
        <w:keepNext/>
        <w:spacing w:after="140" w:before="320"/>
      </w:pPr>
      <w:r>
        <w:rPr>
          <w:rFonts w:ascii="Georgia" w:cs="Georgia" w:eastAsia="Georgia" w:hAnsi="Georgia"/>
          <w:b/>
          <w:bCs/>
          <w:color w:val="2F5496"/>
          <w:sz w:val="22"/>
          <w:szCs w:val="22"/>
        </w:rPr>
        <w:t xml:space="preserve">V.A.4 Procedimiento de revisión anual</w:t>
      </w:r>
    </w:p>
    <w:p>
      <w:pPr>
        <w:pStyle w:val="ListParagraph"/>
        <w:numPr>
          <w:ilvl w:val="0"/>
          <w:numId w:val="2"/>
        </w:numPr>
        <w:spacing w:after="70" w:line="268"/>
      </w:pPr>
      <w:r>
        <w:rPr>
          <w:rFonts w:ascii="Calibri" w:cs="Calibri" w:eastAsia="Calibri" w:hAnsi="Calibri"/>
          <w:sz w:val="21"/>
          <w:szCs w:val="21"/>
        </w:rPr>
        <w:t xml:space="preserve">Con anterioridad al inicio de cada ejercicio, los servicios técnicos municipales elaboran una </w:t>
      </w:r>
      <w:r>
        <w:rPr>
          <w:rFonts w:ascii="Calibri" w:cs="Calibri" w:eastAsia="Calibri" w:hAnsi="Calibri"/>
          <w:b/>
          <w:bCs/>
          <w:sz w:val="21"/>
          <w:szCs w:val="21"/>
        </w:rPr>
        <w:t xml:space="preserve">propuesta de actualización</w:t>
      </w:r>
      <w:r>
        <w:rPr>
          <w:rFonts w:ascii="Calibri" w:cs="Calibri" w:eastAsia="Calibri" w:hAnsi="Calibri"/>
          <w:sz w:val="21"/>
          <w:szCs w:val="21"/>
        </w:rPr>
        <w:t xml:space="preserve">, identificando las capacidades que pasan a ser exigibles, las que se mantienen y las que se suprimen por haberse generalizado o quedado superadas.</w:t>
      </w:r>
    </w:p>
    <w:p>
      <w:pPr>
        <w:pStyle w:val="ListParagraph"/>
        <w:numPr>
          <w:ilvl w:val="0"/>
          <w:numId w:val="2"/>
        </w:numPr>
        <w:spacing w:after="70" w:line="268"/>
      </w:pPr>
      <w:r>
        <w:rPr>
          <w:rFonts w:ascii="Calibri" w:cs="Calibri" w:eastAsia="Calibri" w:hAnsi="Calibri"/>
          <w:sz w:val="21"/>
          <w:szCs w:val="21"/>
        </w:rPr>
        <w:t xml:space="preserve">La propuesta se acompaña del </w:t>
      </w:r>
      <w:r>
        <w:rPr>
          <w:rFonts w:ascii="Calibri" w:cs="Calibri" w:eastAsia="Calibri" w:hAnsi="Calibri"/>
          <w:b/>
          <w:bCs/>
          <w:sz w:val="21"/>
          <w:szCs w:val="21"/>
        </w:rPr>
        <w:t xml:space="preserve">contraste de mercado</w:t>
      </w:r>
      <w:r>
        <w:rPr>
          <w:rFonts w:ascii="Calibri" w:cs="Calibri" w:eastAsia="Calibri" w:hAnsi="Calibri"/>
          <w:sz w:val="21"/>
          <w:szCs w:val="21"/>
        </w:rPr>
        <w:t xml:space="preserve"> por tipología de solución, que acredita que las exigencias son alcanzables en el plazo previsto por una pluralidad de operadores. Cuando se articule mediante consulta preliminar del mercado, se está a lo previsto en la Parte V, V.4.13 —que regula cómo se publica y cómo se documenta— y en la Parte IV, M3, que explica por qué su carácter anual y centralizado es lo que acredita la neutralidad. El modelo de anuncio y de informe está en el Anexo XXII. No se reproduce aquí ese régimen: sólo se hace constar que su documentación sirve a la vez para todos los expedientes del ejercicio.</w:t>
      </w:r>
    </w:p>
    <w:p>
      <w:pPr>
        <w:pStyle w:val="ListParagraph"/>
        <w:numPr>
          <w:ilvl w:val="0"/>
          <w:numId w:val="2"/>
        </w:numPr>
        <w:spacing w:after="70" w:line="268"/>
      </w:pPr>
      <w:r>
        <w:rPr>
          <w:rFonts w:ascii="Calibri" w:cs="Calibri" w:eastAsia="Calibri" w:hAnsi="Calibri"/>
          <w:sz w:val="21"/>
          <w:szCs w:val="21"/>
        </w:rPr>
        <w:t xml:space="preserve">La propuesta se somete al </w:t>
      </w:r>
      <w:r>
        <w:rPr>
          <w:rFonts w:ascii="Calibri" w:cs="Calibri" w:eastAsia="Calibri" w:hAnsi="Calibri"/>
          <w:b/>
          <w:bCs/>
          <w:sz w:val="21"/>
          <w:szCs w:val="21"/>
        </w:rPr>
        <w:t xml:space="preserve">informe del órgano al que corresponda el informe jurídico</w:t>
      </w:r>
      <w:r>
        <w:rPr>
          <w:rFonts w:ascii="Calibri" w:cs="Calibri" w:eastAsia="Calibri" w:hAnsi="Calibri"/>
          <w:sz w:val="21"/>
          <w:szCs w:val="21"/>
        </w:rPr>
        <w:t xml:space="preserve"> (Asesoría Jurídica en municipios de gran población; Secretaría en el régimen común).</w:t>
      </w:r>
    </w:p>
    <w:p>
      <w:pPr>
        <w:pStyle w:val="ListParagraph"/>
        <w:numPr>
          <w:ilvl w:val="0"/>
          <w:numId w:val="2"/>
        </w:numPr>
        <w:spacing w:after="70" w:line="268"/>
      </w:pPr>
      <w:r>
        <w:rPr>
          <w:rFonts w:ascii="Calibri" w:cs="Calibri" w:eastAsia="Calibri" w:hAnsi="Calibri"/>
          <w:sz w:val="21"/>
          <w:szCs w:val="21"/>
        </w:rPr>
        <w:t xml:space="preserve">El catálogo actualizado se aprueba por </w:t>
      </w:r>
      <w:r>
        <w:rPr>
          <w:rFonts w:ascii="Calibri" w:cs="Calibri" w:eastAsia="Calibri" w:hAnsi="Calibri"/>
          <w:b/>
          <w:bCs/>
          <w:sz w:val="21"/>
          <w:szCs w:val="21"/>
        </w:rPr>
        <w:t xml:space="preserve">el órgano competente identificado en el acuerdo del Anexo VIII</w:t>
      </w:r>
      <w:r>
        <w:rPr>
          <w:rFonts w:ascii="Calibri" w:cs="Calibri" w:eastAsia="Calibri" w:hAnsi="Calibri"/>
          <w:sz w:val="21"/>
          <w:szCs w:val="21"/>
        </w:rPr>
        <w:t xml:space="preserve">, y se publica en el perfil de contratante con su número de versión y su fecha antes de incorporarse a ningún pliego.</w:t>
      </w:r>
    </w:p>
    <w:p>
      <w:pPr>
        <w:pStyle w:val="ListParagraph"/>
        <w:numPr>
          <w:ilvl w:val="0"/>
          <w:numId w:val="2"/>
        </w:numPr>
        <w:spacing w:after="70" w:line="268"/>
      </w:pPr>
      <w:r>
        <w:rPr>
          <w:rFonts w:ascii="Calibri" w:cs="Calibri" w:eastAsia="Calibri" w:hAnsi="Calibri"/>
          <w:sz w:val="21"/>
          <w:szCs w:val="21"/>
        </w:rPr>
        <w:t xml:space="preserve">La revisión </w:t>
      </w:r>
      <w:r>
        <w:rPr>
          <w:rFonts w:ascii="Calibri" w:cs="Calibri" w:eastAsia="Calibri" w:hAnsi="Calibri"/>
          <w:b/>
          <w:bCs/>
          <w:sz w:val="21"/>
          <w:szCs w:val="21"/>
        </w:rPr>
        <w:t xml:space="preserve">no</w:t>
      </w:r>
      <w:r>
        <w:rPr>
          <w:rFonts w:ascii="Calibri" w:cs="Calibri" w:eastAsia="Calibri" w:hAnsi="Calibri"/>
          <w:sz w:val="21"/>
          <w:szCs w:val="21"/>
        </w:rPr>
        <w:t xml:space="preserve"> reabre el clausulado: el articulado es estable y el catálogo es volátil. Esa separación es lo que permite que la revisión anual ocurra de verdad.</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VI · TABLA DE DEPENDENCIAS</w:t>
      </w:r>
    </w:p>
    <w:p>
      <w:pPr>
        <w:spacing w:after="140" w:line="276"/>
      </w:pPr>
      <w:r>
        <w:rPr>
          <w:rFonts w:ascii="Calibri" w:cs="Calibri" w:eastAsia="Calibri" w:hAnsi="Calibri"/>
          <w:sz w:val="21"/>
          <w:szCs w:val="21"/>
        </w:rPr>
        <w:t xml:space="preserve">Función: evitar el pliego contradictorio. Cuando una cláusula se marca NO APLICA, sus menciones sobreviven en el resto del documento: en el cuadro de penalidades, en la lista de obligaciones esenciales, en el baremo, en la declaración responsable y en las remisiones internas. Un pliego que penaliza el incumplimiento de una cláusula que no ha incorporado es un pliego indeterminado.</w:t>
      </w:r>
    </w:p>
    <w:p>
      <w:pPr>
        <w:spacing w:after="140" w:line="276"/>
      </w:pPr>
      <w:r>
        <w:rPr>
          <w:rFonts w:ascii="Calibri" w:cs="Calibri" w:eastAsia="Calibri" w:hAnsi="Calibri"/>
          <w:b/>
          <w:bCs/>
          <w:sz w:val="21"/>
          <w:szCs w:val="21"/>
        </w:rPr>
        <w:t xml:space="preserve">Regla de ejecución:</w:t>
      </w:r>
      <w:r>
        <w:rPr>
          <w:rFonts w:ascii="Calibri" w:cs="Calibri" w:eastAsia="Calibri" w:hAnsi="Calibri"/>
          <w:sz w:val="21"/>
          <w:szCs w:val="21"/>
        </w:rPr>
        <w:t xml:space="preserve"> la depuración se hace </w:t>
      </w:r>
      <w:r>
        <w:rPr>
          <w:rFonts w:ascii="Calibri" w:cs="Calibri" w:eastAsia="Calibri" w:hAnsi="Calibri"/>
          <w:b/>
          <w:bCs/>
          <w:sz w:val="21"/>
          <w:szCs w:val="21"/>
        </w:rPr>
        <w:t xml:space="preserve">antes</w:t>
      </w:r>
      <w:r>
        <w:rPr>
          <w:rFonts w:ascii="Calibri" w:cs="Calibri" w:eastAsia="Calibri" w:hAnsi="Calibri"/>
          <w:sz w:val="21"/>
          <w:szCs w:val="21"/>
        </w:rPr>
        <w:t xml:space="preserve"> de aprobar el pliego, se marca en la casilla de cierre de la ficha del Anexo II, y consiste en </w:t>
      </w:r>
      <w:r>
        <w:rPr>
          <w:rFonts w:ascii="Calibri" w:cs="Calibri" w:eastAsia="Calibri" w:hAnsi="Calibri"/>
          <w:b/>
          <w:bCs/>
          <w:sz w:val="21"/>
          <w:szCs w:val="21"/>
        </w:rPr>
        <w:t xml:space="preserve">suprimir</w:t>
      </w:r>
      <w:r>
        <w:rPr>
          <w:rFonts w:ascii="Calibri" w:cs="Calibri" w:eastAsia="Calibri" w:hAnsi="Calibri"/>
          <w:sz w:val="21"/>
          <w:szCs w:val="21"/>
        </w:rPr>
        <w:t xml:space="preserve">, no en dejar el texto «por si acaso». Y cuando la supresión afecta a un criterio de adjudicación, el baremo se </w:t>
      </w:r>
      <w:r>
        <w:rPr>
          <w:rFonts w:ascii="Calibri" w:cs="Calibri" w:eastAsia="Calibri" w:hAnsi="Calibri"/>
          <w:b/>
          <w:bCs/>
          <w:sz w:val="21"/>
          <w:szCs w:val="21"/>
        </w:rPr>
        <w:t xml:space="preserve">recompone antes de publicar el anuncio</w:t>
      </w:r>
      <w:r>
        <w:rPr>
          <w:rFonts w:ascii="Calibri" w:cs="Calibri" w:eastAsia="Calibri" w:hAnsi="Calibri"/>
          <w:sz w:val="21"/>
          <w:szCs w:val="21"/>
        </w:rPr>
        <w:t xml:space="preserve">; una vez publicado el pliego, el reescalado está prohibido (Parte I, §7.8.b).</w:t>
      </w:r>
    </w:p>
    <w:p>
      <w:pPr>
        <w:spacing w:after="140" w:line="276"/>
      </w:pPr>
      <w:r>
        <w:rPr>
          <w:rFonts w:ascii="Calibri" w:cs="Calibri" w:eastAsia="Calibri" w:hAnsi="Calibri"/>
          <w:b/>
          <w:bCs/>
          <w:sz w:val="21"/>
          <w:szCs w:val="21"/>
        </w:rPr>
        <w:t xml:space="preserve">Ésta es la tabla única de dependencias del documento.</w:t>
      </w:r>
      <w:r>
        <w:rPr>
          <w:rFonts w:ascii="Calibri" w:cs="Calibri" w:eastAsia="Calibri" w:hAnsi="Calibri"/>
          <w:sz w:val="21"/>
          <w:szCs w:val="21"/>
        </w:rPr>
        <w:t xml:space="preserve"> Las Partes 0 a V remiten a ella y no contienen ninguna otra.</w:t>
      </w:r>
    </w:p>
    <w:p>
      <w:pPr>
        <w:spacing w:after="140" w:line="276"/>
      </w:pPr>
      <w:r>
        <w:rPr>
          <w:rFonts w:ascii="Calibri" w:cs="Calibri" w:eastAsia="Calibri" w:hAnsi="Calibri"/>
          <w:b/>
          <w:bCs/>
          <w:sz w:val="21"/>
          <w:szCs w:val="21"/>
        </w:rPr>
        <w:t xml:space="preserve">Instrucción operativa.</w:t>
      </w:r>
      <w:r>
        <w:rPr>
          <w:rFonts w:ascii="Calibri" w:cs="Calibri" w:eastAsia="Calibri" w:hAnsi="Calibri"/>
          <w:sz w:val="21"/>
          <w:szCs w:val="21"/>
        </w:rPr>
        <w:t xml:space="preserve"> Los recuadros de ADM-5·v3 y ADM-6·v3 deben llegar al redactor como </w:t>
      </w:r>
      <w:r>
        <w:rPr>
          <w:rFonts w:ascii="Calibri" w:cs="Calibri" w:eastAsia="Calibri" w:hAnsi="Calibri"/>
          <w:b/>
          <w:bCs/>
          <w:sz w:val="21"/>
          <w:szCs w:val="21"/>
        </w:rPr>
        <w:t xml:space="preserve">lista con casillas de borrado</w:t>
      </w:r>
      <w:r>
        <w:rPr>
          <w:rFonts w:ascii="Calibri" w:cs="Calibri" w:eastAsia="Calibri" w:hAnsi="Calibri"/>
          <w:sz w:val="21"/>
          <w:szCs w:val="21"/>
        </w:rPr>
        <w:t xml:space="preserve">, una por cláusula técnica, y no como texto corrido. Un cuadro de penalidades en texto corrido es la forma más segura de dejar viva la penalidad de una obligación que el pliego no impone.</w:t>
      </w:r>
    </w:p>
    <w:p>
      <w:pPr>
        <w:spacing w:after="140" w:line="276"/>
      </w:pPr>
      <w:r>
        <w:rPr>
          <w:rFonts w:ascii="Calibri" w:cs="Calibri" w:eastAsia="Calibri" w:hAnsi="Calibri"/>
          <w:b/>
          <w:bCs/>
          <w:sz w:val="21"/>
          <w:szCs w:val="21"/>
        </w:rPr>
        <w:t xml:space="preserve">Aviso sobre DT-6·v3.</w:t>
      </w:r>
      <w:r>
        <w:rPr>
          <w:rFonts w:ascii="Calibri" w:cs="Calibri" w:eastAsia="Calibri" w:hAnsi="Calibri"/>
          <w:sz w:val="21"/>
          <w:szCs w:val="21"/>
        </w:rPr>
        <w:t xml:space="preserve"> Marcar DT-6·v3 como NO APLICA en un contrato que comprenda sistemas de información del sector público contradice el art. 2.3, párrafo segundo, del RD 311/2022, que ordena que los pliegos contemplen los requisitos necesarios para asegurar la conformidad con el Esquema Nacional de Seguridad. La supresión sólo cabe cuando el objeto quede materialmente fuera de ese ámbito, y se motiva.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Si se marca NO APLICA…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…hay que suprimir o ajustar</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DT-0·v3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puede marcarse NO APLICA</w:t>
            </w:r>
            <w:r>
              <w:rPr>
                <w:rFonts w:ascii="Calibri" w:cs="Calibri" w:eastAsia="Calibri" w:hAnsi="Calibri"/>
                <w:b w:val="false"/>
                <w:bCs w:val="false"/>
                <w:sz w:val="18"/>
                <w:szCs w:val="18"/>
              </w:rPr>
              <w:t xml:space="preserve"> en ningún pliego que mencione un producto, protocolo, norma, red o marca. Si el pliego no menciona ninguno, decae por falta de objeto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Referencias al reparto de papeles en DT-4·v3 y DT-7·v3 · criterio E del baremo (plan de gobernanza) · apartado correspondiente de la declaración responsable · fila del cuadro de penalidades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DT-2·v3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El criterio del baremo que, en su caso, hubiera valorado esa capacidad</w:t>
            </w:r>
            <w:r>
              <w:rPr>
                <w:rFonts w:ascii="Calibri" w:cs="Calibri" w:eastAsia="Calibri" w:hAnsi="Calibri"/>
                <w:b w:val="false"/>
                <w:bCs w:val="false"/>
                <w:sz w:val="18"/>
                <w:szCs w:val="18"/>
              </w:rPr>
              <w:t xml:space="preserve">, si el órgano de contratación lo hubiera añadido (con </w:t>
            </w:r>
            <w:r>
              <w:rPr>
                <w:rFonts w:ascii="Calibri" w:cs="Calibri" w:eastAsia="Calibri" w:hAnsi="Calibri"/>
                <w:b/>
                <w:bCs/>
                <w:sz w:val="18"/>
                <w:szCs w:val="18"/>
              </w:rPr>
              <w:t xml:space="preserve">recomposición del baremo antes de publicar el anuncio</w:t>
            </w:r>
            <w:r>
              <w:rPr>
                <w:rFonts w:ascii="Calibri" w:cs="Calibri" w:eastAsia="Calibri" w:hAnsi="Calibri"/>
                <w:b w:val="false"/>
                <w:bCs w:val="false"/>
                <w:sz w:val="18"/>
                <w:szCs w:val="18"/>
              </w:rPr>
              <w:t xml:space="preserve">; nunca reescalado una vez publicado el pliego: Parte I, §7.8.b) · fila del cuadro maestro · fila de penalidades · apartado de la declaración responsable relativo a la capa de confianza · toda mención a redes o infraestructuras nominadas · entradas del glosario que sólo la sirvan</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DT-3·v3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Requisito de inventario criptográfico y plan de transición · fila de penalidades · mención en la declaración responsable · toda referencia a algoritmos o normas criptográficas nominadas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DT-4·v3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Criterio H del baremo</w:t>
            </w:r>
            <w:r>
              <w:rPr>
                <w:rFonts w:ascii="Calibri" w:cs="Calibri" w:eastAsia="Calibri" w:hAnsi="Calibri"/>
                <w:b w:val="false"/>
                <w:bCs w:val="false"/>
                <w:sz w:val="18"/>
                <w:szCs w:val="18"/>
              </w:rPr>
              <w:t xml:space="preserve"> (procesos automatizados adicionales de la lista cerrada) y </w:t>
            </w:r>
            <w:r>
              <w:rPr>
                <w:rFonts w:ascii="Calibri" w:cs="Calibri" w:eastAsia="Calibri" w:hAnsi="Calibri"/>
                <w:b/>
                <w:bCs/>
                <w:sz w:val="18"/>
                <w:szCs w:val="18"/>
              </w:rPr>
              <w:t xml:space="preserve">recomposición del baremo antes de publicar el anuncio</w:t>
            </w:r>
            <w:r>
              <w:rPr>
                <w:rFonts w:ascii="Calibri" w:cs="Calibri" w:eastAsia="Calibri" w:hAnsi="Calibri"/>
                <w:b w:val="false"/>
                <w:bCs w:val="false"/>
                <w:sz w:val="18"/>
                <w:szCs w:val="18"/>
              </w:rPr>
              <w:t xml:space="preserve"> · lista cerrada de procesos del PPT · fila de penalidades · apartado de la declaración responsable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DT-5·v3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Excepción del régimen de equivalencia para los servicios comunes de obligada utilización </w:t>
            </w:r>
            <w:r>
              <w:rPr>
                <w:rFonts w:ascii="Calibri" w:cs="Calibri" w:eastAsia="Calibri" w:hAnsi="Calibri"/>
                <w:b/>
                <w:bCs/>
                <w:sz w:val="18"/>
                <w:szCs w:val="18"/>
              </w:rPr>
              <w:t xml:space="preserve">relacionados en DT-5·v3, apartado 2</w:t>
            </w:r>
            <w:r>
              <w:rPr>
                <w:rFonts w:ascii="Calibri" w:cs="Calibri" w:eastAsia="Calibri" w:hAnsi="Calibri"/>
                <w:b w:val="false"/>
                <w:bCs w:val="false"/>
                <w:sz w:val="18"/>
                <w:szCs w:val="18"/>
              </w:rPr>
              <w:t xml:space="preserve"> (queda sin objeto). Si esa tabla queda vacía, se suprimen también el apartado 2, el apartado 7 de DT-0·v3 y las dos menciones de la Parte I, §7.10 · requisito de integración con el directorio corporativo de ET-1 criterio 2 · referencias de ADM-8·v3 a la portabilidad de datos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Acreditación de conformidad de ADM-1·v3 · umbral de activación de ADM-11·v3: </w:t>
            </w:r>
            <w:r>
              <w:rPr>
                <w:rFonts w:ascii="Calibri" w:cs="Calibri" w:eastAsia="Calibri" w:hAnsi="Calibri"/>
                <w:b/>
                <w:bCs/>
                <w:sz w:val="18"/>
                <w:szCs w:val="18"/>
              </w:rPr>
              <w:t xml:space="preserve">ADM-11·v3 decae por completo</w:t>
            </w:r>
            <w:r>
              <w:rPr>
                <w:rFonts w:ascii="Calibri" w:cs="Calibri" w:eastAsia="Calibri" w:hAnsi="Calibri"/>
                <w:b w:val="false"/>
                <w:bCs w:val="false"/>
                <w:sz w:val="18"/>
                <w:szCs w:val="18"/>
              </w:rPr>
              <w:t xml:space="preserve">, porque la categoría ALTA en disponibilidad es una de las cuatro circunstancias acumulativas de su apartado 1 y la lista tasada de servicios no es una vía alternativa · fila de penalidades · casilla de la declaración responsable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DT-7·v3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ET-1, ET-2 y ET-3 completas</w:t>
            </w:r>
            <w:r>
              <w:rPr>
                <w:rFonts w:ascii="Calibri" w:cs="Calibri" w:eastAsia="Calibri" w:hAnsi="Calibri"/>
                <w:b w:val="false"/>
                <w:bCs w:val="false"/>
                <w:sz w:val="18"/>
                <w:szCs w:val="18"/>
              </w:rPr>
              <w:t xml:space="preserve"> y su transcripción en el PPT · </w:t>
            </w:r>
            <w:r>
              <w:rPr>
                <w:rFonts w:ascii="Calibri" w:cs="Calibri" w:eastAsia="Calibri" w:hAnsi="Calibri"/>
                <w:b/>
                <w:bCs/>
                <w:sz w:val="18"/>
                <w:szCs w:val="18"/>
              </w:rPr>
              <w:t xml:space="preserve">criterios A y B del baremo</w:t>
            </w:r>
            <w:r>
              <w:rPr>
                <w:rFonts w:ascii="Calibri" w:cs="Calibri" w:eastAsia="Calibri" w:hAnsi="Calibri"/>
                <w:b w:val="false"/>
                <w:bCs w:val="false"/>
                <w:sz w:val="18"/>
                <w:szCs w:val="18"/>
              </w:rPr>
              <w:t xml:space="preserve"> y recomposición del baremo antes de publicar el anuncio · caso de uso de la demostración, si versa sobre la interfaz · alcance de ADM-2·v3 · filas de penalidades · lista de obligaciones esenciales de ADM-6·v3 · apartado de la declaración responsable · Plan Anual de ADM-10·v3 en lo referido a la interfaz</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Contenido del depósito de ADM-11·v3 · vinculación del plazo de garantía al </w:t>
            </w:r>
            <w:r>
              <w:rPr>
                <w:rFonts w:ascii="Calibri" w:cs="Calibri" w:eastAsia="Calibri" w:hAnsi="Calibri"/>
                <w:b/>
                <w:bCs/>
                <w:sz w:val="18"/>
                <w:szCs w:val="18"/>
              </w:rPr>
              <w:t xml:space="preserve">acta de reversión (DT-8·v3, apartado 8) o, en su defecto, al vencimiento del plazo previsto en dicho apartado para levantarla</w:t>
            </w:r>
            <w:r>
              <w:rPr>
                <w:rFonts w:ascii="Calibri" w:cs="Calibri" w:eastAsia="Calibri" w:hAnsi="Calibri"/>
                <w:b w:val="false"/>
                <w:bCs w:val="false"/>
                <w:sz w:val="18"/>
                <w:szCs w:val="18"/>
              </w:rPr>
              <w:t xml:space="preserve"> · filas de penalidades · lista de esenciales · apartado de la declaración responsable · referencias de ADM-8·v3 al inventario de componentes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DT-9·v3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Todo el Anexo V y su transcripción</w:t>
            </w:r>
            <w:r>
              <w:rPr>
                <w:rFonts w:ascii="Calibri" w:cs="Calibri" w:eastAsia="Calibri" w:hAnsi="Calibri"/>
                <w:b w:val="false"/>
                <w:bCs w:val="false"/>
                <w:sz w:val="18"/>
                <w:szCs w:val="18"/>
              </w:rPr>
              <w:t xml:space="preserve"> —esto es, el apartado 2 del Apéndice técnico 2, no el apartado 1, que lo exige DT-7·v3 por sí sola— · ADM-2·v3 completa (queda sin alcance) · ADM-3·v3 en lo referido a plazos del catálogo · filas de penalidades · lista de esenciales · ADM-14·v3, que sólo opera sobre capacidades no determinadas en el catálogo. </w:t>
            </w:r>
            <w:r>
              <w:rPr>
                <w:rFonts w:ascii="Calibri" w:cs="Calibri" w:eastAsia="Calibri" w:hAnsi="Calibri"/>
                <w:b/>
                <w:bCs/>
                <w:sz w:val="18"/>
                <w:szCs w:val="18"/>
              </w:rPr>
              <w:t xml:space="preserve">Los criterios A y B del baremo no decaen por esta sola marca</w:t>
            </w:r>
            <w:r>
              <w:rPr>
                <w:rFonts w:ascii="Calibri" w:cs="Calibri" w:eastAsia="Calibri" w:hAnsi="Calibri"/>
                <w:b w:val="false"/>
                <w:bCs w:val="false"/>
                <w:sz w:val="18"/>
                <w:szCs w:val="18"/>
              </w:rPr>
              <w:t xml:space="preserve">: miden sobre la relación de módulos y funciones del apartado 1 del Apéndice técnico 2 y sobre el plazo de DT-7·v3, apartado 5, y decaen únicamente si se marca NO APLICA DT-7·v3</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ADM-1·v3</w:t>
            </w:r>
            <w:r>
              <w:rPr>
                <w:rFonts w:ascii="Calibri" w:cs="Calibri" w:eastAsia="Calibri" w:hAnsi="Calibri"/>
                <w:b w:val="false"/>
                <w:bCs w:val="false"/>
                <w:sz w:val="18"/>
                <w:szCs w:val="18"/>
              </w:rPr>
              <w:t xml:space="preserve"> (bloque de gobernanza de 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Casilla de la declaración responsable sobre obtención de la certificación · fila de penalidades · cuadro de certificaciones y equivalencias del Anexo XXI. </w:t>
            </w:r>
            <w:r>
              <w:rPr>
                <w:rFonts w:ascii="Calibri" w:cs="Calibri" w:eastAsia="Calibri" w:hAnsi="Calibri"/>
                <w:b/>
                <w:bCs/>
                <w:sz w:val="18"/>
                <w:szCs w:val="18"/>
              </w:rPr>
              <w:t xml:space="preserve">No afecta al criterio E</w:t>
            </w:r>
            <w:r>
              <w:rPr>
                <w:rFonts w:ascii="Calibri" w:cs="Calibri" w:eastAsia="Calibri" w:hAnsi="Calibri"/>
                <w:b w:val="false"/>
                <w:bCs w:val="false"/>
                <w:sz w:val="18"/>
                <w:szCs w:val="18"/>
              </w:rPr>
              <w:t xml:space="preserve">, que valora el plan del contrato y no la certificación</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ADM-3·v3 en lo referido a plazos de adaptación · filas de penalidades por incumplimiento del catálogo · lista de esenciales · hitos de ADM-10·v3</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ADM-3·v3, bloque 2</w:t>
            </w:r>
            <w:r>
              <w:rPr>
                <w:rFonts w:ascii="Calibri" w:cs="Calibri" w:eastAsia="Calibri" w:hAnsi="Calibri"/>
                <w:b w:val="false"/>
                <w:bCs w:val="false"/>
                <w:sz w:val="18"/>
                <w:szCs w:val="18"/>
              </w:rPr>
              <w:t xml:space="preserve"> (bolsa de evolutivos)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Criterio F del baremo</w:t>
            </w:r>
            <w:r>
              <w:rPr>
                <w:rFonts w:ascii="Calibri" w:cs="Calibri" w:eastAsia="Calibri" w:hAnsi="Calibri"/>
                <w:b w:val="false"/>
                <w:bCs w:val="false"/>
                <w:sz w:val="18"/>
                <w:szCs w:val="18"/>
              </w:rPr>
              <w:t xml:space="preserve"> (precio unitario ponderado) y recomposición del baremo antes de publicar el anuncio · Cuadro de Precios Unitarios, salvo que se conserve para ADM-14·v3 · partida correspondiente del presupuesto base de licitación y recálculo del valor estimado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Valor probatorio de las actas en el sistema de acreditación de ADM-2·v3 (hay que sustituirlo por otro medio tasado) · fecha cierta de los hitos esenciales de ADM-6·v3 · periodicidad de verificación del Anexo I</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ADM-9·v3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mención adicional a la comprobación conforme a ADM-9·v3 en los criterios del baremo · el guion, la relación cerrada y numerada de elementos verificables y la matriz de comprobación · las reglas de momento procedimental del PCAP. </w:t>
            </w:r>
            <w:r>
              <w:rPr>
                <w:rFonts w:ascii="Calibri" w:cs="Calibri" w:eastAsia="Calibri" w:hAnsi="Calibri"/>
                <w:b/>
                <w:bCs/>
                <w:sz w:val="18"/>
                <w:szCs w:val="18"/>
              </w:rPr>
              <w:t xml:space="preserve">No arrastra la supresión de ningún criterio ni de su medio documental propio</w:t>
            </w:r>
            <w:r>
              <w:rPr>
                <w:rFonts w:ascii="Calibri" w:cs="Calibri" w:eastAsia="Calibri" w:hAnsi="Calibri"/>
                <w:b w:val="false"/>
                <w:bCs w:val="false"/>
                <w:sz w:val="18"/>
                <w:szCs w:val="18"/>
              </w:rPr>
              <w:t xml:space="preserve">: ADM-9·v3 no reparte puntos, y C1, A y H se comprueban mediante la documentación técnica exigida en su propia fila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ADM-10·v3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Hitos aprobados como esenciales en ADM-6·v3 · modelo de Plan Anual de Evolución Tecnológica del Anexo XIV · fila de penalidades por falta de presentación · apartado de la declaración responsable relativo al Plan Anual</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Filas de penalidades sobre constitución, actualización, verificación y liberación del depósito · lista de esenciales · </w:t>
            </w:r>
            <w:r>
              <w:rPr>
                <w:rFonts w:ascii="Calibri" w:cs="Calibri" w:eastAsia="Calibri" w:hAnsi="Calibri"/>
                <w:b/>
                <w:bCs/>
                <w:sz w:val="18"/>
                <w:szCs w:val="18"/>
              </w:rPr>
              <w:t xml:space="preserve">partida del presupuesto base de licitación</w:t>
            </w:r>
            <w:r>
              <w:rPr>
                <w:rFonts w:ascii="Calibri" w:cs="Calibri" w:eastAsia="Calibri" w:hAnsi="Calibri"/>
                <w:b w:val="false"/>
                <w:bCs w:val="false"/>
                <w:sz w:val="18"/>
                <w:szCs w:val="18"/>
              </w:rPr>
              <w:t xml:space="preserve"> y recálculo del valor estimado · apartado de la declaración responsable · referencia de DT-8·v3 al contenido depositado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Filas de penalidades · lista de esenciales · </w:t>
            </w:r>
            <w:r>
              <w:rPr>
                <w:rFonts w:ascii="Calibri" w:cs="Calibri" w:eastAsia="Calibri" w:hAnsi="Calibri"/>
                <w:b/>
                <w:bCs/>
                <w:sz w:val="18"/>
                <w:szCs w:val="18"/>
              </w:rPr>
              <w:t xml:space="preserve">número de accesos incluidos en el precio</w:t>
            </w:r>
            <w:r>
              <w:rPr>
                <w:rFonts w:ascii="Calibri" w:cs="Calibri" w:eastAsia="Calibri" w:hAnsi="Calibri"/>
                <w:b w:val="false"/>
                <w:bCs w:val="false"/>
                <w:sz w:val="18"/>
                <w:szCs w:val="18"/>
              </w:rPr>
              <w:t xml:space="preserve"> y su reflejo en el presupuesto · apartado de la declaración responsable · referencia del informe de necesidad a la necesidad declarada por los órganos de control</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ADM-13·v3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 de esenciales · apartado de declaración de sistemas de IA en la oferta · dos filas (G7 y M5) del cuadro de penalidades · referencia a la política municipal de uso de inteligencia artificial generativa del Anexo XVI</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ADM-14·v3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Recálculo del valor estimado</w:t>
            </w:r>
            <w:r>
              <w:rPr>
                <w:rFonts w:ascii="Calibri" w:cs="Calibri" w:eastAsia="Calibri" w:hAnsi="Calibri"/>
                <w:b w:val="false"/>
                <w:bCs w:val="false"/>
                <w:sz w:val="18"/>
                <w:szCs w:val="18"/>
              </w:rPr>
              <w:t xml:space="preserve"> (arts. 101.2.c y 101.5) y comprobación de umbrales · Cuadro de Precios Unitarios, salvo que se conserve para ADM-3·v3, bloque 2 · apartado de la declaración responsable · anuncio de licitación</w:t>
            </w:r>
          </w:p>
        </w:tc>
      </w:tr>
    </w:tbl>
    <w:p>
      <w:pPr>
        <w:spacing w:after="200"/>
      </w:pPr>
    </w:p>
    <w:p>
      <w:pPr>
        <w:spacing w:after="140" w:line="276"/>
      </w:pPr>
      <w:r>
        <w:rPr>
          <w:rFonts w:ascii="Calibri" w:cs="Calibri" w:eastAsia="Calibri" w:hAnsi="Calibri"/>
          <w:b/>
          <w:bCs/>
          <w:sz w:val="21"/>
          <w:szCs w:val="21"/>
        </w:rPr>
        <w:t xml:space="preserve">Dependencias en sentido inverso</w:t>
      </w:r>
      <w:r>
        <w:rPr>
          <w:rFonts w:ascii="Calibri" w:cs="Calibri" w:eastAsia="Calibri" w:hAnsi="Calibri"/>
          <w:sz w:val="21"/>
          <w:szCs w:val="21"/>
        </w:rPr>
        <w:t xml:space="preserve"> —cláusulas que no pueden incorporarse solas—: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Si se incorpora…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…es obligatorio incorporar también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DT-7·v3 o DT-9·v3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DT-0·v3 (equivalencia), y el acuerdo de origen institucional si no hay norma ni petición del gestor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Criterios A, B o H del baremo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prescripción técnica que fija el mínimo del que esos criterios miden el exceso, con su lista cerrada publicada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 (inventario de componentes: sin él no se sabe qué se deposita) y la partida de coste en el presupuesto base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DT-9·v3 y el Anexo V transcrito (sin catálogo, la condición especial de ejecución carece de alcance)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ADM-6·v3 bloque de esenciales por ley</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declaración expresa en el PCAP de que el contrato implica cesión de datos o tratamiento por cuenta del responsable. Sin ese supuesto, esas obligaciones </w:t>
            </w: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son esenciales y declararlo sería un defecto del pliego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ADM-9·v3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criterio del baremo cuya exactitud comprueba, con la relación cerrada y numerada de elementos verificables publicada en el pliego, y la regla de momento procedimental en el PCAP</w:t>
            </w:r>
          </w:p>
        </w:tc>
      </w:tr>
    </w:tbl>
    <w:p>
      <w:pPr>
        <w:spacing w:after="200"/>
      </w:pP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VII · DECLARACIÓN RESPONSABLE DEL LICITADOR (MODELO)</w:t>
      </w:r>
    </w:p>
    <w:p>
      <w:pPr>
        <w:spacing w:after="140" w:line="276"/>
      </w:pPr>
      <w:r>
        <w:rPr>
          <w:rFonts w:ascii="Calibri" w:cs="Calibri" w:eastAsia="Calibri" w:hAnsi="Calibri"/>
          <w:b/>
          <w:bCs/>
          <w:sz w:val="21"/>
          <w:szCs w:val="21"/>
        </w:rPr>
        <w:t xml:space="preserve">Instrucciones de uso, previas al texto.</w:t>
      </w:r>
      <w:r>
        <w:rPr>
          <w:rFonts w:ascii="Calibri" w:cs="Calibri" w:eastAsia="Calibri" w:hAnsi="Calibri"/>
          <w:sz w:val="21"/>
          <w:szCs w:val="21"/>
        </w:rPr>
        <w:t xml:space="preserve"> (1) Esta declaración </w:t>
      </w:r>
      <w:r>
        <w:rPr>
          <w:rFonts w:ascii="Calibri" w:cs="Calibri" w:eastAsia="Calibri" w:hAnsi="Calibri"/>
          <w:b/>
          <w:bCs/>
          <w:sz w:val="21"/>
          <w:szCs w:val="21"/>
        </w:rPr>
        <w:t xml:space="preserve">no sustituye</w:t>
      </w:r>
      <w:r>
        <w:rPr>
          <w:rFonts w:ascii="Calibri" w:cs="Calibri" w:eastAsia="Calibri" w:hAnsi="Calibri"/>
          <w:sz w:val="21"/>
          <w:szCs w:val="21"/>
        </w:rPr>
        <w:t xml:space="preserve"> a la declaración responsable ni al documento europeo único de contratación que exija el PCAP con carácter general: es una declaración adicional referida exclusivamente a las cláusulas de este catálogo. (2) Se presenta en el sobre que el PCAP determine y </w:t>
      </w:r>
      <w:r>
        <w:rPr>
          <w:rFonts w:ascii="Calibri" w:cs="Calibri" w:eastAsia="Calibri" w:hAnsi="Calibri"/>
          <w:b/>
          <w:bCs/>
          <w:sz w:val="21"/>
          <w:szCs w:val="21"/>
        </w:rPr>
        <w:t xml:space="preserve">no puntúa</w:t>
      </w:r>
      <w:r>
        <w:rPr>
          <w:rFonts w:ascii="Calibri" w:cs="Calibri" w:eastAsia="Calibri" w:hAnsi="Calibri"/>
          <w:sz w:val="21"/>
          <w:szCs w:val="21"/>
        </w:rPr>
        <w:t xml:space="preserve">: nada de lo declarado en ella puede valorarse como criterio de adjudicación. (3) </w:t>
      </w:r>
      <w:r>
        <w:rPr>
          <w:rFonts w:ascii="Calibri" w:cs="Calibri" w:eastAsia="Calibri" w:hAnsi="Calibri"/>
          <w:b/>
          <w:bCs/>
          <w:sz w:val="21"/>
          <w:szCs w:val="21"/>
        </w:rPr>
        <w:t xml:space="preserve">Se depura con la tabla de dependencias del Anexo VI antes de incorporarla al pliego</w:t>
      </w:r>
      <w:r>
        <w:rPr>
          <w:rFonts w:ascii="Calibri" w:cs="Calibri" w:eastAsia="Calibri" w:hAnsi="Calibri"/>
          <w:sz w:val="21"/>
          <w:szCs w:val="21"/>
        </w:rPr>
        <w:t xml:space="preserve">: cada apartado lleva una casilla de supresión y el apartado referido a una cláusula marcada NO APLICA se suprime, no se deja. (4) Ningún apartado puede exigir la aceptación en bloque de causas de resolución ni la renuncia a discutir su procedencia.</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DECLARACIÓN RESPONSABLE RELATIVA A LAS CLÁUSULAS DE INTELIGENCIA ARTIFICIAL Y TECNOLOGÍAS DEEP TECH</w:t>
            </w:r>
          </w:p>
          <w:p>
            <w:pPr>
              <w:spacing w:after="100" w:line="264"/>
            </w:pPr>
            <w:r>
              <w:rPr>
                <w:rFonts w:ascii="Georgia" w:cs="Georgia" w:eastAsia="Georgia" w:hAnsi="Georgia"/>
                <w:sz w:val="20"/>
                <w:szCs w:val="20"/>
              </w:rPr>
              <w:t xml:space="preserve">D./D.ª ………………………………, con documento de identidad n.º …………………, en nombre y representación de la empresa ………………………………, con NIF …………………, en relación con el expediente de contratación ………………………………, </w:t>
            </w:r>
            <w:r>
              <w:rPr>
                <w:rFonts w:ascii="Georgia" w:cs="Georgia" w:eastAsia="Georgia" w:hAnsi="Georgia"/>
                <w:b/>
                <w:bCs/>
                <w:sz w:val="20"/>
                <w:szCs w:val="20"/>
              </w:rPr>
              <w:t xml:space="preserve">DECLARA</w:t>
            </w:r>
            <w:r>
              <w:rPr>
                <w:rFonts w:ascii="Georgia" w:cs="Georgia" w:eastAsia="Georgia" w:hAnsi="Georgia"/>
                <w:sz w:val="20"/>
                <w:szCs w:val="20"/>
              </w:rPr>
              <w:t xml:space="preserve"> bajo su responsabilidad:</w:t>
            </w:r>
          </w:p>
          <w:p>
            <w:pPr>
              <w:spacing w:after="100" w:line="264"/>
            </w:pPr>
            <w:r>
              <w:rPr>
                <w:rFonts w:ascii="Georgia" w:cs="Georgia" w:eastAsia="Georgia" w:hAnsi="Georgia"/>
                <w:sz w:val="20"/>
                <w:szCs w:val="20"/>
              </w:rPr>
              <w:t xml:space="preserve">☐ </w:t>
            </w:r>
            <w:r>
              <w:rPr>
                <w:rFonts w:ascii="Georgia" w:cs="Georgia" w:eastAsia="Georgia" w:hAnsi="Georgia"/>
                <w:b/>
                <w:bCs/>
                <w:sz w:val="20"/>
                <w:szCs w:val="20"/>
              </w:rPr>
              <w:t xml:space="preserve">1.</w:t>
            </w:r>
            <w:r>
              <w:rPr>
                <w:rFonts w:ascii="Georgia" w:cs="Georgia" w:eastAsia="Georgia" w:hAnsi="Georgia"/>
                <w:sz w:val="20"/>
                <w:szCs w:val="20"/>
              </w:rPr>
              <w:t xml:space="preserve"> Que conoce y acepta las cláusulas de inteligencia artificial y tecnologías deep tech incorporadas al pliego de prescripciones técnicas y al pliego de cláusulas administrativas particulares de este expediente, así como el Catálogo de Exigencias Tecnológicas Determinadas transcrito en el pliego técnico, versión ………, de fecha ……………, y que ha tenido en cuenta el coste de su cumplimiento al formular su oferta.</w:t>
            </w:r>
          </w:p>
          <w:p>
            <w:pPr>
              <w:spacing w:after="100" w:line="264"/>
            </w:pPr>
            <w:r>
              <w:rPr>
                <w:rFonts w:ascii="Georgia" w:cs="Georgia" w:eastAsia="Georgia" w:hAnsi="Georgia"/>
                <w:sz w:val="20"/>
                <w:szCs w:val="20"/>
              </w:rPr>
              <w:t xml:space="preserve">☐ </w:t>
            </w:r>
            <w:r>
              <w:rPr>
                <w:rFonts w:ascii="Georgia" w:cs="Georgia" w:eastAsia="Georgia" w:hAnsi="Georgia"/>
                <w:b/>
                <w:bCs/>
                <w:sz w:val="20"/>
                <w:szCs w:val="20"/>
              </w:rPr>
              <w:t xml:space="preserve">2.</w:t>
            </w:r>
            <w:r>
              <w:rPr>
                <w:rFonts w:ascii="Georgia" w:cs="Georgia" w:eastAsia="Georgia" w:hAnsi="Georgia"/>
                <w:sz w:val="20"/>
                <w:szCs w:val="20"/>
              </w:rPr>
              <w:t xml:space="preserve"> Que se compromete a entregar las capacidades exigidas en dicho Catálogo, con los criterios de aceptación y en los plazos que en él se establecen, entendiéndose retribuidas con el precio ofertado y sin que su cumplimiento dé lugar a facturación adicional.</w:t>
            </w:r>
          </w:p>
          <w:p>
            <w:pPr>
              <w:spacing w:after="100" w:line="264"/>
            </w:pPr>
            <w:r>
              <w:rPr>
                <w:rFonts w:ascii="Georgia" w:cs="Georgia" w:eastAsia="Georgia" w:hAnsi="Georgia"/>
                <w:sz w:val="20"/>
                <w:szCs w:val="20"/>
              </w:rPr>
              <w:t xml:space="preserve">☐ </w:t>
            </w:r>
            <w:r>
              <w:rPr>
                <w:rFonts w:ascii="Georgia" w:cs="Georgia" w:eastAsia="Georgia" w:hAnsi="Georgia"/>
                <w:b/>
                <w:bCs/>
                <w:sz w:val="20"/>
                <w:szCs w:val="20"/>
              </w:rPr>
              <w:t xml:space="preserve">3.</w:t>
            </w:r>
            <w:r>
              <w:rPr>
                <w:rFonts w:ascii="Georgia" w:cs="Georgia" w:eastAsia="Georgia" w:hAnsi="Georgia"/>
                <w:sz w:val="20"/>
                <w:szCs w:val="20"/>
              </w:rPr>
              <w:t xml:space="preserve"> Que dispone de un sistema de gestión de la inteligencia artificial conforme a la norma indicada en el pliego, </w:t>
            </w:r>
            <w:r>
              <w:rPr>
                <w:rFonts w:ascii="Georgia" w:cs="Georgia" w:eastAsia="Georgia" w:hAnsi="Georgia"/>
                <w:b/>
                <w:bCs/>
                <w:sz w:val="20"/>
                <w:szCs w:val="20"/>
              </w:rPr>
              <w:t xml:space="preserve">con la designación y el año que en él constan</w:t>
            </w:r>
            <w:r>
              <w:rPr>
                <w:rFonts w:ascii="Georgia" w:cs="Georgia" w:eastAsia="Georgia" w:hAnsi="Georgia"/>
                <w:sz w:val="20"/>
                <w:szCs w:val="20"/>
              </w:rPr>
              <w:t xml:space="preserve">, o que acredita el cumplimiento mediante las pruebas de las medidas equivalentes del artículo 93.2 de la Ley 9/2017; o, en su defecto, que se compromete a obtener dicha certificación en el plazo máximo de [X; se recomienda DOCE (12)] meses desde la formalización, aplicando entretanto medidas equivalentes documentadas de gobernanza que describe en el documento que se adjunta.</w:t>
            </w:r>
          </w:p>
          <w:p>
            <w:pPr>
              <w:spacing w:after="100" w:line="264"/>
            </w:pPr>
            <w:r>
              <w:rPr>
                <w:rFonts w:ascii="Georgia" w:cs="Georgia" w:eastAsia="Georgia" w:hAnsi="Georgia"/>
                <w:sz w:val="20"/>
                <w:szCs w:val="20"/>
              </w:rPr>
              <w:t xml:space="preserve">☐ </w:t>
            </w:r>
            <w:r>
              <w:rPr>
                <w:rFonts w:ascii="Georgia" w:cs="Georgia" w:eastAsia="Georgia" w:hAnsi="Georgia"/>
                <w:b/>
                <w:bCs/>
                <w:sz w:val="20"/>
                <w:szCs w:val="20"/>
              </w:rPr>
              <w:t xml:space="preserve">4.</w:t>
            </w:r>
            <w:r>
              <w:rPr>
                <w:rFonts w:ascii="Georgia" w:cs="Georgia" w:eastAsia="Georgia" w:hAnsi="Georgia"/>
                <w:sz w:val="20"/>
                <w:szCs w:val="20"/>
              </w:rPr>
              <w:t xml:space="preserve"> Que la relación de sistemas de inteligencia artificial que empleará en la ejecución del contrato es la que consta en el cuadro adjunto, con expresión, para cada uno, de proveedor, ubicación de almacenamiento y tratamiento, plazos de retención, tratamiento de metadatos, existencia y alcance de mecanismos que excluyan el contenido del usuario del entrenamiento de modelos y posibilidad de configuración de las revisiones humanas por el proveedor; que la mantendrá actualizada; y que no introducirá información municipal del nivel 1 definido en la cláusula [ADM-13], apartado 1, en sistemas no autorizados expresamente por el Ayuntamiento.</w:t>
            </w:r>
          </w:p>
          <w:p>
            <w:pPr>
              <w:spacing w:after="100" w:line="264"/>
            </w:pPr>
            <w:r>
              <w:rPr>
                <w:rFonts w:ascii="Georgia" w:cs="Georgia" w:eastAsia="Georgia" w:hAnsi="Georgia"/>
                <w:sz w:val="20"/>
                <w:szCs w:val="20"/>
              </w:rPr>
              <w:t xml:space="preserve">☐ </w:t>
            </w:r>
            <w:r>
              <w:rPr>
                <w:rFonts w:ascii="Georgia" w:cs="Georgia" w:eastAsia="Georgia" w:hAnsi="Georgia"/>
                <w:b/>
                <w:bCs/>
                <w:sz w:val="20"/>
                <w:szCs w:val="20"/>
              </w:rPr>
              <w:t xml:space="preserve">5.</w:t>
            </w:r>
            <w:r>
              <w:rPr>
                <w:rFonts w:ascii="Georgia" w:cs="Georgia" w:eastAsia="Georgia" w:hAnsi="Georgia"/>
                <w:sz w:val="20"/>
                <w:szCs w:val="20"/>
              </w:rPr>
              <w:t xml:space="preserve"> Que entregará el Inventario de Componentes en el plazo previsto en el pliego, el Plan de Reversibilidad en el plazo de [X; se recomienda TRES (3)] meses desde la formalización, y que participará en el ensayo de reversibilidad en los términos del pliego.</w:t>
            </w:r>
          </w:p>
          <w:p>
            <w:pPr>
              <w:spacing w:after="100" w:line="264"/>
            </w:pPr>
            <w:r>
              <w:rPr>
                <w:rFonts w:ascii="Georgia" w:cs="Georgia" w:eastAsia="Georgia" w:hAnsi="Georgia"/>
                <w:sz w:val="20"/>
                <w:szCs w:val="20"/>
              </w:rPr>
              <w:t xml:space="preserve">☐ </w:t>
            </w:r>
            <w:r>
              <w:rPr>
                <w:rFonts w:ascii="Georgia" w:cs="Georgia" w:eastAsia="Georgia" w:hAnsi="Georgia"/>
                <w:b/>
                <w:bCs/>
                <w:sz w:val="20"/>
                <w:szCs w:val="20"/>
              </w:rPr>
              <w:t xml:space="preserve">6.</w:t>
            </w:r>
            <w:r>
              <w:rPr>
                <w:rFonts w:ascii="Georgia" w:cs="Georgia" w:eastAsia="Georgia" w:hAnsi="Georgia"/>
                <w:sz w:val="20"/>
                <w:szCs w:val="20"/>
              </w:rPr>
              <w:t xml:space="preserve"> Que acepta el régimen de depósito de código y continuidad del servicio previsto en el pliego y, cuando no sea titular de los derechos sobre el producto base, que aporta o se compromete a aportar el compromiso del titular en los términos allí establecidos.</w:t>
            </w:r>
          </w:p>
          <w:p>
            <w:pPr>
              <w:spacing w:after="100" w:line="264"/>
            </w:pPr>
            <w:r>
              <w:rPr>
                <w:rFonts w:ascii="Georgia" w:cs="Georgia" w:eastAsia="Georgia" w:hAnsi="Georgia"/>
                <w:sz w:val="20"/>
                <w:szCs w:val="20"/>
              </w:rPr>
              <w:t xml:space="preserve">☐ </w:t>
            </w:r>
            <w:r>
              <w:rPr>
                <w:rFonts w:ascii="Georgia" w:cs="Georgia" w:eastAsia="Georgia" w:hAnsi="Georgia"/>
                <w:b/>
                <w:bCs/>
                <w:sz w:val="20"/>
                <w:szCs w:val="20"/>
              </w:rPr>
              <w:t xml:space="preserve">7.</w:t>
            </w:r>
            <w:r>
              <w:rPr>
                <w:rFonts w:ascii="Georgia" w:cs="Georgia" w:eastAsia="Georgia" w:hAnsi="Georgia"/>
                <w:sz w:val="20"/>
                <w:szCs w:val="20"/>
              </w:rPr>
              <w:t xml:space="preserve"> Que facilitará el acceso de los órganos de control municipales a los datos de ejecución en los términos y con el número de accesos previstos en el pliego, sin coste adicional y sin tarificación por consulta, durante toda la vigencia del contrato y de sus prórrogas.</w:t>
            </w:r>
          </w:p>
          <w:p>
            <w:pPr>
              <w:spacing w:after="100" w:line="264"/>
            </w:pPr>
            <w:r>
              <w:rPr>
                <w:rFonts w:ascii="Georgia" w:cs="Georgia" w:eastAsia="Georgia" w:hAnsi="Georgia"/>
                <w:sz w:val="20"/>
                <w:szCs w:val="20"/>
              </w:rPr>
              <w:t xml:space="preserve">☐ </w:t>
            </w:r>
            <w:r>
              <w:rPr>
                <w:rFonts w:ascii="Georgia" w:cs="Georgia" w:eastAsia="Georgia" w:hAnsi="Georgia"/>
                <w:b/>
                <w:bCs/>
                <w:sz w:val="20"/>
                <w:szCs w:val="20"/>
              </w:rPr>
              <w:t xml:space="preserve">8.</w:t>
            </w:r>
            <w:r>
              <w:rPr>
                <w:rFonts w:ascii="Georgia" w:cs="Georgia" w:eastAsia="Georgia" w:hAnsi="Georgia"/>
                <w:sz w:val="20"/>
                <w:szCs w:val="20"/>
              </w:rPr>
              <w:t xml:space="preserve"> Que, cuando su oferta proponga una solución equivalente a alguna de las referencias contenidas en el pliego, aporta con la oferta la prueba de la equivalencia por cualquier medio adecuado, siendo consciente de que dicha prueba es carga suya.</w:t>
            </w:r>
          </w:p>
          <w:p>
            <w:pPr>
              <w:spacing w:after="100" w:line="264"/>
            </w:pPr>
            <w:r>
              <w:rPr>
                <w:rFonts w:ascii="Georgia" w:cs="Georgia" w:eastAsia="Georgia" w:hAnsi="Georgia"/>
                <w:sz w:val="20"/>
                <w:szCs w:val="20"/>
              </w:rPr>
              <w:t xml:space="preserve">☐ </w:t>
            </w:r>
            <w:r>
              <w:rPr>
                <w:rFonts w:ascii="Georgia" w:cs="Georgia" w:eastAsia="Georgia" w:hAnsi="Georgia"/>
                <w:b/>
                <w:bCs/>
                <w:sz w:val="20"/>
                <w:szCs w:val="20"/>
              </w:rPr>
              <w:t xml:space="preserve">9.</w:t>
            </w:r>
            <w:r>
              <w:rPr>
                <w:rFonts w:ascii="Georgia" w:cs="Georgia" w:eastAsia="Georgia" w:hAnsi="Georgia"/>
                <w:sz w:val="20"/>
                <w:szCs w:val="20"/>
              </w:rPr>
              <w:t xml:space="preserve"> Que conoce el cuadro de penalidades y la relación de obligaciones calificadas como esenciales que figura en el pliego de cláusulas administrativas particulares, y el régimen de resolución al que su incumplimiento puede dar lugar, conforme a la Ley 9/2017.</w:t>
            </w:r>
          </w:p>
          <w:p>
            <w:pPr>
              <w:spacing w:after="100" w:line="264"/>
            </w:pPr>
            <w:r>
              <w:rPr>
                <w:rFonts w:ascii="Georgia" w:cs="Georgia" w:eastAsia="Georgia" w:hAnsi="Georgia"/>
                <w:sz w:val="20"/>
                <w:szCs w:val="20"/>
              </w:rPr>
              <w:t xml:space="preserve">☐ </w:t>
            </w:r>
            <w:r>
              <w:rPr>
                <w:rFonts w:ascii="Georgia" w:cs="Georgia" w:eastAsia="Georgia" w:hAnsi="Georgia"/>
                <w:b/>
                <w:bCs/>
                <w:sz w:val="20"/>
                <w:szCs w:val="20"/>
              </w:rPr>
              <w:t xml:space="preserve">10.</w:t>
            </w:r>
            <w:r>
              <w:rPr>
                <w:rFonts w:ascii="Georgia" w:cs="Georgia" w:eastAsia="Georgia" w:hAnsi="Georgia"/>
                <w:sz w:val="20"/>
                <w:szCs w:val="20"/>
              </w:rPr>
              <w:t xml:space="preserve"> Que, cuando este pliego incorpore la cláusula de capa de confianza, se compromete a cumplir sus exigencias funcionales de integridad, sellado de tiempo, no repudio, identidad digital verificable, interoperabilidad, protección de datos y portabilidad, con independencia de la infraestructura o tecnología empleada, y a aportar los medios de acreditación exigidos.</w:t>
            </w:r>
          </w:p>
          <w:p>
            <w:pPr>
              <w:spacing w:after="100" w:line="264"/>
            </w:pPr>
            <w:r>
              <w:rPr>
                <w:rFonts w:ascii="Georgia" w:cs="Georgia" w:eastAsia="Georgia" w:hAnsi="Georgia"/>
                <w:sz w:val="20"/>
                <w:szCs w:val="20"/>
              </w:rPr>
              <w:t xml:space="preserve">☐ </w:t>
            </w:r>
            <w:r>
              <w:rPr>
                <w:rFonts w:ascii="Georgia" w:cs="Georgia" w:eastAsia="Georgia" w:hAnsi="Georgia"/>
                <w:b/>
                <w:bCs/>
                <w:sz w:val="20"/>
                <w:szCs w:val="20"/>
              </w:rPr>
              <w:t xml:space="preserve">11.</w:t>
            </w:r>
            <w:r>
              <w:rPr>
                <w:rFonts w:ascii="Georgia" w:cs="Georgia" w:eastAsia="Georgia" w:hAnsi="Georgia"/>
                <w:sz w:val="20"/>
                <w:szCs w:val="20"/>
              </w:rPr>
              <w:t xml:space="preserve"> Que, cuando este pliego incorpore la cláusula de criptoagilidad, se compromete a entregar y mantener actualizados el inventario criptográfico y el plan de transición, y a permitir la sustitución de algoritmos, longitudes de clave y protocolos en los términos y plazos establecidos en el pliego.</w:t>
            </w:r>
          </w:p>
          <w:p>
            <w:pPr>
              <w:spacing w:after="100" w:line="264"/>
            </w:pPr>
            <w:r>
              <w:rPr>
                <w:rFonts w:ascii="Georgia" w:cs="Georgia" w:eastAsia="Georgia" w:hAnsi="Georgia"/>
                <w:sz w:val="20"/>
                <w:szCs w:val="20"/>
              </w:rPr>
              <w:t xml:space="preserve">☐ </w:t>
            </w:r>
            <w:r>
              <w:rPr>
                <w:rFonts w:ascii="Georgia" w:cs="Georgia" w:eastAsia="Georgia" w:hAnsi="Georgia"/>
                <w:b/>
                <w:bCs/>
                <w:sz w:val="20"/>
                <w:szCs w:val="20"/>
              </w:rPr>
              <w:t xml:space="preserve">12.</w:t>
            </w:r>
            <w:r>
              <w:rPr>
                <w:rFonts w:ascii="Georgia" w:cs="Georgia" w:eastAsia="Georgia" w:hAnsi="Georgia"/>
                <w:sz w:val="20"/>
                <w:szCs w:val="20"/>
              </w:rPr>
              <w:t xml:space="preserve"> Que ha identificado, en el sobre de criterios evaluables mediante fórmulas y sobre la relación cerrada y numerada del apéndice técnico del pliego, los procesos que se compromete a automatizar, con su alcance y plazo, y que cumplirá para cada automatización las exigencias establecidas en la cláusula correspondiente.</w:t>
            </w:r>
          </w:p>
          <w:p>
            <w:pPr>
              <w:spacing w:after="100" w:line="264"/>
            </w:pPr>
            <w:r>
              <w:rPr>
                <w:rFonts w:ascii="Georgia" w:cs="Georgia" w:eastAsia="Georgia" w:hAnsi="Georgia"/>
                <w:sz w:val="20"/>
                <w:szCs w:val="20"/>
              </w:rPr>
              <w:t xml:space="preserve">☐ </w:t>
            </w:r>
            <w:r>
              <w:rPr>
                <w:rFonts w:ascii="Georgia" w:cs="Georgia" w:eastAsia="Georgia" w:hAnsi="Georgia"/>
                <w:b/>
                <w:bCs/>
                <w:sz w:val="20"/>
                <w:szCs w:val="20"/>
              </w:rPr>
              <w:t xml:space="preserve">13.</w:t>
            </w:r>
            <w:r>
              <w:rPr>
                <w:rFonts w:ascii="Georgia" w:cs="Georgia" w:eastAsia="Georgia" w:hAnsi="Georgia"/>
                <w:sz w:val="20"/>
                <w:szCs w:val="20"/>
              </w:rPr>
              <w:t xml:space="preserve"> Que ha identificado, en el sobre de criterios evaluables mediante fórmulas, las funciones adicionales de la interfaz normalizada que compromete y su plazo de entrega, y que entregará la interfaz con las exigencias funcionales y sobre los módulos relacionados en el pliego.</w:t>
            </w:r>
          </w:p>
          <w:p>
            <w:pPr>
              <w:spacing w:after="100" w:line="264"/>
            </w:pPr>
            <w:r>
              <w:rPr>
                <w:rFonts w:ascii="Georgia" w:cs="Georgia" w:eastAsia="Georgia" w:hAnsi="Georgia"/>
                <w:sz w:val="20"/>
                <w:szCs w:val="20"/>
              </w:rPr>
              <w:t xml:space="preserve">☐ </w:t>
            </w:r>
            <w:r>
              <w:rPr>
                <w:rFonts w:ascii="Georgia" w:cs="Georgia" w:eastAsia="Georgia" w:hAnsi="Georgia"/>
                <w:b/>
                <w:bCs/>
                <w:sz w:val="20"/>
                <w:szCs w:val="20"/>
              </w:rPr>
              <w:t xml:space="preserve">14.</w:t>
            </w:r>
            <w:r>
              <w:rPr>
                <w:rFonts w:ascii="Georgia" w:cs="Georgia" w:eastAsia="Georgia" w:hAnsi="Georgia"/>
                <w:sz w:val="20"/>
                <w:szCs w:val="20"/>
              </w:rPr>
              <w:t xml:space="preserve"> Que se compromete a presentar y mantener actualizado el Plan Anual de Evolución Tecnológica conforme al modelo, contenido y plazos del pliego, sin atribuirle alcance distinto del Anexo de Exigencias Tecnológicas Determinadas incorporado al contrato.</w:t>
            </w:r>
          </w:p>
          <w:p>
            <w:pPr>
              <w:spacing w:after="100" w:line="264"/>
            </w:pPr>
            <w:r>
              <w:rPr>
                <w:rFonts w:ascii="Georgia" w:cs="Georgia" w:eastAsia="Georgia" w:hAnsi="Georgia"/>
                <w:sz w:val="20"/>
                <w:szCs w:val="20"/>
              </w:rPr>
              <w:t xml:space="preserve">☐ </w:t>
            </w:r>
            <w:r>
              <w:rPr>
                <w:rFonts w:ascii="Georgia" w:cs="Georgia" w:eastAsia="Georgia" w:hAnsi="Georgia"/>
                <w:b/>
                <w:bCs/>
                <w:sz w:val="20"/>
                <w:szCs w:val="20"/>
              </w:rPr>
              <w:t xml:space="preserve">15.</w:t>
            </w:r>
            <w:r>
              <w:rPr>
                <w:rFonts w:ascii="Georgia" w:cs="Georgia" w:eastAsia="Georgia" w:hAnsi="Georgia"/>
                <w:sz w:val="20"/>
                <w:szCs w:val="20"/>
              </w:rPr>
              <w:t xml:space="preserve"> Que conoce y acepta el régimen de modificación prevista del contrato establecido en el pliego, exclusivamente dentro de su objeto, circunstancias objetivas, límite económico, precios unitarios y procedimiento publicados.</w:t>
            </w:r>
          </w:p>
          <w:p>
            <w:pPr>
              <w:spacing w:after="100" w:line="264"/>
            </w:pPr>
            <w:r>
              <w:rPr>
                <w:rFonts w:ascii="Georgia" w:cs="Georgia" w:eastAsia="Georgia" w:hAnsi="Georgia"/>
                <w:sz w:val="20"/>
                <w:szCs w:val="20"/>
              </w:rPr>
              <w:t xml:space="preserve">En ……………………, a …… de …………………… de 20…… (firma y sello)</w:t>
            </w:r>
          </w:p>
          <w:p>
            <w:pPr>
              <w:spacing w:after="100" w:line="264"/>
            </w:pPr>
            <w:r>
              <w:rPr>
                <w:rFonts w:ascii="Georgia" w:cs="Georgia" w:eastAsia="Georgia" w:hAnsi="Georgia"/>
                <w:i/>
                <w:iCs/>
                <w:sz w:val="20"/>
                <w:szCs w:val="20"/>
              </w:rPr>
              <w:t xml:space="preserve">Cuadro del apartado 4 — sistemas de inteligencia artificial empleados en la ejecución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Sistema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Proveedor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Ubicación de tratamiento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Retención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Metadatos y telemetría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Exclusión de entrenamiento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Revisión humana por el proveedor</w:t>
                  </w:r>
                </w:p>
              </w:tc>
            </w:tr>
          </w:tbl>
          <w:p>
            <w:pPr>
              <w:spacing w:after="80"/>
            </w:pPr>
          </w:p>
        </w:tc>
      </w:tr>
    </w:tbl>
    <w:p>
      <w:pPr>
        <w:spacing w:after="220"/>
      </w:pPr>
    </w:p>
    <w:p>
      <w:pPr>
        <w:spacing w:after="140" w:line="276"/>
      </w:pPr>
      <w:r>
        <w:rPr>
          <w:rFonts w:ascii="Calibri" w:cs="Calibri" w:eastAsia="Calibri" w:hAnsi="Calibri"/>
          <w:b/>
          <w:bCs/>
          <w:sz w:val="21"/>
          <w:szCs w:val="21"/>
        </w:rPr>
        <w:t xml:space="preserve">Qué se ha eliminado respecto del modelo de la versión anterior, y por qué:</w:t>
      </w:r>
      <w:r>
        <w:rPr>
          <w:rFonts w:ascii="Calibri" w:cs="Calibri" w:eastAsia="Calibri" w:hAnsi="Calibri"/>
          <w:sz w:val="21"/>
          <w:szCs w:val="21"/>
        </w:rPr>
        <w:t xml:space="preserve"> el compromiso de entregar un producto designado por el nombre de un protocolo, que ha pasado a formularse por función; la aceptación anticipada de la obsolescencia tecnológica como causa de resolución, que era la aceptación en bloque de una causa de contenido indeterminado; y el compromiso de realizar la demostración, que no es una obligación del contrato sino una regla del procedimiento de licitación, con su efecto propio.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VIII · MODELO DE ACUERDO DEL ÓRGANO DE GOBIERNO</w:t>
      </w:r>
    </w:p>
    <w:p>
      <w:pPr>
        <w:spacing w:after="140" w:line="276"/>
      </w:pPr>
      <w:r>
        <w:rPr>
          <w:rFonts w:ascii="Calibri" w:cs="Calibri" w:eastAsia="Calibri" w:hAnsi="Calibri"/>
          <w:b/>
          <w:bCs/>
          <w:sz w:val="21"/>
          <w:szCs w:val="21"/>
        </w:rPr>
        <w:t xml:space="preserve">Para qué sirve este acuerdo, dicho sin rodeos.</w:t>
      </w:r>
      <w:r>
        <w:rPr>
          <w:rFonts w:ascii="Calibri" w:cs="Calibri" w:eastAsia="Calibri" w:hAnsi="Calibri"/>
          <w:sz w:val="21"/>
          <w:szCs w:val="21"/>
        </w:rPr>
        <w:t xml:space="preserve"> Hay exigencias de este catálogo que ninguna norma impone y que ningún gestor va a pedir. Sin un acto institucional que las asuma, la ficha de necesidad de cada expediente se rellenará con el mismo párrafo, que es la definición de justificación estereotipada. Este acuerdo es el eslabón que convierte esa exigencia en una política municipal aprobada, de la que un expediente concreto puede derivar. </w:t>
      </w:r>
      <w:r>
        <w:rPr>
          <w:rFonts w:ascii="Calibri" w:cs="Calibri" w:eastAsia="Calibri" w:hAnsi="Calibri"/>
          <w:b/>
          <w:bCs/>
          <w:sz w:val="21"/>
          <w:szCs w:val="21"/>
        </w:rPr>
        <w:t xml:space="preserve">Sin él, las cláusulas de origen institucional van a NO APLICA.</w:t>
      </w:r>
    </w:p>
    <w:p>
      <w:pPr>
        <w:spacing w:after="140" w:line="276"/>
      </w:pPr>
      <w:r>
        <w:rPr>
          <w:rFonts w:ascii="Calibri" w:cs="Calibri" w:eastAsia="Calibri" w:hAnsi="Calibri"/>
          <w:sz w:val="21"/>
          <w:szCs w:val="21"/>
        </w:rPr>
        <w:t xml:space="preserve">---- INICIO DEL MODELO ----</w:t>
      </w:r>
    </w:p>
    <w:p>
      <w:pPr>
        <w:spacing w:after="140" w:line="276"/>
      </w:pPr>
      <w:r>
        <w:rPr>
          <w:rFonts w:ascii="Calibri" w:cs="Calibri" w:eastAsia="Calibri" w:hAnsi="Calibri"/>
          <w:b/>
          <w:bCs/>
          <w:sz w:val="21"/>
          <w:szCs w:val="21"/>
        </w:rPr>
        <w:t xml:space="preserve">ACUERDO DEL [ÓRGANO DE GOBIERNO MUNICIPAL COMPETENTE] POR EL QUE SE APRUEBAN EL PLAN MUNICIPAL DE MODERNIZACIÓN TECNOLÓGICA Y EL CATÁLOGO DE CLÁUSULAS DE INTELIGENCIA ARTIFICIAL Y DEEP TECH, Y SE CREA EL CIRCUITO DE REVISIÓN ANUAL DE SUS EXIGENCIAS TECNOLÓGICAS</w:t>
      </w:r>
    </w:p>
    <w:p>
      <w:pPr>
        <w:spacing w:after="140" w:line="276"/>
      </w:pPr>
      <w:r>
        <w:rPr>
          <w:rFonts w:ascii="Calibri" w:cs="Calibri" w:eastAsia="Calibri" w:hAnsi="Calibri"/>
          <w:b/>
          <w:bCs/>
          <w:sz w:val="21"/>
          <w:szCs w:val="21"/>
        </w:rPr>
        <w:t xml:space="preserve">ANTECEDENTES</w:t>
      </w:r>
    </w:p>
    <w:p>
      <w:pPr>
        <w:spacing w:after="140" w:line="276"/>
      </w:pPr>
      <w:r>
        <w:rPr>
          <w:rFonts w:ascii="Calibri" w:cs="Calibri" w:eastAsia="Calibri" w:hAnsi="Calibri"/>
          <w:b/>
          <w:bCs/>
          <w:sz w:val="21"/>
          <w:szCs w:val="21"/>
        </w:rPr>
        <w:t xml:space="preserve">I.</w:t>
      </w:r>
      <w:r>
        <w:rPr>
          <w:rFonts w:ascii="Calibri" w:cs="Calibri" w:eastAsia="Calibri" w:hAnsi="Calibri"/>
          <w:sz w:val="21"/>
          <w:szCs w:val="21"/>
        </w:rPr>
        <w:t xml:space="preserve"> El Ayuntamiento contrata soluciones tecnológicas cuya vida útil excede de la duración de los contratos que las sostienen. La experiencia acredita que, sin previsión contractual expresa, la solución permanece durante toda la vigencia en el estado en que se contrató y que la recuperación de los datos al término del contrato resulta costosa y, en ocasiones, dependiente de la voluntad del proveedor saliente.</w:t>
      </w:r>
    </w:p>
    <w:p>
      <w:pPr>
        <w:spacing w:after="140" w:line="276"/>
      </w:pPr>
      <w:r>
        <w:rPr>
          <w:rFonts w:ascii="Calibri" w:cs="Calibri" w:eastAsia="Calibri" w:hAnsi="Calibri"/>
          <w:b/>
          <w:bCs/>
          <w:sz w:val="21"/>
          <w:szCs w:val="21"/>
        </w:rPr>
        <w:t xml:space="preserve">II.</w:t>
      </w:r>
      <w:r>
        <w:rPr>
          <w:rFonts w:ascii="Calibri" w:cs="Calibri" w:eastAsia="Calibri" w:hAnsi="Calibri"/>
          <w:sz w:val="21"/>
          <w:szCs w:val="21"/>
        </w:rPr>
        <w:t xml:space="preserve"> Determinadas exigencias que este Ayuntamiento considera necesarias para su funcionamiento futuro no vienen impuestas por ninguna norma en vigor ni pueden ser formuladas por los servicios gestores, por exceder de su ámbito funcional. Corresponde a este órgano determinar si el Ayuntamiento las asume como objetivo propio, con qué alcance y con qué calendario, para que puedan ser incorporadas a los expedientes de contratación con una relación directa, clara y proporcional con el objeto de cada contrato, en los términos del artículo 116.4.e) de la Ley 9/2017.</w:t>
      </w:r>
    </w:p>
    <w:p>
      <w:pPr>
        <w:spacing w:after="140" w:line="276"/>
      </w:pPr>
      <w:r>
        <w:rPr>
          <w:rFonts w:ascii="Calibri" w:cs="Calibri" w:eastAsia="Calibri" w:hAnsi="Calibri"/>
          <w:b/>
          <w:bCs/>
          <w:sz w:val="21"/>
          <w:szCs w:val="21"/>
        </w:rPr>
        <w:t xml:space="preserve">III.</w:t>
      </w:r>
      <w:r>
        <w:rPr>
          <w:rFonts w:ascii="Calibri" w:cs="Calibri" w:eastAsia="Calibri" w:hAnsi="Calibri"/>
          <w:sz w:val="21"/>
          <w:szCs w:val="21"/>
        </w:rPr>
        <w:t xml:space="preserve"> Consta en el expediente el informe del [servicio promotor], el informe del órgano al que corresponde el informe jurídico preceptivo y el informe de la Intervención sobre las repercusiones económicas y presupuestarias del plan.</w:t>
      </w:r>
    </w:p>
    <w:p>
      <w:pPr>
        <w:spacing w:after="140" w:line="276"/>
      </w:pPr>
      <w:r>
        <w:rPr>
          <w:rFonts w:ascii="Calibri" w:cs="Calibri" w:eastAsia="Calibri" w:hAnsi="Calibri"/>
          <w:b/>
          <w:bCs/>
          <w:sz w:val="21"/>
          <w:szCs w:val="21"/>
        </w:rPr>
        <w:t xml:space="preserve">ACUERDA</w:t>
      </w:r>
    </w:p>
    <w:p>
      <w:pPr>
        <w:spacing w:after="140" w:line="276"/>
      </w:pPr>
      <w:r>
        <w:rPr>
          <w:rFonts w:ascii="Calibri" w:cs="Calibri" w:eastAsia="Calibri" w:hAnsi="Calibri"/>
          <w:b/>
          <w:bCs/>
          <w:sz w:val="21"/>
          <w:szCs w:val="21"/>
        </w:rPr>
        <w:t xml:space="preserve">Primero. Aprobar el Plan Municipal de Modernización Tecnológica [período]</w:t>
      </w:r>
      <w:r>
        <w:rPr>
          <w:rFonts w:ascii="Calibri" w:cs="Calibri" w:eastAsia="Calibri" w:hAnsi="Calibri"/>
          <w:sz w:val="21"/>
          <w:szCs w:val="21"/>
        </w:rPr>
        <w:t xml:space="preserve">, cuyos objetivos son: (a) que las soluciones contratadas puedan ser consultadas, operadas y auditadas por asistentes y agentes de inteligencia artificial bajo control municipal, con supervisión humana y trazabilidad completa; (b) que el Ayuntamiento conserve en todo momento la titularidad y la disponibilidad efectiva de sus datos y de los desarrollos específicos que financia; (c) que la sustitución de un proveedor sea posible sin pérdida de información ni interrupción del servicio; y (d) que los órganos de control interno dispongan del mismo acceso a los datos de ejecución que los órganos gestores. Se aprueba asimismo el calendario del plan que figura como anexo.</w:t>
      </w:r>
    </w:p>
    <w:p>
      <w:pPr>
        <w:spacing w:after="140" w:line="276"/>
      </w:pPr>
      <w:r>
        <w:rPr>
          <w:rFonts w:ascii="Calibri" w:cs="Calibri" w:eastAsia="Calibri" w:hAnsi="Calibri"/>
          <w:b/>
          <w:bCs/>
          <w:sz w:val="21"/>
          <w:szCs w:val="21"/>
        </w:rPr>
        <w:t xml:space="preserve">Segundo. Aprobar el Catálogo de Cláusulas de Inteligencia Artificial y Deep Tech, versión 3.0</w:t>
      </w:r>
      <w:r>
        <w:rPr>
          <w:rFonts w:ascii="Calibri" w:cs="Calibri" w:eastAsia="Calibri" w:hAnsi="Calibri"/>
          <w:sz w:val="21"/>
          <w:szCs w:val="21"/>
        </w:rPr>
        <w:t xml:space="preserve">, como instrumento de </w:t>
      </w:r>
      <w:r>
        <w:rPr>
          <w:rFonts w:ascii="Calibri" w:cs="Calibri" w:eastAsia="Calibri" w:hAnsi="Calibri"/>
          <w:b/>
          <w:bCs/>
          <w:sz w:val="21"/>
          <w:szCs w:val="21"/>
        </w:rPr>
        <w:t xml:space="preserve">aplicación motivada</w:t>
      </w:r>
      <w:r>
        <w:rPr>
          <w:rFonts w:ascii="Calibri" w:cs="Calibri" w:eastAsia="Calibri" w:hAnsi="Calibri"/>
          <w:sz w:val="21"/>
          <w:szCs w:val="21"/>
        </w:rPr>
        <w:t xml:space="preserve"> y no de incorporación automática. Ninguna de sus cláusulas se incorpora a un pliego sin la ficha de aplicabilidad firmada y el informe de necesidad correspondientes al expediente de que se trate.</w:t>
      </w:r>
    </w:p>
    <w:p>
      <w:pPr>
        <w:spacing w:after="140" w:line="276"/>
      </w:pPr>
      <w:r>
        <w:rPr>
          <w:rFonts w:ascii="Calibri" w:cs="Calibri" w:eastAsia="Calibri" w:hAnsi="Calibri"/>
          <w:b/>
          <w:bCs/>
          <w:sz w:val="21"/>
          <w:szCs w:val="21"/>
        </w:rPr>
        <w:t xml:space="preserve">Tercero. Aprobar el Catálogo de Exigencias Tecnológicas Determinadas del ejercicio 2026-2027, versión 1.0</w:t>
      </w:r>
      <w:r>
        <w:rPr>
          <w:rFonts w:ascii="Calibri" w:cs="Calibri" w:eastAsia="Calibri" w:hAnsi="Calibri"/>
          <w:sz w:val="21"/>
          <w:szCs w:val="21"/>
        </w:rPr>
        <w:t xml:space="preserve">, que se acompaña, y que se transcribirá físicamente en los pliegos de prescripciones técnicas de las licitaciones que se convoquen a partir de la fecha de este acuerdo, sin que las revisiones posteriores afecten a los contratos ya licitados.</w:t>
      </w:r>
    </w:p>
    <w:p>
      <w:pPr>
        <w:spacing w:after="140" w:line="276"/>
      </w:pPr>
      <w:r>
        <w:rPr>
          <w:rFonts w:ascii="Calibri" w:cs="Calibri" w:eastAsia="Calibri" w:hAnsi="Calibri"/>
          <w:b/>
          <w:bCs/>
          <w:sz w:val="21"/>
          <w:szCs w:val="21"/>
        </w:rPr>
        <w:t xml:space="preserve">Cuarto. Designar</w:t>
      </w:r>
      <w:r>
        <w:rPr>
          <w:rFonts w:ascii="Calibri" w:cs="Calibri" w:eastAsia="Calibri" w:hAnsi="Calibri"/>
          <w:sz w:val="21"/>
          <w:szCs w:val="21"/>
        </w:rPr>
        <w:t xml:space="preserve"> a [órgano o unidad] como competente para aprobar la revisión anual del Catálogo de Exigencias Tecnológicas, previo contraste de mercado documentado e informe jurídico, sin necesidad de modificar el Catálogo de Cláusulas. La revisión se aprobará antes del inicio de cada ejercicio.</w:t>
      </w:r>
    </w:p>
    <w:p>
      <w:pPr>
        <w:spacing w:after="140" w:line="276"/>
      </w:pPr>
      <w:r>
        <w:rPr>
          <w:rFonts w:ascii="Calibri" w:cs="Calibri" w:eastAsia="Calibri" w:hAnsi="Calibri"/>
          <w:b/>
          <w:bCs/>
          <w:sz w:val="21"/>
          <w:szCs w:val="21"/>
        </w:rPr>
        <w:t xml:space="preserve">Quinto. Ordenar la realización, con periodicidad anual y carácter centralizado, del contraste de mercado</w:t>
      </w:r>
      <w:r>
        <w:rPr>
          <w:rFonts w:ascii="Calibri" w:cs="Calibri" w:eastAsia="Calibri" w:hAnsi="Calibri"/>
          <w:sz w:val="21"/>
          <w:szCs w:val="21"/>
        </w:rPr>
        <w:t xml:space="preserve"> que ha de acompañar a la revisión del Catálogo de Exigencias Tecnológicas, pudiendo articularse mediante consulta preliminar del mercado publicada conforme al artículo 115 de la Ley 9/2017, cuya documentación se reutilizará en los expedientes del ejercicio.</w:t>
      </w:r>
    </w:p>
    <w:p>
      <w:pPr>
        <w:spacing w:after="140" w:line="276"/>
      </w:pPr>
      <w:r>
        <w:rPr>
          <w:rFonts w:ascii="Calibri" w:cs="Calibri" w:eastAsia="Calibri" w:hAnsi="Calibri"/>
          <w:b/>
          <w:bCs/>
          <w:sz w:val="21"/>
          <w:szCs w:val="21"/>
        </w:rPr>
        <w:t xml:space="preserve">Sexto. Aprobar la asignación de responsabilidades de verificación</w:t>
      </w:r>
      <w:r>
        <w:rPr>
          <w:rFonts w:ascii="Calibri" w:cs="Calibri" w:eastAsia="Calibri" w:hAnsi="Calibri"/>
          <w:sz w:val="21"/>
          <w:szCs w:val="21"/>
        </w:rPr>
        <w:t xml:space="preserve"> que figura como anexo, con designación de actor municipal y periodicidad para cada exigencia, y tomar conocimiento de la estimación de carga anual que comporta. No se incorporará a ningún pliego una exigencia cuya verificación carezca de actor designado.</w:t>
      </w:r>
    </w:p>
    <w:p>
      <w:pPr>
        <w:spacing w:after="140" w:line="276"/>
      </w:pPr>
      <w:r>
        <w:rPr>
          <w:rFonts w:ascii="Calibri" w:cs="Calibri" w:eastAsia="Calibri" w:hAnsi="Calibri"/>
          <w:b/>
          <w:bCs/>
          <w:sz w:val="21"/>
          <w:szCs w:val="21"/>
        </w:rPr>
        <w:t xml:space="preserve">Séptimo. Aprobar la política municipal de uso de sistemas de inteligencia artificial por el personal del Ayuntamiento</w:t>
      </w:r>
      <w:r>
        <w:rPr>
          <w:rFonts w:ascii="Calibri" w:cs="Calibri" w:eastAsia="Calibri" w:hAnsi="Calibri"/>
          <w:sz w:val="21"/>
          <w:szCs w:val="21"/>
        </w:rPr>
        <w:t xml:space="preserve">, que se acompaña, como compromiso recíproco de las obligaciones que se imponen a los contratistas.</w:t>
      </w:r>
    </w:p>
    <w:p>
      <w:pPr>
        <w:spacing w:after="140" w:line="276"/>
      </w:pPr>
      <w:r>
        <w:rPr>
          <w:rFonts w:ascii="Calibri" w:cs="Calibri" w:eastAsia="Calibri" w:hAnsi="Calibri"/>
          <w:b/>
          <w:bCs/>
          <w:sz w:val="21"/>
          <w:szCs w:val="21"/>
        </w:rPr>
        <w:t xml:space="preserve">Octavo. Ordenar la publicación</w:t>
      </w:r>
      <w:r>
        <w:rPr>
          <w:rFonts w:ascii="Calibri" w:cs="Calibri" w:eastAsia="Calibri" w:hAnsi="Calibri"/>
          <w:sz w:val="21"/>
          <w:szCs w:val="21"/>
        </w:rPr>
        <w:t xml:space="preserve"> del Catálogo de Cláusulas y del Catálogo de Exigencias Tecnológicas en el perfil de contratante y en el portal de transparencia municipal, en formato reutilizable, para su empleo por otras administraciones públicas.</w:t>
      </w:r>
    </w:p>
    <w:p>
      <w:pPr>
        <w:spacing w:after="140" w:line="276"/>
      </w:pPr>
      <w:r>
        <w:rPr>
          <w:rFonts w:ascii="Calibri" w:cs="Calibri" w:eastAsia="Calibri" w:hAnsi="Calibri"/>
          <w:b/>
          <w:bCs/>
          <w:sz w:val="21"/>
          <w:szCs w:val="21"/>
        </w:rPr>
        <w:t xml:space="preserve">Noveno. Encomendar al [servicio promotor] la evaluación</w:t>
      </w:r>
      <w:r>
        <w:rPr>
          <w:rFonts w:ascii="Calibri" w:cs="Calibri" w:eastAsia="Calibri" w:hAnsi="Calibri"/>
          <w:sz w:val="21"/>
          <w:szCs w:val="21"/>
        </w:rPr>
        <w:t xml:space="preserve"> de la primera aplicación del catálogo, mediante informes a los seis y a los doce meses sobre concurrencia obtenida, incidencias, recursos interpuestos y carga real de verificación, con propuesta motivada de ajuste del catálogo, del anexo anual y de los valores por defecto de sus parámetros.</w:t>
      </w:r>
    </w:p>
    <w:p>
      <w:pPr>
        <w:spacing w:after="140" w:line="276"/>
      </w:pPr>
      <w:r>
        <w:rPr>
          <w:rFonts w:ascii="Calibri" w:cs="Calibri" w:eastAsia="Calibri" w:hAnsi="Calibri"/>
          <w:b/>
          <w:bCs/>
          <w:sz w:val="21"/>
          <w:szCs w:val="21"/>
        </w:rPr>
        <w:t xml:space="preserve">Décimo.</w:t>
      </w:r>
      <w:r>
        <w:rPr>
          <w:rFonts w:ascii="Calibri" w:cs="Calibri" w:eastAsia="Calibri" w:hAnsi="Calibri"/>
          <w:sz w:val="21"/>
          <w:szCs w:val="21"/>
        </w:rPr>
        <w:t xml:space="preserve"> Dar traslado del presente acuerdo a los servicios gestores, al órgano al que corresponde el informe jurídico preceptivo y a la Intervención General.</w:t>
      </w:r>
    </w:p>
    <w:p>
      <w:pPr>
        <w:spacing w:after="140" w:line="276"/>
      </w:pPr>
      <w:r>
        <w:rPr>
          <w:rFonts w:ascii="Calibri" w:cs="Calibri" w:eastAsia="Calibri" w:hAnsi="Calibri"/>
          <w:sz w:val="21"/>
          <w:szCs w:val="21"/>
        </w:rPr>
        <w:t xml:space="preserve">---- FIN DEL MODELO ----</w:t>
      </w:r>
    </w:p>
    <w:p>
      <w:pPr>
        <w:spacing w:after="140" w:line="276"/>
      </w:pPr>
      <w:r>
        <w:rPr>
          <w:rFonts w:ascii="Calibri" w:cs="Calibri" w:eastAsia="Calibri" w:hAnsi="Calibri"/>
          <w:b/>
          <w:bCs/>
          <w:sz w:val="21"/>
          <w:szCs w:val="21"/>
        </w:rPr>
        <w:t xml:space="preserve">Nota de reutilización.</w:t>
      </w:r>
      <w:r>
        <w:rPr>
          <w:rFonts w:ascii="Calibri" w:cs="Calibri" w:eastAsia="Calibri" w:hAnsi="Calibri"/>
          <w:sz w:val="21"/>
          <w:szCs w:val="21"/>
        </w:rPr>
        <w:t xml:space="preserve"> El órgano competente para adoptar este acuerdo y para aprobar la revisión anual depende del régimen de cada entidad y de su cuadro de delegaciones. Determínese antes de aprobar: un catálogo aprobado por órgano incompetente no es </w:t>
      </w:r>
      <w:r>
        <w:rPr>
          <w:rFonts w:ascii="Calibri" w:cs="Calibri" w:eastAsia="Calibri" w:hAnsi="Calibri"/>
          <w:i/>
          <w:iCs/>
          <w:sz w:val="21"/>
          <w:szCs w:val="21"/>
        </w:rPr>
        <w:t xml:space="preserve">lex contractus</w:t>
      </w:r>
      <w:r>
        <w:rPr>
          <w:rFonts w:ascii="Calibri" w:cs="Calibri" w:eastAsia="Calibri" w:hAnsi="Calibri"/>
          <w:sz w:val="21"/>
          <w:szCs w:val="21"/>
        </w:rPr>
        <w:t xml:space="preserve">, es un papel, y el defecto se descubre cuando ya está en un pliego recurrido.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IX · DECLARACIÓN DE CONFLICTO DE INTERÉS Y DE PARTICIPACIÓN PREVIA EN LA PREPARACIÓN</w:t>
      </w:r>
    </w:p>
    <w:p>
      <w:pPr>
        <w:spacing w:after="140" w:line="276"/>
      </w:pPr>
      <w:r>
        <w:rPr>
          <w:rFonts w:ascii="Calibri" w:cs="Calibri" w:eastAsia="Calibri" w:hAnsi="Calibri"/>
          <w:sz w:val="21"/>
          <w:szCs w:val="21"/>
        </w:rPr>
        <w:t xml:space="preserve">Este anexo contiene dos declaraciones distintas que se cumplimentan por separado, más el cuadro de medidas. La primera se refiere a quienes intervienen en el procedimiento por parte del poder adjudicador (art. 64 LCSP); la segunda, a quienes han participado en la preparación y podrían después licitar o estar vinculados a un licitador (art. 70 LCSP).</w:t>
      </w:r>
    </w:p>
    <w:p>
      <w:pPr>
        <w:spacing w:after="140" w:line="276"/>
      </w:pPr>
      <w:r>
        <w:rPr>
          <w:rFonts w:ascii="Calibri" w:cs="Calibri" w:eastAsia="Calibri" w:hAnsi="Calibri"/>
          <w:b/>
          <w:bCs/>
          <w:sz w:val="21"/>
          <w:szCs w:val="21"/>
        </w:rPr>
        <w:t xml:space="preserve">Por qué se hace por iniciativa propia y antes de aprobar.</w:t>
      </w:r>
      <w:r>
        <w:rPr>
          <w:rFonts w:ascii="Calibri" w:cs="Calibri" w:eastAsia="Calibri" w:hAnsi="Calibri"/>
          <w:sz w:val="21"/>
          <w:szCs w:val="21"/>
        </w:rPr>
        <w:t xml:space="preserve"> Un conflicto revelado y neutralizado por el propio expediente es un dato del expediente. El mismo conflicto descubierto por un recurrente deja de ser una cuestión técnica y pasa a ser una imputación de favorecimiento. Pero conviene decir también lo que la declaración no hace: </w:t>
      </w:r>
      <w:r>
        <w:rPr>
          <w:rFonts w:ascii="Calibri" w:cs="Calibri" w:eastAsia="Calibri" w:hAnsi="Calibri"/>
          <w:b/>
          <w:bCs/>
          <w:sz w:val="21"/>
          <w:szCs w:val="21"/>
        </w:rPr>
        <w:t xml:space="preserve">declarar no basta.</w:t>
      </w:r>
      <w:r>
        <w:rPr>
          <w:rFonts w:ascii="Calibri" w:cs="Calibri" w:eastAsia="Calibri" w:hAnsi="Calibri"/>
          <w:sz w:val="21"/>
          <w:szCs w:val="21"/>
        </w:rPr>
        <w:t xml:space="preserve"> El art. 70.1 no pide declarar, pide adoptar medidas adecuadas para que la participación previa no falsee la competencia y dejar constancia de ellas. La declaración sin las medidas del cuadro C es una intención.</w:t>
      </w:r>
    </w:p>
    <w:p>
      <w:pPr>
        <w:spacing w:after="140" w:line="276"/>
      </w:pPr>
      <w:r>
        <w:rPr>
          <w:rFonts w:ascii="Calibri" w:cs="Calibri" w:eastAsia="Calibri" w:hAnsi="Calibri"/>
          <w:sz w:val="21"/>
          <w:szCs w:val="21"/>
        </w:rPr>
        <w:t xml:space="preserve">---- INICIO DEL MODELO A ----</w:t>
      </w:r>
    </w:p>
    <w:p>
      <w:pPr>
        <w:spacing w:after="140" w:line="276"/>
      </w:pPr>
      <w:r>
        <w:rPr>
          <w:rFonts w:ascii="Calibri" w:cs="Calibri" w:eastAsia="Calibri" w:hAnsi="Calibri"/>
          <w:b/>
          <w:bCs/>
          <w:sz w:val="21"/>
          <w:szCs w:val="21"/>
        </w:rPr>
        <w:t xml:space="preserve">DECLARACIÓN DE AUSENCIA O EXISTENCIA DE CONFLICTO DE INTERÉS (art. 64 LCSP)</w:t>
      </w:r>
    </w:p>
    <w:p>
      <w:pPr>
        <w:spacing w:after="140" w:line="276"/>
      </w:pPr>
      <w:r>
        <w:rPr>
          <w:rFonts w:ascii="Calibri" w:cs="Calibri" w:eastAsia="Calibri" w:hAnsi="Calibri"/>
          <w:sz w:val="21"/>
          <w:szCs w:val="21"/>
        </w:rPr>
        <w:t xml:space="preserve">D./D.ª ………………………………, con documento de identidad n.º …………………, en su condición de [cargo o función: miembro del órgano de contratación / miembro de la mesa / técnico redactor de los pliegos / asesor externo / miembro del comité de expertos], en relación con [el Catálogo de Cláusulas de IA y Deep Tech, versión 3.0 / el expediente de contratación n.º ………], </w:t>
      </w:r>
      <w:r>
        <w:rPr>
          <w:rFonts w:ascii="Calibri" w:cs="Calibri" w:eastAsia="Calibri" w:hAnsi="Calibri"/>
          <w:b/>
          <w:bCs/>
          <w:sz w:val="21"/>
          <w:szCs w:val="21"/>
        </w:rPr>
        <w:t xml:space="preserve">DECLARA</w:t>
      </w:r>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 Que </w:t>
      </w:r>
      <w:r>
        <w:rPr>
          <w:rFonts w:ascii="Calibri" w:cs="Calibri" w:eastAsia="Calibri" w:hAnsi="Calibri"/>
          <w:b/>
          <w:bCs/>
          <w:sz w:val="21"/>
          <w:szCs w:val="21"/>
        </w:rPr>
        <w:t xml:space="preserve">no</w:t>
      </w:r>
      <w:r>
        <w:rPr>
          <w:rFonts w:ascii="Calibri" w:cs="Calibri" w:eastAsia="Calibri" w:hAnsi="Calibri"/>
          <w:sz w:val="21"/>
          <w:szCs w:val="21"/>
        </w:rPr>
        <w:t xml:space="preserve"> tiene, directa ni indirectamente, interés financiero, económico o personal alguno que pudiera parecer que compromete su imparcialidad e independencia en este procedimiento.</w:t>
      </w:r>
    </w:p>
    <w:p>
      <w:pPr>
        <w:spacing w:after="140" w:line="276"/>
      </w:pPr>
      <w:r>
        <w:rPr>
          <w:rFonts w:ascii="Calibri" w:cs="Calibri" w:eastAsia="Calibri" w:hAnsi="Calibri"/>
          <w:sz w:val="21"/>
          <w:szCs w:val="21"/>
        </w:rPr>
        <w:t xml:space="preserve">☐ Que </w:t>
      </w:r>
      <w:r>
        <w:rPr>
          <w:rFonts w:ascii="Calibri" w:cs="Calibri" w:eastAsia="Calibri" w:hAnsi="Calibri"/>
          <w:b/>
          <w:bCs/>
          <w:sz w:val="21"/>
          <w:szCs w:val="21"/>
        </w:rPr>
        <w:t xml:space="preserve">sí</w:t>
      </w:r>
      <w:r>
        <w:rPr>
          <w:rFonts w:ascii="Calibri" w:cs="Calibri" w:eastAsia="Calibri" w:hAnsi="Calibri"/>
          <w:sz w:val="21"/>
          <w:szCs w:val="21"/>
        </w:rPr>
        <w:t xml:space="preserve"> concurre la siguiente circunstancia, que declara por iniciativa propia: ……………………………………………………………………………</w:t>
      </w:r>
    </w:p>
    <w:p>
      <w:pPr>
        <w:spacing w:after="140" w:line="276"/>
      </w:pPr>
      <w:r>
        <w:rPr>
          <w:rFonts w:ascii="Calibri" w:cs="Calibri" w:eastAsia="Calibri" w:hAnsi="Calibri"/>
          <w:sz w:val="21"/>
          <w:szCs w:val="21"/>
        </w:rPr>
        <w:t xml:space="preserve">En particular, y en su caso, declara: (a) su relación laboral, mercantil, societaria o de asesoramiento, actual o en los [dos] últimos años, con empresas u organizaciones que operen en el mercado al que se refieren las exigencias tecnológicas del catálogo; (b) su pertenencia a asociaciones, consorcios, fundaciones o entidades promotoras de infraestructuras, redes, protocolos o estándares mencionados en el documento, aunque sea a título ilustrativo; (c) cualquier participación en el capital o en los órganos de administración de esas entidades; y (d) cualquier retribución percibida de ellas.</w:t>
      </w:r>
    </w:p>
    <w:p>
      <w:pPr>
        <w:spacing w:after="140" w:line="276"/>
      </w:pPr>
      <w:r>
        <w:rPr>
          <w:rFonts w:ascii="Calibri" w:cs="Calibri" w:eastAsia="Calibri" w:hAnsi="Calibri"/>
          <w:sz w:val="21"/>
          <w:szCs w:val="21"/>
        </w:rPr>
        <w:t xml:space="preserve">Y se compromete a comunicar de inmediato cualquier circunstancia sobrevenida, y a abstenerse de intervenir cuando proceda.</w:t>
      </w:r>
    </w:p>
    <w:p>
      <w:pPr>
        <w:spacing w:after="140" w:line="276"/>
      </w:pPr>
      <w:r>
        <w:rPr>
          <w:rFonts w:ascii="Calibri" w:cs="Calibri" w:eastAsia="Calibri" w:hAnsi="Calibri"/>
          <w:sz w:val="21"/>
          <w:szCs w:val="21"/>
        </w:rPr>
        <w:t xml:space="preserve">En ……………………, a …… de …………………… de 20…… (firma)</w:t>
      </w:r>
    </w:p>
    <w:p>
      <w:pPr>
        <w:spacing w:after="140" w:line="276"/>
      </w:pPr>
      <w:r>
        <w:rPr>
          <w:rFonts w:ascii="Calibri" w:cs="Calibri" w:eastAsia="Calibri" w:hAnsi="Calibri"/>
          <w:sz w:val="21"/>
          <w:szCs w:val="21"/>
        </w:rPr>
        <w:t xml:space="preserve">---- FIN DEL MODELO A ----</w:t>
      </w:r>
    </w:p>
    <w:p>
      <w:pPr>
        <w:spacing w:after="140" w:line="276"/>
      </w:pPr>
      <w:r>
        <w:rPr>
          <w:rFonts w:ascii="Calibri" w:cs="Calibri" w:eastAsia="Calibri" w:hAnsi="Calibri"/>
          <w:sz w:val="21"/>
          <w:szCs w:val="21"/>
        </w:rPr>
        <w:t xml:space="preserve">---- INICIO DEL MODELO B ----</w:t>
      </w:r>
    </w:p>
    <w:p>
      <w:pPr>
        <w:spacing w:after="140" w:line="276"/>
      </w:pPr>
      <w:r>
        <w:rPr>
          <w:rFonts w:ascii="Calibri" w:cs="Calibri" w:eastAsia="Calibri" w:hAnsi="Calibri"/>
          <w:b/>
          <w:bCs/>
          <w:sz w:val="21"/>
          <w:szCs w:val="21"/>
        </w:rPr>
        <w:t xml:space="preserve">DECLARACIÓN DE PARTICIPACIÓN PREVIA EN LA PREPARACIÓN (art. 70 LCSP)</w:t>
      </w:r>
    </w:p>
    <w:p>
      <w:pPr>
        <w:spacing w:after="140" w:line="276"/>
      </w:pPr>
      <w:r>
        <w:rPr>
          <w:rFonts w:ascii="Calibri" w:cs="Calibri" w:eastAsia="Calibri" w:hAnsi="Calibri"/>
          <w:sz w:val="21"/>
          <w:szCs w:val="21"/>
        </w:rPr>
        <w:t xml:space="preserve">D./D.ª ………………………………, en nombre propio / en representación de ………………………………, </w:t>
      </w:r>
      <w:r>
        <w:rPr>
          <w:rFonts w:ascii="Calibri" w:cs="Calibri" w:eastAsia="Calibri" w:hAnsi="Calibri"/>
          <w:b/>
          <w:bCs/>
          <w:sz w:val="21"/>
          <w:szCs w:val="21"/>
        </w:rPr>
        <w:t xml:space="preserve">DECLARA</w:t>
      </w:r>
      <w:r>
        <w:rPr>
          <w:rFonts w:ascii="Calibri" w:cs="Calibri" w:eastAsia="Calibri" w:hAnsi="Calibri"/>
          <w:sz w:val="21"/>
          <w:szCs w:val="21"/>
        </w:rPr>
        <w:t xml:space="preserve"> haber participado en la preparación del [catálogo / expediente] mediante: [redacción, asesoramiento, respuesta a consulta preliminar del mercado, aportación de documentación técnica, u otra], en las fechas y con el alcance siguientes: ……………………………</w:t>
      </w:r>
    </w:p>
    <w:p>
      <w:pPr>
        <w:spacing w:after="140" w:line="276"/>
      </w:pPr>
      <w:r>
        <w:rPr>
          <w:rFonts w:ascii="Calibri" w:cs="Calibri" w:eastAsia="Calibri" w:hAnsi="Calibri"/>
          <w:sz w:val="21"/>
          <w:szCs w:val="21"/>
        </w:rPr>
        <w:t xml:space="preserve">Y manifiesta conocer que: (a) esta participación no determina por sí sola su exclusión de las licitaciones que se convoquen; (b) la exclusión sólo procede cuando no exista otro medio de garantizar la igualdad de trato y previa audiencia en la que pueda probar que su participación no falsea la competencia; y (c) toda la información que aportó y que resulte relevante para las licitaciones será puesta a disposición del resto de licitadores.</w:t>
      </w:r>
    </w:p>
    <w:p>
      <w:pPr>
        <w:spacing w:after="140" w:line="276"/>
      </w:pPr>
      <w:r>
        <w:rPr>
          <w:rFonts w:ascii="Calibri" w:cs="Calibri" w:eastAsia="Calibri" w:hAnsi="Calibri"/>
          <w:sz w:val="21"/>
          <w:szCs w:val="21"/>
        </w:rPr>
        <w:t xml:space="preserve">En ……………………, a …… de …………………… de 20…… (firma)</w:t>
      </w:r>
    </w:p>
    <w:p>
      <w:pPr>
        <w:spacing w:after="140" w:line="276"/>
      </w:pPr>
      <w:r>
        <w:rPr>
          <w:rFonts w:ascii="Calibri" w:cs="Calibri" w:eastAsia="Calibri" w:hAnsi="Calibri"/>
          <w:sz w:val="21"/>
          <w:szCs w:val="21"/>
        </w:rPr>
        <w:t xml:space="preserve">---- FIN DEL MODELO B ----</w:t>
      </w:r>
    </w:p>
    <w:p>
      <w:pPr>
        <w:spacing w:after="140" w:line="276"/>
      </w:pPr>
      <w:r>
        <w:rPr>
          <w:rFonts w:ascii="Calibri" w:cs="Calibri" w:eastAsia="Calibri" w:hAnsi="Calibri"/>
          <w:b/>
          <w:bCs/>
          <w:sz w:val="21"/>
          <w:szCs w:val="21"/>
        </w:rPr>
        <w:t xml:space="preserve">Cuadro C · Medidas adoptadas para que la participación previa no falsee la competencia.</w:t>
      </w:r>
      <w:r>
        <w:rPr>
          <w:rFonts w:ascii="Calibri" w:cs="Calibri" w:eastAsia="Calibri" w:hAnsi="Calibri"/>
          <w:sz w:val="21"/>
          <w:szCs w:val="21"/>
        </w:rPr>
        <w:t xml:space="preserve"> Reproduce, en forma de hoja de comprobación, </w:t>
      </w:r>
      <w:r>
        <w:rPr>
          <w:rFonts w:ascii="Calibri" w:cs="Calibri" w:eastAsia="Calibri" w:hAnsi="Calibri"/>
          <w:b/>
          <w:bCs/>
          <w:sz w:val="21"/>
          <w:szCs w:val="21"/>
        </w:rPr>
        <w:t xml:space="preserve">las doce medidas del §M7.3 de la Parte IV</w:t>
      </w:r>
      <w:r>
        <w:rPr>
          <w:rFonts w:ascii="Calibri" w:cs="Calibri" w:eastAsia="Calibri" w:hAnsi="Calibri"/>
          <w:sz w:val="21"/>
          <w:szCs w:val="21"/>
        </w:rPr>
        <w:t xml:space="preserve">, que es donde se explican y se motivan. No hay dos listas de medidas: ésta es la operativa y aquélla la razonada. Se deja constancia de su estado en el expediente y en el informe específico del contrato, conforme al art. 70.1 LCSP.</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Medida (§M7.3)</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Estado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Constancia documental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Eliminación material de toda preferencia por una infraestructura, red, protocolo o producto concretos, y reformulación por capacidades funcionales, sin inciso que permita reintroducirla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Cláusulas DT-0·v3, DT-2·v3, DT-5·v3 y DT-7·v3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Prohibición expresa de puntuar la pertenencia a una red o infraestructura nominada y de configurarla como requisito o criterio de solvencia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ADM-7·v3; Anexo I; Anexo IV, aviso 10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Supresión de toda mención nominativa operativa en el articulado; las normas técnicas se citan al amparo del art. 126.5.b) LCSP con admisión de equivalentes y de las pruebas del art. 93.2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Barrido documental incorporado al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Supresión de toda puntuación de la tenencia previa: certificaciones, experiencia y disponibilidad presente de medios a fecha de licitación (art. 40.b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 Anexo IV, aviso 10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Abstención de los asesores externos intervinientes en mesas de contratación, comités de expertos y valoración de ofertas de los expedientes que apliquen el catálogo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Expediente de cada licitación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Publicación íntegra y anticipada del catálogo y de sus anexos, con antelación a cualquier licitación que los aplique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Perfil de contratante y portal de transparencia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Consulta preliminar del mercado publicada y abierta (art. 115 LCSP), con publicación del informe de conclusiones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XXII; Parte V, V.4.13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Autolimitación recomendada: abstención de licitar de asesores externos y entidades en que participen durante [X; se recomienda 12] meses desde la aprobación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Acuerdo del órgano de contratación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pese a lo anterior alguno concurriera: puesta a disposición de todos los licitadores de la información derivada de la participación previa, plazos suficientes y </w:t>
            </w:r>
            <w:r>
              <w:rPr>
                <w:rFonts w:ascii="Calibri" w:cs="Calibri" w:eastAsia="Calibri" w:hAnsi="Calibri"/>
                <w:b/>
                <w:bCs/>
                <w:sz w:val="18"/>
                <w:szCs w:val="18"/>
              </w:rPr>
              <w:t xml:space="preserve">audiencia previa a cualquier exclusión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Expediente de cada licitación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Trazabilidad de la autoría: constancia de quién propuso cada previsión referida a una tecnología en la que un interviniente tenga interés declarado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Emisión del informe jurídico y de la nota de fiscalización conociendo ya esta declaración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 de reutilización: toda administración que copie el catálogo repite la declaración con sus propios intervinientes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Expediente de la administración que lo reutilice</w:t>
            </w:r>
          </w:p>
        </w:tc>
      </w:tr>
      <w:tr>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(común)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Ampliación del plazo de presentación de ofertas cuando la exigencia tecnológica sea nueva en el mercado local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 Anexo X, parámetro 25</w:t>
            </w:r>
          </w:p>
        </w:tc>
      </w:tr>
      <w:tr>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(común)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Declaraciones de los modelos A y B firmadas y fechadas, incorporadas al expediente antes de la aprobación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Expediente</w:t>
            </w:r>
          </w:p>
        </w:tc>
      </w:tr>
    </w:tbl>
    <w:p>
      <w:pPr>
        <w:spacing w:after="200"/>
      </w:pPr>
    </w:p>
    <w:p>
      <w:pPr>
        <w:spacing w:after="140" w:line="276"/>
      </w:pPr>
      <w:r>
        <w:rPr>
          <w:rFonts w:ascii="Calibri" w:cs="Calibri" w:eastAsia="Calibri" w:hAnsi="Calibri"/>
          <w:b/>
          <w:bCs/>
          <w:sz w:val="21"/>
          <w:szCs w:val="21"/>
        </w:rPr>
        <w:t xml:space="preserve">Advertencia final del anexo.</w:t>
      </w:r>
      <w:r>
        <w:rPr>
          <w:rFonts w:ascii="Calibri" w:cs="Calibri" w:eastAsia="Calibri" w:hAnsi="Calibri"/>
          <w:sz w:val="21"/>
          <w:szCs w:val="21"/>
        </w:rPr>
        <w:t xml:space="preserve"> Estas declaraciones deben estar </w:t>
      </w:r>
      <w:r>
        <w:rPr>
          <w:rFonts w:ascii="Calibri" w:cs="Calibri" w:eastAsia="Calibri" w:hAnsi="Calibri"/>
          <w:b/>
          <w:bCs/>
          <w:sz w:val="21"/>
          <w:szCs w:val="21"/>
        </w:rPr>
        <w:t xml:space="preserve">firmadas por personas identificadas</w:t>
      </w:r>
      <w:r>
        <w:rPr>
          <w:rFonts w:ascii="Calibri" w:cs="Calibri" w:eastAsia="Calibri" w:hAnsi="Calibri"/>
          <w:sz w:val="21"/>
          <w:szCs w:val="21"/>
        </w:rPr>
        <w:t xml:space="preserve"> e incorporadas al expediente antes de la aprobación. Una declaración prometida en una memoria y no aportada no produce ningún efecto, salvo el de acreditar que se conocía la necesidad de hacerla. La regla vale también para este documento: los modelos A y B </w:t>
      </w:r>
      <w:r>
        <w:rPr>
          <w:rFonts w:ascii="Calibri" w:cs="Calibri" w:eastAsia="Calibri" w:hAnsi="Calibri"/>
          <w:b/>
          <w:bCs/>
          <w:sz w:val="21"/>
          <w:szCs w:val="21"/>
        </w:rPr>
        <w:t xml:space="preserve">de quienes lo firman</w:t>
      </w:r>
      <w:r>
        <w:rPr>
          <w:rFonts w:ascii="Calibri" w:cs="Calibri" w:eastAsia="Calibri" w:hAnsi="Calibri"/>
          <w:sz w:val="21"/>
          <w:szCs w:val="21"/>
        </w:rPr>
        <w:t xml:space="preserve"> se cumplimentan con nombre, empresas y relación concreta, se fechan y </w:t>
      </w:r>
      <w:r>
        <w:rPr>
          <w:rFonts w:ascii="Calibri" w:cs="Calibri" w:eastAsia="Calibri" w:hAnsi="Calibri"/>
          <w:b/>
          <w:bCs/>
          <w:sz w:val="21"/>
          <w:szCs w:val="21"/>
        </w:rPr>
        <w:t xml:space="preserve">se publican junto al catálogo</w:t>
      </w:r>
      <w:r>
        <w:rPr>
          <w:rFonts w:ascii="Calibri" w:cs="Calibri" w:eastAsia="Calibri" w:hAnsi="Calibri"/>
          <w:sz w:val="21"/>
          <w:szCs w:val="21"/>
        </w:rPr>
        <w:t xml:space="preserve">. Publicar el catálogo antes que las declaraciones invierte el orden que el propio apartado M7.1 de la Parte IV defiende.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X · TABLA CONSOLIDADA DE PARÁMETROS</w:t>
      </w:r>
    </w:p>
    <w:p>
      <w:pPr>
        <w:spacing w:after="140" w:line="276"/>
      </w:pPr>
      <w:r>
        <w:rPr>
          <w:rFonts w:ascii="Calibri" w:cs="Calibri" w:eastAsia="Calibri" w:hAnsi="Calibri"/>
          <w:sz w:val="21"/>
          <w:szCs w:val="21"/>
        </w:rPr>
        <w:t xml:space="preserve">Función: que nadie tenga que abrir una consulta para cada corchete de decisión económica, de calendario o de configuración del expediente. Todos ellos aparecen aquí </w:t>
      </w:r>
      <w:r>
        <w:rPr>
          <w:rFonts w:ascii="Calibri" w:cs="Calibri" w:eastAsia="Calibri" w:hAnsi="Calibri"/>
          <w:b/>
          <w:bCs/>
          <w:sz w:val="21"/>
          <w:szCs w:val="21"/>
        </w:rPr>
        <w:t xml:space="preserve">con valor recomendado por defecto</w:t>
      </w:r>
      <w:r>
        <w:rPr>
          <w:rFonts w:ascii="Calibri" w:cs="Calibri" w:eastAsia="Calibri" w:hAnsi="Calibri"/>
          <w:sz w:val="21"/>
          <w:szCs w:val="21"/>
        </w:rPr>
        <w:t xml:space="preserve">, con quién lo fija y con el caso en que debe moverse. </w:t>
      </w:r>
      <w:r>
        <w:rPr>
          <w:rFonts w:ascii="Calibri" w:cs="Calibri" w:eastAsia="Calibri" w:hAnsi="Calibri"/>
          <w:b/>
          <w:bCs/>
          <w:sz w:val="21"/>
          <w:szCs w:val="21"/>
        </w:rPr>
        <w:t xml:space="preserve">Lo que este anexo no consolida</w:t>
      </w:r>
      <w:r>
        <w:rPr>
          <w:rFonts w:ascii="Calibri" w:cs="Calibri" w:eastAsia="Calibri" w:hAnsi="Calibri"/>
          <w:sz w:val="21"/>
          <w:szCs w:val="21"/>
        </w:rPr>
        <w:t xml:space="preserve"> son los plazos y umbrales de trámite interno que cada cláusula administrativa fija dentro de su propio texto de pliego: su sede es la cláusula, y allí se consultan. El apartado X.1 cierra con la relación de cuáles son y dónde están. Un catálogo de decisiones sin valores por defecto es un catálogo de retrasos.</w:t>
      </w:r>
    </w:p>
    <w:p>
      <w:pPr>
        <w:spacing w:after="140" w:line="276"/>
      </w:pPr>
      <w:r>
        <w:rPr>
          <w:rFonts w:ascii="Calibri" w:cs="Calibri" w:eastAsia="Calibri" w:hAnsi="Calibri"/>
          <w:b/>
          <w:bCs/>
          <w:sz w:val="21"/>
          <w:szCs w:val="21"/>
        </w:rPr>
        <w:t xml:space="preserve">Regla de precedencia, que es la primera que hay que leer.</w:t>
      </w:r>
      <w:r>
        <w:rPr>
          <w:rFonts w:ascii="Calibri" w:cs="Calibri" w:eastAsia="Calibri" w:hAnsi="Calibri"/>
          <w:sz w:val="21"/>
          <w:szCs w:val="21"/>
        </w:rPr>
        <w:t xml:space="preserve"> Esta tabla </w:t>
      </w:r>
      <w:r>
        <w:rPr>
          <w:rFonts w:ascii="Calibri" w:cs="Calibri" w:eastAsia="Calibri" w:hAnsi="Calibri"/>
          <w:b/>
          <w:bCs/>
          <w:sz w:val="21"/>
          <w:szCs w:val="21"/>
        </w:rPr>
        <w:t xml:space="preserve">reproduce</w:t>
      </w:r>
      <w:r>
        <w:rPr>
          <w:rFonts w:ascii="Calibri" w:cs="Calibri" w:eastAsia="Calibri" w:hAnsi="Calibri"/>
          <w:sz w:val="21"/>
          <w:szCs w:val="21"/>
        </w:rPr>
        <w:t xml:space="preserve"> los valores que fijan las cláusulas; no los decide. Ante cualquier divergencia entre una fila de este anexo y el texto de la cláusula, </w:t>
      </w:r>
      <w:r>
        <w:rPr>
          <w:rFonts w:ascii="Calibri" w:cs="Calibri" w:eastAsia="Calibri" w:hAnsi="Calibri"/>
          <w:b/>
          <w:bCs/>
          <w:sz w:val="21"/>
          <w:szCs w:val="21"/>
        </w:rPr>
        <w:t xml:space="preserve">manda la cláusula</w:t>
      </w:r>
      <w:r>
        <w:rPr>
          <w:rFonts w:ascii="Calibri" w:cs="Calibri" w:eastAsia="Calibri" w:hAnsi="Calibri"/>
          <w:sz w:val="21"/>
          <w:szCs w:val="21"/>
        </w:rPr>
        <w:t xml:space="preserve">, y la fila se corrige.</w:t>
      </w:r>
    </w:p>
    <w:p>
      <w:pPr>
        <w:spacing w:after="140" w:line="276"/>
      </w:pPr>
      <w:r>
        <w:rPr>
          <w:rFonts w:ascii="Calibri" w:cs="Calibri" w:eastAsia="Calibri" w:hAnsi="Calibri"/>
          <w:b/>
          <w:bCs/>
          <w:sz w:val="21"/>
          <w:szCs w:val="21"/>
        </w:rPr>
        <w:t xml:space="preserve">Regla de uso:</w:t>
      </w:r>
      <w:r>
        <w:rPr>
          <w:rFonts w:ascii="Calibri" w:cs="Calibri" w:eastAsia="Calibri" w:hAnsi="Calibri"/>
          <w:sz w:val="21"/>
          <w:szCs w:val="21"/>
        </w:rPr>
        <w:t xml:space="preserve"> el valor por defecto se aplica salvo que concurra el supuesto de la última columna. Cuando se aparte de él, el expediente lo motiva en una línea. Cuando el parámetro afecte al precio, al valor estimado o a las penalidades, la motivación es obligatoria en todo caso.</w:t>
      </w:r>
    </w:p>
    <w:p>
      <w:pPr>
        <w:pStyle w:val="Heading3"/>
        <w:keepNext/>
        <w:spacing w:after="140" w:before="320"/>
      </w:pPr>
      <w:r>
        <w:rPr>
          <w:rFonts w:ascii="Georgia" w:cs="Georgia" w:eastAsia="Georgia" w:hAnsi="Georgia"/>
          <w:b/>
          <w:bCs/>
          <w:color w:val="2F5496"/>
          <w:sz w:val="22"/>
          <w:szCs w:val="22"/>
        </w:rPr>
        <w:t xml:space="preserve">X.1 Parámetros del articulado y del catálogo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Parámetro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Dónde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 lo fija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Valor recomendado por defecto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Cuándo moverlo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Categoría de seguridad del sistema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 la información y responsable del servicio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hay valor por defecto</w:t>
            </w:r>
            <w:r>
              <w:rPr>
                <w:rFonts w:ascii="Calibri" w:cs="Calibri" w:eastAsia="Calibri" w:hAnsi="Calibri"/>
                <w:b w:val="false"/>
                <w:bCs w:val="false"/>
                <w:sz w:val="18"/>
                <w:szCs w:val="18"/>
              </w:rPr>
              <w:t xml:space="preserve">: resulta del anexo I del RD 311/2022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Nunca se fija a priori. Escribir la categoría antes del análisis es el defecto que anula el pliego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de entrega de las exigencias del catálogo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ET-1, ET-2, ET-3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 a propuesta del servicio técnico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12 meses</w:t>
            </w:r>
            <w:r>
              <w:rPr>
                <w:rFonts w:ascii="Calibri" w:cs="Calibri" w:eastAsia="Calibri" w:hAnsi="Calibri"/>
                <w:b w:val="false"/>
                <w:bCs w:val="false"/>
                <w:sz w:val="18"/>
                <w:szCs w:val="18"/>
              </w:rPr>
              <w:t xml:space="preserve"> desde la formalización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Bajar a 6 sólo si el contraste de mercado acredita que varios operadores ya lo ofrecen. </w:t>
            </w:r>
            <w:r>
              <w:rPr>
                <w:rFonts w:ascii="Calibri" w:cs="Calibri" w:eastAsia="Calibri" w:hAnsi="Calibri"/>
                <w:b/>
                <w:bCs/>
                <w:sz w:val="18"/>
                <w:szCs w:val="18"/>
              </w:rPr>
              <w:t xml:space="preserve">Nunca más de 18 meses ni más que la duración inicial del contrato</w:t>
            </w:r>
            <w:r>
              <w:rPr>
                <w:rFonts w:ascii="Calibri" w:cs="Calibri" w:eastAsia="Calibri" w:hAnsi="Calibri"/>
                <w:b w:val="false"/>
                <w:bCs w:val="false"/>
                <w:sz w:val="18"/>
                <w:szCs w:val="18"/>
              </w:rPr>
              <w:t xml:space="preserve">: más allá, la obligación se agota fuera de la vigencia útil del contrato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de comunicación de una versión sucesora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ADM-2·v3, ADM-10·v3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técnico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30 días naturales</w:t>
            </w:r>
            <w:r>
              <w:rPr>
                <w:rFonts w:ascii="Calibri" w:cs="Calibri" w:eastAsia="Calibri" w:hAnsi="Calibri"/>
                <w:b w:val="false"/>
                <w:bCs w:val="false"/>
                <w:sz w:val="18"/>
                <w:szCs w:val="18"/>
              </w:rPr>
              <w:t xml:space="preserve"> desde su disponibilidad general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60 días en soluciones con ciclos de publicación largos y despliegue por oleadas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Conservación de los registros de la interfaz</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DT-7·v3.3.c) y ET-1 criterio 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Delegado de protección de datos y responsable de seguridad</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24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Reducible a 12 </w:t>
            </w:r>
            <w:r>
              <w:rPr>
                <w:rFonts w:ascii="Calibri" w:cs="Calibri" w:eastAsia="Calibri" w:hAnsi="Calibri"/>
                <w:b/>
                <w:bCs/>
                <w:sz w:val="18"/>
                <w:szCs w:val="18"/>
              </w:rPr>
              <w:t xml:space="preserve">sólo</w:t>
            </w:r>
            <w:r>
              <w:rPr>
                <w:rFonts w:ascii="Calibri" w:cs="Calibri" w:eastAsia="Calibri" w:hAnsi="Calibri"/>
                <w:b w:val="false"/>
                <w:bCs w:val="false"/>
                <w:sz w:val="18"/>
                <w:szCs w:val="18"/>
              </w:rPr>
              <w:t xml:space="preserve"> cuando el sistema no sostenga funciones de control interno ni actos susceptibles de impugnación. El valor de la cláusula técnica y el del criterio de aceptación deben ser el mismo (Anexo V, regla V.A.1.7)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Periodicidad de la exportación del registro con resumen criptográfico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ET-3 criterio 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Diaria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Semanal si el volumen lo justifica y el análisis de riesgos lo admite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Tiempo máximo de efecto de la suspensión de agentes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ET-2 criterio 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 minutos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Hasta 60 minutos en soluciones con procesamiento por lotes. Nunca «a la mayor brevedad»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Accesos de control incluidos en el precio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control interno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Más en entidades con mayor plantilla de control. </w:t>
            </w:r>
            <w:r>
              <w:rPr>
                <w:rFonts w:ascii="Calibri" w:cs="Calibri" w:eastAsia="Calibri" w:hAnsi="Calibri"/>
                <w:b/>
                <w:bCs/>
                <w:sz w:val="18"/>
                <w:szCs w:val="18"/>
              </w:rPr>
              <w:t xml:space="preserve">Nunca 0</w:t>
            </w:r>
            <w:r>
              <w:rPr>
                <w:rFonts w:ascii="Calibri" w:cs="Calibri" w:eastAsia="Calibri" w:hAnsi="Calibri"/>
                <w:b w:val="false"/>
                <w:bCs w:val="false"/>
                <w:sz w:val="18"/>
                <w:szCs w:val="18"/>
              </w:rPr>
              <w:t xml:space="preserve">: sin número, la discusión vuelve al modelo de licenciamiento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Permanencia del acceso de control tras la extinción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control interno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3 meses</w:t>
            </w:r>
            <w:r>
              <w:rPr>
                <w:rFonts w:ascii="Calibri" w:cs="Calibri" w:eastAsia="Calibri" w:hAnsi="Calibri"/>
                <w:b w:val="false"/>
                <w:bCs w:val="false"/>
                <w:sz w:val="18"/>
                <w:szCs w:val="18"/>
              </w:rPr>
              <w:t xml:space="preserve"> desde la extinción o hasta la fecha del </w:t>
            </w:r>
            <w:r>
              <w:rPr>
                <w:rFonts w:ascii="Calibri" w:cs="Calibri" w:eastAsia="Calibri" w:hAnsi="Calibri"/>
                <w:b/>
                <w:bCs/>
                <w:sz w:val="18"/>
                <w:szCs w:val="18"/>
              </w:rPr>
              <w:t xml:space="preserve">acta de reversión</w:t>
            </w:r>
            <w:r>
              <w:rPr>
                <w:rFonts w:ascii="Calibri" w:cs="Calibri" w:eastAsia="Calibri" w:hAnsi="Calibri"/>
                <w:b w:val="false"/>
                <w:bCs w:val="false"/>
                <w:sz w:val="18"/>
                <w:szCs w:val="18"/>
              </w:rPr>
              <w:t xml:space="preserve"> de DT-8·v3, apartado 8, o el vencimiento del plazo previsto para levantarla, lo que ocurra después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de entrega del Plan de Reversibilidad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3 meses</w:t>
            </w:r>
            <w:r>
              <w:rPr>
                <w:rFonts w:ascii="Calibri" w:cs="Calibri" w:eastAsia="Calibri" w:hAnsi="Calibri"/>
                <w:b w:val="false"/>
                <w:bCs w:val="false"/>
                <w:sz w:val="18"/>
                <w:szCs w:val="18"/>
              </w:rPr>
              <w:t xml:space="preserve"> desde la formalización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de entrega del Inventario de Componentes y periodicidad de actualización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30 días</w:t>
            </w:r>
            <w:r>
              <w:rPr>
                <w:rFonts w:ascii="Calibri" w:cs="Calibri" w:eastAsia="Calibri" w:hAnsi="Calibri"/>
                <w:b w:val="false"/>
                <w:bCs w:val="false"/>
                <w:sz w:val="18"/>
                <w:szCs w:val="18"/>
              </w:rPr>
              <w:t xml:space="preserve"> desde la formalización y, después, </w:t>
            </w:r>
            <w:r>
              <w:rPr>
                <w:rFonts w:ascii="Calibri" w:cs="Calibri" w:eastAsia="Calibri" w:hAnsi="Calibri"/>
                <w:b/>
                <w:bCs/>
                <w:sz w:val="18"/>
                <w:szCs w:val="18"/>
              </w:rPr>
              <w:t xml:space="preserve">con cada versión puesta en producción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se sustituye por una periodicidad fija: la actualización se anuda a la puesta en producción, que es el hecho que altera el inventario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Periodicidad del ensayo real de reversibilidad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Cada 24 meses</w:t>
            </w:r>
            <w:r>
              <w:rPr>
                <w:rFonts w:ascii="Calibri" w:cs="Calibri" w:eastAsia="Calibri" w:hAnsi="Calibri"/>
                <w:b w:val="false"/>
                <w:bCs w:val="false"/>
                <w:sz w:val="18"/>
                <w:szCs w:val="18"/>
              </w:rPr>
              <w:t xml:space="preserve">, y en todo caso durante el último año de vigencia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Cada 12 meses en sistemas de categoría ALTA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Licencia de uso transitoria del producto base durante la reversión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6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Ampliar sólo si el coste se computa en el presupuesto base de licitación y el plazo se recoge en DT-8·v3.5 y en la definición de la Parte I, §5.2.d). No caben prórrogas que el texto de pliego no prevea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de subsanación previo a la calificación del incumplimiento como esencial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 mes</w:t>
            </w:r>
            <w:r>
              <w:rPr>
                <w:rFonts w:ascii="Calibri" w:cs="Calibri" w:eastAsia="Calibri" w:hAnsi="Calibri"/>
                <w:b w:val="false"/>
                <w:bCs w:val="false"/>
                <w:sz w:val="18"/>
                <w:szCs w:val="18"/>
              </w:rPr>
              <w:t xml:space="preserve"> desde el requerimiento fehaciente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Ampliable por causa acreditada no imputable al contratista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Penalidad por retraso en una exigencia del catálogo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ADM-5·v3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Los tramos de ADM-5·v3, apartado 2, literalmente</w:t>
            </w:r>
            <w:r>
              <w:rPr>
                <w:rFonts w:ascii="Calibri" w:cs="Calibri" w:eastAsia="Calibri" w:hAnsi="Calibri"/>
                <w:b w:val="false"/>
                <w:bCs w:val="false"/>
                <w:sz w:val="18"/>
                <w:szCs w:val="18"/>
              </w:rPr>
              <w:t xml:space="preserve">: leve, hasta el 0,5 % del </w:t>
            </w:r>
            <w:r>
              <w:rPr>
                <w:rFonts w:ascii="Calibri" w:cs="Calibri" w:eastAsia="Calibri" w:hAnsi="Calibri"/>
                <w:b/>
                <w:bCs/>
                <w:sz w:val="18"/>
                <w:szCs w:val="18"/>
              </w:rPr>
              <w:t xml:space="preserve">precio anual</w:t>
            </w:r>
            <w:r>
              <w:rPr>
                <w:rFonts w:ascii="Calibri" w:cs="Calibri" w:eastAsia="Calibri" w:hAnsi="Calibri"/>
                <w:b w:val="false"/>
                <w:bCs w:val="false"/>
                <w:sz w:val="18"/>
                <w:szCs w:val="18"/>
              </w:rPr>
              <w:t xml:space="preserve">; grave, del 0,5 al 3 % del </w:t>
            </w:r>
            <w:r>
              <w:rPr>
                <w:rFonts w:ascii="Calibri" w:cs="Calibri" w:eastAsia="Calibri" w:hAnsi="Calibri"/>
                <w:b/>
                <w:bCs/>
                <w:sz w:val="18"/>
                <w:szCs w:val="18"/>
              </w:rPr>
              <w:t xml:space="preserve">precio anual</w:t>
            </w:r>
            <w:r>
              <w:rPr>
                <w:rFonts w:ascii="Calibri" w:cs="Calibri" w:eastAsia="Calibri" w:hAnsi="Calibri"/>
                <w:b w:val="false"/>
                <w:bCs w:val="false"/>
                <w:sz w:val="18"/>
                <w:szCs w:val="18"/>
              </w:rPr>
              <w:t xml:space="preserve">; muy grave, del 3 al 6 % del </w:t>
            </w:r>
            <w:r>
              <w:rPr>
                <w:rFonts w:ascii="Calibri" w:cs="Calibri" w:eastAsia="Calibri" w:hAnsi="Calibri"/>
                <w:b/>
                <w:bCs/>
                <w:sz w:val="18"/>
                <w:szCs w:val="18"/>
              </w:rPr>
              <w:t xml:space="preserve">precio del contrato</w:t>
            </w:r>
            <w:r>
              <w:rPr>
                <w:rFonts w:ascii="Calibri" w:cs="Calibri" w:eastAsia="Calibri" w:hAnsi="Calibri"/>
                <w:b w:val="false"/>
                <w:bCs w:val="false"/>
                <w:sz w:val="18"/>
                <w:szCs w:val="18"/>
              </w:rPr>
              <w:t xml:space="preserve">. El tramo grave se aplica por cada mes o fracción de retraso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se recalibra aquí: la base de cálculo y la unidad las fija ADM-5·v3. Límites legales infranqueables: cada penalidad no puede superar el 10 % del precio y el conjunto el 50 %, IVA excluido (art. 192.1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Duración máxima de la demostración funcional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ADM-9·v3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90 minutos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Hasta 120 en objetos con más de cinco tareas en el guion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Peso del bloque de IA y tecnología en el baremo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25 % del total del PCAP recomendado; 40 % límite absoluto, no superable en ningún caso</w:t>
            </w:r>
            <w:r>
              <w:rPr>
                <w:rFonts w:ascii="Calibri" w:cs="Calibri" w:eastAsia="Calibri" w:hAnsi="Calibri"/>
                <w:b w:val="false"/>
                <w:bCs w:val="false"/>
                <w:sz w:val="18"/>
                <w:szCs w:val="18"/>
              </w:rPr>
              <w:t xml:space="preserve"> (ADM-7·v3.1.4.a)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Bajar a 15 % cuando el componente tecnológico sea accesorio. Entre el 25 % y el 40 %, motivación expresa en la memoria de criterios. Por encima del 40 %, no cabe motivación: el baremo es inválido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Peso del criterio de precio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40 %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Ajustable, con el límite del 51 % de criterios cualitativos en prestaciones de carácter intelectual (art. 145.4)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Suelo del plazo puntuable de entrega de la interfaz</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ADM-7·v3 criterio 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técnico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6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Evita que la puntuación premie plazos que nadie puede cumplir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Bolsa de servicios evolutivos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ADM-3·v3, bloque 2, apartado 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 previo informe de Intervención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5 % del presupuesto base de licitación de la duración inicial, sin IVA</w:t>
            </w:r>
            <w:r>
              <w:rPr>
                <w:rFonts w:ascii="Calibri" w:cs="Calibri" w:eastAsia="Calibri" w:hAnsi="Calibri"/>
                <w:b w:val="false"/>
                <w:bCs w:val="false"/>
                <w:sz w:val="18"/>
                <w:szCs w:val="18"/>
              </w:rPr>
              <w:t xml:space="preserve">, en horas del Cuadro de Precios Unitarios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Nunca superior al 10 % de esa misma base. Sólo en contratos de desarrollo o mantenimiento de aplicaciones (art. 308.3 LCSP). Si el contrato prevé prórrogas, el pliego dice </w:t>
            </w:r>
            <w:r>
              <w:rPr>
                <w:rFonts w:ascii="Calibri" w:cs="Calibri" w:eastAsia="Calibri" w:hAnsi="Calibri"/>
                <w:b/>
                <w:bCs/>
                <w:sz w:val="18"/>
                <w:szCs w:val="18"/>
              </w:rPr>
              <w:t xml:space="preserve">expresamente</w:t>
            </w:r>
            <w:r>
              <w:rPr>
                <w:rFonts w:ascii="Calibri" w:cs="Calibri" w:eastAsia="Calibri" w:hAnsi="Calibri"/>
                <w:b w:val="false"/>
                <w:bCs w:val="false"/>
                <w:sz w:val="18"/>
                <w:szCs w:val="18"/>
              </w:rPr>
              <w:t xml:space="preserve"> si la bolsa se dota también para cada anualidad prorrogada y por qué importe. Está </w:t>
            </w:r>
            <w:r>
              <w:rPr>
                <w:rFonts w:ascii="Calibri" w:cs="Calibri" w:eastAsia="Calibri" w:hAnsi="Calibri"/>
                <w:b/>
                <w:bCs/>
                <w:sz w:val="18"/>
                <w:szCs w:val="18"/>
              </w:rPr>
              <w:t xml:space="preserve">dentro</w:t>
            </w:r>
            <w:r>
              <w:rPr>
                <w:rFonts w:ascii="Calibri" w:cs="Calibri" w:eastAsia="Calibri" w:hAnsi="Calibri"/>
                <w:b w:val="false"/>
                <w:bCs w:val="false"/>
                <w:sz w:val="18"/>
                <w:szCs w:val="18"/>
              </w:rPr>
              <w:t xml:space="preserve"> del presupuesto base de licitación y, con él, en el valor estimado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Porcentaje de la modificación prevista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 previo informe de Intervención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0 %: por defecto no se incorpora.</w:t>
            </w:r>
            <w:r>
              <w:rPr>
                <w:rFonts w:ascii="Calibri" w:cs="Calibri" w:eastAsia="Calibri" w:hAnsi="Calibri"/>
                <w:b w:val="false"/>
                <w:bCs w:val="false"/>
                <w:sz w:val="18"/>
                <w:szCs w:val="18"/>
              </w:rPr>
              <w:t xml:space="preserve"> Si se incorpora: «[X, en ningún caso superior al VEINTE] por ciento», con recomendación de </w:t>
            </w:r>
            <w:r>
              <w:rPr>
                <w:rFonts w:ascii="Calibri" w:cs="Calibri" w:eastAsia="Calibri" w:hAnsi="Calibri"/>
                <w:b/>
                <w:bCs/>
                <w:sz w:val="18"/>
                <w:szCs w:val="18"/>
              </w:rPr>
              <w:t xml:space="preserve">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cuando el catálogo no cubra necesidades identificadas, exista Cuadro de Precios Unitarios y el valor estimado resultante no cruce un umbral sin que el expediente lo asuma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Umbral de activación del depósito de código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Las cuatro circunstancias del apartado 1 de ADM-11·v3, de concurrencia acumulativa</w:t>
            </w:r>
            <w:r>
              <w:rPr>
                <w:rFonts w:ascii="Calibri" w:cs="Calibri" w:eastAsia="Calibri" w:hAnsi="Calibri"/>
                <w:b w:val="false"/>
                <w:bCs w:val="false"/>
                <w:sz w:val="18"/>
                <w:szCs w:val="18"/>
              </w:rPr>
              <w:t xml:space="preserve">: (a) categoría ALTA en la dimensión de </w:t>
            </w:r>
            <w:r>
              <w:rPr>
                <w:rFonts w:ascii="Calibri" w:cs="Calibri" w:eastAsia="Calibri" w:hAnsi="Calibri"/>
                <w:b/>
                <w:bCs/>
                <w:sz w:val="18"/>
                <w:szCs w:val="18"/>
              </w:rPr>
              <w:t xml:space="preserve">disponibilidad</w:t>
            </w:r>
            <w:r>
              <w:rPr>
                <w:rFonts w:ascii="Calibri" w:cs="Calibri" w:eastAsia="Calibri" w:hAnsi="Calibri"/>
                <w:b w:val="false"/>
                <w:bCs w:val="false"/>
                <w:sz w:val="18"/>
                <w:szCs w:val="18"/>
              </w:rPr>
              <w:t xml:space="preserve">; (b) valor estimado superior a </w:t>
            </w:r>
            <w:r>
              <w:rPr>
                <w:rFonts w:ascii="Calibri" w:cs="Calibri" w:eastAsia="Calibri" w:hAnsi="Calibri"/>
                <w:b/>
                <w:bCs/>
                <w:sz w:val="18"/>
                <w:szCs w:val="18"/>
              </w:rPr>
              <w:t xml:space="preserve">300.000 €</w:t>
            </w:r>
            <w:r>
              <w:rPr>
                <w:rFonts w:ascii="Calibri" w:cs="Calibri" w:eastAsia="Calibri" w:hAnsi="Calibri"/>
                <w:b w:val="false"/>
                <w:bCs w:val="false"/>
                <w:sz w:val="18"/>
                <w:szCs w:val="18"/>
              </w:rPr>
              <w:t xml:space="preserve">; (c) servicio de la lista tasada (padrón, tributos, recaudación, contabilidad, gestión de expedientes, sede); y (d) estudio de mercado que acredite que no hay alternativa sustituible en menos de 6 meses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En defecto de cualquiera de ellas, la cláusula se marca NO APLICA.</w:t>
            </w:r>
            <w:r>
              <w:rPr>
                <w:rFonts w:ascii="Calibri" w:cs="Calibri" w:eastAsia="Calibri" w:hAnsi="Calibri"/>
                <w:b w:val="false"/>
                <w:bCs w:val="false"/>
                <w:sz w:val="18"/>
                <w:szCs w:val="18"/>
              </w:rPr>
              <w:t xml:space="preserve"> No son vías alternativas. Rebajar el umbral económico exige motivación en la memoria: el depósito tiene coste y va al presupuesto base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Umbral de aplicación de la demostración funcional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ADM-9·v3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Valor estimado igual o superior a </w:t>
            </w:r>
            <w:r>
              <w:rPr>
                <w:rFonts w:ascii="Calibri" w:cs="Calibri" w:eastAsia="Calibri" w:hAnsi="Calibri"/>
                <w:b/>
                <w:bCs/>
                <w:sz w:val="18"/>
                <w:szCs w:val="18"/>
              </w:rPr>
              <w:t xml:space="preserve">200.000 €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cabe en el procedimiento abreviado y sólo cabe en el simplificado dentro de los topes de juicio de valor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Periodicidad de la Comisión de seguimiento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Semestral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 en contratos de menor cuantía; trimestral el primer año tras una implantación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Número mínimo de operadores que deben poder cumplir una exigencia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V, contraste de mercado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técnico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el contraste arroja menos de 3, la exigencia </w:t>
            </w:r>
            <w:r>
              <w:rPr>
                <w:rFonts w:ascii="Calibri" w:cs="Calibri" w:eastAsia="Calibri" w:hAnsi="Calibri"/>
                <w:b/>
                <w:bCs/>
                <w:sz w:val="18"/>
                <w:szCs w:val="18"/>
              </w:rPr>
              <w:t xml:space="preserve">no se incorpora</w:t>
            </w:r>
            <w:r>
              <w:rPr>
                <w:rFonts w:ascii="Calibri" w:cs="Calibri" w:eastAsia="Calibri" w:hAnsi="Calibri"/>
                <w:b w:val="false"/>
                <w:bCs w:val="false"/>
                <w:sz w:val="18"/>
                <w:szCs w:val="18"/>
              </w:rPr>
              <w:t xml:space="preserve"> ese ejercicio: se aplaza al siguiente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Ampliación del plazo de presentación de ofertas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 días naturales</w:t>
            </w:r>
            <w:r>
              <w:rPr>
                <w:rFonts w:ascii="Calibri" w:cs="Calibri" w:eastAsia="Calibri" w:hAnsi="Calibri"/>
                <w:b w:val="false"/>
                <w:bCs w:val="false"/>
                <w:sz w:val="18"/>
                <w:szCs w:val="18"/>
              </w:rPr>
              <w:t xml:space="preserve"> sobre el mínimo legal cuando el pliego incorpore por primera vez una exigencia del catálogo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de obtención de la certificación de gobernanza de 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12 meses</w:t>
            </w:r>
            <w:r>
              <w:rPr>
                <w:rFonts w:ascii="Calibri" w:cs="Calibri" w:eastAsia="Calibri" w:hAnsi="Calibri"/>
                <w:b w:val="false"/>
                <w:bCs w:val="false"/>
                <w:sz w:val="18"/>
                <w:szCs w:val="18"/>
              </w:rPr>
              <w:t xml:space="preserve"> desde la formalización, con medidas equivalentes documentadas entretanto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Variante de la tercera condición de equivalencia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DT-0·v3.3.c)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Variante abierta</w:t>
            </w:r>
            <w:r>
              <w:rPr>
                <w:rFonts w:ascii="Calibri" w:cs="Calibri" w:eastAsia="Calibri" w:hAnsi="Calibri"/>
                <w:b w:val="false"/>
                <w:bCs w:val="false"/>
                <w:sz w:val="18"/>
                <w:szCs w:val="18"/>
              </w:rPr>
              <w:t xml:space="preserve"> (la del texto de la cláusula)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a la variante de continuidad cuando el objeto sea la continuidad o ampliación de un sistema ya implantado y la memoria lo justifique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Preaviso de cambio de clasificación de riesgo del sistema de 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30 días naturales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15 en contratos con despliegue muy dinámico; nunca por debajo de 10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Conservación de los archivos de registro del sistema de 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DT-1·v3.6.c)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Delegado de protección de datos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12 meses</w:t>
            </w:r>
            <w:r>
              <w:rPr>
                <w:rFonts w:ascii="Calibri" w:cs="Calibri" w:eastAsia="Calibri" w:hAnsi="Calibri"/>
                <w:b w:val="false"/>
                <w:bCs w:val="false"/>
                <w:sz w:val="18"/>
                <w:szCs w:val="18"/>
              </w:rPr>
              <w:t xml:space="preserve"> (mínimo 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Elevar a 24 cuando el sistema soporte procedimientos con plazos de impugnación largos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Respuesta del punto de contacto ante incidente 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DT-1·v3.6.e)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24 horas hábiles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4 horas en servicios de disponibilidad crítica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Umbral de conservación prolongada que activa DT-3·v3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DT-3·v3.1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 seguridad</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 años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3 en información de categorías especiales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Periodicidad del inventario criptográfico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DT-3·v3.3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Semestral en categoría ENS ALTA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de entrega del plan de transición criptográfica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DT-3·v3.4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6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Ampliar a 12 en soluciones con muchos componentes de terceros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Número mínimo de procesos automatizados de la lista cerrada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DT-4·v3.2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Gestor</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1 en contratos de menor cuantía; elevar sólo con volumen acreditado en el apéndice técnico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de automatización de esos procesos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DT-4·v3.2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Gestor</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6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Ampliar a 12 cuando la automatización dependa de integraciones con terceros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Periodicidad de los indicadores de automatización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DT-4·v3.4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Gestor</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Trimestral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Semestral en contratos de bajo volumen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de entrega de la documentación de interfaces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DT-5·v3.3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30 días naturales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Ampliar a 60 sólo con justificación técnica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para obtener la acreditación de conformidad con el ENS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 seguridad</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6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Ampliar a 12 sólo si el mercado lo justifica y consta en la memoria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Plazos de subsanación de vulnerabilidades por severidad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 seguridad</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Crítica 15 / alta 30 / media 90 días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en categoría ALTA; nunca ampliar sin motivación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Comunicación de vulnerabilidad crítica o alta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 seguridad</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48 horas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24 en categoría ALTA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Periodicidad de la prueba de continuidad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Semestral en categoría ALTA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Preaviso de auditoría al contratista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 seguridad</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15 días hábiles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5 en contratos de alta criticidad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Antelación con que debe estar disponible el entorno de pruebas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DT-7·v3.3.e)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60 días naturales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30 en módulos de baja complejidad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Inicio del período de reversión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3 meses antes de la finalización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Ampliar a 6 en soluciones con migración compleja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máximo de entrega tras la finalización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30 días naturales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ampliar: es lo que hace cierto el día inicial del plazo de garantía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para levantar el acta de reversión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15 días hábiles</w:t>
            </w:r>
            <w:r>
              <w:rPr>
                <w:rFonts w:ascii="Calibri" w:cs="Calibri" w:eastAsia="Calibri" w:hAnsi="Calibri"/>
                <w:b w:val="false"/>
                <w:bCs w:val="false"/>
                <w:sz w:val="18"/>
                <w:szCs w:val="18"/>
              </w:rPr>
              <w:t xml:space="preserve">, con silencio a favor del contratista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ampliar: cuanto más largo, más se retrasa el día inicial de la garantía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de garantía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12 meses</w:t>
            </w:r>
            <w:r>
              <w:rPr>
                <w:rFonts w:ascii="Calibri" w:cs="Calibri" w:eastAsia="Calibri" w:hAnsi="Calibri"/>
                <w:b w:val="false"/>
                <w:bCs w:val="false"/>
                <w:sz w:val="18"/>
                <w:szCs w:val="18"/>
              </w:rPr>
              <w:t xml:space="preserve"> desde el acta de reversión o desde el vencimiento del plazo para levantarla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Ajustar al que el PCAP fije con carácter general para el tipo de contrato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Plazos de subsanación citados en los cuadros de penalidades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ADM-5·v3 y cláusulas DT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15 o 30 días</w:t>
            </w:r>
            <w:r>
              <w:rPr>
                <w:rFonts w:ascii="Calibri" w:cs="Calibri" w:eastAsia="Calibri" w:hAnsi="Calibri"/>
                <w:b w:val="false"/>
                <w:bCs w:val="false"/>
                <w:sz w:val="18"/>
                <w:szCs w:val="18"/>
              </w:rPr>
              <w:t xml:space="preserve">, según el hecho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Alinear con los del PCAP: no dejar dos plazos distintos para el mismo hecho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Umbrales de cantidad del criterio C1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ADM-7·v3 criterio C1; Apéndice técnico 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técnico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Cmín = 0 requisitos valorables; Ctecho = número total de requisitos del bloque B del Apéndice técnico 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el bloque B queda vacío, se suprime C1 y se recompone el baremo antes de publicar. Ctecho nunca puede superar el número de filas publicadas en ese bloque</w:t>
            </w:r>
          </w:p>
        </w:tc>
      </w:tr>
    </w:tbl>
    <w:p>
      <w:pPr>
        <w:spacing w:after="200"/>
      </w:pPr>
    </w:p>
    <w:p>
      <w:pPr>
        <w:spacing w:after="140" w:line="276"/>
      </w:pPr>
      <w:r>
        <w:rPr>
          <w:rFonts w:ascii="Calibri" w:cs="Calibri" w:eastAsia="Calibri" w:hAnsi="Calibri"/>
          <w:b/>
          <w:bCs/>
          <w:sz w:val="21"/>
          <w:szCs w:val="21"/>
        </w:rPr>
        <w:t xml:space="preserve">Qué no está aquí, y dónde está.</w:t>
      </w:r>
      <w:r>
        <w:rPr>
          <w:rFonts w:ascii="Calibri" w:cs="Calibri" w:eastAsia="Calibri" w:hAnsi="Calibri"/>
          <w:sz w:val="21"/>
          <w:szCs w:val="21"/>
        </w:rPr>
        <w:t xml:space="preserve"> Los plazos y umbrales de trámite interno de las cláusulas administrativas no se consolidan en esta tabla: </w:t>
      </w:r>
      <w:r>
        <w:rPr>
          <w:rFonts w:ascii="Calibri" w:cs="Calibri" w:eastAsia="Calibri" w:hAnsi="Calibri"/>
          <w:b/>
          <w:bCs/>
          <w:sz w:val="21"/>
          <w:szCs w:val="21"/>
        </w:rPr>
        <w:t xml:space="preserve">su sede es el texto de pliego de la cláusula que los fija</w:t>
      </w:r>
      <w:r>
        <w:rPr>
          <w:rFonts w:ascii="Calibri" w:cs="Calibri" w:eastAsia="Calibri" w:hAnsi="Calibri"/>
          <w:sz w:val="21"/>
          <w:szCs w:val="21"/>
        </w:rPr>
        <w:t xml:space="preserve">, con su valor recomendado, y allí se consultan y se mueven. Son cuatro, y ésta es la relación completa: </w:t>
      </w:r>
      <w:r>
        <w:rPr>
          <w:rFonts w:ascii="Calibri" w:cs="Calibri" w:eastAsia="Calibri" w:hAnsi="Calibri"/>
          <w:b/>
          <w:bCs/>
          <w:sz w:val="21"/>
          <w:szCs w:val="21"/>
        </w:rPr>
        <w:t xml:space="preserve">audiencia previa a la imposición de una penalidad</w:t>
      </w:r>
      <w:r>
        <w:rPr>
          <w:rFonts w:ascii="Calibri" w:cs="Calibri" w:eastAsia="Calibri" w:hAnsi="Calibri"/>
          <w:sz w:val="21"/>
          <w:szCs w:val="21"/>
        </w:rPr>
        <w:t xml:space="preserve">, ADM-5·v3, apartado 4; </w:t>
      </w:r>
      <w:r>
        <w:rPr>
          <w:rFonts w:ascii="Calibri" w:cs="Calibri" w:eastAsia="Calibri" w:hAnsi="Calibri"/>
          <w:b/>
          <w:bCs/>
          <w:sz w:val="21"/>
          <w:szCs w:val="21"/>
        </w:rPr>
        <w:t xml:space="preserve">umbral de penalidades acumuladas que obliga a valorar expresamente la resolución</w:t>
      </w:r>
      <w:r>
        <w:rPr>
          <w:rFonts w:ascii="Calibri" w:cs="Calibri" w:eastAsia="Calibri" w:hAnsi="Calibri"/>
          <w:sz w:val="21"/>
          <w:szCs w:val="21"/>
        </w:rPr>
        <w:t xml:space="preserve">, ADM-5·v3, apartado 5; </w:t>
      </w:r>
      <w:r>
        <w:rPr>
          <w:rFonts w:ascii="Calibri" w:cs="Calibri" w:eastAsia="Calibri" w:hAnsi="Calibri"/>
          <w:b/>
          <w:bCs/>
          <w:sz w:val="21"/>
          <w:szCs w:val="21"/>
        </w:rPr>
        <w:t xml:space="preserve">audiencia previa a la liberación del depósito de código</w:t>
      </w:r>
      <w:r>
        <w:rPr>
          <w:rFonts w:ascii="Calibri" w:cs="Calibri" w:eastAsia="Calibri" w:hAnsi="Calibri"/>
          <w:sz w:val="21"/>
          <w:szCs w:val="21"/>
        </w:rPr>
        <w:t xml:space="preserve">, ADM-11·v3, apartado 6; y </w:t>
      </w:r>
      <w:r>
        <w:rPr>
          <w:rFonts w:ascii="Calibri" w:cs="Calibri" w:eastAsia="Calibri" w:hAnsi="Calibri"/>
          <w:b/>
          <w:bCs/>
          <w:sz w:val="21"/>
          <w:szCs w:val="21"/>
        </w:rPr>
        <w:t xml:space="preserve">umbrales de duración y de valor estimado por debajo de los cuales no se constituye la Comisión de Seguimiento</w:t>
      </w:r>
      <w:r>
        <w:rPr>
          <w:rFonts w:ascii="Calibri" w:cs="Calibri" w:eastAsia="Calibri" w:hAnsi="Calibri"/>
          <w:sz w:val="21"/>
          <w:szCs w:val="21"/>
        </w:rPr>
        <w:t xml:space="preserve">, ADM-4·v3, epígrafe 7. No se duplican aquí a propósito: dos redacciones del mismo plazo es el defecto que la regla de precedencia de este anexo existe para evitar. Cuando un plazo de trámite </w:t>
      </w:r>
      <w:r>
        <w:rPr>
          <w:rFonts w:ascii="Calibri" w:cs="Calibri" w:eastAsia="Calibri" w:hAnsi="Calibri"/>
          <w:b/>
          <w:bCs/>
          <w:sz w:val="21"/>
          <w:szCs w:val="21"/>
        </w:rPr>
        <w:t xml:space="preserve">sí</w:t>
      </w:r>
      <w:r>
        <w:rPr>
          <w:rFonts w:ascii="Calibri" w:cs="Calibri" w:eastAsia="Calibri" w:hAnsi="Calibri"/>
          <w:sz w:val="21"/>
          <w:szCs w:val="21"/>
        </w:rPr>
        <w:t xml:space="preserve"> figura en la tabla anterior —el mes de subsanación previo a la calificación del incumplimiento como esencial, fila 13—, la tabla lo reproduce y no lo decide: manda la cláusula.</w:t>
      </w:r>
    </w:p>
    <w:p>
      <w:pPr>
        <w:pStyle w:val="Heading3"/>
        <w:keepNext/>
        <w:spacing w:after="140" w:before="320"/>
      </w:pPr>
      <w:r>
        <w:rPr>
          <w:rFonts w:ascii="Georgia" w:cs="Georgia" w:eastAsia="Georgia" w:hAnsi="Georgia"/>
          <w:b/>
          <w:bCs/>
          <w:color w:val="2F5496"/>
          <w:sz w:val="22"/>
          <w:szCs w:val="22"/>
        </w:rPr>
        <w:t xml:space="preserve">X.2 Umbrales y límites legales</w:t>
      </w:r>
    </w:p>
    <w:p>
      <w:pPr>
        <w:spacing w:after="140" w:line="276"/>
      </w:pPr>
      <w:r>
        <w:rPr>
          <w:rFonts w:ascii="Calibri" w:cs="Calibri" w:eastAsia="Calibri" w:hAnsi="Calibri"/>
          <w:sz w:val="21"/>
          <w:szCs w:val="21"/>
        </w:rPr>
        <w:t xml:space="preserve">Se recogen con su precepto. </w:t>
      </w:r>
      <w:r>
        <w:rPr>
          <w:rFonts w:ascii="Calibri" w:cs="Calibri" w:eastAsia="Calibri" w:hAnsi="Calibri"/>
          <w:b/>
          <w:bCs/>
          <w:sz w:val="21"/>
          <w:szCs w:val="21"/>
        </w:rPr>
        <w:t xml:space="preserve">Antes de publicar, compruébese la redacción vigente</w:t>
      </w:r>
      <w:r>
        <w:rPr>
          <w:rFonts w:ascii="Calibri" w:cs="Calibri" w:eastAsia="Calibri" w:hAnsi="Calibri"/>
          <w:sz w:val="21"/>
          <w:szCs w:val="21"/>
        </w:rPr>
        <w:t xml:space="preserve">: los umbrales de la Unión Europea se revisan cada dos años y los del procedimiento se han modificado en el pasado. Se separan los que </w:t>
      </w:r>
      <w:r>
        <w:rPr>
          <w:rFonts w:ascii="Calibri" w:cs="Calibri" w:eastAsia="Calibri" w:hAnsi="Calibri"/>
          <w:b/>
          <w:bCs/>
          <w:sz w:val="21"/>
          <w:szCs w:val="21"/>
        </w:rPr>
        <w:t xml:space="preserve">determinan el procedimiento y el acceso al recurso</w:t>
      </w:r>
      <w:r>
        <w:rPr>
          <w:rFonts w:ascii="Calibri" w:cs="Calibri" w:eastAsia="Calibri" w:hAnsi="Calibri"/>
          <w:sz w:val="21"/>
          <w:szCs w:val="21"/>
        </w:rPr>
        <w:t xml:space="preserve"> —que son los cuatro umbrales de la Parte V, V.4.10, fuente única— de los </w:t>
      </w:r>
      <w:r>
        <w:rPr>
          <w:rFonts w:ascii="Calibri" w:cs="Calibri" w:eastAsia="Calibri" w:hAnsi="Calibri"/>
          <w:b/>
          <w:bCs/>
          <w:sz w:val="21"/>
          <w:szCs w:val="21"/>
        </w:rPr>
        <w:t xml:space="preserve">límites legales de cuantía</w:t>
      </w:r>
      <w:r>
        <w:rPr>
          <w:rFonts w:ascii="Calibri" w:cs="Calibri" w:eastAsia="Calibri" w:hAnsi="Calibri"/>
          <w:sz w:val="21"/>
          <w:szCs w:val="21"/>
        </w:rPr>
        <w:t xml:space="preserve">, que no son umbrales de procedimiento y no se manejan como tales.</w:t>
      </w:r>
    </w:p>
    <w:p>
      <w:pPr>
        <w:spacing w:after="140" w:line="276"/>
      </w:pPr>
      <w:r>
        <w:rPr>
          <w:rFonts w:ascii="Calibri" w:cs="Calibri" w:eastAsia="Calibri" w:hAnsi="Calibri"/>
          <w:b/>
          <w:bCs/>
          <w:sz w:val="21"/>
          <w:szCs w:val="21"/>
        </w:rPr>
        <w:t xml:space="preserve">X.2.a · Umbrales que determinan el procedimiento y el recurso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Umbral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Precepto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Valor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Caducidad / cautela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Contrato menor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118.1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Valor estimado inferior a 15.000 € en servicios y suministros; inferior a 40.000 € en obras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Compruébese la redacción vigente. Reglas específicas del catálogo para menores en la Parte I, §2.4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Procedimiento abierto abreviado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159.6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60.000 € de valor estimado en servicios y suministros; 80.000 € en obras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cabe en prestaciones de carácter intelectual; no admite criterios de juicio de valor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Recurso especial en materia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44.1.a) y 44.2.a)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Valor estimado </w:t>
            </w:r>
            <w:r>
              <w:rPr>
                <w:rFonts w:ascii="Calibri" w:cs="Calibri" w:eastAsia="Calibri" w:hAnsi="Calibri"/>
                <w:b/>
                <w:bCs/>
                <w:sz w:val="18"/>
                <w:szCs w:val="18"/>
              </w:rPr>
              <w:t xml:space="preserve">superior a</w:t>
            </w:r>
            <w:r>
              <w:rPr>
                <w:rFonts w:ascii="Calibri" w:cs="Calibri" w:eastAsia="Calibri" w:hAnsi="Calibri"/>
                <w:b w:val="false"/>
                <w:bCs w:val="false"/>
                <w:sz w:val="18"/>
                <w:szCs w:val="18"/>
              </w:rPr>
              <w:t xml:space="preserve"> 100.000 € en servicios y suministros; superior a 3.000.000 € en obras y concesiones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Los pliegos son directamente recurribles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Contrato sujeto a regulación armonizada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Reglamento Delegado (UE) 2025/2152, incorporado a los arts. 21.1.b) y 22.1.b) LCSP por la Orden HAC/1517/2025, de 18 de diciembre (BOE-A-2025-26605)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216.000 € en servicios y suministros adjudicados por entidades distintas de la Administración General del Estado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Compruébese antes de cada uso</w:t>
            </w:r>
            <w:r>
              <w:rPr>
                <w:rFonts w:ascii="Calibri" w:cs="Calibri" w:eastAsia="Calibri" w:hAnsi="Calibri"/>
                <w:b w:val="false"/>
                <w:bCs w:val="false"/>
                <w:sz w:val="18"/>
                <w:szCs w:val="18"/>
              </w:rPr>
              <w:t xml:space="preserve">: se actualiza cada dos años. El importe vigente en obras y concesiones es 5.404.000 €</w:t>
            </w:r>
          </w:p>
        </w:tc>
      </w:tr>
      <w:tr>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(Tope, no umbral autónomo)</w:t>
            </w:r>
            <w:r>
              <w:rPr>
                <w:rFonts w:ascii="Calibri" w:cs="Calibri" w:eastAsia="Calibri" w:hAnsi="Calibri"/>
                <w:b w:val="false"/>
                <w:bCs w:val="false"/>
                <w:sz w:val="18"/>
                <w:szCs w:val="18"/>
              </w:rPr>
              <w:t xml:space="preserve"> Procedimiento abierto simplificado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159.1.a)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100.000 € de valor estimado en servicios y suministros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Coincide en cuantía con el del recurso especial. Además, tope de juicio de valor del art. 159.1.b): 25 % general, 45 % en prestaciones de carácter intelectual</w:t>
            </w:r>
          </w:p>
        </w:tc>
      </w:tr>
    </w:tbl>
    <w:p>
      <w:pPr>
        <w:spacing w:after="200"/>
      </w:pPr>
    </w:p>
    <w:p>
      <w:pPr>
        <w:spacing w:after="140" w:line="276"/>
      </w:pPr>
      <w:r>
        <w:rPr>
          <w:rFonts w:ascii="Calibri" w:cs="Calibri" w:eastAsia="Calibri" w:hAnsi="Calibri"/>
          <w:b/>
          <w:bCs/>
          <w:sz w:val="21"/>
          <w:szCs w:val="21"/>
        </w:rPr>
        <w:t xml:space="preserve">X.2.b · Límites legales de cuantía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Límite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Precepto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Valor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Cautela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Comprobación material de la inversión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20.3 RD 424/2017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50.000 €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Determina la intervención de la comprobación material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Penalidades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192.1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10 % del precio por cada penalidad; 50 % del precio en su conjunto, IVA excluido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Límite legal, no parámetro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Mejoras valoradas por 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145.7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2,5 %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Límite legal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Criterios cualitativos en prestaciones de carácter intelectual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145.4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51 % como mínimo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Límite legal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Modificación prevista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204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20 % del precio inicial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Límite legal. La modificación no puede suponer nuevos precios unitarios no previstos (art. 204.1.b)</w:t>
            </w:r>
          </w:p>
        </w:tc>
      </w:tr>
    </w:tbl>
    <w:p>
      <w:pPr>
        <w:spacing w:after="200"/>
      </w:pPr>
    </w:p>
    <w:p>
      <w:pPr>
        <w:pStyle w:val="Heading3"/>
        <w:keepNext/>
        <w:spacing w:after="140" w:before="320"/>
      </w:pPr>
      <w:r>
        <w:rPr>
          <w:rFonts w:ascii="Georgia" w:cs="Georgia" w:eastAsia="Georgia" w:hAnsi="Georgia"/>
          <w:b/>
          <w:bCs/>
          <w:color w:val="2F5496"/>
          <w:sz w:val="22"/>
          <w:szCs w:val="22"/>
        </w:rPr>
        <w:t xml:space="preserve">X.3 Modelo mínimo del Cuadro de Precios Unitarios</w:t>
      </w:r>
    </w:p>
    <w:p>
      <w:pPr>
        <w:spacing w:after="140" w:line="276"/>
      </w:pPr>
      <w:r>
        <w:rPr>
          <w:rFonts w:ascii="Calibri" w:cs="Calibri" w:eastAsia="Calibri" w:hAnsi="Calibri"/>
          <w:sz w:val="21"/>
          <w:szCs w:val="21"/>
        </w:rPr>
        <w:t xml:space="preserve">El Cuadro de Precios Unitarios se presenta </w:t>
      </w:r>
      <w:r>
        <w:rPr>
          <w:rFonts w:ascii="Calibri" w:cs="Calibri" w:eastAsia="Calibri" w:hAnsi="Calibri"/>
          <w:b/>
          <w:bCs/>
          <w:sz w:val="21"/>
          <w:szCs w:val="21"/>
        </w:rPr>
        <w:t xml:space="preserve">con la oferta</w:t>
      </w:r>
      <w:r>
        <w:rPr>
          <w:rFonts w:ascii="Calibri" w:cs="Calibri" w:eastAsia="Calibri" w:hAnsi="Calibri"/>
          <w:sz w:val="21"/>
          <w:szCs w:val="21"/>
        </w:rPr>
        <w:t xml:space="preserve"> y sirve a dos cosas a la vez: fija el precio de la bolsa de servicios evolutivos (ADM-3·v3, bloque 2, al amparo del art. 308.3 LCSP, que permite definir el objeto por componentes de prestación con precio por unidades de actividad) y convierte una eventual modificación prevista en una multiplicación en lugar de una negociación. Se incorpora al PCAP como anexo propio del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CUADRO DE PRECIOS UNITARIOS</w:t>
            </w:r>
            <w:r>
              <w:rPr>
                <w:rFonts w:ascii="Georgia" w:cs="Georgia" w:eastAsia="Georgia" w:hAnsi="Georgia"/>
                <w:sz w:val="20"/>
                <w:szCs w:val="20"/>
              </w:rPr>
              <w:t xml:space="preserve"> </w:t>
            </w:r>
            <w:r>
              <w:rPr>
                <w:rFonts w:ascii="Georgia" w:cs="Georgia" w:eastAsia="Georgia" w:hAnsi="Georgia"/>
                <w:i/>
                <w:iCs/>
                <w:sz w:val="20"/>
                <w:szCs w:val="20"/>
              </w:rPr>
              <w:t xml:space="preserve">(se presenta con la oferta, en el sobre de criterios evaluables mediante fórmula)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Perfil profesional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Precio/hora (IVA excluido)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Ponderación a efectos del criterio de valoración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Jefe de proyecto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[X; se recomienda 10] %</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Analista funcional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[X; se recomienda 25] %</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Analista-programador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[X; se recomienda 35] %</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Técnico de sistemas / integración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[X; se recomienda 20] %</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Técnico de formación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[X; se recomienda 10] %</w:t>
                  </w:r>
                </w:p>
              </w:tc>
            </w:tr>
          </w:tbl>
          <w:p>
            <w:pPr>
              <w:spacing w:after="80"/>
            </w:pP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Unidad de despliegue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Precio unitario (IVA excluido)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Puesta en producción de un módulo adicional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Integración con un sistema municipal adicional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Función adicional expuesta en la interfaz normalizada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Jornada de formación presencial (7 horas)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80"/>
            </w:pPr>
          </w:p>
          <w:p>
            <w:pPr>
              <w:spacing w:after="100" w:line="264"/>
            </w:pPr>
            <w:r>
              <w:rPr>
                <w:rFonts w:ascii="Georgia" w:cs="Georgia" w:eastAsia="Georgia" w:hAnsi="Georgia"/>
                <w:b/>
                <w:bCs/>
                <w:sz w:val="20"/>
                <w:szCs w:val="20"/>
              </w:rPr>
              <w:t xml:space="preserve">La suma de las ponderaciones anteriores debe ser 100</w:t>
            </w:r>
            <w:r>
              <w:rPr>
                <w:rFonts w:ascii="Georgia" w:cs="Georgia" w:eastAsia="Georgia" w:hAnsi="Georgia"/>
                <w:sz w:val="20"/>
                <w:szCs w:val="20"/>
              </w:rPr>
              <w:t xml:space="preserve"> y responder a la cesta de consumo previsible del contrato, motivada en el expediente. Una ponderación que no refleje el consumo real convierte el criterio de precio unitario en un criterio arbitrario.</w:t>
            </w:r>
          </w:p>
          <w:p>
            <w:pPr>
              <w:spacing w:after="100" w:line="264"/>
            </w:pPr>
            <w:r>
              <w:rPr>
                <w:rFonts w:ascii="Georgia" w:cs="Georgia" w:eastAsia="Georgia" w:hAnsi="Georgia"/>
                <w:sz w:val="20"/>
                <w:szCs w:val="20"/>
              </w:rPr>
              <w:t xml:space="preserve">Los precios unitarios ofertados son fijos durante toda la vigencia del contrato y de sus prórrogas, sin perjuicio de la revisión de precios cuando proceda conforme al pliego. Las peticiones de servicio con cargo a la bolsa las cursa el responsable del contrato mediante encargo escrito con alcance, unidades y plazo; en ningún caso comportan el ejercicio de facultades de dirección sobre el personal del contratista. Las horas no consumidas al término del contrato no son facturables.</w:t>
            </w:r>
          </w:p>
        </w:tc>
      </w:tr>
    </w:tbl>
    <w:p>
      <w:pPr>
        <w:spacing w:after="220"/>
      </w:pPr>
    </w:p>
    <w:p>
      <w:pPr>
        <w:spacing w:after="140" w:line="276"/>
      </w:pPr>
      <w:r>
        <w:rPr>
          <w:rFonts w:ascii="Calibri" w:cs="Calibri" w:eastAsia="Calibri" w:hAnsi="Calibri"/>
          <w:b/>
          <w:bCs/>
          <w:sz w:val="21"/>
          <w:szCs w:val="21"/>
        </w:rPr>
        <w:t xml:space="preserve">Advertencia de fiscalización.</w:t>
      </w:r>
      <w:r>
        <w:rPr>
          <w:rFonts w:ascii="Calibri" w:cs="Calibri" w:eastAsia="Calibri" w:hAnsi="Calibri"/>
          <w:sz w:val="21"/>
          <w:szCs w:val="21"/>
        </w:rPr>
        <w:t xml:space="preserve"> Las dos preguntas que la Intervención hará sobre la bolsa son: si se abonan las horas no consumidas —no se abonan, y así consta arriba— y cómo se garantiza la determinación del objeto (art. 99.1 LCSP) si el contenido concreto se fija durante la ejecución. La respuesta está en el art. 308.3 LCSP: el objeto se define por componentes de prestación, con precio por unidades de actividad, y el pliego prevé expresamente la concreción de las funcionalidades durante la ejecución. Esa previsión debe figurar en el PCAP con esas palabras, y la bolsa </w:t>
      </w:r>
      <w:r>
        <w:rPr>
          <w:rFonts w:ascii="Calibri" w:cs="Calibri" w:eastAsia="Calibri" w:hAnsi="Calibri"/>
          <w:b/>
          <w:bCs/>
          <w:sz w:val="21"/>
          <w:szCs w:val="21"/>
        </w:rPr>
        <w:t xml:space="preserve">computa</w:t>
      </w:r>
      <w:r>
        <w:rPr>
          <w:rFonts w:ascii="Calibri" w:cs="Calibri" w:eastAsia="Calibri" w:hAnsi="Calibri"/>
          <w:sz w:val="21"/>
          <w:szCs w:val="21"/>
        </w:rPr>
        <w:t xml:space="preserve"> en el presupuesto base de licitación y en el valor estimado.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XI · ANEXO DE VIGENCIA NORMATIVA</w:t>
      </w:r>
    </w:p>
    <w:p>
      <w:pPr>
        <w:spacing w:after="140" w:line="276"/>
      </w:pPr>
      <w:r>
        <w:rPr>
          <w:rFonts w:ascii="Calibri" w:cs="Calibri" w:eastAsia="Calibri" w:hAnsi="Calibri"/>
          <w:b/>
          <w:bCs/>
          <w:sz w:val="21"/>
          <w:szCs w:val="21"/>
        </w:rPr>
        <w:t xml:space="preserve">Fecha de corte: 1 de septiembre de 2026.</w:t>
      </w:r>
      <w:r>
        <w:rPr>
          <w:rFonts w:ascii="Calibri" w:cs="Calibri" w:eastAsia="Calibri" w:hAnsi="Calibri"/>
          <w:sz w:val="21"/>
          <w:szCs w:val="21"/>
        </w:rPr>
        <w:t xml:space="preserve"> Este anexo se revisa con periodicidad anual, junto con el Catálogo de Exigencias Tecnológicas. La versión aplicable a un contrato es la vigente en la fecha de aprobación de su expediente; su actualización posterior no altera las obligaciones del contrato ya adjudicado.</w:t>
      </w:r>
    </w:p>
    <w:p>
      <w:pPr>
        <w:spacing w:after="140" w:line="276"/>
      </w:pPr>
      <w:r>
        <w:rPr>
          <w:rFonts w:ascii="Calibri" w:cs="Calibri" w:eastAsia="Calibri" w:hAnsi="Calibri"/>
          <w:b/>
          <w:bCs/>
          <w:sz w:val="21"/>
          <w:szCs w:val="21"/>
        </w:rPr>
        <w:t xml:space="preserve">Por qué existe este anexo.</w:t>
      </w:r>
      <w:r>
        <w:rPr>
          <w:rFonts w:ascii="Calibri" w:cs="Calibri" w:eastAsia="Calibri" w:hAnsi="Calibri"/>
          <w:sz w:val="21"/>
          <w:szCs w:val="21"/>
        </w:rPr>
        <w:t xml:space="preserve"> Un pliego puede exigir más de lo que la ley exige hoy: eso es una decisión del órgano de contratación, y es legítima si es proporcionada y está motivada. Lo que no puede hacer es </w:t>
      </w:r>
      <w:r>
        <w:rPr>
          <w:rFonts w:ascii="Calibri" w:cs="Calibri" w:eastAsia="Calibri" w:hAnsi="Calibri"/>
          <w:b/>
          <w:bCs/>
          <w:sz w:val="21"/>
          <w:szCs w:val="21"/>
        </w:rPr>
        <w:t xml:space="preserve">presentar como obligación legal vigente lo que la norma todavía no impone</w:t>
      </w:r>
      <w:r>
        <w:rPr>
          <w:rFonts w:ascii="Calibri" w:cs="Calibri" w:eastAsia="Calibri" w:hAnsi="Calibri"/>
          <w:sz w:val="21"/>
          <w:szCs w:val="21"/>
        </w:rPr>
        <w:t xml:space="preserve">. La confusión entre ambas cosas es un problema de proporcionalidad y, en un documento publicado en abierto, un problema de credibilidad.</w:t>
      </w:r>
    </w:p>
    <w:p>
      <w:pPr>
        <w:pStyle w:val="Heading3"/>
        <w:keepNext/>
        <w:spacing w:after="140" w:before="320"/>
      </w:pPr>
      <w:r>
        <w:rPr>
          <w:rFonts w:ascii="Georgia" w:cs="Georgia" w:eastAsia="Georgia" w:hAnsi="Georgia"/>
          <w:b/>
          <w:bCs/>
          <w:color w:val="2F5496"/>
          <w:sz w:val="22"/>
          <w:szCs w:val="22"/>
        </w:rPr>
        <w:t xml:space="preserve">XI.1 El calendario del Reglamento de IA tras la modificación de 2026</w:t>
      </w:r>
    </w:p>
    <w:p>
      <w:pPr>
        <w:spacing w:after="140" w:line="276"/>
      </w:pPr>
      <w:r>
        <w:rPr>
          <w:rFonts w:ascii="Calibri" w:cs="Calibri" w:eastAsia="Calibri" w:hAnsi="Calibri"/>
          <w:sz w:val="21"/>
          <w:szCs w:val="21"/>
        </w:rPr>
        <w:t xml:space="preserve">El Reglamento (UE) 2024/1689 se cita en todo este documento </w:t>
      </w:r>
      <w:r>
        <w:rPr>
          <w:rFonts w:ascii="Calibri" w:cs="Calibri" w:eastAsia="Calibri" w:hAnsi="Calibri"/>
          <w:b/>
          <w:bCs/>
          <w:sz w:val="21"/>
          <w:szCs w:val="21"/>
        </w:rPr>
        <w:t xml:space="preserve">en su redacción vigente</w:t>
      </w:r>
      <w:r>
        <w:rPr>
          <w:rFonts w:ascii="Calibri" w:cs="Calibri" w:eastAsia="Calibri" w:hAnsi="Calibri"/>
          <w:sz w:val="21"/>
          <w:szCs w:val="21"/>
        </w:rPr>
        <w:t xml:space="preserve">, modificada por el </w:t>
      </w:r>
      <w:r>
        <w:rPr>
          <w:rFonts w:ascii="Calibri" w:cs="Calibri" w:eastAsia="Calibri" w:hAnsi="Calibri"/>
          <w:b/>
          <w:bCs/>
          <w:sz w:val="21"/>
          <w:szCs w:val="21"/>
        </w:rPr>
        <w:t xml:space="preserve">Reglamento (UE) 2026/1744 del Parlamento Europeo y del Consejo, de 8 de julio de 2026</w:t>
      </w:r>
      <w:r>
        <w:rPr>
          <w:rFonts w:ascii="Calibri" w:cs="Calibri" w:eastAsia="Calibri" w:hAnsi="Calibri"/>
          <w:sz w:val="21"/>
          <w:szCs w:val="21"/>
        </w:rPr>
        <w:t xml:space="preserve">, por el que se modifican los Reglamentos (UE) 2024/1689, (UE) 2018/1139 y (UE) 2023/1230, publicado en el Diario Oficial de la Unión Europea de 24 de julio de 2026 y en vigor desde el 27 de julio de 2026 (referencia del BOE: DOUE-L-2026-81147). Literal verificado del considerando que fija las nuevas fechas:</w:t>
      </w:r>
    </w:p>
    <w:p>
      <w:pPr>
        <w:pBdr>
          <w:left w:val="single" w:color="BFBFBF" w:sz="12" w:space="8"/>
        </w:pBdr>
        <w:spacing w:after="140" w:line="264"/>
        <w:ind w:left="400"/>
      </w:pPr>
      <w:r>
        <w:rPr>
          <w:rFonts w:ascii="Georgia" w:cs="Georgia" w:eastAsia="Georgia" w:hAnsi="Georgia"/>
          <w:i/>
          <w:iCs/>
          <w:color w:val="595959"/>
          <w:sz w:val="20"/>
          <w:szCs w:val="20"/>
        </w:rPr>
        <w:t xml:space="preserve">«procede fijar la fecha de aplicación del capítulo III, secciones 1, 2 y 3 el </w:t>
      </w:r>
      <w:r>
        <w:rPr>
          <w:rFonts w:ascii="Georgia" w:cs="Georgia" w:eastAsia="Georgia" w:hAnsi="Georgia"/>
          <w:b/>
          <w:bCs/>
          <w:i/>
          <w:iCs/>
          <w:color w:val="595959"/>
          <w:sz w:val="20"/>
          <w:szCs w:val="20"/>
        </w:rPr>
        <w:t xml:space="preserve">2 de diciembre de 2027</w:t>
      </w:r>
      <w:r>
        <w:rPr>
          <w:rFonts w:ascii="Georgia" w:cs="Georgia" w:eastAsia="Georgia" w:hAnsi="Georgia"/>
          <w:i/>
          <w:iCs/>
          <w:color w:val="595959"/>
          <w:sz w:val="20"/>
          <w:szCs w:val="20"/>
        </w:rPr>
        <w:t xml:space="preserve"> en el caso de los sistemas de IA clasificados como de alto riesgo en virtud del artículo 6, apartado 2, y el anexo III, y el </w:t>
      </w:r>
      <w:r>
        <w:rPr>
          <w:rFonts w:ascii="Georgia" w:cs="Georgia" w:eastAsia="Georgia" w:hAnsi="Georgia"/>
          <w:b/>
          <w:bCs/>
          <w:i/>
          <w:iCs/>
          <w:color w:val="595959"/>
          <w:sz w:val="20"/>
          <w:szCs w:val="20"/>
        </w:rPr>
        <w:t xml:space="preserve">2 de agosto de 2028</w:t>
      </w:r>
      <w:r>
        <w:rPr>
          <w:rFonts w:ascii="Georgia" w:cs="Georgia" w:eastAsia="Georgia" w:hAnsi="Georgia"/>
          <w:i/>
          <w:iCs/>
          <w:color w:val="595959"/>
          <w:sz w:val="20"/>
          <w:szCs w:val="20"/>
        </w:rPr>
        <w:t xml:space="preserve"> en el caso de los sistemas de IA clasificados como de alto riesgo en virtud del artículo 6, apartado 1, y del anexo I.»</w:t>
      </w:r>
    </w:p>
    <w:p>
      <w:pPr>
        <w:spacing w:after="140" w:line="276"/>
      </w:pPr>
      <w:r>
        <w:rPr>
          <w:rFonts w:ascii="Calibri" w:cs="Calibri" w:eastAsia="Calibri" w:hAnsi="Calibri"/>
          <w:b/>
          <w:bCs/>
          <w:sz w:val="21"/>
          <w:szCs w:val="21"/>
        </w:rPr>
        <w:t xml:space="preserve">Consecuencia directa que hay que tener presente al redactar cualquier pliego:</w:t>
      </w:r>
      <w:r>
        <w:rPr>
          <w:rFonts w:ascii="Calibri" w:cs="Calibri" w:eastAsia="Calibri" w:hAnsi="Calibri"/>
          <w:sz w:val="21"/>
          <w:szCs w:val="21"/>
        </w:rPr>
        <w:t xml:space="preserve"> los </w:t>
      </w:r>
      <w:r>
        <w:rPr>
          <w:rFonts w:ascii="Calibri" w:cs="Calibri" w:eastAsia="Calibri" w:hAnsi="Calibri"/>
          <w:b/>
          <w:bCs/>
          <w:sz w:val="21"/>
          <w:szCs w:val="21"/>
        </w:rPr>
        <w:t xml:space="preserve">artículos 26 y 27</w:t>
      </w:r>
      <w:r>
        <w:rPr>
          <w:rFonts w:ascii="Calibri" w:cs="Calibri" w:eastAsia="Calibri" w:hAnsi="Calibri"/>
          <w:sz w:val="21"/>
          <w:szCs w:val="21"/>
        </w:rPr>
        <w:t xml:space="preserve"> —obligaciones del responsable del despliegue y evaluación de impacto relativa a los derechos fundamentales— están en la </w:t>
      </w:r>
      <w:r>
        <w:rPr>
          <w:rFonts w:ascii="Calibri" w:cs="Calibri" w:eastAsia="Calibri" w:hAnsi="Calibri"/>
          <w:b/>
          <w:bCs/>
          <w:sz w:val="21"/>
          <w:szCs w:val="21"/>
        </w:rPr>
        <w:t xml:space="preserve">sección 3 del capítulo III</w:t>
      </w:r>
      <w:r>
        <w:rPr>
          <w:rFonts w:ascii="Calibri" w:cs="Calibri" w:eastAsia="Calibri" w:hAnsi="Calibri"/>
          <w:sz w:val="21"/>
          <w:szCs w:val="21"/>
        </w:rPr>
        <w:t xml:space="preserve">. A la fecha de corte de este anexo </w:t>
      </w:r>
      <w:r>
        <w:rPr>
          <w:rFonts w:ascii="Calibri" w:cs="Calibri" w:eastAsia="Calibri" w:hAnsi="Calibri"/>
          <w:b/>
          <w:bCs/>
          <w:sz w:val="21"/>
          <w:szCs w:val="21"/>
        </w:rPr>
        <w:t xml:space="preserve">no son exigibles</w:t>
      </w:r>
      <w:r>
        <w:rPr>
          <w:rFonts w:ascii="Calibri" w:cs="Calibri" w:eastAsia="Calibri" w:hAnsi="Calibri"/>
          <w:sz w:val="21"/>
          <w:szCs w:val="21"/>
        </w:rPr>
        <w:t xml:space="preserve">. Toda cláusula que se apoye en ellos se apoya en una obligación futura, y así debe decirlo.</w:t>
      </w:r>
    </w:p>
    <w:p>
      <w:pPr>
        <w:spacing w:after="140" w:line="276"/>
      </w:pPr>
      <w:r>
        <w:rPr>
          <w:rFonts w:ascii="Calibri" w:cs="Calibri" w:eastAsia="Calibri" w:hAnsi="Calibri"/>
          <w:b/>
          <w:bCs/>
          <w:sz w:val="21"/>
          <w:szCs w:val="21"/>
        </w:rPr>
        <w:t xml:space="preserve">Tres precisiones del texto nuevo que no pueden omitirse</w:t>
      </w:r>
      <w:r>
        <w:rPr>
          <w:rFonts w:ascii="Calibri" w:cs="Calibri" w:eastAsia="Calibri" w:hAnsi="Calibri"/>
          <w:sz w:val="21"/>
          <w:szCs w:val="21"/>
        </w:rPr>
        <w:t xml:space="preserve">, porque acotan el calendario anterior:</w:t>
      </w:r>
    </w:p>
    <w:p>
      <w:pPr>
        <w:pStyle w:val="ListParagraph"/>
        <w:numPr>
          <w:ilvl w:val="0"/>
          <w:numId w:val="2"/>
        </w:numPr>
        <w:spacing w:after="70" w:line="268"/>
      </w:pPr>
      <w:r>
        <w:rPr>
          <w:rFonts w:ascii="Calibri" w:cs="Calibri" w:eastAsia="Calibri" w:hAnsi="Calibri"/>
          <w:sz w:val="21"/>
          <w:szCs w:val="21"/>
        </w:rPr>
        <w:t xml:space="preserve">La letra c) del párrafo tercero del art. 113, en su redacción vigente, se aplica </w:t>
      </w:r>
      <w:r>
        <w:rPr>
          <w:rFonts w:ascii="Calibri" w:cs="Calibri" w:eastAsia="Calibri" w:hAnsi="Calibri"/>
          <w:b/>
          <w:bCs/>
          <w:sz w:val="21"/>
          <w:szCs w:val="21"/>
        </w:rPr>
        <w:t xml:space="preserve">«con excepción de su artículo 6, apartado 5»</w:t>
      </w:r>
      <w:r>
        <w:rPr>
          <w:rFonts w:ascii="Calibri" w:cs="Calibri" w:eastAsia="Calibri" w:hAnsi="Calibri"/>
          <w:sz w:val="21"/>
          <w:szCs w:val="21"/>
        </w:rPr>
        <w:t xml:space="preserve">.</w:t>
      </w:r>
    </w:p>
    <w:p>
      <w:pPr>
        <w:pStyle w:val="ListParagraph"/>
        <w:numPr>
          <w:ilvl w:val="0"/>
          <w:numId w:val="2"/>
        </w:numPr>
        <w:spacing w:after="70" w:line="268"/>
      </w:pPr>
      <w:r>
        <w:rPr>
          <w:rFonts w:ascii="Calibri" w:cs="Calibri" w:eastAsia="Calibri" w:hAnsi="Calibri"/>
          <w:sz w:val="21"/>
          <w:szCs w:val="21"/>
        </w:rPr>
        <w:t xml:space="preserve">Se añade al mismo párrafo una </w:t>
      </w:r>
      <w:r>
        <w:rPr>
          <w:rFonts w:ascii="Calibri" w:cs="Calibri" w:eastAsia="Calibri" w:hAnsi="Calibri"/>
          <w:b/>
          <w:bCs/>
          <w:sz w:val="21"/>
          <w:szCs w:val="21"/>
        </w:rPr>
        <w:t xml:space="preserve">letra d)</w:t>
      </w:r>
      <w:r>
        <w:rPr>
          <w:rFonts w:ascii="Calibri" w:cs="Calibri" w:eastAsia="Calibri" w:hAnsi="Calibri"/>
          <w:sz w:val="21"/>
          <w:szCs w:val="21"/>
        </w:rPr>
        <w:t xml:space="preserve">: «los artículos 102 a 110 serán aplicables a partir del </w:t>
      </w:r>
      <w:r>
        <w:rPr>
          <w:rFonts w:ascii="Calibri" w:cs="Calibri" w:eastAsia="Calibri" w:hAnsi="Calibri"/>
          <w:b/>
          <w:bCs/>
          <w:sz w:val="21"/>
          <w:szCs w:val="21"/>
        </w:rPr>
        <w:t xml:space="preserve">27 de julio de 2026</w:t>
      </w:r>
      <w:r>
        <w:rPr>
          <w:rFonts w:ascii="Calibri" w:cs="Calibri" w:eastAsia="Calibri" w:hAnsi="Calibri"/>
          <w:sz w:val="21"/>
          <w:szCs w:val="21"/>
        </w:rPr>
        <w:t xml:space="preserve">».</w:t>
      </w:r>
    </w:p>
    <w:p>
      <w:pPr>
        <w:pStyle w:val="ListParagraph"/>
        <w:numPr>
          <w:ilvl w:val="0"/>
          <w:numId w:val="2"/>
        </w:numPr>
        <w:spacing w:after="70" w:line="268"/>
      </w:pPr>
      <w:r>
        <w:rPr>
          <w:rFonts w:ascii="Calibri" w:cs="Calibri" w:eastAsia="Calibri" w:hAnsi="Calibri"/>
          <w:sz w:val="21"/>
          <w:szCs w:val="21"/>
        </w:rPr>
        <w:t xml:space="preserve">La aplicación desde el 2 de febrero de 2025 de las prácticas prohibidas </w:t>
      </w:r>
      <w:r>
        <w:rPr>
          <w:rFonts w:ascii="Calibri" w:cs="Calibri" w:eastAsia="Calibri" w:hAnsi="Calibri"/>
          <w:b/>
          <w:bCs/>
          <w:sz w:val="21"/>
          <w:szCs w:val="21"/>
        </w:rPr>
        <w:t xml:space="preserve">no alcanza</w:t>
      </w:r>
      <w:r>
        <w:rPr>
          <w:rFonts w:ascii="Calibri" w:cs="Calibri" w:eastAsia="Calibri" w:hAnsi="Calibri"/>
          <w:sz w:val="21"/>
          <w:szCs w:val="21"/>
        </w:rPr>
        <w:t xml:space="preserve"> al artículo 5, apartado 1, párrafo primero, letras b bis) y b ter), ni a los apartados 1 bis y 1 ter del mismo artículo, </w:t>
      </w:r>
      <w:r>
        <w:rPr>
          <w:rFonts w:ascii="Calibri" w:cs="Calibri" w:eastAsia="Calibri" w:hAnsi="Calibri"/>
          <w:b/>
          <w:bCs/>
          <w:sz w:val="21"/>
          <w:szCs w:val="21"/>
        </w:rPr>
        <w:t xml:space="preserve">aplicables desde el 2 de diciembre de 2026</w:t>
      </w:r>
      <w:r>
        <w:rPr>
          <w:rFonts w:ascii="Calibri" w:cs="Calibri" w:eastAsia="Calibri" w:hAnsi="Calibri"/>
          <w:sz w:val="21"/>
          <w:szCs w:val="21"/>
        </w:rPr>
        <w:t xml:space="preserve"> (art. 113, párrafo tercero, letra a), en su redacción vigente).</w:t>
      </w:r>
    </w:p>
    <w:p>
      <w:pPr>
        <w:spacing w:after="140" w:line="276"/>
      </w:pPr>
      <w:r>
        <w:rPr>
          <w:rFonts w:ascii="Calibri" w:cs="Calibri" w:eastAsia="Calibri" w:hAnsi="Calibri"/>
          <w:b/>
          <w:bCs/>
          <w:sz w:val="21"/>
          <w:szCs w:val="21"/>
        </w:rPr>
        <w:t xml:space="preserve">Y una cuestión que queda resuelta, para que no se arrastre como pendiente:</w:t>
      </w:r>
      <w:r>
        <w:rPr>
          <w:rFonts w:ascii="Calibri" w:cs="Calibri" w:eastAsia="Calibri" w:hAnsi="Calibri"/>
          <w:sz w:val="21"/>
          <w:szCs w:val="21"/>
        </w:rPr>
        <w:t xml:space="preserve"> el </w:t>
      </w:r>
      <w:r>
        <w:rPr>
          <w:rFonts w:ascii="Calibri" w:cs="Calibri" w:eastAsia="Calibri" w:hAnsi="Calibri"/>
          <w:b/>
          <w:bCs/>
          <w:sz w:val="21"/>
          <w:szCs w:val="21"/>
        </w:rPr>
        <w:t xml:space="preserve">artículo 49</w:t>
      </w:r>
      <w:r>
        <w:rPr>
          <w:rFonts w:ascii="Calibri" w:cs="Calibri" w:eastAsia="Calibri" w:hAnsi="Calibri"/>
          <w:sz w:val="21"/>
          <w:szCs w:val="21"/>
        </w:rPr>
        <w:t xml:space="preserve"> (registro de sistemas de alto riesgo) está en la </w:t>
      </w:r>
      <w:r>
        <w:rPr>
          <w:rFonts w:ascii="Calibri" w:cs="Calibri" w:eastAsia="Calibri" w:hAnsi="Calibri"/>
          <w:b/>
          <w:bCs/>
          <w:sz w:val="21"/>
          <w:szCs w:val="21"/>
        </w:rPr>
        <w:t xml:space="preserve">sección 5</w:t>
      </w:r>
      <w:r>
        <w:rPr>
          <w:rFonts w:ascii="Calibri" w:cs="Calibri" w:eastAsia="Calibri" w:hAnsi="Calibri"/>
          <w:sz w:val="21"/>
          <w:szCs w:val="21"/>
        </w:rPr>
        <w:t xml:space="preserve"> del capítulo III y </w:t>
      </w:r>
      <w:r>
        <w:rPr>
          <w:rFonts w:ascii="Calibri" w:cs="Calibri" w:eastAsia="Calibri" w:hAnsi="Calibri"/>
          <w:b/>
          <w:bCs/>
          <w:sz w:val="21"/>
          <w:szCs w:val="21"/>
        </w:rPr>
        <w:t xml:space="preserve">no entra en el aplazamiento</w:t>
      </w:r>
      <w:r>
        <w:rPr>
          <w:rFonts w:ascii="Calibri" w:cs="Calibri" w:eastAsia="Calibri" w:hAnsi="Calibri"/>
          <w:sz w:val="21"/>
          <w:szCs w:val="21"/>
        </w:rPr>
        <w:t xml:space="preserve">, que sólo alcanza a las secciones 1, 2 y 3.</w:t>
      </w:r>
    </w:p>
    <w:p>
      <w:pPr>
        <w:pStyle w:val="Heading3"/>
        <w:keepNext/>
        <w:spacing w:after="140" w:before="320"/>
      </w:pPr>
      <w:r>
        <w:rPr>
          <w:rFonts w:ascii="Georgia" w:cs="Georgia" w:eastAsia="Georgia" w:hAnsi="Georgia"/>
          <w:b/>
          <w:bCs/>
          <w:color w:val="2F5496"/>
          <w:sz w:val="22"/>
          <w:szCs w:val="22"/>
        </w:rPr>
        <w:t xml:space="preserve">XI.2 Las dos columnas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Materia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Ya exigible a 01/09/2026</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Anticipado voluntariamente por el Ayuntamiento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Prácticas prohibidas de IA y alfabetización en materia de IA (arts. 4 y 5 del Reglamento de IA)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desde el 02/02/2025, </w:t>
            </w:r>
            <w:r>
              <w:rPr>
                <w:rFonts w:ascii="Calibri" w:cs="Calibri" w:eastAsia="Calibri" w:hAnsi="Calibri"/>
                <w:b/>
                <w:bCs/>
                <w:sz w:val="18"/>
                <w:szCs w:val="18"/>
              </w:rPr>
              <w:t xml:space="preserve">con excepción del artículo 5, apartado 1, párrafo primero, letras b bis) y b ter), y de los apartados 1 bis y 1 ter del mismo artículo, aplicables desde el 02/12/2026</w:t>
            </w:r>
            <w:r>
              <w:rPr>
                <w:rFonts w:ascii="Calibri" w:cs="Calibri" w:eastAsia="Calibri" w:hAnsi="Calibri"/>
                <w:b w:val="false"/>
                <w:bCs w:val="false"/>
                <w:sz w:val="18"/>
                <w:szCs w:val="18"/>
              </w:rPr>
              <w:t xml:space="preserve"> (art. 113, párr. 3.º, letra a), en su redacción vigente)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Modelos de IA de uso general, gobernanza y régimen sancionador</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desde el 02/08/2025, </w:t>
            </w:r>
            <w:r>
              <w:rPr>
                <w:rFonts w:ascii="Calibri" w:cs="Calibri" w:eastAsia="Calibri" w:hAnsi="Calibri"/>
                <w:b/>
                <w:bCs/>
                <w:sz w:val="18"/>
                <w:szCs w:val="18"/>
              </w:rPr>
              <w:t xml:space="preserve">con la salvedad del artículo 101</w:t>
            </w:r>
            <w:r>
              <w:rPr>
                <w:rFonts w:ascii="Calibri" w:cs="Calibri" w:eastAsia="Calibri" w:hAnsi="Calibri"/>
                <w:b w:val="false"/>
                <w:bCs w:val="false"/>
                <w:sz w:val="18"/>
                <w:szCs w:val="18"/>
              </w:rPr>
              <w:t xml:space="preserve">, cuya aplicación se difiere en los términos del art. 113, párr. 3.º, letra 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Obligaciones de transparencia sobre interacción con sistemas de IA y contenido generado (art. 50)</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desde el 02/08/2026, con el régimen transitorio del art. 111 para sistemas ya introducidos en el mercado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Requisitos de los sistemas de alto riesgo y obligaciones del responsable del despliegue (cap. III, secciones 1 a 3, arts. 26 y 27 incluidos)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Exigibles el 02/12/2027 (art. 6.2 y anexo III) y el 02/08/2028 (art. 6.1 y anexo I), </w:t>
            </w:r>
            <w:r>
              <w:rPr>
                <w:rFonts w:ascii="Calibri" w:cs="Calibri" w:eastAsia="Calibri" w:hAnsi="Calibri"/>
                <w:b/>
                <w:bCs/>
                <w:sz w:val="18"/>
                <w:szCs w:val="18"/>
              </w:rPr>
              <w:t xml:space="preserve">con excepción del art. 6, apartado 5</w:t>
            </w:r>
            <w:r>
              <w:rPr>
                <w:rFonts w:ascii="Calibri" w:cs="Calibri" w:eastAsia="Calibri" w:hAnsi="Calibri"/>
                <w:b w:val="false"/>
                <w:bCs w:val="false"/>
                <w:sz w:val="18"/>
                <w:szCs w:val="18"/>
              </w:rPr>
              <w:t xml:space="preserve">, y sin perjuicio de que los arts. 102 a 110 se apliquen desde el 27/07/2026</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el contrato exige hoy que el adjudicatario </w:t>
            </w:r>
            <w:r>
              <w:rPr>
                <w:rFonts w:ascii="Calibri" w:cs="Calibri" w:eastAsia="Calibri" w:hAnsi="Calibri"/>
                <w:b/>
                <w:bCs/>
                <w:sz w:val="18"/>
                <w:szCs w:val="18"/>
              </w:rPr>
              <w:t xml:space="preserve">entregue los medios</w:t>
            </w:r>
            <w:r>
              <w:rPr>
                <w:rFonts w:ascii="Calibri" w:cs="Calibri" w:eastAsia="Calibri" w:hAnsi="Calibri"/>
                <w:b w:val="false"/>
                <w:bCs w:val="false"/>
                <w:sz w:val="18"/>
                <w:szCs w:val="18"/>
              </w:rPr>
              <w:t xml:space="preserve"> para que el Ayuntamiento pueda cumplirlas cuando lo sean —instrucciones de uso, información para la evaluación de impacto, registros exportables, mecanismo de suspensión y punto de contacto—. Se anticipa porque el contrato durará más que el plazo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Protección de datos: encargo del tratamiento, devolución o supresión al término, evaluación de impacto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(RGPD y LOPDGDD)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Actuación administrativa automatizada: determinación de órganos de especificaciones, programación, supervisión, control de calidad y auditoría del código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cuando el Ayuntamiento acuerde una actuación automatizada (art. 41 Ley 40/2015)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anticipa la </w:t>
            </w:r>
            <w:r>
              <w:rPr>
                <w:rFonts w:ascii="Calibri" w:cs="Calibri" w:eastAsia="Calibri" w:hAnsi="Calibri"/>
                <w:b/>
                <w:bCs/>
                <w:sz w:val="18"/>
                <w:szCs w:val="18"/>
              </w:rPr>
              <w:t xml:space="preserve">disponibilidad de la información técnica</w:t>
            </w:r>
            <w:r>
              <w:rPr>
                <w:rFonts w:ascii="Calibri" w:cs="Calibri" w:eastAsia="Calibri" w:hAnsi="Calibri"/>
                <w:b w:val="false"/>
                <w:bCs w:val="false"/>
                <w:sz w:val="18"/>
                <w:szCs w:val="18"/>
              </w:rPr>
              <w:t xml:space="preserve"> que permita hacerlo, aunque hoy no haya actuación automatizada acordada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Decisiones individuales automatizadas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(art. 22 RGPD)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Conformidad con el Esquema Nacional de Seguridad y extensión a la cadena de suministro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(RD 311/2022, art. 2.3)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Interoperabilidad y servicios comunes de obligada utilización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(RD 4/2010 y Ley 39/2015)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Titularidad y cesión de aplicaciones a otras administraciones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(arts. 157 y 158 Ley 40/2015; art. 308.1 LCSP; TRLPI)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Acceso de los órganos de control interno a los datos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potestad de control </w:t>
            </w:r>
            <w:r>
              <w:rPr>
                <w:rFonts w:ascii="Calibri" w:cs="Calibri" w:eastAsia="Calibri" w:hAnsi="Calibri"/>
                <w:b/>
                <w:bCs/>
                <w:sz w:val="18"/>
                <w:szCs w:val="18"/>
              </w:rPr>
              <w:t xml:space="preserve">existe</w:t>
            </w:r>
            <w:r>
              <w:rPr>
                <w:rFonts w:ascii="Calibri" w:cs="Calibri" w:eastAsia="Calibri" w:hAnsi="Calibri"/>
                <w:b w:val="false"/>
                <w:bCs w:val="false"/>
                <w:sz w:val="18"/>
                <w:szCs w:val="18"/>
              </w:rPr>
              <w:t xml:space="preserve"> (art. 214 TRLRHL; RD 424/2017). Su articulación frente al contratista </w:t>
            </w: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está impuesta por norma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la previsión contractual es lo que la hace efectiva frente a un tercero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Sistema de gestión de la inteligencia artificial (norma de gobernanza de IA)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Ninguna norma obliga a un contratista a certificarse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como condición especial de ejecución con compromiso de obtención. Se hace constar que esa certificación </w:t>
            </w: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otorga presunción de conformidad con el Reglamento de IA: la presunción corresponde a las normas armonizadas cuyas referencias se publican en el Diario Oficial (art. 40 del Reglamento)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Interfaz normalizada de acceso programático para agentes (ET-1)</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Ninguna norma la impone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con fundamento en el acuerdo del órgano de gobierno (Anexo VIII)</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Operación autónoma supervisada y su trazabilidad (ET-2 y ET-3)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Parcialmente: la trazabilidad deriva del ENS en la medida de la categoría del sistema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en lo que excede de esa medida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Depósito de código y continuidad del servicio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Ninguna norma lo impone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como previsión contractual de continuidad. Debe presentarse como previsión de nueva planta bien fundada, no como práctica consolidada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Control del uso de sistemas de IA de terceros sobre información municipal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Parcialmente: deriva del deber de confidencialidad y del régimen de encargo del tratamiento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en lo relativo a la declaración de sistemas y a la autorización previa de altas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Registro de sistemas de alto riesgo (art. 49, sección 5 del capítulo III)</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la sección 5 </w:t>
            </w: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está incluida en el aplazamiento de las secciones 1, 2 y 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Sistemas de alto riesgo </w:t>
            </w:r>
            <w:r>
              <w:rPr>
                <w:rFonts w:ascii="Calibri" w:cs="Calibri" w:eastAsia="Calibri" w:hAnsi="Calibri"/>
                <w:b/>
                <w:bCs/>
                <w:sz w:val="18"/>
                <w:szCs w:val="18"/>
              </w:rPr>
              <w:t xml:space="preserve">destinados a ser utilizados por autoridades públicas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hasta el 02/08/2030.</w:t>
            </w:r>
            <w:r>
              <w:rPr>
                <w:rFonts w:ascii="Calibri" w:cs="Calibri" w:eastAsia="Calibri" w:hAnsi="Calibri"/>
                <w:b w:val="false"/>
                <w:bCs w:val="false"/>
                <w:sz w:val="18"/>
                <w:szCs w:val="18"/>
              </w:rPr>
              <w:t xml:space="preserve"> El artículo 111, apartado 2, del Reglamento (UE) 2024/1689, en su redacción vigente, concede a proveedores y responsables del despliegue de estos sistemas plazo hasta esa fecha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el contrato exige antes de esa fecha la entrega de la documentación y de los medios que permitirán cumplir, y lo dice expresamente. Es la fila que más veces se cita mal, porque es la que más alarga el plazo real</w:t>
            </w:r>
          </w:p>
        </w:tc>
      </w:tr>
    </w:tbl>
    <w:p>
      <w:pPr>
        <w:spacing w:after="200"/>
      </w:pPr>
    </w:p>
    <w:p>
      <w:pPr>
        <w:spacing w:after="140" w:line="276"/>
      </w:pPr>
      <w:r>
        <w:rPr>
          <w:rFonts w:ascii="Calibri" w:cs="Calibri" w:eastAsia="Calibri" w:hAnsi="Calibri"/>
          <w:b/>
          <w:bCs/>
          <w:sz w:val="21"/>
          <w:szCs w:val="21"/>
        </w:rPr>
        <w:t xml:space="preserve">Regla de uso de esta tabla.</w:t>
      </w:r>
      <w:r>
        <w:rPr>
          <w:rFonts w:ascii="Calibri" w:cs="Calibri" w:eastAsia="Calibri" w:hAnsi="Calibri"/>
          <w:sz w:val="21"/>
          <w:szCs w:val="21"/>
        </w:rPr>
        <w:t xml:space="preserve"> Ninguna fila de la columna izquierda puede transcribirse a un pliego sin su fecha. Ninguna fila de la columna derecha puede presentarse como obligación legal vigente. El extracto que se transcribe al pliego de prescripciones técnicas es el del </w:t>
      </w:r>
      <w:r>
        <w:rPr>
          <w:rFonts w:ascii="Calibri" w:cs="Calibri" w:eastAsia="Calibri" w:hAnsi="Calibri"/>
          <w:b/>
          <w:bCs/>
          <w:sz w:val="21"/>
          <w:szCs w:val="21"/>
        </w:rPr>
        <w:t xml:space="preserve">anexo XIX</w:t>
      </w:r>
      <w:r>
        <w:rPr>
          <w:rFonts w:ascii="Calibri" w:cs="Calibri" w:eastAsia="Calibri" w:hAnsi="Calibri"/>
          <w:sz w:val="21"/>
          <w:szCs w:val="21"/>
        </w:rPr>
        <w:t xml:space="preserve">, no esta tabla.</w:t>
      </w:r>
    </w:p>
    <w:p>
      <w:pPr>
        <w:pStyle w:val="Heading3"/>
        <w:keepNext/>
        <w:spacing w:after="140" w:before="320"/>
      </w:pPr>
      <w:r>
        <w:rPr>
          <w:rFonts w:ascii="Georgia" w:cs="Georgia" w:eastAsia="Georgia" w:hAnsi="Georgia"/>
          <w:b/>
          <w:bCs/>
          <w:color w:val="2F5496"/>
          <w:sz w:val="22"/>
          <w:szCs w:val="22"/>
        </w:rPr>
        <w:t xml:space="preserve">XI.3 Comprobaciones pendientes antes de publicar</w:t>
      </w:r>
    </w:p>
    <w:p>
      <w:pPr>
        <w:spacing w:after="140" w:line="276"/>
      </w:pPr>
      <w:r>
        <w:rPr>
          <w:rFonts w:ascii="Calibri" w:cs="Calibri" w:eastAsia="Calibri" w:hAnsi="Calibri"/>
          <w:sz w:val="21"/>
          <w:szCs w:val="21"/>
        </w:rPr>
        <w:t xml:space="preserve">No se afirma nada que no se haya comprobado. Estas tres se encargan, no se deducen. Cuando una comprobación se cierra, se cierra: no queda como pendencia.</w:t>
      </w:r>
    </w:p>
    <w:p>
      <w:pPr>
        <w:pStyle w:val="ListParagraph"/>
        <w:numPr>
          <w:ilvl w:val="0"/>
          <w:numId w:val="2"/>
        </w:numPr>
        <w:spacing w:after="70" w:line="268"/>
      </w:pPr>
      <w:r>
        <w:rPr>
          <w:rFonts w:ascii="Calibri" w:cs="Calibri" w:eastAsia="Calibri" w:hAnsi="Calibri"/>
          <w:b/>
          <w:bCs/>
          <w:sz w:val="21"/>
          <w:szCs w:val="21"/>
        </w:rPr>
        <w:t xml:space="preserve">Alcance exacto del régimen transitorio del artículo 111</w:t>
      </w:r>
      <w:r>
        <w:rPr>
          <w:rFonts w:ascii="Calibri" w:cs="Calibri" w:eastAsia="Calibri" w:hAnsi="Calibri"/>
          <w:sz w:val="21"/>
          <w:szCs w:val="21"/>
        </w:rPr>
        <w:t xml:space="preserve"> del Reglamento (UE) 2024/1689 en su redacción vigente, sobre el texto consolidado, para los sistemas ya introducidos en el mercado antes de las fechas de aplicación. </w:t>
      </w:r>
      <w:r>
        <w:rPr>
          <w:rFonts w:ascii="Calibri" w:cs="Calibri" w:eastAsia="Calibri" w:hAnsi="Calibri"/>
          <w:i/>
          <w:iCs/>
          <w:sz w:val="21"/>
          <w:szCs w:val="21"/>
        </w:rPr>
        <w:t xml:space="preserve">(La duda sobre el artículo 49 queda resuelta y cerrada: está en la sección 5 del capítulo III y no entra en el aplazamiento, que sólo alcanza a las secciones 1, 2 y 3. Así consta en XI.1 y en la tabla de XI.2.)</w:t>
      </w:r>
    </w:p>
    <w:p>
      <w:pPr>
        <w:pStyle w:val="ListParagraph"/>
        <w:numPr>
          <w:ilvl w:val="0"/>
          <w:numId w:val="2"/>
        </w:numPr>
        <w:spacing w:after="70" w:line="268"/>
      </w:pPr>
      <w:r>
        <w:rPr>
          <w:rFonts w:ascii="Calibri" w:cs="Calibri" w:eastAsia="Calibri" w:hAnsi="Calibri"/>
          <w:b/>
          <w:bCs/>
          <w:sz w:val="21"/>
          <w:szCs w:val="21"/>
        </w:rPr>
        <w:t xml:space="preserve">Lista oficial de normas armonizadas</w:t>
      </w:r>
      <w:r>
        <w:rPr>
          <w:rFonts w:ascii="Calibri" w:cs="Calibri" w:eastAsia="Calibri" w:hAnsi="Calibri"/>
          <w:sz w:val="21"/>
          <w:szCs w:val="21"/>
        </w:rPr>
        <w:t xml:space="preserve"> del Reglamento de IA publicadas en el Diario Oficial, a la fecha de aprobación del expediente.</w:t>
      </w:r>
    </w:p>
    <w:p>
      <w:pPr>
        <w:pStyle w:val="ListParagraph"/>
        <w:numPr>
          <w:ilvl w:val="0"/>
          <w:numId w:val="2"/>
        </w:numPr>
        <w:spacing w:after="70" w:line="268"/>
      </w:pPr>
      <w:r>
        <w:rPr>
          <w:rFonts w:ascii="Calibri" w:cs="Calibri" w:eastAsia="Calibri" w:hAnsi="Calibri"/>
          <w:b/>
          <w:bCs/>
          <w:sz w:val="21"/>
          <w:szCs w:val="21"/>
        </w:rPr>
        <w:t xml:space="preserve">Vigencia de la designación de la norma de gobernanza de sistemas de gestión de IA</w:t>
      </w:r>
      <w:r>
        <w:rPr>
          <w:rFonts w:ascii="Calibri" w:cs="Calibri" w:eastAsia="Calibri" w:hAnsi="Calibri"/>
          <w:sz w:val="21"/>
          <w:szCs w:val="21"/>
        </w:rPr>
        <w:t xml:space="preserve"> antes de cada expediente. La designación está fijada en ADM-1·v3, nota al redactor, punto Sexto: </w:t>
      </w:r>
      <w:r>
        <w:rPr>
          <w:rFonts w:ascii="Calibri" w:cs="Calibri" w:eastAsia="Calibri" w:hAnsi="Calibri"/>
          <w:b/>
          <w:bCs/>
          <w:sz w:val="21"/>
          <w:szCs w:val="21"/>
        </w:rPr>
        <w:t xml:space="preserve">UNE-EN ISO/IEC 42001:2026</w:t>
      </w:r>
      <w:r>
        <w:rPr>
          <w:rFonts w:ascii="Calibri" w:cs="Calibri" w:eastAsia="Calibri" w:hAnsi="Calibri"/>
          <w:sz w:val="21"/>
          <w:szCs w:val="21"/>
        </w:rPr>
        <w:t xml:space="preserve">, edición de 8 de abril de 2026, que anula la UNE-ISO/IEC 42001:2025. Se cita en el pliego </w:t>
      </w:r>
      <w:r>
        <w:rPr>
          <w:rFonts w:ascii="Calibri" w:cs="Calibri" w:eastAsia="Calibri" w:hAnsi="Calibri"/>
          <w:b/>
          <w:bCs/>
          <w:sz w:val="21"/>
          <w:szCs w:val="21"/>
        </w:rPr>
        <w:t xml:space="preserve">con designación y año expresos y regla de referencia estática</w:t>
      </w:r>
      <w:r>
        <w:rPr>
          <w:rFonts w:ascii="Calibri" w:cs="Calibri" w:eastAsia="Calibri" w:hAnsi="Calibri"/>
          <w:sz w:val="21"/>
          <w:szCs w:val="21"/>
        </w:rPr>
        <w:t xml:space="preserve"> —nunca con la fórmula «o norma que la sustituya», que permitiría que el contenido de la obligación cambiase después de que el licitador hubiera ofertado— y con admisión de otras pruebas de medidas equivalentes (art. 93.2 LCSP).</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XII · TABLA DE CORRESPONDENCIAS v2 → v3</w:t>
      </w:r>
    </w:p>
    <w:p>
      <w:pPr>
        <w:spacing w:after="140" w:line="276"/>
      </w:pPr>
      <w:r>
        <w:rPr>
          <w:rFonts w:ascii="Calibri" w:cs="Calibri" w:eastAsia="Calibri" w:hAnsi="Calibri"/>
          <w:sz w:val="21"/>
          <w:szCs w:val="21"/>
        </w:rPr>
        <w:t xml:space="preserve">Función: que quien ya haya redactado pliegos con la versión 2 sepa exactamente qué cambia en cada cláusula que usó. </w:t>
      </w:r>
      <w:r>
        <w:rPr>
          <w:rFonts w:ascii="Calibri" w:cs="Calibri" w:eastAsia="Calibri" w:hAnsi="Calibri"/>
          <w:b/>
          <w:bCs/>
          <w:sz w:val="21"/>
          <w:szCs w:val="21"/>
        </w:rPr>
        <w:t xml:space="preserve">Los códigos se conservan cuando la cláusula subsiste, pero se escriben con versión</w:t>
      </w:r>
      <w:r>
        <w:rPr>
          <w:rFonts w:ascii="Calibri" w:cs="Calibri" w:eastAsia="Calibri" w:hAnsi="Calibri"/>
          <w:sz w:val="21"/>
          <w:szCs w:val="21"/>
        </w:rPr>
        <w:t xml:space="preserve"> —DT-7·v3, ADM-2·v3— porque el contenido no es el mismo. Un pliego que cite «ADM-2» sin versión, publicado el v3, es un pliego ambiguo.</w:t>
      </w:r>
    </w:p>
    <w:p>
      <w:pPr>
        <w:pStyle w:val="Heading3"/>
        <w:keepNext/>
        <w:spacing w:after="140" w:before="320"/>
      </w:pPr>
      <w:r>
        <w:rPr>
          <w:rFonts w:ascii="Georgia" w:cs="Georgia" w:eastAsia="Georgia" w:hAnsi="Georgia"/>
          <w:b/>
          <w:bCs/>
          <w:color w:val="2F5496"/>
          <w:sz w:val="22"/>
          <w:szCs w:val="22"/>
        </w:rPr>
        <w:t xml:space="preserve">XII.1 Cláusula por cláusula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v2</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v3</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cambia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Por qué</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debe rectificar quien redactó con v2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 · Objeto: «clausulado tipo para su incorporación transversal… con independencia del área gestora»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 §1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documento deja de ser de incorporación transversal y pasa a ser </w:t>
            </w:r>
            <w:r>
              <w:rPr>
                <w:rFonts w:ascii="Calibri" w:cs="Calibri" w:eastAsia="Calibri" w:hAnsi="Calibri"/>
                <w:b/>
                <w:bCs/>
                <w:sz w:val="18"/>
                <w:szCs w:val="18"/>
              </w:rPr>
              <w:t xml:space="preserve">catálogo de aplicación motivada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incorporación transversal produce en cada expediente una justificación por remisión, es decir, estereotipada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Añadir al expediente el informe de necesidad y la ficha firmada. Sin ellos, las cláusulas están en el pliego sin fundamento propio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 · Definiciones: «Reversibilidad»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 §5 y DT-8·v3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alinea con la delimitación del código entregable y se le añade contenido: inventario, plan, ensayo y dossier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reversibilidad sin plazo, sin inventario y sin ensayo se descubre inoperante el día que hace falta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Sustituir la definición y añadir la cláusula DT-8·v3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 · Definiciones: «Obsolescencia tecnológica»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 §5, ADM-2·v3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ancla al producto contratado y a sus </w:t>
            </w:r>
            <w:r>
              <w:rPr>
                <w:rFonts w:ascii="Calibri" w:cs="Calibri" w:eastAsia="Calibri" w:hAnsi="Calibri"/>
                <w:b/>
                <w:bCs/>
                <w:sz w:val="18"/>
                <w:szCs w:val="18"/>
              </w:rPr>
              <w:t xml:space="preserve">versiones sucesoras</w:t>
            </w:r>
            <w:r>
              <w:rPr>
                <w:rFonts w:ascii="Calibri" w:cs="Calibri" w:eastAsia="Calibri" w:hAnsi="Calibri"/>
                <w:b w:val="false"/>
                <w:bCs w:val="false"/>
                <w:sz w:val="18"/>
                <w:szCs w:val="18"/>
              </w:rPr>
              <w:t xml:space="preserve">, con la definición triple: continuidad funcional, sustitución en catálogo o ruta de migración del fabricante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definición anterior remitía a la evolución del mercado: indeterminada e inexigible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Sustituir la definición y </w:t>
            </w:r>
            <w:r>
              <w:rPr>
                <w:rFonts w:ascii="Calibri" w:cs="Calibri" w:eastAsia="Calibri" w:hAnsi="Calibri"/>
                <w:b/>
                <w:bCs/>
                <w:sz w:val="18"/>
                <w:szCs w:val="18"/>
              </w:rPr>
              <w:t xml:space="preserve">suprimir la obsolescencia como causa autónoma de resolución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 · Definiciones: «Loop Engineering», «skills / harness / loops»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XIII (glosario)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Salen del articulado. Pasan al glosario, </w:t>
            </w:r>
            <w:r>
              <w:rPr>
                <w:rFonts w:ascii="Calibri" w:cs="Calibri" w:eastAsia="Calibri" w:hAnsi="Calibri"/>
                <w:b/>
                <w:bCs/>
                <w:sz w:val="18"/>
                <w:szCs w:val="18"/>
              </w:rPr>
              <w:t xml:space="preserve">sin efectos jurídicos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Vocabulario sin definición normalizada: no sostiene criterio, penalidad ni resolución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Eliminarlos del PPT y del PCAP y del baremo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 · Definiciones: red nominada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 §5, DT-2·v3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despoja de toda carga preferencial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preferencia por una red determinada, motivada en razones territoriales, es el patrón que la doctrina de arraigo territorial rechaza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Eliminar la preferencia y toda mención excluyente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 · Marco normativo (lista única, con un protocolo entre las normas)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 §4, en tres bloques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separan normas de aplicación obligatoria, referencias técnicas del estado del arte </w:t>
            </w:r>
            <w:r>
              <w:rPr>
                <w:rFonts w:ascii="Calibri" w:cs="Calibri" w:eastAsia="Calibri" w:hAnsi="Calibri"/>
                <w:b/>
                <w:bCs/>
                <w:sz w:val="18"/>
                <w:szCs w:val="18"/>
              </w:rPr>
              <w:t xml:space="preserve">no normativas</w:t>
            </w:r>
            <w:r>
              <w:rPr>
                <w:rFonts w:ascii="Calibri" w:cs="Calibri" w:eastAsia="Calibri" w:hAnsi="Calibri"/>
                <w:b w:val="false"/>
                <w:bCs w:val="false"/>
                <w:sz w:val="18"/>
                <w:szCs w:val="18"/>
              </w:rPr>
              <w:t xml:space="preserve"> y anexo de vigencia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 protocolo de gobernanza privada no es norma en el sentido del art. 125 LCSP. Citarlo entre las normas es lo primero que subraya el abogado de un licitador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Reordenar el marco normativo del PPT y retirar el protocolo de la lista de normas</w:t>
            </w:r>
          </w:p>
        </w:tc>
      </w:tr>
      <w:tr>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(Inexistente en v2)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DT-0·v3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Nueva</w:t>
            </w:r>
            <w:r>
              <w:rPr>
                <w:rFonts w:ascii="Calibri" w:cs="Calibri" w:eastAsia="Calibri" w:hAnsi="Calibri"/>
                <w:b w:val="false"/>
                <w:bCs w:val="false"/>
                <w:sz w:val="18"/>
                <w:szCs w:val="18"/>
              </w:rPr>
              <w:t xml:space="preserve">: régimen de equivalencia, definición, prueba en la oferta, motivación del rechazo y excepción de los servicios comunes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definición ni trámite, el rechazo de un equivalente es discrecional y la aceptación, arbitraria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Incorporarla. Es la cláusula que sostiene todas las demás referencias técnicas del pliego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DT-1</w:t>
            </w:r>
            <w:r>
              <w:rPr>
                <w:rFonts w:ascii="Calibri" w:cs="Calibri" w:eastAsia="Calibri" w:hAnsi="Calibri"/>
                <w:b w:val="false"/>
                <w:bCs w:val="false"/>
                <w:sz w:val="18"/>
                <w:szCs w:val="18"/>
              </w:rPr>
              <w:t xml:space="preserve"> IA, IA generativa y agentes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suprime la facultad de requerir lo «necesario </w:t>
            </w:r>
            <w:r>
              <w:rPr>
                <w:rFonts w:ascii="Calibri" w:cs="Calibri" w:eastAsia="Calibri" w:hAnsi="Calibri"/>
                <w:b/>
                <w:bCs/>
                <w:sz w:val="18"/>
                <w:szCs w:val="18"/>
              </w:rPr>
              <w:t xml:space="preserve">o conveniente</w:t>
            </w:r>
            <w:r>
              <w:rPr>
                <w:rFonts w:ascii="Calibri" w:cs="Calibri" w:eastAsia="Calibri" w:hAnsi="Calibri"/>
                <w:b w:val="false"/>
                <w:bCs w:val="false"/>
                <w:sz w:val="18"/>
                <w:szCs w:val="18"/>
              </w:rPr>
              <w:t xml:space="preserve">»; se añade el reparto de papeles proveedor / responsable del despliegue y el bloque de decisiones automatizadas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facultad abierta es obligación de contenido indeterminado. Y v2 trasladaba al adjudicatario obligaciones que corresponden al Ayuntamiento y son indelegables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Sustituir el texto entero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DT-2</w:t>
            </w:r>
            <w:r>
              <w:rPr>
                <w:rFonts w:ascii="Calibri" w:cs="Calibri" w:eastAsia="Calibri" w:hAnsi="Calibri"/>
                <w:b w:val="false"/>
                <w:bCs w:val="false"/>
                <w:sz w:val="18"/>
                <w:szCs w:val="18"/>
              </w:rPr>
              <w:t xml:space="preserve"> Blockchain/DLT e integración con red nominada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DT-2·v3</w:t>
            </w:r>
            <w:r>
              <w:rPr>
                <w:rFonts w:ascii="Calibri" w:cs="Calibri" w:eastAsia="Calibri" w:hAnsi="Calibri"/>
                <w:b w:val="false"/>
                <w:bCs w:val="false"/>
                <w:sz w:val="18"/>
                <w:szCs w:val="18"/>
              </w:rPr>
              <w:t xml:space="preserve"> Capa de confianza · </w:t>
            </w:r>
            <w:r>
              <w:rPr>
                <w:rFonts w:ascii="Calibri" w:cs="Calibri" w:eastAsia="Calibri" w:hAnsi="Calibri"/>
                <w:b/>
                <w:bCs/>
                <w:sz w:val="18"/>
                <w:szCs w:val="18"/>
              </w:rPr>
              <w:t xml:space="preserve">NO APLICA por defecto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elimina la preferencia, la motivación territorial y el inciso «salvo justificación motivada en el expediente». Se reformula por capacidades funcionales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inciso permitía a cualquier ayuntamiento convertir la cláusula en excluyente, y basta uno para marcar el modelo entero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Marcarla NO APLICA salvo necesidad acreditada, y </w:t>
            </w:r>
            <w:r>
              <w:rPr>
                <w:rFonts w:ascii="Calibri" w:cs="Calibri" w:eastAsia="Calibri" w:hAnsi="Calibri"/>
                <w:b/>
                <w:bCs/>
                <w:sz w:val="18"/>
                <w:szCs w:val="18"/>
              </w:rPr>
              <w:t xml:space="preserve">suprimir el criterio del baremo que la puntuaba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DT-3</w:t>
            </w:r>
            <w:r>
              <w:rPr>
                <w:rFonts w:ascii="Calibri" w:cs="Calibri" w:eastAsia="Calibri" w:hAnsi="Calibri"/>
                <w:b w:val="false"/>
                <w:bCs w:val="false"/>
                <w:sz w:val="18"/>
                <w:szCs w:val="18"/>
              </w:rPr>
              <w:t xml:space="preserve"> Preparación cuántica y post-cuántica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DT-3·v3</w:t>
            </w:r>
            <w:r>
              <w:rPr>
                <w:rFonts w:ascii="Calibri" w:cs="Calibri" w:eastAsia="Calibri" w:hAnsi="Calibri"/>
                <w:b w:val="false"/>
                <w:bCs w:val="false"/>
                <w:sz w:val="18"/>
                <w:szCs w:val="18"/>
              </w:rPr>
              <w:t xml:space="preserve"> · </w:t>
            </w:r>
            <w:r>
              <w:rPr>
                <w:rFonts w:ascii="Calibri" w:cs="Calibri" w:eastAsia="Calibri" w:hAnsi="Calibri"/>
                <w:b/>
                <w:bCs/>
                <w:sz w:val="18"/>
                <w:szCs w:val="18"/>
              </w:rPr>
              <w:t xml:space="preserve">NO APLICA por defecto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Sale del baremo. Queda como requisito funcional activable, con prelación de normas europeas e internacionales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Puntuar preparación cuántica en un contrato ordinario es exigencia sin necesidad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Marcarla NO APLICA y suprimir su criterio del baremo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DT-4</w:t>
            </w:r>
            <w:r>
              <w:rPr>
                <w:rFonts w:ascii="Calibri" w:cs="Calibri" w:eastAsia="Calibri" w:hAnsi="Calibri"/>
                <w:b w:val="false"/>
                <w:bCs w:val="false"/>
                <w:sz w:val="18"/>
                <w:szCs w:val="18"/>
              </w:rPr>
              <w:t xml:space="preserve"> Automatización, RPA, hiperautomatización y Loop Engineering</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sustituye el vocabulario por </w:t>
            </w:r>
            <w:r>
              <w:rPr>
                <w:rFonts w:ascii="Calibri" w:cs="Calibri" w:eastAsia="Calibri" w:hAnsi="Calibri"/>
                <w:b/>
                <w:bCs/>
                <w:sz w:val="18"/>
                <w:szCs w:val="18"/>
              </w:rPr>
              <w:t xml:space="preserve">lista cerrada y numerada de procesos</w:t>
            </w:r>
            <w:r>
              <w:rPr>
                <w:rFonts w:ascii="Calibri" w:cs="Calibri" w:eastAsia="Calibri" w:hAnsi="Calibri"/>
                <w:b w:val="false"/>
                <w:bCs w:val="false"/>
                <w:sz w:val="18"/>
                <w:szCs w:val="18"/>
              </w:rPr>
              <w:t xml:space="preserve"> publicada en el 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Inverificable en procedimiento contradictorio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Sustituir el texto y publicar la lista de procesos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DT-5</w:t>
            </w:r>
            <w:r>
              <w:rPr>
                <w:rFonts w:ascii="Calibri" w:cs="Calibri" w:eastAsia="Calibri" w:hAnsi="Calibri"/>
                <w:b w:val="false"/>
                <w:bCs w:val="false"/>
                <w:sz w:val="18"/>
                <w:szCs w:val="18"/>
              </w:rPr>
              <w:t xml:space="preserve"> Interoperabilidad, APIs abiertas y soberanía del dato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DT-5·v3</w:t>
            </w:r>
            <w:r>
              <w:rPr>
                <w:rFonts w:ascii="Calibri" w:cs="Calibri" w:eastAsia="Calibri" w:hAnsi="Calibri"/>
                <w:b w:val="false"/>
                <w:bCs w:val="false"/>
                <w:sz w:val="18"/>
                <w:szCs w:val="18"/>
              </w:rPr>
              <w:t xml:space="preserve"> + </w:t>
            </w:r>
            <w:r>
              <w:rPr>
                <w:rFonts w:ascii="Calibri" w:cs="Calibri" w:eastAsia="Calibri" w:hAnsi="Calibri"/>
                <w:b/>
                <w:bCs/>
                <w:sz w:val="18"/>
                <w:szCs w:val="18"/>
              </w:rPr>
              <w:t xml:space="preserve">DT-8·v3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corrige el «o equivalente» aplicado a los servicios comunes de obligada utilización; el guion de reversibilidad se extrae a DT-8·v3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Añadir «o equivalente» a un servicio de obligada utilización </w:t>
            </w:r>
            <w:r>
              <w:rPr>
                <w:rFonts w:ascii="Calibri" w:cs="Calibri" w:eastAsia="Calibri" w:hAnsi="Calibri"/>
                <w:b/>
                <w:bCs/>
                <w:sz w:val="18"/>
                <w:szCs w:val="18"/>
              </w:rPr>
              <w:t xml:space="preserve">debilita</w:t>
            </w:r>
            <w:r>
              <w:rPr>
                <w:rFonts w:ascii="Calibri" w:cs="Calibri" w:eastAsia="Calibri" w:hAnsi="Calibri"/>
                <w:b w:val="false"/>
                <w:bCs w:val="false"/>
                <w:sz w:val="18"/>
                <w:szCs w:val="18"/>
              </w:rPr>
              <w:t xml:space="preserve"> la exigencia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Corregir la excepción y trasladar el guion de reversibilidad</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DT-6</w:t>
            </w:r>
            <w:r>
              <w:rPr>
                <w:rFonts w:ascii="Calibri" w:cs="Calibri" w:eastAsia="Calibri" w:hAnsi="Calibri"/>
                <w:b w:val="false"/>
                <w:bCs w:val="false"/>
                <w:sz w:val="18"/>
                <w:szCs w:val="18"/>
              </w:rPr>
              <w:t xml:space="preserve"> Seguridad (ENS </w:t>
            </w:r>
            <w:r>
              <w:rPr>
                <w:rFonts w:ascii="Calibri" w:cs="Calibri" w:eastAsia="Calibri" w:hAnsi="Calibri"/>
                <w:b/>
                <w:bCs/>
                <w:sz w:val="18"/>
                <w:szCs w:val="18"/>
              </w:rPr>
              <w:t xml:space="preserve">Nivel Alto</w:t>
            </w: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DT-6·v3</w:t>
            </w:r>
            <w:r>
              <w:rPr>
                <w:rFonts w:ascii="Calibri" w:cs="Calibri" w:eastAsia="Calibri" w:hAnsi="Calibri"/>
                <w:b w:val="false"/>
                <w:bCs w:val="false"/>
                <w:sz w:val="18"/>
                <w:szCs w:val="18"/>
              </w:rPr>
              <w:t xml:space="preserve"> Seguridad conforme al ENS </w:t>
            </w:r>
            <w:r>
              <w:rPr>
                <w:rFonts w:ascii="Calibri" w:cs="Calibri" w:eastAsia="Calibri" w:hAnsi="Calibri"/>
                <w:b/>
                <w:bCs/>
                <w:sz w:val="18"/>
                <w:szCs w:val="18"/>
              </w:rPr>
              <w:t xml:space="preserve">en la categoría que corresponda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Cambia la rúbrica y se exige consignar y </w:t>
            </w:r>
            <w:r>
              <w:rPr>
                <w:rFonts w:ascii="Calibri" w:cs="Calibri" w:eastAsia="Calibri" w:hAnsi="Calibri"/>
                <w:b/>
                <w:bCs/>
                <w:sz w:val="18"/>
                <w:szCs w:val="18"/>
              </w:rPr>
              <w:t xml:space="preserve">justificar en la memoria</w:t>
            </w:r>
            <w:r>
              <w:rPr>
                <w:rFonts w:ascii="Calibri" w:cs="Calibri" w:eastAsia="Calibri" w:hAnsi="Calibri"/>
                <w:b w:val="false"/>
                <w:bCs w:val="false"/>
                <w:sz w:val="18"/>
                <w:szCs w:val="18"/>
              </w:rPr>
              <w:t xml:space="preserve"> la categoría del anexo I del RD 311/2022 antes de aprobar el pliego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 el supuesto exacto de la Res. TACP Madrid 383/2024, que anuló los pliegos de un ayuntamiento por exigir el nivel alto sin justificación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Prioridad máxima.</w:t>
            </w:r>
            <w:r>
              <w:rPr>
                <w:rFonts w:ascii="Calibri" w:cs="Calibri" w:eastAsia="Calibri" w:hAnsi="Calibri"/>
                <w:b w:val="false"/>
                <w:bCs w:val="false"/>
                <w:sz w:val="18"/>
                <w:szCs w:val="18"/>
              </w:rPr>
              <w:t xml:space="preserve"> Cambiar la rúbrica, consignar la categoría y justificarla en la memoria del expediente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DT-7</w:t>
            </w:r>
            <w:r>
              <w:rPr>
                <w:rFonts w:ascii="Calibri" w:cs="Calibri" w:eastAsia="Calibri" w:hAnsi="Calibri"/>
                <w:b w:val="false"/>
                <w:bCs w:val="false"/>
                <w:sz w:val="18"/>
                <w:szCs w:val="18"/>
              </w:rPr>
              <w:t xml:space="preserve"> Servidor [protocolo] por cada plataforma y ERP</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DT-7·v3</w:t>
            </w:r>
            <w:r>
              <w:rPr>
                <w:rFonts w:ascii="Calibri" w:cs="Calibri" w:eastAsia="Calibri" w:hAnsi="Calibri"/>
                <w:b w:val="false"/>
                <w:bCs w:val="false"/>
                <w:sz w:val="18"/>
                <w:szCs w:val="18"/>
              </w:rPr>
              <w:t xml:space="preserve"> Interfaz normalizada de acceso programático para agentes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Obligación formulada por función; ámbito modulado a los módulos del catálogo; se suprime el inciso que remitía a mayor puntuación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Obligación definida por el nombre de un protocolo privado, sin equivalentes, y con ámbito universal desvinculado del objeto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Sustituir el texto entero, acotar el ámbito y suprimir el inciso de puntuación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(Inexistente en v2)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DT-8·v3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Nueva</w:t>
            </w:r>
            <w:r>
              <w:rPr>
                <w:rFonts w:ascii="Calibri" w:cs="Calibri" w:eastAsia="Calibri" w:hAnsi="Calibri"/>
                <w:b w:val="false"/>
                <w:bCs w:val="false"/>
                <w:sz w:val="18"/>
                <w:szCs w:val="18"/>
              </w:rPr>
              <w:t xml:space="preserve">: reversibilidad con inventario de componentes, licencia transitoria, plan, ensayo real y dossier reutilizable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 la cláusula con más valor económico real y la que v2 dejaba en una promesa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Incorporarla</w:t>
            </w:r>
          </w:p>
        </w:tc>
      </w:tr>
      <w:tr>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(Inexistente en v2)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DT-9·v3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Nueva</w:t>
            </w:r>
            <w:r>
              <w:rPr>
                <w:rFonts w:ascii="Calibri" w:cs="Calibri" w:eastAsia="Calibri" w:hAnsi="Calibri"/>
                <w:b w:val="false"/>
                <w:bCs w:val="false"/>
                <w:sz w:val="18"/>
                <w:szCs w:val="18"/>
              </w:rPr>
              <w:t xml:space="preserve">: exigencias tecnológicas determinadas del ejercicio, con remisión al catálogo transcrito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Sustituye la obligación abierta de evolución por una obligación determinada, valorable y exigible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Incorporarla y transcribir el catálogo en el PPT</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w:t>
            </w:r>
            <w:r>
              <w:rPr>
                <w:rFonts w:ascii="Calibri" w:cs="Calibri" w:eastAsia="Calibri" w:hAnsi="Calibri"/>
                <w:b w:val="false"/>
                <w:bCs w:val="false"/>
                <w:sz w:val="18"/>
                <w:szCs w:val="18"/>
              </w:rPr>
              <w:t xml:space="preserve"> Solvencia y certificaciones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norma de gobernanza de IA </w:t>
            </w:r>
            <w:r>
              <w:rPr>
                <w:rFonts w:ascii="Calibri" w:cs="Calibri" w:eastAsia="Calibri" w:hAnsi="Calibri"/>
                <w:b/>
                <w:bCs/>
                <w:sz w:val="18"/>
                <w:szCs w:val="18"/>
              </w:rPr>
              <w:t xml:space="preserve">sale del baremo</w:t>
            </w:r>
            <w:r>
              <w:rPr>
                <w:rFonts w:ascii="Calibri" w:cs="Calibri" w:eastAsia="Calibri" w:hAnsi="Calibri"/>
                <w:b w:val="false"/>
                <w:bCs w:val="false"/>
                <w:sz w:val="18"/>
                <w:szCs w:val="18"/>
              </w:rPr>
              <w:t xml:space="preserve"> y vive aquí: solvencia sólo en contratos armonizados, o —preferente— condición especial de ejecución con compromiso de obtención. Designación con año y «o equivalente»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Puntuar una certificación valora una característica de la empresa, no de la prestación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Retirar la certificación del baremo y reubicarla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ADM-2</w:t>
            </w:r>
            <w:r>
              <w:rPr>
                <w:rFonts w:ascii="Calibri" w:cs="Calibri" w:eastAsia="Calibri" w:hAnsi="Calibri"/>
                <w:b w:val="false"/>
                <w:bCs w:val="false"/>
                <w:sz w:val="18"/>
                <w:szCs w:val="18"/>
              </w:rPr>
              <w:t xml:space="preserve"> CEE: compromiso de evolución tecnológica continua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suprimen «</w:t>
            </w:r>
            <w:r>
              <w:rPr>
                <w:rFonts w:ascii="Calibri" w:cs="Calibri" w:eastAsia="Calibri" w:hAnsi="Calibri"/>
                <w:b/>
                <w:bCs/>
                <w:sz w:val="18"/>
                <w:szCs w:val="18"/>
              </w:rPr>
              <w:t xml:space="preserve">o convenientes</w:t>
            </w:r>
            <w:r>
              <w:rPr>
                <w:rFonts w:ascii="Calibri" w:cs="Calibri" w:eastAsia="Calibri" w:hAnsi="Calibri"/>
                <w:b w:val="false"/>
                <w:bCs w:val="false"/>
                <w:sz w:val="18"/>
                <w:szCs w:val="18"/>
              </w:rPr>
              <w:t xml:space="preserve">» y «las tecnologías que el Ayuntamiento determine»; alcance </w:t>
            </w:r>
            <w:r>
              <w:rPr>
                <w:rFonts w:ascii="Calibri" w:cs="Calibri" w:eastAsia="Calibri" w:hAnsi="Calibri"/>
                <w:b/>
                <w:bCs/>
                <w:sz w:val="18"/>
                <w:szCs w:val="18"/>
              </w:rPr>
              <w:t xml:space="preserve">cerrado al catálogo</w:t>
            </w:r>
            <w:r>
              <w:rPr>
                <w:rFonts w:ascii="Calibri" w:cs="Calibri" w:eastAsia="Calibri" w:hAnsi="Calibri"/>
                <w:b w:val="false"/>
                <w:bCs w:val="false"/>
                <w:sz w:val="18"/>
                <w:szCs w:val="18"/>
              </w:rPr>
              <w:t xml:space="preserve">; hechos desencadenantes tasados; acreditación por medios tasados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Obligación de contenido indeterminado: el licitador no puede valorarla y el Ayuntamiento no puede exigirla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Sustituir el texto entero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ADM-3</w:t>
            </w:r>
            <w:r>
              <w:rPr>
                <w:rFonts w:ascii="Calibri" w:cs="Calibri" w:eastAsia="Calibri" w:hAnsi="Calibri"/>
                <w:b w:val="false"/>
                <w:bCs w:val="false"/>
                <w:sz w:val="18"/>
                <w:szCs w:val="18"/>
              </w:rPr>
              <w:t xml:space="preserve"> Plazo de adaptación (≤12 meses) y Plan Anual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ADM-3·v3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suprimen «dentro del </w:t>
            </w:r>
            <w:r>
              <w:rPr>
                <w:rFonts w:ascii="Calibri" w:cs="Calibri" w:eastAsia="Calibri" w:hAnsi="Calibri"/>
                <w:b/>
                <w:bCs/>
                <w:sz w:val="18"/>
                <w:szCs w:val="18"/>
              </w:rPr>
              <w:t xml:space="preserve">alcance razonable</w:t>
            </w:r>
            <w:r>
              <w:rPr>
                <w:rFonts w:ascii="Calibri" w:cs="Calibri" w:eastAsia="Calibri" w:hAnsi="Calibri"/>
                <w:b w:val="false"/>
                <w:bCs w:val="false"/>
                <w:sz w:val="18"/>
                <w:szCs w:val="18"/>
              </w:rPr>
              <w:t xml:space="preserve">» y «salvo que se fije motivadamente un plazo inferior». Se añade la bolsa de servicios evolutivos con anclaje en el art. 308.3 LCSP y precio por unidades de actividad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Dos conceptos indeterminados en la cláusula que sostiene la penalidad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Sustituir el texto. </w:t>
            </w:r>
            <w:r>
              <w:rPr>
                <w:rFonts w:ascii="Calibri" w:cs="Calibri" w:eastAsia="Calibri" w:hAnsi="Calibri"/>
                <w:b/>
                <w:bCs/>
                <w:sz w:val="18"/>
                <w:szCs w:val="18"/>
              </w:rPr>
              <w:t xml:space="preserve">Y comprobar en qué pliego está</w:t>
            </w:r>
            <w:r>
              <w:rPr>
                <w:rFonts w:ascii="Calibri" w:cs="Calibri" w:eastAsia="Calibri" w:hAnsi="Calibri"/>
                <w:b w:val="false"/>
                <w:bCs w:val="false"/>
                <w:sz w:val="18"/>
                <w:szCs w:val="18"/>
              </w:rPr>
              <w:t xml:space="preserve">: si el requerimiento de adaptación quedó en el PPT, trasladarlo al PCAP</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ADM-4</w:t>
            </w:r>
            <w:r>
              <w:rPr>
                <w:rFonts w:ascii="Calibri" w:cs="Calibri" w:eastAsia="Calibri" w:hAnsi="Calibri"/>
                <w:b w:val="false"/>
                <w:bCs w:val="false"/>
                <w:sz w:val="18"/>
                <w:szCs w:val="18"/>
              </w:rPr>
              <w:t xml:space="preserve"> Seguimiento, Comisión y auditoría anual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conserva y se le añade </w:t>
            </w:r>
            <w:r>
              <w:rPr>
                <w:rFonts w:ascii="Calibri" w:cs="Calibri" w:eastAsia="Calibri" w:hAnsi="Calibri"/>
                <w:b/>
                <w:bCs/>
                <w:sz w:val="18"/>
                <w:szCs w:val="18"/>
              </w:rPr>
              <w:t xml:space="preserve">valor probatorio</w:t>
            </w:r>
            <w:r>
              <w:rPr>
                <w:rFonts w:ascii="Calibri" w:cs="Calibri" w:eastAsia="Calibri" w:hAnsi="Calibri"/>
                <w:b w:val="false"/>
                <w:bCs w:val="false"/>
                <w:sz w:val="18"/>
                <w:szCs w:val="18"/>
              </w:rPr>
              <w:t xml:space="preserve">: sus actas son medio tasado de acreditación y fechan los hitos que pueden ser esenciales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valor probatorio, la Comisión es una reunión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Añadir el apartado de valor probatorio y la periodicidad</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ADM-5</w:t>
            </w:r>
            <w:r>
              <w:rPr>
                <w:rFonts w:ascii="Calibri" w:cs="Calibri" w:eastAsia="Calibri" w:hAnsi="Calibri"/>
                <w:b w:val="false"/>
                <w:bCs w:val="false"/>
                <w:sz w:val="18"/>
                <w:szCs w:val="18"/>
              </w:rPr>
              <w:t xml:space="preserve"> Penalidades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ADM-5·v3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Cuadro tipificado por </w:t>
            </w:r>
            <w:r>
              <w:rPr>
                <w:rFonts w:ascii="Calibri" w:cs="Calibri" w:eastAsia="Calibri" w:hAnsi="Calibri"/>
                <w:b/>
                <w:bCs/>
                <w:sz w:val="18"/>
                <w:szCs w:val="18"/>
              </w:rPr>
              <w:t xml:space="preserve">hechos verificables</w:t>
            </w:r>
            <w:r>
              <w:rPr>
                <w:rFonts w:ascii="Calibri" w:cs="Calibri" w:eastAsia="Calibri" w:hAnsi="Calibri"/>
                <w:b w:val="false"/>
                <w:bCs w:val="false"/>
                <w:sz w:val="18"/>
                <w:szCs w:val="18"/>
              </w:rPr>
              <w:t xml:space="preserve">. Se suprime la penalidad por «falta de la demostración exigida». Se conservan los límites del art. 192.1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demostración es fase de licitación, no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Suprimir esa fila y depurar el cuadro con la tabla de dependencias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ADM-6</w:t>
            </w:r>
            <w:r>
              <w:rPr>
                <w:rFonts w:ascii="Calibri" w:cs="Calibri" w:eastAsia="Calibri" w:hAnsi="Calibri"/>
                <w:b w:val="false"/>
                <w:bCs w:val="false"/>
                <w:sz w:val="18"/>
                <w:szCs w:val="18"/>
              </w:rPr>
              <w:t xml:space="preserve"> Obligaciones esenciales y resolución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dejan de calificar conceptos y se califican </w:t>
            </w:r>
            <w:r>
              <w:rPr>
                <w:rFonts w:ascii="Calibri" w:cs="Calibri" w:eastAsia="Calibri" w:hAnsi="Calibri"/>
                <w:b/>
                <w:bCs/>
                <w:sz w:val="18"/>
                <w:szCs w:val="18"/>
              </w:rPr>
              <w:t xml:space="preserve">incumplimientos tasados</w:t>
            </w:r>
            <w:r>
              <w:rPr>
                <w:rFonts w:ascii="Calibri" w:cs="Calibri" w:eastAsia="Calibri" w:hAnsi="Calibri"/>
                <w:b w:val="false"/>
                <w:bCs w:val="false"/>
                <w:sz w:val="18"/>
                <w:szCs w:val="18"/>
              </w:rPr>
              <w:t xml:space="preserve">, en lista cerrada, con el bloque </w:t>
            </w:r>
            <w:r>
              <w:rPr>
                <w:rFonts w:ascii="Calibri" w:cs="Calibri" w:eastAsia="Calibri" w:hAnsi="Calibri"/>
                <w:b w:val="false"/>
                <w:bCs w:val="false"/>
                <w:i/>
                <w:iCs/>
                <w:sz w:val="18"/>
                <w:szCs w:val="18"/>
              </w:rPr>
              <w:t xml:space="preserve">ex lege</w:t>
            </w:r>
            <w:r>
              <w:rPr>
                <w:rFonts w:ascii="Calibri" w:cs="Calibri" w:eastAsia="Calibri" w:hAnsi="Calibri"/>
                <w:b w:val="false"/>
                <w:bCs w:val="false"/>
                <w:sz w:val="18"/>
                <w:szCs w:val="18"/>
              </w:rPr>
              <w:t xml:space="preserve"> </w:t>
            </w:r>
            <w:r>
              <w:rPr>
                <w:rFonts w:ascii="Calibri" w:cs="Calibri" w:eastAsia="Calibri" w:hAnsi="Calibri"/>
                <w:b/>
                <w:bCs/>
                <w:sz w:val="18"/>
                <w:szCs w:val="18"/>
              </w:rPr>
              <w:t xml:space="preserve">condicionado</w:t>
            </w:r>
            <w:r>
              <w:rPr>
                <w:rFonts w:ascii="Calibri" w:cs="Calibri" w:eastAsia="Calibri" w:hAnsi="Calibri"/>
                <w:b w:val="false"/>
                <w:bCs w:val="false"/>
                <w:sz w:val="18"/>
                <w:szCs w:val="18"/>
              </w:rPr>
              <w:t xml:space="preserve"> a que concurran sus supuestos, y con cláusula de cierre redactada como «ninguna otra de las obligaciones incorporadas en virtud del catálogo [denominación y versión]…», con identificación expresa del catálogo y no con la fórmula «de este clausulado»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art. 211.1.f).2.º exige enumeración precisa, clara e inequívoca y declara inadmisibles las cláusulas de tipo general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Sustituir el texto entero. </w:t>
            </w:r>
            <w:r>
              <w:rPr>
                <w:rFonts w:ascii="Calibri" w:cs="Calibri" w:eastAsia="Calibri" w:hAnsi="Calibri"/>
                <w:b/>
                <w:bCs/>
                <w:sz w:val="18"/>
                <w:szCs w:val="18"/>
              </w:rPr>
              <w:t xml:space="preserve">Cuidado con la cláusula de cierre</w:t>
            </w:r>
            <w:r>
              <w:rPr>
                <w:rFonts w:ascii="Calibri" w:cs="Calibri" w:eastAsia="Calibri" w:hAnsi="Calibri"/>
                <w:b w:val="false"/>
                <w:bCs w:val="false"/>
                <w:sz w:val="18"/>
                <w:szCs w:val="18"/>
              </w:rPr>
              <w:t xml:space="preserve">: copiada literalmente al PCAP afectaría a otras obligaciones esenciales del pliego ajenas a este catálogo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ADM-6</w:t>
            </w:r>
            <w:r>
              <w:rPr>
                <w:rFonts w:ascii="Calibri" w:cs="Calibri" w:eastAsia="Calibri" w:hAnsi="Calibri"/>
                <w:b w:val="false"/>
                <w:bCs w:val="false"/>
                <w:sz w:val="18"/>
                <w:szCs w:val="18"/>
              </w:rPr>
              <w:t xml:space="preserve"> · párrafo «Obsolescencia tecnológica» como causa de resolución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Suprimido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resolución opera sobre incumplimientos tasados, previa audiencia y requerimiento, y sólo cuando el perjuicio de resolver no supere el de mantener 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resolución no es una penalidad, y la obsolescencia así definida no es un hecho verificable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Suprimir el párrafo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ADM-7</w:t>
            </w:r>
            <w:r>
              <w:rPr>
                <w:rFonts w:ascii="Calibri" w:cs="Calibri" w:eastAsia="Calibri" w:hAnsi="Calibri"/>
                <w:b w:val="false"/>
                <w:bCs w:val="false"/>
                <w:sz w:val="18"/>
                <w:szCs w:val="18"/>
              </w:rPr>
              <w:t xml:space="preserve"> Criterios de adjudicación y baremo Deep Tech (100 puntos)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ADM-7·v3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 de separación de instrumentos; supresión de la categoría «Mixto»; supresión de toda puntuación de la tenencia previa; baremo </w:t>
            </w:r>
            <w:r>
              <w:rPr>
                <w:rFonts w:ascii="Calibri" w:cs="Calibri" w:eastAsia="Calibri" w:hAnsi="Calibri"/>
                <w:b/>
                <w:bCs/>
                <w:sz w:val="18"/>
                <w:szCs w:val="18"/>
              </w:rPr>
              <w:t xml:space="preserve">con el precio y los criterios funcionales dentro</w:t>
            </w:r>
            <w:r>
              <w:rPr>
                <w:rFonts w:ascii="Calibri" w:cs="Calibri" w:eastAsia="Calibri" w:hAnsi="Calibri"/>
                <w:b w:val="false"/>
                <w:bCs w:val="false"/>
                <w:sz w:val="18"/>
                <w:szCs w:val="18"/>
              </w:rPr>
              <w:t xml:space="preserve">; tres variantes según el procedimiento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 baremo de 100 puntos en el que ningún punto valora la prestación es indefendible; y «Mixto» no existe en la ley</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Rehacer el baremo entero.</w:t>
            </w:r>
            <w:r>
              <w:rPr>
                <w:rFonts w:ascii="Calibri" w:cs="Calibri" w:eastAsia="Calibri" w:hAnsi="Calibri"/>
                <w:b w:val="false"/>
                <w:bCs w:val="false"/>
                <w:sz w:val="18"/>
                <w:szCs w:val="18"/>
              </w:rPr>
              <w:t xml:space="preserve"> No es un ajuste de pesos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ADM-8</w:t>
            </w:r>
            <w:r>
              <w:rPr>
                <w:rFonts w:ascii="Calibri" w:cs="Calibri" w:eastAsia="Calibri" w:hAnsi="Calibri"/>
                <w:b w:val="false"/>
                <w:bCs w:val="false"/>
                <w:sz w:val="18"/>
                <w:szCs w:val="18"/>
              </w:rPr>
              <w:t xml:space="preserve"> Propiedad intelectual, reversibilidad y no dependencia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ADM-8·v3</w:t>
            </w:r>
            <w:r>
              <w:rPr>
                <w:rFonts w:ascii="Calibri" w:cs="Calibri" w:eastAsia="Calibri" w:hAnsi="Calibri"/>
                <w:b w:val="false"/>
                <w:bCs w:val="false"/>
                <w:sz w:val="18"/>
                <w:szCs w:val="18"/>
              </w:rPr>
              <w:t xml:space="preserve"> (+ DT-8·v3)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Cesión con tiempo, ámbito territorial y modalidades; código fuente </w:t>
            </w:r>
            <w:r>
              <w:rPr>
                <w:rFonts w:ascii="Calibri" w:cs="Calibri" w:eastAsia="Calibri" w:hAnsi="Calibri"/>
                <w:b/>
                <w:bCs/>
                <w:sz w:val="18"/>
                <w:szCs w:val="18"/>
              </w:rPr>
              <w:t xml:space="preserve">y objeto</w:t>
            </w:r>
            <w:r>
              <w:rPr>
                <w:rFonts w:ascii="Calibri" w:cs="Calibri" w:eastAsia="Calibri" w:hAnsi="Calibri"/>
                <w:b w:val="false"/>
                <w:bCs w:val="false"/>
                <w:sz w:val="18"/>
                <w:szCs w:val="18"/>
              </w:rPr>
              <w:t xml:space="preserve">; reserva de derechos morales; licencia mínima supletoria dimensionada para el uso municipal; reutilización limitada a los elementos de titularidad municipal, salvo pacto expreso sobre el producto base; delimitación de lo que no se cede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esas menciones la cesión queda limitada a cinco años y al territorio de la cesión (art. 43.2 TRLPI), y no queda garantizado el uso municipal durante la vigencia y la reversión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Sustituir el párrafo primero y añadir la delimitación</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ADM-9</w:t>
            </w:r>
            <w:r>
              <w:rPr>
                <w:rFonts w:ascii="Calibri" w:cs="Calibri" w:eastAsia="Calibri" w:hAnsi="Calibri"/>
                <w:b w:val="false"/>
                <w:bCs w:val="false"/>
                <w:sz w:val="18"/>
                <w:szCs w:val="18"/>
              </w:rPr>
              <w:t xml:space="preserve"> Demostración de capacidades a fecha de licitación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ADM-9·v3</w:t>
            </w:r>
            <w:r>
              <w:rPr>
                <w:rFonts w:ascii="Calibri" w:cs="Calibri" w:eastAsia="Calibri" w:hAnsi="Calibri"/>
                <w:b w:val="false"/>
                <w:bCs w:val="false"/>
                <w:sz w:val="18"/>
                <w:szCs w:val="18"/>
              </w:rPr>
              <w:t xml:space="preserve"> Verificación mediante demostración funcional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Cambia el objeto y el efecto: de «enséñeme lo que tiene» a comprobar la exactitud de lo declarado por escrito. </w:t>
            </w:r>
            <w:r>
              <w:rPr>
                <w:rFonts w:ascii="Calibri" w:cs="Calibri" w:eastAsia="Calibri" w:hAnsi="Calibri"/>
                <w:b/>
                <w:bCs/>
                <w:sz w:val="18"/>
                <w:szCs w:val="18"/>
              </w:rPr>
              <w:t xml:space="preserve">No reparte puntos</w:t>
            </w:r>
            <w:r>
              <w:rPr>
                <w:rFonts w:ascii="Calibri" w:cs="Calibri" w:eastAsia="Calibri" w:hAnsi="Calibri"/>
                <w:b w:val="false"/>
                <w:bCs w:val="false"/>
                <w:sz w:val="18"/>
                <w:szCs w:val="18"/>
              </w:rPr>
              <w:t xml:space="preserve">: sólo confirma o retira los ya asignados a la memoria técnica. Momento procedimental imperativo, relación cerrada y numerada de elementos verificables publicada, acta detallada con las columnas «declarado / acreditado / no acreditado / evidencia observada»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Valorar «capacidades disponibles a fecha de licitación» es puntuar la tenencia previa; y una demostración sin momento fijado permite alterarlo una vez conocidas las ofertas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Sustituir el texto, publicar el caso y la relación de elementos verificables, y fijar el momento en el PCAP. </w:t>
            </w:r>
            <w:r>
              <w:rPr>
                <w:rFonts w:ascii="Calibri" w:cs="Calibri" w:eastAsia="Calibri" w:hAnsi="Calibri"/>
                <w:b/>
                <w:bCs/>
                <w:sz w:val="18"/>
                <w:szCs w:val="18"/>
              </w:rPr>
              <w:t xml:space="preserve">Un criterio cuyo contenido sea el resultado de la sesión, cualquiera que sea su peso, no es admisible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ADM-10</w:t>
            </w:r>
            <w:r>
              <w:rPr>
                <w:rFonts w:ascii="Calibri" w:cs="Calibri" w:eastAsia="Calibri" w:hAnsi="Calibri"/>
                <w:b w:val="false"/>
                <w:bCs w:val="false"/>
                <w:sz w:val="18"/>
                <w:szCs w:val="18"/>
              </w:rPr>
              <w:t xml:space="preserve"> Plan de Actualización y compromiso anti-obsolescencia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ADM-10·v3 · Plan Anual de Evolución Tecnológica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Cambia la rúbrica —el instrumento se llama igual en todo el documento— y queda </w:t>
            </w:r>
            <w:r>
              <w:rPr>
                <w:rFonts w:ascii="Calibri" w:cs="Calibri" w:eastAsia="Calibri" w:hAnsi="Calibri"/>
                <w:b/>
                <w:bCs/>
                <w:sz w:val="18"/>
                <w:szCs w:val="18"/>
              </w:rPr>
              <w:t xml:space="preserve">degradada</w:t>
            </w:r>
            <w:r>
              <w:rPr>
                <w:rFonts w:ascii="Calibri" w:cs="Calibri" w:eastAsia="Calibri" w:hAnsi="Calibri"/>
                <w:b w:val="false"/>
                <w:bCs w:val="false"/>
                <w:sz w:val="18"/>
                <w:szCs w:val="18"/>
              </w:rPr>
              <w:t xml:space="preserve">: deja de ser fuente autónoma de obligaciones esenciales. Sólo los hitos aprobados expresamente y con fecha cierta en acta lo son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Calificar como esencial el cumplimiento de un plan redactado por el propio adjudicatario es el caso de manual de cláusula de tipo general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Sustituir el texto y retirar la calificación de esencial</w:t>
            </w:r>
          </w:p>
        </w:tc>
      </w:tr>
      <w:tr>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(Inexistente en v2)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ADM-11·v3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Nueva</w:t>
            </w:r>
            <w:r>
              <w:rPr>
                <w:rFonts w:ascii="Calibri" w:cs="Calibri" w:eastAsia="Calibri" w:hAnsi="Calibri"/>
                <w:b w:val="false"/>
                <w:bCs w:val="false"/>
                <w:sz w:val="18"/>
                <w:szCs w:val="18"/>
              </w:rPr>
              <w:t xml:space="preserve">: depósito de código con disparadores objetivos de servicio, verificación técnica de cada depósito, licencia condicionada y coste en el presupuesto base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continuidad del servicio no se garantiza con una promesa de entrega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Incorporarla si concurre el umbral</w:t>
            </w:r>
          </w:p>
        </w:tc>
      </w:tr>
      <w:tr>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(Inexistente en v2)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ADM-12·v3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Nueva</w:t>
            </w:r>
            <w:r>
              <w:rPr>
                <w:rFonts w:ascii="Calibri" w:cs="Calibri" w:eastAsia="Calibri" w:hAnsi="Calibri"/>
                <w:b w:val="false"/>
                <w:bCs w:val="false"/>
                <w:sz w:val="18"/>
                <w:szCs w:val="18"/>
              </w:rPr>
              <w:t xml:space="preserve">: acceso de los órganos de control a los datos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 la única necesidad declarada por escrito por un órgano municipal. Omitirla consolida durante toda la vida del contrato una limitación del control interno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Incorporarla</w:t>
            </w:r>
          </w:p>
        </w:tc>
      </w:tr>
      <w:tr>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(Inexistente en v2)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ADM-13·v3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Nueva</w:t>
            </w:r>
            <w:r>
              <w:rPr>
                <w:rFonts w:ascii="Calibri" w:cs="Calibri" w:eastAsia="Calibri" w:hAnsi="Calibri"/>
                <w:b w:val="false"/>
                <w:bCs w:val="false"/>
                <w:sz w:val="18"/>
                <w:szCs w:val="18"/>
              </w:rPr>
              <w:t xml:space="preserve">: uso de sistemas de IA de terceros sobre información municipal, con declaración en la oferta y autorización previa de altas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riesgo no es de anulación: es de brecha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Incorporarla</w:t>
            </w:r>
          </w:p>
        </w:tc>
      </w:tr>
      <w:tr>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(Inexistente en v2)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ADM-14·v3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Nueva</w:t>
            </w:r>
            <w:r>
              <w:rPr>
                <w:rFonts w:ascii="Calibri" w:cs="Calibri" w:eastAsia="Calibri" w:hAnsi="Calibri"/>
                <w:b w:val="false"/>
                <w:bCs w:val="false"/>
                <w:sz w:val="18"/>
                <w:szCs w:val="18"/>
              </w:rPr>
              <w:t xml:space="preserve">: modificación prevista con lista cerrada y cuantificada, y cláusula de valor estimado. </w:t>
            </w:r>
            <w:r>
              <w:rPr>
                <w:rFonts w:ascii="Calibri" w:cs="Calibri" w:eastAsia="Calibri" w:hAnsi="Calibri"/>
                <w:b/>
                <w:bCs/>
                <w:sz w:val="18"/>
                <w:szCs w:val="18"/>
              </w:rPr>
              <w:t xml:space="preserve">Por defecto no se incorpora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Cada euro reservado sube el valor estimado y puede cruzar un umbral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si se decide incorporarla, con recálculo del valor estimado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 v2 · Declaración responsable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Anexo VII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eliminan el compromiso definido por el nombre de un protocolo, la aceptación en bloque de la obsolescencia como causa de resolución y el compromiso de demostración. Se añaden la declaración de sistemas de IA y las casillas de supresión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Reproducía en la declaración los defectos ya corregidos en el articulado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Sustituir el modelo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II v2 · Plan Anual de Evolución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Anexo XIV</w:t>
            </w:r>
            <w:r>
              <w:rPr>
                <w:rFonts w:ascii="Calibri" w:cs="Calibri" w:eastAsia="Calibri" w:hAnsi="Calibri"/>
                <w:b w:val="false"/>
                <w:bCs w:val="false"/>
                <w:sz w:val="18"/>
                <w:szCs w:val="18"/>
              </w:rPr>
              <w:t xml:space="preserve">, con el régimen de ADM-10·v3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añade la casilla que faltaba: </w:t>
            </w:r>
            <w:r>
              <w:rPr>
                <w:rFonts w:ascii="Calibri" w:cs="Calibri" w:eastAsia="Calibri" w:hAnsi="Calibri"/>
                <w:b/>
                <w:bCs/>
                <w:sz w:val="18"/>
                <w:szCs w:val="18"/>
              </w:rPr>
              <w:t xml:space="preserve">qué hitos se someten a aprobación expresa</w:t>
            </w:r>
            <w:r>
              <w:rPr>
                <w:rFonts w:ascii="Calibri" w:cs="Calibri" w:eastAsia="Calibri" w:hAnsi="Calibri"/>
                <w:b w:val="false"/>
                <w:bCs w:val="false"/>
                <w:sz w:val="18"/>
                <w:szCs w:val="18"/>
              </w:rPr>
              <w:t xml:space="preserve"> —los únicos que pueden ser esenciales—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esa casilla, o todo el plan es esencial o no lo es nada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Añadir la casilla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III v2 · Certificaciones y equivalencias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Anexo XXI</w:t>
            </w:r>
            <w:r>
              <w:rPr>
                <w:rFonts w:ascii="Calibri" w:cs="Calibri" w:eastAsia="Calibri" w:hAnsi="Calibri"/>
                <w:b w:val="false"/>
                <w:bCs w:val="false"/>
                <w:sz w:val="18"/>
                <w:szCs w:val="18"/>
              </w:rPr>
              <w:t xml:space="preserve">, con el régimen de ADM-1·v3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Designaciones </w:t>
            </w:r>
            <w:r>
              <w:rPr>
                <w:rFonts w:ascii="Calibri" w:cs="Calibri" w:eastAsia="Calibri" w:hAnsi="Calibri"/>
                <w:b/>
                <w:bCs/>
                <w:sz w:val="18"/>
                <w:szCs w:val="18"/>
              </w:rPr>
              <w:t xml:space="preserve">con año expreso y regla de referencia estática</w:t>
            </w:r>
            <w:r>
              <w:rPr>
                <w:rFonts w:ascii="Calibri" w:cs="Calibri" w:eastAsia="Calibri" w:hAnsi="Calibri"/>
                <w:b w:val="false"/>
                <w:bCs w:val="false"/>
                <w:sz w:val="18"/>
                <w:szCs w:val="18"/>
              </w:rPr>
              <w:t xml:space="preserve">, sin la fórmula «o norma que la sustituya», y con mención expresa a otras pruebas de medidas equivalentes (art. 93.2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designación sin año, o una remisión a la norma que la sustituya, es referencia dinámica: el contenido de la obligación puede cambiar después de ofertar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Actualizar el cuadro y suprimir la fórmula dinámica también de la declaración responsable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IV v2 · Ficha de Aplicabilidad (casillas)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Anexo 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Pasa de tabla de casillas a </w:t>
            </w:r>
            <w:r>
              <w:rPr>
                <w:rFonts w:ascii="Calibri" w:cs="Calibri" w:eastAsia="Calibri" w:hAnsi="Calibri"/>
                <w:b/>
                <w:bCs/>
                <w:sz w:val="18"/>
                <w:szCs w:val="18"/>
              </w:rPr>
              <w:t xml:space="preserve">formulario de motivación con doble vía de firma y regla de cierre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casilla marcada no es una justificación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Sustituir la ficha y firmarla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V v2 · Glosario Deep Tech</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Anexo XIII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mantiene como glosario </w:t>
            </w:r>
            <w:r>
              <w:rPr>
                <w:rFonts w:ascii="Calibri" w:cs="Calibri" w:eastAsia="Calibri" w:hAnsi="Calibri"/>
                <w:b/>
                <w:bCs/>
                <w:sz w:val="18"/>
                <w:szCs w:val="18"/>
              </w:rPr>
              <w:t xml:space="preserve">descriptivo, sin efectos jurídicos</w:t>
            </w:r>
            <w:r>
              <w:rPr>
                <w:rFonts w:ascii="Calibri" w:cs="Calibri" w:eastAsia="Calibri" w:hAnsi="Calibri"/>
                <w:b w:val="false"/>
                <w:bCs w:val="false"/>
                <w:sz w:val="18"/>
                <w:szCs w:val="18"/>
              </w:rPr>
              <w:t xml:space="preserve">, y recoge los términos expulsados del articulado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 glosario no puede crear obligaciones por la puerta de atrás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Sustituirlo y añadir la advertencia de ausencia de efectos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IV v2 · Memoria justificativa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IV 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reescribe entera: armazón de la necesidad, encaje legal con precepto en todas las filas, neutralidad </w:t>
            </w:r>
            <w:r>
              <w:rPr>
                <w:rFonts w:ascii="Calibri" w:cs="Calibri" w:eastAsia="Calibri" w:hAnsi="Calibri"/>
                <w:b/>
                <w:bCs/>
                <w:sz w:val="18"/>
                <w:szCs w:val="18"/>
              </w:rPr>
              <w:t xml:space="preserve">acreditada</w:t>
            </w:r>
            <w:r>
              <w:rPr>
                <w:rFonts w:ascii="Calibri" w:cs="Calibri" w:eastAsia="Calibri" w:hAnsi="Calibri"/>
                <w:b w:val="false"/>
                <w:bCs w:val="false"/>
                <w:sz w:val="18"/>
                <w:szCs w:val="18"/>
              </w:rPr>
              <w:t xml:space="preserve"> y no afirmada, conflicto de interés y estado real de la doctrina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memoria es lo primero que lee el recurrente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Rehacerla</w:t>
            </w:r>
          </w:p>
        </w:tc>
      </w:tr>
      <w:tr>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(Inexistente en v2)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Partes 0, V, VI y anexos I a XXV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Resumen para legos, circuito del expediente, ejemplo completo trabajado e instrumentos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 lo que un habilitado nacional busca y no encontraba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Incorporarlos al circuito de trabajo. </w:t>
            </w:r>
            <w:r>
              <w:rPr>
                <w:rFonts w:ascii="Calibri" w:cs="Calibri" w:eastAsia="Calibri" w:hAnsi="Calibri"/>
                <w:b/>
                <w:bCs/>
                <w:sz w:val="18"/>
                <w:szCs w:val="18"/>
              </w:rPr>
              <w:t xml:space="preserve">Los pliegos-tipo ensamblados y el ejemplo trabajado sobre un expediente de una administración concreta no se entregan en esta versión: véase la nota de alcance que cierra esta parte</w:t>
            </w:r>
          </w:p>
        </w:tc>
      </w:tr>
    </w:tbl>
    <w:p>
      <w:pPr>
        <w:spacing w:after="200"/>
      </w:pPr>
    </w:p>
    <w:p>
      <w:pPr>
        <w:pStyle w:val="Heading3"/>
        <w:keepNext/>
        <w:spacing w:after="140" w:before="320"/>
      </w:pPr>
      <w:r>
        <w:rPr>
          <w:rFonts w:ascii="Georgia" w:cs="Georgia" w:eastAsia="Georgia" w:hAnsi="Georgia"/>
          <w:b/>
          <w:bCs/>
          <w:color w:val="2F5496"/>
          <w:sz w:val="22"/>
          <w:szCs w:val="22"/>
        </w:rPr>
        <w:t xml:space="preserve">XII.2 Dónde ha aterrizado cada una de las ocho modificaciones propuestas en agosto de 2026</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Modificación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Objeto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Dónde está en v3</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Estado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Delimitar el código objeto de entrega, excluyendo el del producto base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Incorporada</w:t>
            </w:r>
            <w:r>
              <w:rPr>
                <w:rFonts w:ascii="Calibri" w:cs="Calibri" w:eastAsia="Calibri" w:hAnsi="Calibri"/>
                <w:b w:val="false"/>
                <w:bCs w:val="false"/>
                <w:sz w:val="18"/>
                <w:szCs w:val="18"/>
              </w:rPr>
              <w:t xml:space="preserve">, y completada con el Inventario de Componentes: sin él la delimitación sigue siendo indeterminada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Alinear la definición de reversibilidad con esa delimitación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 §5 y DT-8·v3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Incorporada</w:t>
            </w:r>
            <w:r>
              <w:rPr>
                <w:rFonts w:ascii="Calibri" w:cs="Calibri" w:eastAsia="Calibri" w:hAnsi="Calibri"/>
                <w:b w:val="false"/>
                <w:bCs w:val="false"/>
                <w:sz w:val="18"/>
                <w:szCs w:val="18"/>
              </w:rPr>
              <w:t xml:space="preserve">, y completada con la licencia transitoria del producto base: devolver sólo el código propio deja un sistema que no arranca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Incluir expresamente los algoritmos y la lógica de negocio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ADM-8·v3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Incorporada y corregida</w:t>
            </w:r>
            <w:r>
              <w:rPr>
                <w:rFonts w:ascii="Calibri" w:cs="Calibri" w:eastAsia="Calibri" w:hAnsi="Calibri"/>
                <w:b w:val="false"/>
                <w:bCs w:val="false"/>
                <w:sz w:val="18"/>
                <w:szCs w:val="18"/>
              </w:rPr>
              <w:t xml:space="preserve">: sin mención de tiempo, ámbito territorial y modalidades, la cesión quedaría limitada a cinco años y al territorio de la cesión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Coherencia de la cláusula técnica de titularidad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Incorporada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Depósito de código y continuidad ante insolvencia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ADM-11·v3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Incorporada y reescrita</w:t>
            </w:r>
            <w:r>
              <w:rPr>
                <w:rFonts w:ascii="Calibri" w:cs="Calibri" w:eastAsia="Calibri" w:hAnsi="Calibri"/>
                <w:b w:val="false"/>
                <w:bCs w:val="false"/>
                <w:sz w:val="18"/>
                <w:szCs w:val="18"/>
              </w:rPr>
              <w:t xml:space="preserve">: el disparador basado en la declaración de concurso se sustituye por hechos objetivos de servicio, y se añaden verificación técnica, licencia condicionada y coste en el presupuesto base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Definición de obsolescencia anclada al producto y sus versiones sucesoras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 §5 y ADM-2·v3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Incorporada y elevada</w:t>
            </w:r>
            <w:r>
              <w:rPr>
                <w:rFonts w:ascii="Calibri" w:cs="Calibri" w:eastAsia="Calibri" w:hAnsi="Calibri"/>
                <w:b w:val="false"/>
                <w:bCs w:val="false"/>
                <w:sz w:val="18"/>
                <w:szCs w:val="18"/>
              </w:rPr>
              <w:t xml:space="preserve">: pasa a ser el criterio principal, no un complemento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Obligación de entrega de versiones sucesoras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ADM-2·v3 y ADM-10·v3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Incorporada</w:t>
            </w:r>
            <w:r>
              <w:rPr>
                <w:rFonts w:ascii="Calibri" w:cs="Calibri" w:eastAsia="Calibri" w:hAnsi="Calibri"/>
                <w:b w:val="false"/>
                <w:bCs w:val="false"/>
                <w:sz w:val="18"/>
                <w:szCs w:val="18"/>
              </w:rPr>
              <w:t xml:space="preserve">, con la advertencia de que garantiza el acceso a las versiones, no la magnitud de la evolución: eso es lo que sostiene el catálogo determinado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Coherencia del régimen de resolución por obsolescencia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ADM-6·v3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Incorporada por supresión</w:t>
            </w:r>
            <w:r>
              <w:rPr>
                <w:rFonts w:ascii="Calibri" w:cs="Calibri" w:eastAsia="Calibri" w:hAnsi="Calibri"/>
                <w:b w:val="false"/>
                <w:bCs w:val="false"/>
                <w:sz w:val="18"/>
                <w:szCs w:val="18"/>
              </w:rPr>
              <w:t xml:space="preserve">: la obsolescencia deja de ser causa autónoma de resolución y opera por los incumplimientos tasados</w:t>
            </w:r>
          </w:p>
        </w:tc>
      </w:tr>
    </w:tbl>
    <w:p>
      <w:pPr>
        <w:spacing w:after="200"/>
      </w:pP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XIII · GLOSARIO</w:t>
      </w:r>
    </w:p>
    <w:p>
      <w:pPr>
        <w:spacing w:after="140" w:line="276"/>
      </w:pPr>
      <w:r>
        <w:rPr>
          <w:rFonts w:ascii="Calibri" w:cs="Calibri" w:eastAsia="Calibri" w:hAnsi="Calibri"/>
          <w:b/>
          <w:bCs/>
          <w:sz w:val="21"/>
          <w:szCs w:val="21"/>
        </w:rPr>
        <w:t xml:space="preserve">Cómo usar este glosario.</w:t>
      </w:r>
      <w:r>
        <w:rPr>
          <w:rFonts w:ascii="Calibri" w:cs="Calibri" w:eastAsia="Calibri" w:hAnsi="Calibri"/>
          <w:sz w:val="21"/>
          <w:szCs w:val="21"/>
        </w:rPr>
        <w:t xml:space="preserve"> Tiene dos bloques. El primero define </w:t>
      </w:r>
      <w:r>
        <w:rPr>
          <w:rFonts w:ascii="Calibri" w:cs="Calibri" w:eastAsia="Calibri" w:hAnsi="Calibri"/>
          <w:b/>
          <w:bCs/>
          <w:sz w:val="21"/>
          <w:szCs w:val="21"/>
        </w:rPr>
        <w:t xml:space="preserve">las palabras de contratación</w:t>
      </w:r>
      <w:r>
        <w:rPr>
          <w:rFonts w:ascii="Calibri" w:cs="Calibri" w:eastAsia="Calibri" w:hAnsi="Calibri"/>
          <w:sz w:val="21"/>
          <w:szCs w:val="21"/>
        </w:rPr>
        <w:t xml:space="preserve">, para quien no es del oficio: son las que aparecen desde la primera página y las que un lector externo no tiene por qué conocer. El segundo define </w:t>
      </w:r>
      <w:r>
        <w:rPr>
          <w:rFonts w:ascii="Calibri" w:cs="Calibri" w:eastAsia="Calibri" w:hAnsi="Calibri"/>
          <w:b/>
          <w:bCs/>
          <w:sz w:val="21"/>
          <w:szCs w:val="21"/>
        </w:rPr>
        <w:t xml:space="preserve">las palabras de tecnología</w:t>
      </w:r>
      <w:r>
        <w:rPr>
          <w:rFonts w:ascii="Calibri" w:cs="Calibri" w:eastAsia="Calibri" w:hAnsi="Calibri"/>
          <w:sz w:val="21"/>
          <w:szCs w:val="21"/>
        </w:rPr>
        <w:t xml:space="preserve">. Quien lea el documento sin experiencia en contratación pública debería empezar por aquí, y no llegar al glosario al final.</w:t>
      </w:r>
    </w:p>
    <w:p>
      <w:pPr>
        <w:spacing w:after="140" w:line="276"/>
      </w:pPr>
      <w:r>
        <w:rPr>
          <w:rFonts w:ascii="Calibri" w:cs="Calibri" w:eastAsia="Calibri" w:hAnsi="Calibri"/>
          <w:b/>
          <w:bCs/>
          <w:sz w:val="21"/>
          <w:szCs w:val="21"/>
        </w:rPr>
        <w:t xml:space="preserve">Advertencia previa, que forma parte del anexo.</w:t>
      </w:r>
      <w:r>
        <w:rPr>
          <w:rFonts w:ascii="Calibri" w:cs="Calibri" w:eastAsia="Calibri" w:hAnsi="Calibri"/>
          <w:sz w:val="21"/>
          <w:szCs w:val="21"/>
        </w:rPr>
        <w:t xml:space="preserve"> Este glosario es </w:t>
      </w:r>
      <w:r>
        <w:rPr>
          <w:rFonts w:ascii="Calibri" w:cs="Calibri" w:eastAsia="Calibri" w:hAnsi="Calibri"/>
          <w:b/>
          <w:bCs/>
          <w:sz w:val="21"/>
          <w:szCs w:val="21"/>
        </w:rPr>
        <w:t xml:space="preserve">descriptivo y carece de efectos jurídicos</w:t>
      </w:r>
      <w:r>
        <w:rPr>
          <w:rFonts w:ascii="Calibri" w:cs="Calibri" w:eastAsia="Calibri" w:hAnsi="Calibri"/>
          <w:sz w:val="21"/>
          <w:szCs w:val="21"/>
        </w:rPr>
        <w:t xml:space="preserve">. No define el alcance de ninguna prestación, no crea obligaciones, no puede invocarse para interpretar una cláusula en contra de su literalidad y </w:t>
      </w:r>
      <w:r>
        <w:rPr>
          <w:rFonts w:ascii="Calibri" w:cs="Calibri" w:eastAsia="Calibri" w:hAnsi="Calibri"/>
          <w:b/>
          <w:bCs/>
          <w:sz w:val="21"/>
          <w:szCs w:val="21"/>
        </w:rPr>
        <w:t xml:space="preserve">ningún término aquí recogido puede emplearse en un pliego para generar una obligación, una penalidad o un criterio de adjudicación</w:t>
      </w:r>
      <w:r>
        <w:rPr>
          <w:rFonts w:ascii="Calibri" w:cs="Calibri" w:eastAsia="Calibri" w:hAnsi="Calibri"/>
          <w:sz w:val="21"/>
          <w:szCs w:val="21"/>
        </w:rPr>
        <w:t xml:space="preserve">. Los términos que en versiones anteriores figuraban en el articulado y que carecen de definición normalizada se recogen aquí precisamente para dejar constancia de que no la tienen.</w:t>
      </w:r>
    </w:p>
    <w:p>
      <w:pPr>
        <w:pStyle w:val="Heading3"/>
        <w:keepNext/>
        <w:spacing w:after="140" w:before="320"/>
      </w:pPr>
      <w:r>
        <w:rPr>
          <w:rFonts w:ascii="Georgia" w:cs="Georgia" w:eastAsia="Georgia" w:hAnsi="Georgia"/>
          <w:b/>
          <w:bCs/>
          <w:color w:val="2F5496"/>
          <w:sz w:val="22"/>
          <w:szCs w:val="22"/>
        </w:rPr>
        <w:t xml:space="preserve">XIII.1 Palabras de contratación, para quien no es del oficio</w:t>
      </w:r>
    </w:p>
    <w:p>
      <w:pPr>
        <w:spacing w:after="140" w:line="276"/>
      </w:pPr>
      <w:r>
        <w:rPr>
          <w:rFonts w:ascii="Calibri" w:cs="Calibri" w:eastAsia="Calibri" w:hAnsi="Calibri"/>
          <w:b/>
          <w:bCs/>
          <w:sz w:val="21"/>
          <w:szCs w:val="21"/>
        </w:rPr>
        <w:t xml:space="preserve">Pliego.</w:t>
      </w:r>
      <w:r>
        <w:rPr>
          <w:rFonts w:ascii="Calibri" w:cs="Calibri" w:eastAsia="Calibri" w:hAnsi="Calibri"/>
          <w:sz w:val="21"/>
          <w:szCs w:val="21"/>
        </w:rPr>
        <w:t xml:space="preserve"> Documento que fija las reglas de un contrato público antes de licitarlo. Hay dos: el </w:t>
      </w:r>
      <w:r>
        <w:rPr>
          <w:rFonts w:ascii="Calibri" w:cs="Calibri" w:eastAsia="Calibri" w:hAnsi="Calibri"/>
          <w:b/>
          <w:bCs/>
          <w:sz w:val="21"/>
          <w:szCs w:val="21"/>
        </w:rPr>
        <w:t xml:space="preserve">pliego de cláusulas administrativas particulares (PCAP)</w:t>
      </w:r>
      <w:r>
        <w:rPr>
          <w:rFonts w:ascii="Calibri" w:cs="Calibri" w:eastAsia="Calibri" w:hAnsi="Calibri"/>
          <w:sz w:val="21"/>
          <w:szCs w:val="21"/>
        </w:rPr>
        <w:t xml:space="preserve">, que contiene las reglas jurídicas y económicas —quién puede presentarse, cómo se valoran las ofertas, qué obligaciones asume el contratista, qué penalidades hay—, y el </w:t>
      </w:r>
      <w:r>
        <w:rPr>
          <w:rFonts w:ascii="Calibri" w:cs="Calibri" w:eastAsia="Calibri" w:hAnsi="Calibri"/>
          <w:b/>
          <w:bCs/>
          <w:sz w:val="21"/>
          <w:szCs w:val="21"/>
        </w:rPr>
        <w:t xml:space="preserve">pliego de prescripciones técnicas (PPT)</w:t>
      </w:r>
      <w:r>
        <w:rPr>
          <w:rFonts w:ascii="Calibri" w:cs="Calibri" w:eastAsia="Calibri" w:hAnsi="Calibri"/>
          <w:sz w:val="21"/>
          <w:szCs w:val="21"/>
        </w:rPr>
        <w:t xml:space="preserve">, que describe qué hay que entregar y con qué características. Una vez publicados, obligan al Ayuntamiento tanto como al contratista.</w:t>
      </w:r>
    </w:p>
    <w:p>
      <w:pPr>
        <w:spacing w:after="140" w:line="276"/>
      </w:pPr>
      <w:r>
        <w:rPr>
          <w:rFonts w:ascii="Calibri" w:cs="Calibri" w:eastAsia="Calibri" w:hAnsi="Calibri"/>
          <w:b/>
          <w:bCs/>
          <w:sz w:val="21"/>
          <w:szCs w:val="21"/>
        </w:rPr>
        <w:t xml:space="preserve">Licitación.</w:t>
      </w:r>
      <w:r>
        <w:rPr>
          <w:rFonts w:ascii="Calibri" w:cs="Calibri" w:eastAsia="Calibri" w:hAnsi="Calibri"/>
          <w:sz w:val="21"/>
          <w:szCs w:val="21"/>
        </w:rPr>
        <w:t xml:space="preserve"> El procedimiento por el que una administración invita públicamente a las empresas a presentar ofertas y elige una conforme a reglas conocidas de antemano.</w:t>
      </w:r>
    </w:p>
    <w:p>
      <w:pPr>
        <w:spacing w:after="140" w:line="276"/>
      </w:pPr>
      <w:r>
        <w:rPr>
          <w:rFonts w:ascii="Calibri" w:cs="Calibri" w:eastAsia="Calibri" w:hAnsi="Calibri"/>
          <w:b/>
          <w:bCs/>
          <w:sz w:val="21"/>
          <w:szCs w:val="21"/>
        </w:rPr>
        <w:t xml:space="preserve">Licitador.</w:t>
      </w:r>
      <w:r>
        <w:rPr>
          <w:rFonts w:ascii="Calibri" w:cs="Calibri" w:eastAsia="Calibri" w:hAnsi="Calibri"/>
          <w:sz w:val="21"/>
          <w:szCs w:val="21"/>
        </w:rPr>
        <w:t xml:space="preserve"> La empresa que presenta una oferta. </w:t>
      </w:r>
      <w:r>
        <w:rPr>
          <w:rFonts w:ascii="Calibri" w:cs="Calibri" w:eastAsia="Calibri" w:hAnsi="Calibri"/>
          <w:b/>
          <w:bCs/>
          <w:sz w:val="21"/>
          <w:szCs w:val="21"/>
        </w:rPr>
        <w:t xml:space="preserve">Adjudicatario</w:t>
      </w:r>
      <w:r>
        <w:rPr>
          <w:rFonts w:ascii="Calibri" w:cs="Calibri" w:eastAsia="Calibri" w:hAnsi="Calibri"/>
          <w:sz w:val="21"/>
          <w:szCs w:val="21"/>
        </w:rPr>
        <w:t xml:space="preserve">, la que resulta elegida. </w:t>
      </w:r>
      <w:r>
        <w:rPr>
          <w:rFonts w:ascii="Calibri" w:cs="Calibri" w:eastAsia="Calibri" w:hAnsi="Calibri"/>
          <w:b/>
          <w:bCs/>
          <w:sz w:val="21"/>
          <w:szCs w:val="21"/>
        </w:rPr>
        <w:t xml:space="preserve">Contratista</w:t>
      </w:r>
      <w:r>
        <w:rPr>
          <w:rFonts w:ascii="Calibri" w:cs="Calibri" w:eastAsia="Calibri" w:hAnsi="Calibri"/>
          <w:sz w:val="21"/>
          <w:szCs w:val="21"/>
        </w:rPr>
        <w:t xml:space="preserve">, la que ya ha firmado el contrato.</w:t>
      </w:r>
    </w:p>
    <w:p>
      <w:pPr>
        <w:spacing w:after="140" w:line="276"/>
      </w:pPr>
      <w:r>
        <w:rPr>
          <w:rFonts w:ascii="Calibri" w:cs="Calibri" w:eastAsia="Calibri" w:hAnsi="Calibri"/>
          <w:b/>
          <w:bCs/>
          <w:sz w:val="21"/>
          <w:szCs w:val="21"/>
        </w:rPr>
        <w:t xml:space="preserve">Órgano de contratación.</w:t>
      </w:r>
      <w:r>
        <w:rPr>
          <w:rFonts w:ascii="Calibri" w:cs="Calibri" w:eastAsia="Calibri" w:hAnsi="Calibri"/>
          <w:sz w:val="21"/>
          <w:szCs w:val="21"/>
        </w:rPr>
        <w:t xml:space="preserve"> El órgano municipal competente para aprobar el expediente, los pliegos y la adjudicación. No es una persona técnica: es quien firma y responde.</w:t>
      </w:r>
    </w:p>
    <w:p>
      <w:pPr>
        <w:spacing w:after="140" w:line="276"/>
      </w:pPr>
      <w:r>
        <w:rPr>
          <w:rFonts w:ascii="Calibri" w:cs="Calibri" w:eastAsia="Calibri" w:hAnsi="Calibri"/>
          <w:b/>
          <w:bCs/>
          <w:sz w:val="21"/>
          <w:szCs w:val="21"/>
        </w:rPr>
        <w:t xml:space="preserve">Expediente.</w:t>
      </w:r>
      <w:r>
        <w:rPr>
          <w:rFonts w:ascii="Calibri" w:cs="Calibri" w:eastAsia="Calibri" w:hAnsi="Calibri"/>
          <w:sz w:val="21"/>
          <w:szCs w:val="21"/>
        </w:rPr>
        <w:t xml:space="preserve"> El conjunto ordenado de documentos que preceden y justifican el contrato. Lo que no consta en él no existe a efectos de defensa: es la regla que explica la mitad de este catálogo.</w:t>
      </w:r>
    </w:p>
    <w:p>
      <w:pPr>
        <w:spacing w:after="140" w:line="276"/>
      </w:pPr>
      <w:r>
        <w:rPr>
          <w:rFonts w:ascii="Calibri" w:cs="Calibri" w:eastAsia="Calibri" w:hAnsi="Calibri"/>
          <w:b/>
          <w:bCs/>
          <w:sz w:val="21"/>
          <w:szCs w:val="21"/>
        </w:rPr>
        <w:t xml:space="preserve">Memoria justificativa.</w:t>
      </w:r>
      <w:r>
        <w:rPr>
          <w:rFonts w:ascii="Calibri" w:cs="Calibri" w:eastAsia="Calibri" w:hAnsi="Calibri"/>
          <w:sz w:val="21"/>
          <w:szCs w:val="21"/>
        </w:rPr>
        <w:t xml:space="preserve"> El documento del expediente donde se explica por qué se contrata, por qué con ese objeto y por qué con cada una de las exigencias que el pliego impone. Es el sitio donde se gana o se pierde un recurso.</w:t>
      </w:r>
    </w:p>
    <w:p>
      <w:pPr>
        <w:spacing w:after="140" w:line="276"/>
      </w:pPr>
      <w:r>
        <w:rPr>
          <w:rFonts w:ascii="Calibri" w:cs="Calibri" w:eastAsia="Calibri" w:hAnsi="Calibri"/>
          <w:b/>
          <w:bCs/>
          <w:sz w:val="21"/>
          <w:szCs w:val="21"/>
        </w:rPr>
        <w:t xml:space="preserve">Fiscalización.</w:t>
      </w:r>
      <w:r>
        <w:rPr>
          <w:rFonts w:ascii="Calibri" w:cs="Calibri" w:eastAsia="Calibri" w:hAnsi="Calibri"/>
          <w:sz w:val="21"/>
          <w:szCs w:val="21"/>
        </w:rPr>
        <w:t xml:space="preserve"> El control previo que ejerce la Intervención municipal sobre el gasto: comprueba que hay crédito, que el cálculo es correcto y que el expediente cumple los requisitos. Si formula reparos, el expediente se detiene hasta resolverlos.</w:t>
      </w:r>
    </w:p>
    <w:p>
      <w:pPr>
        <w:spacing w:after="140" w:line="276"/>
      </w:pPr>
      <w:r>
        <w:rPr>
          <w:rFonts w:ascii="Calibri" w:cs="Calibri" w:eastAsia="Calibri" w:hAnsi="Calibri"/>
          <w:b/>
          <w:bCs/>
          <w:sz w:val="21"/>
          <w:szCs w:val="21"/>
        </w:rPr>
        <w:t xml:space="preserve">Perfil de contratante.</w:t>
      </w:r>
      <w:r>
        <w:rPr>
          <w:rFonts w:ascii="Calibri" w:cs="Calibri" w:eastAsia="Calibri" w:hAnsi="Calibri"/>
          <w:sz w:val="21"/>
          <w:szCs w:val="21"/>
        </w:rPr>
        <w:t xml:space="preserve"> La sede electrónica donde cada administración publica sus licitaciones y su documentación. Publicar algo allí lo hace accesible a cualquiera, incluidos los competidores del adjudicatario.</w:t>
      </w:r>
    </w:p>
    <w:p>
      <w:pPr>
        <w:spacing w:after="140" w:line="276"/>
      </w:pPr>
      <w:r>
        <w:rPr>
          <w:rFonts w:ascii="Calibri" w:cs="Calibri" w:eastAsia="Calibri" w:hAnsi="Calibri"/>
          <w:b/>
          <w:bCs/>
          <w:sz w:val="21"/>
          <w:szCs w:val="21"/>
        </w:rPr>
        <w:t xml:space="preserve">Recurso especial en materia de contratación.</w:t>
      </w:r>
      <w:r>
        <w:rPr>
          <w:rFonts w:ascii="Calibri" w:cs="Calibri" w:eastAsia="Calibri" w:hAnsi="Calibri"/>
          <w:sz w:val="21"/>
          <w:szCs w:val="21"/>
        </w:rPr>
        <w:t xml:space="preserve"> La vía por la que una empresa puede impugnar los pliegos o la adjudicación ante un tribunal administrativo especializado, con plazos muy breves y sin coste de tasas. Sólo está disponible por encima de determinado valor estimado.</w:t>
      </w:r>
    </w:p>
    <w:p>
      <w:pPr>
        <w:spacing w:after="140" w:line="276"/>
      </w:pPr>
      <w:r>
        <w:rPr>
          <w:rFonts w:ascii="Calibri" w:cs="Calibri" w:eastAsia="Calibri" w:hAnsi="Calibri"/>
          <w:b/>
          <w:bCs/>
          <w:sz w:val="21"/>
          <w:szCs w:val="21"/>
        </w:rPr>
        <w:t xml:space="preserve">Valor estimado.</w:t>
      </w:r>
      <w:r>
        <w:rPr>
          <w:rFonts w:ascii="Calibri" w:cs="Calibri" w:eastAsia="Calibri" w:hAnsi="Calibri"/>
          <w:sz w:val="21"/>
          <w:szCs w:val="21"/>
        </w:rPr>
        <w:t xml:space="preserve"> El importe total que el contrato puede llegar a costar, incluidas prórrogas, bolsas y modificaciones previstas, sin IVA. No es el precio: es el techo que determina qué procedimiento cabe y si los pliegos son recurribles.</w:t>
      </w:r>
    </w:p>
    <w:p>
      <w:pPr>
        <w:spacing w:after="140" w:line="276"/>
      </w:pPr>
      <w:r>
        <w:rPr>
          <w:rFonts w:ascii="Calibri" w:cs="Calibri" w:eastAsia="Calibri" w:hAnsi="Calibri"/>
          <w:b/>
          <w:bCs/>
          <w:sz w:val="21"/>
          <w:szCs w:val="21"/>
        </w:rPr>
        <w:t xml:space="preserve">Solvencia.</w:t>
      </w:r>
      <w:r>
        <w:rPr>
          <w:rFonts w:ascii="Calibri" w:cs="Calibri" w:eastAsia="Calibri" w:hAnsi="Calibri"/>
          <w:sz w:val="21"/>
          <w:szCs w:val="21"/>
        </w:rPr>
        <w:t xml:space="preserve"> Los requisitos mínimos de capacidad —económica, técnica o profesional— que una empresa debe acreditar para poder presentarse. Se comprueba antes de valorar las ofertas y no puntúa.</w:t>
      </w:r>
    </w:p>
    <w:p>
      <w:pPr>
        <w:spacing w:after="140" w:line="276"/>
      </w:pPr>
      <w:r>
        <w:rPr>
          <w:rFonts w:ascii="Calibri" w:cs="Calibri" w:eastAsia="Calibri" w:hAnsi="Calibri"/>
          <w:b/>
          <w:bCs/>
          <w:sz w:val="21"/>
          <w:szCs w:val="21"/>
        </w:rPr>
        <w:t xml:space="preserve">Criterio de adjudicación.</w:t>
      </w:r>
      <w:r>
        <w:rPr>
          <w:rFonts w:ascii="Calibri" w:cs="Calibri" w:eastAsia="Calibri" w:hAnsi="Calibri"/>
          <w:sz w:val="21"/>
          <w:szCs w:val="21"/>
        </w:rPr>
        <w:t xml:space="preserve"> Cada uno de los elementos con los que se puntúan las ofertas y se decide cuál gana. Debe referirse a la prestación que se contrata, no a características de la empresa.</w:t>
      </w:r>
    </w:p>
    <w:p>
      <w:pPr>
        <w:spacing w:after="140" w:line="276"/>
      </w:pPr>
      <w:r>
        <w:rPr>
          <w:rFonts w:ascii="Calibri" w:cs="Calibri" w:eastAsia="Calibri" w:hAnsi="Calibri"/>
          <w:b/>
          <w:bCs/>
          <w:sz w:val="21"/>
          <w:szCs w:val="21"/>
        </w:rPr>
        <w:t xml:space="preserve">Condición especial de ejecución.</w:t>
      </w:r>
      <w:r>
        <w:rPr>
          <w:rFonts w:ascii="Calibri" w:cs="Calibri" w:eastAsia="Calibri" w:hAnsi="Calibri"/>
          <w:sz w:val="21"/>
          <w:szCs w:val="21"/>
        </w:rPr>
        <w:t xml:space="preserve"> Una obligación que el contratista asume durante la ejecución del contrato, no un requisito para presentarse ni un criterio que puntúe. Puede calificarse de </w:t>
      </w:r>
      <w:r>
        <w:rPr>
          <w:rFonts w:ascii="Calibri" w:cs="Calibri" w:eastAsia="Calibri" w:hAnsi="Calibri"/>
          <w:b/>
          <w:bCs/>
          <w:sz w:val="21"/>
          <w:szCs w:val="21"/>
        </w:rPr>
        <w:t xml:space="preserve">esencial</w:t>
      </w:r>
      <w:r>
        <w:rPr>
          <w:rFonts w:ascii="Calibri" w:cs="Calibri" w:eastAsia="Calibri" w:hAnsi="Calibri"/>
          <w:sz w:val="21"/>
          <w:szCs w:val="21"/>
        </w:rPr>
        <w:t xml:space="preserve">, y entonces su incumplimiento permite resolver el contrato.</w:t>
      </w:r>
    </w:p>
    <w:p>
      <w:pPr>
        <w:spacing w:after="140" w:line="276"/>
      </w:pPr>
      <w:r>
        <w:rPr>
          <w:rFonts w:ascii="Calibri" w:cs="Calibri" w:eastAsia="Calibri" w:hAnsi="Calibri"/>
          <w:b/>
          <w:bCs/>
          <w:sz w:val="21"/>
          <w:szCs w:val="21"/>
        </w:rPr>
        <w:t xml:space="preserve">Prescripción técnica.</w:t>
      </w:r>
      <w:r>
        <w:rPr>
          <w:rFonts w:ascii="Calibri" w:cs="Calibri" w:eastAsia="Calibri" w:hAnsi="Calibri"/>
          <w:sz w:val="21"/>
          <w:szCs w:val="21"/>
        </w:rPr>
        <w:t xml:space="preserve"> La exigencia mínima que la solución debe cumplir obligatoriamente. Se cumple o no se cumple; no puntúa.</w:t>
      </w:r>
    </w:p>
    <w:p>
      <w:pPr>
        <w:pStyle w:val="Heading3"/>
        <w:keepNext/>
        <w:spacing w:after="140" w:before="320"/>
      </w:pPr>
      <w:r>
        <w:rPr>
          <w:rFonts w:ascii="Georgia" w:cs="Georgia" w:eastAsia="Georgia" w:hAnsi="Georgia"/>
          <w:b/>
          <w:bCs/>
          <w:color w:val="2F5496"/>
          <w:sz w:val="22"/>
          <w:szCs w:val="22"/>
        </w:rPr>
        <w:t xml:space="preserve">XIII.2 Palabras de tecnología</w:t>
      </w:r>
    </w:p>
    <w:p>
      <w:pPr>
        <w:spacing w:after="140" w:line="276"/>
      </w:pPr>
      <w:r>
        <w:rPr>
          <w:rFonts w:ascii="Calibri" w:cs="Calibri" w:eastAsia="Calibri" w:hAnsi="Calibri"/>
          <w:b/>
          <w:bCs/>
          <w:sz w:val="21"/>
          <w:szCs w:val="21"/>
        </w:rPr>
        <w:t xml:space="preserve">Agente de inteligencia artificial.</w:t>
      </w:r>
      <w:r>
        <w:rPr>
          <w:rFonts w:ascii="Calibri" w:cs="Calibri" w:eastAsia="Calibri" w:hAnsi="Calibri"/>
          <w:sz w:val="21"/>
          <w:szCs w:val="21"/>
        </w:rPr>
        <w:t xml:space="preserve"> Sistema que persigue un objetivo encadenando llamadas a herramientas y a fuentes de datos, con capacidad de decidir el siguiente paso. En este documento nunca se le atribuyen efectos jurídicos: toda actuación con efecto jurídico o económico requiere validación humana previa.</w:t>
      </w:r>
    </w:p>
    <w:p>
      <w:pPr>
        <w:spacing w:after="140" w:line="276"/>
      </w:pPr>
      <w:r>
        <w:rPr>
          <w:rFonts w:ascii="Calibri" w:cs="Calibri" w:eastAsia="Calibri" w:hAnsi="Calibri"/>
          <w:b/>
          <w:bCs/>
          <w:sz w:val="21"/>
          <w:szCs w:val="21"/>
        </w:rPr>
        <w:t xml:space="preserve">Agentización.</w:t>
      </w:r>
      <w:r>
        <w:rPr>
          <w:rFonts w:ascii="Calibri" w:cs="Calibri" w:eastAsia="Calibri" w:hAnsi="Calibri"/>
          <w:sz w:val="21"/>
          <w:szCs w:val="21"/>
        </w:rPr>
        <w:t xml:space="preserve"> Expresión de uso comercial que designa la adaptación de una solución para poder ser operada por agentes. No tiene definición normalizada. Lo que este documento exige no es «agentizar», sino las capacidades concretas descritas en el Anexo V.</w:t>
      </w:r>
    </w:p>
    <w:p>
      <w:pPr>
        <w:spacing w:after="140" w:line="276"/>
      </w:pPr>
      <w:r>
        <w:rPr>
          <w:rFonts w:ascii="Calibri" w:cs="Calibri" w:eastAsia="Calibri" w:hAnsi="Calibri"/>
          <w:b/>
          <w:bCs/>
          <w:sz w:val="21"/>
          <w:szCs w:val="21"/>
        </w:rPr>
        <w:t xml:space="preserve">Anclaje de evidencias.</w:t>
      </w:r>
      <w:r>
        <w:rPr>
          <w:rFonts w:ascii="Calibri" w:cs="Calibri" w:eastAsia="Calibri" w:hAnsi="Calibri"/>
          <w:sz w:val="21"/>
          <w:szCs w:val="21"/>
        </w:rPr>
        <w:t xml:space="preserve"> Registro de una huella criptográfica de un documento o asiento en un soporte que permite a un tercero comprobar después que no ha sido alterado.</w:t>
      </w:r>
    </w:p>
    <w:p>
      <w:pPr>
        <w:spacing w:after="140" w:line="276"/>
      </w:pPr>
      <w:r>
        <w:rPr>
          <w:rFonts w:ascii="Calibri" w:cs="Calibri" w:eastAsia="Calibri" w:hAnsi="Calibri"/>
          <w:b/>
          <w:bCs/>
          <w:sz w:val="21"/>
          <w:szCs w:val="21"/>
        </w:rPr>
        <w:t xml:space="preserve">Cadena de bloques y registros distribuidos.</w:t>
      </w:r>
      <w:r>
        <w:rPr>
          <w:rFonts w:ascii="Calibri" w:cs="Calibri" w:eastAsia="Calibri" w:hAnsi="Calibri"/>
          <w:sz w:val="21"/>
          <w:szCs w:val="21"/>
        </w:rPr>
        <w:t xml:space="preserve"> Tecnologías de registro replicado entre varios participantes. En este documento nunca se exigen por su nombre: la exigencia, cuando existe, es la capacidad de verificación por tercero sin acceso privilegiado.</w:t>
      </w:r>
    </w:p>
    <w:p>
      <w:pPr>
        <w:spacing w:after="140" w:line="276"/>
      </w:pPr>
      <w:r>
        <w:rPr>
          <w:rFonts w:ascii="Calibri" w:cs="Calibri" w:eastAsia="Calibri" w:hAnsi="Calibri"/>
          <w:b/>
          <w:bCs/>
          <w:sz w:val="21"/>
          <w:szCs w:val="21"/>
        </w:rPr>
        <w:t xml:space="preserve">Código fuente y código objeto.</w:t>
      </w:r>
      <w:r>
        <w:rPr>
          <w:rFonts w:ascii="Calibri" w:cs="Calibri" w:eastAsia="Calibri" w:hAnsi="Calibri"/>
          <w:sz w:val="21"/>
          <w:szCs w:val="21"/>
        </w:rPr>
        <w:t xml:space="preserve"> El primero es el texto legible por una persona; el segundo, el resultado de su compilación. La distinción importa porque la entrega de uno sin el otro puede hacer inútil la entrega.</w:t>
      </w:r>
    </w:p>
    <w:p>
      <w:pPr>
        <w:spacing w:after="140" w:line="276"/>
      </w:pPr>
      <w:r>
        <w:rPr>
          <w:rFonts w:ascii="Calibri" w:cs="Calibri" w:eastAsia="Calibri" w:hAnsi="Calibri"/>
          <w:b/>
          <w:bCs/>
          <w:sz w:val="21"/>
          <w:szCs w:val="21"/>
        </w:rPr>
        <w:t xml:space="preserve">Credencial verificable e identificador descentralizado.</w:t>
      </w:r>
      <w:r>
        <w:rPr>
          <w:rFonts w:ascii="Calibri" w:cs="Calibri" w:eastAsia="Calibri" w:hAnsi="Calibri"/>
          <w:sz w:val="21"/>
          <w:szCs w:val="21"/>
        </w:rPr>
        <w:t xml:space="preserve"> Formatos de acreditación de atributos y de identidad que permiten su comprobación sin consultar al emisor.</w:t>
      </w:r>
    </w:p>
    <w:p>
      <w:pPr>
        <w:spacing w:after="140" w:line="276"/>
      </w:pPr>
      <w:r>
        <w:rPr>
          <w:rFonts w:ascii="Calibri" w:cs="Calibri" w:eastAsia="Calibri" w:hAnsi="Calibri"/>
          <w:b/>
          <w:bCs/>
          <w:sz w:val="21"/>
          <w:szCs w:val="21"/>
        </w:rPr>
        <w:t xml:space="preserve">Criptoagilidad.</w:t>
      </w:r>
      <w:r>
        <w:rPr>
          <w:rFonts w:ascii="Calibri" w:cs="Calibri" w:eastAsia="Calibri" w:hAnsi="Calibri"/>
          <w:sz w:val="21"/>
          <w:szCs w:val="21"/>
        </w:rPr>
        <w:t xml:space="preserve"> Capacidad de un sistema para sustituir sus algoritmos criptográficos sin rehacer la aplicación.</w:t>
      </w:r>
    </w:p>
    <w:p>
      <w:pPr>
        <w:spacing w:after="140" w:line="276"/>
      </w:pPr>
      <w:r>
        <w:rPr>
          <w:rFonts w:ascii="Calibri" w:cs="Calibri" w:eastAsia="Calibri" w:hAnsi="Calibri"/>
          <w:b/>
          <w:bCs/>
          <w:sz w:val="21"/>
          <w:szCs w:val="21"/>
        </w:rPr>
        <w:t xml:space="preserve">Deep tech.</w:t>
      </w:r>
      <w:r>
        <w:rPr>
          <w:rFonts w:ascii="Calibri" w:cs="Calibri" w:eastAsia="Calibri" w:hAnsi="Calibri"/>
          <w:sz w:val="21"/>
          <w:szCs w:val="21"/>
        </w:rPr>
        <w:t xml:space="preserve"> Rótulo de uso comercial con el que se agrupan las tecnologías nacidas de avances científicos o de ingeniería todavía poco maduros en el mercado. No tiene definición normalizada ni umbral que permita decir si una solución concreta lo es. Aparece en el título de este documento porque describe la materia de la que trata, y </w:t>
      </w:r>
      <w:r>
        <w:rPr>
          <w:rFonts w:ascii="Calibri" w:cs="Calibri" w:eastAsia="Calibri" w:hAnsi="Calibri"/>
          <w:b/>
          <w:bCs/>
          <w:sz w:val="21"/>
          <w:szCs w:val="21"/>
        </w:rPr>
        <w:t xml:space="preserve">no genera ninguna obligación</w:t>
      </w:r>
      <w:r>
        <w:rPr>
          <w:rFonts w:ascii="Calibri" w:cs="Calibri" w:eastAsia="Calibri" w:hAnsi="Calibri"/>
          <w:sz w:val="21"/>
          <w:szCs w:val="21"/>
        </w:rPr>
        <w:t xml:space="preserve">: lo que obliga es cada cláusula, por lo que el sistema debe hacer y por cómo se comprueba que lo hace.</w:t>
      </w:r>
    </w:p>
    <w:p>
      <w:pPr>
        <w:spacing w:after="140" w:line="276"/>
      </w:pPr>
      <w:r>
        <w:rPr>
          <w:rFonts w:ascii="Calibri" w:cs="Calibri" w:eastAsia="Calibri" w:hAnsi="Calibri"/>
          <w:sz w:val="21"/>
          <w:szCs w:val="21"/>
        </w:rPr>
        <w:t xml:space="preserve">*</w:t>
      </w:r>
      <w:r>
        <w:rPr>
          <w:rFonts w:ascii="Calibri" w:cs="Calibri" w:eastAsia="Calibri" w:hAnsi="Calibri"/>
          <w:i/>
          <w:iCs/>
          <w:sz w:val="21"/>
          <w:szCs w:val="21"/>
        </w:rPr>
        <w:t xml:space="preserve">Depósito de código (</w:t>
      </w:r>
      <w:r>
        <w:rPr>
          <w:rFonts w:ascii="Calibri" w:cs="Calibri" w:eastAsia="Calibri" w:hAnsi="Calibri"/>
          <w:sz w:val="21"/>
          <w:szCs w:val="21"/>
        </w:rPr>
        <w:t xml:space="preserve">escrow</w:t>
      </w:r>
      <w:r>
        <w:rPr>
          <w:rFonts w:ascii="Calibri" w:cs="Calibri" w:eastAsia="Calibri" w:hAnsi="Calibri"/>
          <w:i/>
          <w:iCs/>
          <w:sz w:val="21"/>
          <w:szCs w:val="21"/>
        </w:rPr>
        <w:t xml:space="preserve">).</w:t>
      </w:r>
      <w:r>
        <w:rPr>
          <w:rFonts w:ascii="Calibri" w:cs="Calibri" w:eastAsia="Calibri" w:hAnsi="Calibri"/>
          <w:sz w:val="21"/>
          <w:szCs w:val="21"/>
        </w:rPr>
        <w:t xml:space="preserve">* Entrega del código y de la documentación de despliegue a un tercero, que sólo los libera al beneficiario si se produce un hecho previsto en el contrato. La entrega física del código no confiere por sí sola derecho a reproducirlo: hace falta la licencia.</w:t>
      </w:r>
    </w:p>
    <w:p>
      <w:pPr>
        <w:spacing w:after="140" w:line="276"/>
      </w:pPr>
      <w:r>
        <w:rPr>
          <w:rFonts w:ascii="Calibri" w:cs="Calibri" w:eastAsia="Calibri" w:hAnsi="Calibri"/>
          <w:b/>
          <w:bCs/>
          <w:sz w:val="21"/>
          <w:szCs w:val="21"/>
        </w:rPr>
        <w:t xml:space="preserve">Diccionario de datos.</w:t>
      </w:r>
      <w:r>
        <w:rPr>
          <w:rFonts w:ascii="Calibri" w:cs="Calibri" w:eastAsia="Calibri" w:hAnsi="Calibri"/>
          <w:sz w:val="21"/>
          <w:szCs w:val="21"/>
        </w:rPr>
        <w:t xml:space="preserve"> Documento que describe qué significa cada campo, con qué tipo y con qué relaciones. Sin él, la exportación de datos es un fichero que nadie sabe leer.</w:t>
      </w:r>
    </w:p>
    <w:p>
      <w:pPr>
        <w:spacing w:after="140" w:line="276"/>
      </w:pPr>
      <w:r>
        <w:rPr>
          <w:rFonts w:ascii="Calibri" w:cs="Calibri" w:eastAsia="Calibri" w:hAnsi="Calibri"/>
          <w:b/>
          <w:bCs/>
          <w:sz w:val="21"/>
          <w:szCs w:val="21"/>
        </w:rPr>
        <w:t xml:space="preserve">Entorno de pruebas.</w:t>
      </w:r>
      <w:r>
        <w:rPr>
          <w:rFonts w:ascii="Calibri" w:cs="Calibri" w:eastAsia="Calibri" w:hAnsi="Calibri"/>
          <w:sz w:val="21"/>
          <w:szCs w:val="21"/>
        </w:rPr>
        <w:t xml:space="preserve"> Copia del sistema con datos ficticios o anonimizados, sobre la que se ejecutan las pruebas de aceptación sin afectar a la producción.</w:t>
      </w:r>
    </w:p>
    <w:p>
      <w:pPr>
        <w:spacing w:after="140" w:line="276"/>
      </w:pPr>
      <w:r>
        <w:rPr>
          <w:rFonts w:ascii="Calibri" w:cs="Calibri" w:eastAsia="Calibri" w:hAnsi="Calibri"/>
          <w:b/>
          <w:bCs/>
          <w:sz w:val="21"/>
          <w:szCs w:val="21"/>
        </w:rPr>
        <w:t xml:space="preserve">Esquema Nacional de Seguridad y Esquema Nacional de Interoperabilidad.</w:t>
      </w:r>
      <w:r>
        <w:rPr>
          <w:rFonts w:ascii="Calibri" w:cs="Calibri" w:eastAsia="Calibri" w:hAnsi="Calibri"/>
          <w:sz w:val="21"/>
          <w:szCs w:val="21"/>
        </w:rPr>
        <w:t xml:space="preserve"> Marcos reglamentarios españoles de seguridad e interoperabilidad de los sistemas del sector público.</w:t>
      </w:r>
    </w:p>
    <w:p>
      <w:pPr>
        <w:spacing w:after="140" w:line="276"/>
      </w:pPr>
      <w:r>
        <w:rPr>
          <w:rFonts w:ascii="Calibri" w:cs="Calibri" w:eastAsia="Calibri" w:hAnsi="Calibri"/>
          <w:b/>
          <w:bCs/>
          <w:sz w:val="21"/>
          <w:szCs w:val="21"/>
        </w:rPr>
        <w:t xml:space="preserve">Formato abierto.</w:t>
      </w:r>
      <w:r>
        <w:rPr>
          <w:rFonts w:ascii="Calibri" w:cs="Calibri" w:eastAsia="Calibri" w:hAnsi="Calibri"/>
          <w:sz w:val="21"/>
          <w:szCs w:val="21"/>
        </w:rPr>
        <w:t xml:space="preserve"> Formato cuya especificación es pública y de uso libre, de modo que los datos puedan leerse sin la herramienta que los generó.</w:t>
      </w:r>
    </w:p>
    <w:p>
      <w:pPr>
        <w:spacing w:after="140" w:line="276"/>
      </w:pPr>
      <w:r>
        <w:rPr>
          <w:rFonts w:ascii="Calibri" w:cs="Calibri" w:eastAsia="Calibri" w:hAnsi="Calibri"/>
          <w:b/>
          <w:bCs/>
          <w:sz w:val="21"/>
          <w:szCs w:val="21"/>
        </w:rPr>
        <w:t xml:space="preserve">«Hiperautomatización», «Loop Engineering», «skills», «harness», «loops».</w:t>
      </w:r>
      <w:r>
        <w:rPr>
          <w:rFonts w:ascii="Calibri" w:cs="Calibri" w:eastAsia="Calibri" w:hAnsi="Calibri"/>
          <w:sz w:val="21"/>
          <w:szCs w:val="21"/>
        </w:rPr>
        <w:t xml:space="preserve"> Términos del vocabulario comercial y técnico del sector. </w:t>
      </w:r>
      <w:r>
        <w:rPr>
          <w:rFonts w:ascii="Calibri" w:cs="Calibri" w:eastAsia="Calibri" w:hAnsi="Calibri"/>
          <w:b/>
          <w:bCs/>
          <w:sz w:val="21"/>
          <w:szCs w:val="21"/>
        </w:rPr>
        <w:t xml:space="preserve">Carecen de definición normalizada y de método de verificación en un procedimiento contradictorio.</w:t>
      </w:r>
      <w:r>
        <w:rPr>
          <w:rFonts w:ascii="Calibri" w:cs="Calibri" w:eastAsia="Calibri" w:hAnsi="Calibri"/>
          <w:sz w:val="21"/>
          <w:szCs w:val="21"/>
        </w:rPr>
        <w:t xml:space="preserve"> Se recogen aquí para dejar constancia de que no pueden emplearse en el articulado de un pliego, ni como obligación, ni como criterio, ni como tipo de incumplimiento.</w:t>
      </w:r>
    </w:p>
    <w:p>
      <w:pPr>
        <w:spacing w:after="140" w:line="276"/>
      </w:pPr>
      <w:r>
        <w:rPr>
          <w:rFonts w:ascii="Calibri" w:cs="Calibri" w:eastAsia="Calibri" w:hAnsi="Calibri"/>
          <w:b/>
          <w:bCs/>
          <w:sz w:val="21"/>
          <w:szCs w:val="21"/>
        </w:rPr>
        <w:t xml:space="preserve">Interfaz normalizada de acceso programático.</w:t>
      </w:r>
      <w:r>
        <w:rPr>
          <w:rFonts w:ascii="Calibri" w:cs="Calibri" w:eastAsia="Calibri" w:hAnsi="Calibri"/>
          <w:sz w:val="21"/>
          <w:szCs w:val="21"/>
        </w:rPr>
        <w:t xml:space="preserve"> Punto de entrada documentado que permite a un programa externo consultar datos o solicitar operaciones a la solución, con control de acceso y registro. Es lo que este documento exige; el protocolo concreto es indiferente.</w:t>
      </w:r>
    </w:p>
    <w:p>
      <w:pPr>
        <w:spacing w:after="140" w:line="276"/>
      </w:pPr>
      <w:r>
        <w:rPr>
          <w:rFonts w:ascii="Calibri" w:cs="Calibri" w:eastAsia="Calibri" w:hAnsi="Calibri"/>
          <w:b/>
          <w:bCs/>
          <w:sz w:val="21"/>
          <w:szCs w:val="21"/>
        </w:rPr>
        <w:t xml:space="preserve">Model Context Protocol.</w:t>
      </w:r>
      <w:r>
        <w:rPr>
          <w:rFonts w:ascii="Calibri" w:cs="Calibri" w:eastAsia="Calibri" w:hAnsi="Calibri"/>
          <w:sz w:val="21"/>
          <w:szCs w:val="21"/>
        </w:rPr>
        <w:t xml:space="preserve"> Especificación abierta para la conexión entre asistentes de inteligencia artificial y fuentes de datos y herramientas, bajo gobernanza de una fundación del ecosistema del software libre desde diciembre de 2025. Se menciona </w:t>
      </w:r>
      <w:r>
        <w:rPr>
          <w:rFonts w:ascii="Calibri" w:cs="Calibri" w:eastAsia="Calibri" w:hAnsi="Calibri"/>
          <w:b/>
          <w:bCs/>
          <w:sz w:val="21"/>
          <w:szCs w:val="21"/>
        </w:rPr>
        <w:t xml:space="preserve">exclusivamente como referencia ilustrativa del estado del arte</w:t>
      </w:r>
      <w:r>
        <w:rPr>
          <w:rFonts w:ascii="Calibri" w:cs="Calibri" w:eastAsia="Calibri" w:hAnsi="Calibri"/>
          <w:sz w:val="21"/>
          <w:szCs w:val="21"/>
        </w:rPr>
        <w:t xml:space="preserve">: no es norma en el sentido de la legislación de contratos, no puede operar como medio de presunción de conformidad y no puede exigirse por su nombre.</w:t>
      </w:r>
    </w:p>
    <w:p>
      <w:pPr>
        <w:spacing w:after="140" w:line="276"/>
      </w:pPr>
      <w:r>
        <w:rPr>
          <w:rFonts w:ascii="Calibri" w:cs="Calibri" w:eastAsia="Calibri" w:hAnsi="Calibri"/>
          <w:b/>
          <w:bCs/>
          <w:sz w:val="21"/>
          <w:szCs w:val="21"/>
        </w:rPr>
        <w:t xml:space="preserve">Modelo de lenguaje y sistema de IA generativa.</w:t>
      </w:r>
      <w:r>
        <w:rPr>
          <w:rFonts w:ascii="Calibri" w:cs="Calibri" w:eastAsia="Calibri" w:hAnsi="Calibri"/>
          <w:sz w:val="21"/>
          <w:szCs w:val="21"/>
        </w:rPr>
        <w:t xml:space="preserve"> Sistemas que producen texto, imagen, sonido o código a partir de una instrucción. Su uso sobre información municipal está sujeto a la cláusula ADM-13·v3.</w:t>
      </w:r>
    </w:p>
    <w:p>
      <w:pPr>
        <w:spacing w:after="140" w:line="276"/>
      </w:pPr>
      <w:r>
        <w:rPr>
          <w:rFonts w:ascii="Calibri" w:cs="Calibri" w:eastAsia="Calibri" w:hAnsi="Calibri"/>
          <w:b/>
          <w:bCs/>
          <w:sz w:val="21"/>
          <w:szCs w:val="21"/>
        </w:rPr>
        <w:t xml:space="preserve">Responsable del despliegue y proveedor.</w:t>
      </w:r>
      <w:r>
        <w:rPr>
          <w:rFonts w:ascii="Calibri" w:cs="Calibri" w:eastAsia="Calibri" w:hAnsi="Calibri"/>
          <w:sz w:val="21"/>
          <w:szCs w:val="21"/>
        </w:rPr>
        <w:t xml:space="preserve"> Papeles definidos en la normativa europea de inteligencia artificial. El Ayuntamiento actúa normalmente como responsable del despliegue; el adjudicatario, como proveedor o distribuidor. Las obligaciones del primero son indelegables, y lo que el contrato exige al segundo es que entregue los medios para poder cumplirlas.</w:t>
      </w:r>
    </w:p>
    <w:p>
      <w:pPr>
        <w:spacing w:after="140" w:line="276"/>
      </w:pPr>
      <w:r>
        <w:rPr>
          <w:rFonts w:ascii="Calibri" w:cs="Calibri" w:eastAsia="Calibri" w:hAnsi="Calibri"/>
          <w:b/>
          <w:bCs/>
          <w:sz w:val="21"/>
          <w:szCs w:val="21"/>
        </w:rPr>
        <w:t xml:space="preserve">Reversibilidad y dependencia tecnológica.</w:t>
      </w:r>
      <w:r>
        <w:rPr>
          <w:rFonts w:ascii="Calibri" w:cs="Calibri" w:eastAsia="Calibri" w:hAnsi="Calibri"/>
          <w:sz w:val="21"/>
          <w:szCs w:val="21"/>
        </w:rPr>
        <w:t xml:space="preserve"> Capacidad de recuperar datos, configuraciones y desarrollos y de continuar el servicio con otro proveedor. La dependencia no es ilícita: lo es la injustificada, y se combate con inventario, formato abierto, licencia suficiente y ensayo previo.</w:t>
      </w:r>
    </w:p>
    <w:p>
      <w:pPr>
        <w:spacing w:after="140" w:line="276"/>
      </w:pPr>
      <w:r>
        <w:rPr>
          <w:rFonts w:ascii="Calibri" w:cs="Calibri" w:eastAsia="Calibri" w:hAnsi="Calibri"/>
          <w:b/>
          <w:bCs/>
          <w:sz w:val="21"/>
          <w:szCs w:val="21"/>
        </w:rPr>
        <w:t xml:space="preserve">Sistema de alto riesgo.</w:t>
      </w:r>
      <w:r>
        <w:rPr>
          <w:rFonts w:ascii="Calibri" w:cs="Calibri" w:eastAsia="Calibri" w:hAnsi="Calibri"/>
          <w:sz w:val="21"/>
          <w:szCs w:val="21"/>
        </w:rPr>
        <w:t xml:space="preserve"> Categoría de la normativa europea de inteligencia artificial que activa un conjunto de requisitos reforzados, con el calendario de exigibilidad que recoge el Anexo XI.</w:t>
      </w:r>
    </w:p>
    <w:p>
      <w:pPr>
        <w:spacing w:after="140" w:line="276"/>
      </w:pPr>
      <w:r>
        <w:rPr>
          <w:rFonts w:ascii="Calibri" w:cs="Calibri" w:eastAsia="Calibri" w:hAnsi="Calibri"/>
          <w:b/>
          <w:bCs/>
          <w:sz w:val="21"/>
          <w:szCs w:val="21"/>
        </w:rPr>
        <w:t xml:space="preserve">Sistema de gestión de la inteligencia artificial.</w:t>
      </w:r>
      <w:r>
        <w:rPr>
          <w:rFonts w:ascii="Calibri" w:cs="Calibri" w:eastAsia="Calibri" w:hAnsi="Calibri"/>
          <w:sz w:val="21"/>
          <w:szCs w:val="21"/>
        </w:rPr>
        <w:t xml:space="preserve"> Conjunto documentado de políticas, funciones y controles con los que una organización gobierna el uso de la IA. Su certificación acredita el sistema de gestión; </w:t>
      </w:r>
      <w:r>
        <w:rPr>
          <w:rFonts w:ascii="Calibri" w:cs="Calibri" w:eastAsia="Calibri" w:hAnsi="Calibri"/>
          <w:b/>
          <w:bCs/>
          <w:sz w:val="21"/>
          <w:szCs w:val="21"/>
        </w:rPr>
        <w:t xml:space="preserve">no</w:t>
      </w:r>
      <w:r>
        <w:rPr>
          <w:rFonts w:ascii="Calibri" w:cs="Calibri" w:eastAsia="Calibri" w:hAnsi="Calibri"/>
          <w:sz w:val="21"/>
          <w:szCs w:val="21"/>
        </w:rPr>
        <w:t xml:space="preserve"> acredita la conformidad de un producto con la normativa europea de inteligencia artificial.</w:t>
      </w:r>
    </w:p>
    <w:p>
      <w:pPr>
        <w:spacing w:after="140" w:line="276"/>
      </w:pPr>
      <w:r>
        <w:rPr>
          <w:rFonts w:ascii="Calibri" w:cs="Calibri" w:eastAsia="Calibri" w:hAnsi="Calibri"/>
          <w:b/>
          <w:bCs/>
          <w:sz w:val="21"/>
          <w:szCs w:val="21"/>
        </w:rPr>
        <w:t xml:space="preserve">Solución equivalente.</w:t>
      </w:r>
      <w:r>
        <w:rPr>
          <w:rFonts w:ascii="Calibri" w:cs="Calibri" w:eastAsia="Calibri" w:hAnsi="Calibri"/>
          <w:sz w:val="21"/>
          <w:szCs w:val="21"/>
        </w:rPr>
        <w:t xml:space="preserve"> La que cumple las mismas funciones exigidas, interopera con el resto del entorno sin pérdida de funcionalidad ni de calidad de servicio y no comporta sobrecoste ni sobreesfuerzo desproporcionado de implantación. Su prueba corresponde al licitador y se aporta con la oferta; su apreciación corresponde al órgano de contratación, motivadamente y por escrito.</w:t>
      </w:r>
    </w:p>
    <w:p>
      <w:pPr>
        <w:spacing w:after="140" w:line="276"/>
      </w:pPr>
      <w:r>
        <w:rPr>
          <w:rFonts w:ascii="Calibri" w:cs="Calibri" w:eastAsia="Calibri" w:hAnsi="Calibri"/>
          <w:b/>
          <w:bCs/>
          <w:sz w:val="21"/>
          <w:szCs w:val="21"/>
        </w:rPr>
        <w:t xml:space="preserve">Trazabilidad.</w:t>
      </w:r>
      <w:r>
        <w:rPr>
          <w:rFonts w:ascii="Calibri" w:cs="Calibri" w:eastAsia="Calibri" w:hAnsi="Calibri"/>
          <w:sz w:val="21"/>
          <w:szCs w:val="21"/>
        </w:rPr>
        <w:t xml:space="preserve"> Propiedad de un sistema que permite reconstruir quién hizo qué, cuándo y sobre qué datos.</w:t>
      </w:r>
    </w:p>
    <w:p>
      <w:pPr>
        <w:spacing w:after="140" w:line="276"/>
      </w:pPr>
      <w:r>
        <w:rPr>
          <w:rFonts w:ascii="Calibri" w:cs="Calibri" w:eastAsia="Calibri" w:hAnsi="Calibri"/>
          <w:b/>
          <w:bCs/>
          <w:sz w:val="21"/>
          <w:szCs w:val="21"/>
        </w:rPr>
        <w:t xml:space="preserve">Versión sucesora.</w:t>
      </w:r>
      <w:r>
        <w:rPr>
          <w:rFonts w:ascii="Calibri" w:cs="Calibri" w:eastAsia="Calibri" w:hAnsi="Calibri"/>
          <w:sz w:val="21"/>
          <w:szCs w:val="21"/>
        </w:rPr>
        <w:t xml:space="preserve"> La que presenta continuidad funcional con el producto contratado, lo sustituye en el catálogo del fabricante o cuenta con una ruta de migración ofrecida por el propio fabricante. La definición importa porque es lo que hace exigible la entrega sin discusión sobre la denominación comercial.</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XIV · MODELO DE PLAN ANUAL DE EVOLUCIÓN TECNOLÓGICA</w:t>
      </w:r>
    </w:p>
    <w:p>
      <w:pPr>
        <w:spacing w:after="140" w:line="276"/>
      </w:pPr>
      <w:r>
        <w:rPr>
          <w:rFonts w:ascii="Calibri" w:cs="Calibri" w:eastAsia="Calibri" w:hAnsi="Calibri"/>
          <w:sz w:val="21"/>
          <w:szCs w:val="21"/>
        </w:rPr>
        <w:t xml:space="preserve">Función: dar formato cerrado al Plan que exige la cláusula ADM-10·v3, y en particular a </w:t>
      </w:r>
      <w:r>
        <w:rPr>
          <w:rFonts w:ascii="Calibri" w:cs="Calibri" w:eastAsia="Calibri" w:hAnsi="Calibri"/>
          <w:b/>
          <w:bCs/>
          <w:sz w:val="21"/>
          <w:szCs w:val="21"/>
        </w:rPr>
        <w:t xml:space="preserve">la casilla de hitos sometidos a aprobación expresa</w:t>
      </w:r>
      <w:r>
        <w:rPr>
          <w:rFonts w:ascii="Calibri" w:cs="Calibri" w:eastAsia="Calibri" w:hAnsi="Calibri"/>
          <w:sz w:val="21"/>
          <w:szCs w:val="21"/>
        </w:rPr>
        <w:t xml:space="preserve">. De esa casilla depende que unos hitos sean obligación esencial y el resto no. Sin ella, o se califica como esencial el cumplimiento íntegro de un plan redactado por el propio adjudicatario —cláusula de tipo general, prohibida por el artículo 211.1.f).2.º de la LCSP—, o no lo es nada y la cláusula no protege.</w:t>
      </w:r>
    </w:p>
    <w:p>
      <w:pPr>
        <w:spacing w:after="140" w:line="276"/>
      </w:pPr>
      <w:r>
        <w:rPr>
          <w:rFonts w:ascii="Calibri" w:cs="Calibri" w:eastAsia="Calibri" w:hAnsi="Calibri"/>
          <w:b/>
          <w:bCs/>
          <w:sz w:val="21"/>
          <w:szCs w:val="21"/>
        </w:rPr>
        <w:t xml:space="preserve">Instrucciones de uso, previas al modelo.</w:t>
      </w:r>
      <w:r>
        <w:rPr>
          <w:rFonts w:ascii="Calibri" w:cs="Calibri" w:eastAsia="Calibri" w:hAnsi="Calibri"/>
          <w:sz w:val="21"/>
          <w:szCs w:val="21"/>
        </w:rPr>
        <w:t xml:space="preserve"> (1) El modelo se incorpora como anexo del PCAP y el pliego exige su empleo: un Plan presentado en formato libre no permite localizar los hitos que se someten a aprobación. (2) Las filas del apartado 1 se preimprimen por el Ayuntamiento con las exigencias del Catálogo de Exigencias Tecnológicas efectivamente incorporadas a ese contrato; </w:t>
      </w:r>
      <w:r>
        <w:rPr>
          <w:rFonts w:ascii="Calibri" w:cs="Calibri" w:eastAsia="Calibri" w:hAnsi="Calibri"/>
          <w:b/>
          <w:bCs/>
          <w:sz w:val="21"/>
          <w:szCs w:val="21"/>
        </w:rPr>
        <w:t xml:space="preserve">las filas huérfanas se borran</w:t>
      </w:r>
      <w:r>
        <w:rPr>
          <w:rFonts w:ascii="Calibri" w:cs="Calibri" w:eastAsia="Calibri" w:hAnsi="Calibri"/>
          <w:sz w:val="21"/>
          <w:szCs w:val="21"/>
        </w:rPr>
        <w:t xml:space="preserve">. (3) El apartado 4 es el único que produce obligaciones esenciales, y sólo tras la aprobación expresa del apartado 6. (4) El Plan </w:t>
      </w:r>
      <w:r>
        <w:rPr>
          <w:rFonts w:ascii="Calibri" w:cs="Calibri" w:eastAsia="Calibri" w:hAnsi="Calibri"/>
          <w:b/>
          <w:bCs/>
          <w:sz w:val="21"/>
          <w:szCs w:val="21"/>
        </w:rPr>
        <w:t xml:space="preserve">no crea obligaciones distintas</w:t>
      </w:r>
      <w:r>
        <w:rPr>
          <w:rFonts w:ascii="Calibri" w:cs="Calibri" w:eastAsia="Calibri" w:hAnsi="Calibri"/>
          <w:sz w:val="21"/>
          <w:szCs w:val="21"/>
        </w:rPr>
        <w:t xml:space="preserve"> de las del Catálogo transcrito y del pliego de prescripciones técnicas: si una fila lo hace, se suprime antes de aprobar. (5) El apartado 5 se suprime si el contrato no incorpora bolsa de servicios evolutivos.</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PLAN ANUAL DE EVOLUCIÓN TECNOLÓGICA</w:t>
            </w:r>
          </w:p>
          <w:p>
            <w:pPr>
              <w:spacing w:after="100" w:line="264"/>
            </w:pPr>
            <w:r>
              <w:rPr>
                <w:rFonts w:ascii="Georgia" w:cs="Georgia" w:eastAsia="Georgia" w:hAnsi="Georgia"/>
                <w:i/>
                <w:iCs/>
                <w:sz w:val="20"/>
                <w:szCs w:val="20"/>
              </w:rPr>
              <w:t xml:space="preserve">(Cláusula [ADM-10] del pliego de cláusulas administrativas particulares)</w:t>
            </w:r>
          </w:p>
          <w:p>
            <w:pPr>
              <w:spacing w:after="100" w:line="264"/>
            </w:pPr>
            <w:r>
              <w:rPr>
                <w:rFonts w:ascii="Georgia" w:cs="Georgia" w:eastAsia="Georgia" w:hAnsi="Georgia"/>
                <w:sz w:val="20"/>
                <w:szCs w:val="20"/>
              </w:rPr>
              <w:t xml:space="preserve">Contrato: ……………………………… · Expediente n.º: ………………………</w:t>
            </w:r>
          </w:p>
          <w:p>
            <w:pPr>
              <w:spacing w:after="100" w:line="264"/>
            </w:pPr>
            <w:r>
              <w:rPr>
                <w:rFonts w:ascii="Georgia" w:cs="Georgia" w:eastAsia="Georgia" w:hAnsi="Georgia"/>
                <w:sz w:val="20"/>
                <w:szCs w:val="20"/>
              </w:rPr>
              <w:t xml:space="preserve">Adjudicatario: ……………………………… · NIF: ………………</w:t>
            </w:r>
          </w:p>
          <w:p>
            <w:pPr>
              <w:spacing w:after="100" w:line="264"/>
            </w:pPr>
            <w:r>
              <w:rPr>
                <w:rFonts w:ascii="Georgia" w:cs="Georgia" w:eastAsia="Georgia" w:hAnsi="Georgia"/>
                <w:sz w:val="20"/>
                <w:szCs w:val="20"/>
              </w:rPr>
              <w:t xml:space="preserve">Anualidad a que se refiere: …… (de …… a ……) · N.º de Plan: ……</w:t>
            </w:r>
          </w:p>
          <w:p>
            <w:pPr>
              <w:spacing w:after="100" w:line="264"/>
            </w:pPr>
            <w:r>
              <w:rPr>
                <w:rFonts w:ascii="Georgia" w:cs="Georgia" w:eastAsia="Georgia" w:hAnsi="Georgia"/>
                <w:sz w:val="20"/>
                <w:szCs w:val="20"/>
              </w:rPr>
              <w:t xml:space="preserve">Versión del Catálogo de Exigencias Tecnológicas incorporada al contrato: ……, de fecha ……………</w:t>
            </w:r>
          </w:p>
          <w:p>
            <w:pPr>
              <w:spacing w:after="100" w:line="264"/>
            </w:pPr>
            <w:r>
              <w:rPr>
                <w:rFonts w:ascii="Georgia" w:cs="Georgia" w:eastAsia="Georgia" w:hAnsi="Georgia"/>
                <w:sz w:val="20"/>
                <w:szCs w:val="20"/>
              </w:rPr>
              <w:t xml:space="preserve">Fecha de presentación: …… / …… / …… · Plazo del pliego: </w:t>
            </w:r>
            <w:r>
              <w:rPr>
                <w:rFonts w:ascii="Georgia" w:cs="Georgia" w:eastAsia="Georgia" w:hAnsi="Georgia"/>
                <w:b/>
                <w:bCs/>
                <w:sz w:val="20"/>
                <w:szCs w:val="20"/>
              </w:rPr>
              <w:t xml:space="preserve">[X; se recomienda 60] días naturales</w:t>
            </w:r>
            <w:r>
              <w:rPr>
                <w:rFonts w:ascii="Georgia" w:cs="Georgia" w:eastAsia="Georgia" w:hAnsi="Georgia"/>
                <w:sz w:val="20"/>
                <w:szCs w:val="20"/>
              </w:rPr>
              <w:t xml:space="preserve"> desde la formalización o desde el inicio de la anualidad.</w:t>
            </w:r>
          </w:p>
          <w:p>
            <w:pPr>
              <w:spacing w:after="100" w:line="264"/>
            </w:pPr>
            <w:r>
              <w:rPr>
                <w:rFonts w:ascii="Georgia" w:cs="Georgia" w:eastAsia="Georgia" w:hAnsi="Georgia"/>
                <w:b/>
                <w:bCs/>
                <w:sz w:val="20"/>
                <w:szCs w:val="20"/>
              </w:rPr>
              <w:t xml:space="preserve">1. Calendario de las exigencias del Catálogo incorporadas a este contrato.</w:t>
            </w:r>
            <w:r>
              <w:rPr>
                <w:rFonts w:ascii="Georgia" w:cs="Georgia" w:eastAsia="Georgia" w:hAnsi="Georgia"/>
                <w:sz w:val="20"/>
                <w:szCs w:val="20"/>
              </w:rPr>
              <w:t xml:space="preserve"> Una fila por exigencia. La fecha comprometida no puede exceder del plazo fijado en el propio Catálogo transcrito en el pliego.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Exigencia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Criterio de aceptación pendiente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Fecha comprometida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Estado a la fecha del Plan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Acta de aceptación (fecha y n.º)</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ET-1 · [denominación]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No iniciada ☐ En curso ☐ Aceptada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ET-2 · [denominación]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No iniciada ☐ En curso ☐ Aceptada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ET-3 · [denominación]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No iniciada ☐ En curso ☐ Aceptada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80"/>
            </w:pPr>
          </w:p>
          <w:p>
            <w:pPr>
              <w:spacing w:after="100" w:line="264"/>
            </w:pPr>
            <w:r>
              <w:rPr>
                <w:rFonts w:ascii="Georgia" w:cs="Georgia" w:eastAsia="Georgia" w:hAnsi="Georgia"/>
                <w:b/>
                <w:bCs/>
                <w:sz w:val="20"/>
                <w:szCs w:val="20"/>
              </w:rPr>
              <w:t xml:space="preserve">2. Versiones sucesoras.</w:t>
            </w:r>
            <w:r>
              <w:rPr>
                <w:rFonts w:ascii="Georgia" w:cs="Georgia" w:eastAsia="Georgia" w:hAnsi="Georgia"/>
                <w:sz w:val="20"/>
                <w:szCs w:val="20"/>
              </w:rPr>
              <w:t xml:space="preserve"> Compromiso de poner a disposición del Ayuntamiento, sin coste adicional durante la vigencia del contrato y de sus prórrogas, las versiones sucesoras del producto contratado, en los términos de la cláusula [ADM-10], apartado 2, letra b).</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Versión sucesora publicada en el período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Fecha de disponibilidad general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Fecha de comunicación al Ayuntamiento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Criterio que la acredita (continuidad funcional / sustitución en catálogo / ruta de migración)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 del fabricante que lo prueba</w:t>
                  </w:r>
                </w:p>
              </w:tc>
            </w:tr>
          </w:tbl>
          <w:p>
            <w:pPr>
              <w:spacing w:after="80"/>
            </w:pPr>
          </w:p>
          <w:p>
            <w:pPr>
              <w:spacing w:after="100" w:line="264"/>
            </w:pPr>
            <w:r>
              <w:rPr>
                <w:rFonts w:ascii="Georgia" w:cs="Georgia" w:eastAsia="Georgia" w:hAnsi="Georgia"/>
                <w:sz w:val="20"/>
                <w:szCs w:val="20"/>
              </w:rPr>
              <w:t xml:space="preserve">☐ No se ha publicado versión sucesora alguna en el período. </w:t>
            </w:r>
            <w:r>
              <w:rPr>
                <w:rFonts w:ascii="Georgia" w:cs="Georgia" w:eastAsia="Georgia" w:hAnsi="Georgia"/>
                <w:i/>
                <w:iCs/>
                <w:sz w:val="20"/>
                <w:szCs w:val="20"/>
              </w:rPr>
              <w:t xml:space="preserve">(Marcada esta casilla, no hay obligación que cumplir ni consecuencia que imponer.)</w:t>
            </w:r>
          </w:p>
          <w:p>
            <w:pPr>
              <w:spacing w:after="100" w:line="264"/>
            </w:pPr>
            <w:r>
              <w:rPr>
                <w:rFonts w:ascii="Georgia" w:cs="Georgia" w:eastAsia="Georgia" w:hAnsi="Georgia"/>
                <w:b/>
                <w:bCs/>
                <w:sz w:val="20"/>
                <w:szCs w:val="20"/>
              </w:rPr>
              <w:t xml:space="preserve">3. Versiones en soporte y fin de soporte declarado.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Componente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Versión desplegada en el Ayuntamiento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¿En soporte del fabricante?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Fecha de fin de soporte declarada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Actuación prevista y fecha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80"/>
            </w:pPr>
          </w:p>
          <w:p>
            <w:pPr>
              <w:spacing w:after="100" w:line="264"/>
            </w:pPr>
            <w:r>
              <w:rPr>
                <w:rFonts w:ascii="Georgia" w:cs="Georgia" w:eastAsia="Georgia" w:hAnsi="Georgia"/>
                <w:b/>
                <w:bCs/>
                <w:sz w:val="20"/>
                <w:szCs w:val="20"/>
              </w:rPr>
              <w:t xml:space="preserve">4. HITOS QUE SE SOMETEN A APROBACIÓN EXPRESA DEL ÓRGANO DE CONTRATACIÓN.</w:t>
            </w:r>
          </w:p>
          <w:p>
            <w:pPr>
              <w:spacing w:after="100" w:line="264"/>
            </w:pPr>
            <w:r>
              <w:rPr>
                <w:rFonts w:ascii="Georgia" w:cs="Georgia" w:eastAsia="Georgia" w:hAnsi="Georgia"/>
                <w:i/>
                <w:iCs/>
                <w:sz w:val="20"/>
                <w:szCs w:val="20"/>
              </w:rPr>
              <w:t xml:space="preserve">Advertencia que forma parte del modelo: </w:t>
            </w:r>
            <w:r>
              <w:rPr>
                <w:rFonts w:ascii="Georgia" w:cs="Georgia" w:eastAsia="Georgia" w:hAnsi="Georgia"/>
                <w:i/>
                <w:iCs/>
                <w:sz w:val="20"/>
                <w:szCs w:val="20"/>
              </w:rPr>
              <w:t xml:space="preserve">sólo los hitos consignados en este apartado y aprobados expresamente, con fecha cierta, en el acta de la Comisión de Seguimiento, tienen carácter de obligación contractual esencial</w:t>
            </w:r>
            <w:r>
              <w:rPr>
                <w:rFonts w:ascii="Georgia" w:cs="Georgia" w:eastAsia="Georgia" w:hAnsi="Georgia"/>
                <w:sz w:val="20"/>
                <w:szCs w:val="20"/>
              </w:rPr>
              <w:t xml:space="preserve">* a los efectos del artículo 211.1.f) de la LCSP, en los términos de la cláusula [ADM-6]. Ningún otro contenido de este Plan lo tiene. Un hito no consignado aquí no puede ser calificado como esencial después.*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N.º</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Hito propuesto, descrito por su resultado verificable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Exigencia del Catálogo o cláusula de la que deriva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Fecha cierta propuesta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Cómo se comprobará su cumplimiento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Se somete a aprobación expresa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 …… /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 …… /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 …… /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r>
          </w:tbl>
          <w:p>
            <w:pPr>
              <w:spacing w:after="80"/>
            </w:pPr>
          </w:p>
          <w:p>
            <w:pPr>
              <w:spacing w:after="100" w:line="264"/>
            </w:pPr>
            <w:r>
              <w:rPr>
                <w:rFonts w:ascii="Georgia" w:cs="Georgia" w:eastAsia="Georgia" w:hAnsi="Georgia"/>
                <w:sz w:val="20"/>
                <w:szCs w:val="20"/>
              </w:rPr>
              <w:t xml:space="preserve">☐ </w:t>
            </w:r>
            <w:r>
              <w:rPr>
                <w:rFonts w:ascii="Georgia" w:cs="Georgia" w:eastAsia="Georgia" w:hAnsi="Georgia"/>
                <w:b/>
                <w:bCs/>
                <w:sz w:val="20"/>
                <w:szCs w:val="20"/>
              </w:rPr>
              <w:t xml:space="preserve">El adjudicatario no somete ningún hito a aprobación expresa en esta anualidad.</w:t>
            </w:r>
            <w:r>
              <w:rPr>
                <w:rFonts w:ascii="Georgia" w:cs="Georgia" w:eastAsia="Georgia" w:hAnsi="Georgia"/>
                <w:sz w:val="20"/>
                <w:szCs w:val="20"/>
              </w:rPr>
              <w:t xml:space="preserve"> </w:t>
            </w:r>
            <w:r>
              <w:rPr>
                <w:rFonts w:ascii="Georgia" w:cs="Georgia" w:eastAsia="Georgia" w:hAnsi="Georgia"/>
                <w:i/>
                <w:iCs/>
                <w:sz w:val="20"/>
                <w:szCs w:val="20"/>
              </w:rPr>
              <w:t xml:space="preserve">(Marcada esta casilla, ninguna obligación derivada de este Plan tendrá carácter esencial en la anualidad de referencia.)</w:t>
            </w:r>
          </w:p>
          <w:p>
            <w:pPr>
              <w:spacing w:after="100" w:line="264"/>
            </w:pPr>
            <w:r>
              <w:rPr>
                <w:rFonts w:ascii="Georgia" w:cs="Georgia" w:eastAsia="Georgia" w:hAnsi="Georgia"/>
                <w:b/>
                <w:bCs/>
                <w:sz w:val="20"/>
                <w:szCs w:val="20"/>
              </w:rPr>
              <w:t xml:space="preserve">5. Consumo de la bolsa de servicios evolutivos.</w:t>
            </w:r>
            <w:r>
              <w:rPr>
                <w:rFonts w:ascii="Georgia" w:cs="Georgia" w:eastAsia="Georgia" w:hAnsi="Georgia"/>
                <w:sz w:val="20"/>
                <w:szCs w:val="20"/>
              </w:rPr>
              <w:t xml:space="preserve"> </w:t>
            </w:r>
            <w:r>
              <w:rPr>
                <w:rFonts w:ascii="Georgia" w:cs="Georgia" w:eastAsia="Georgia" w:hAnsi="Georgia"/>
                <w:i/>
                <w:iCs/>
                <w:sz w:val="20"/>
                <w:szCs w:val="20"/>
              </w:rPr>
              <w:t xml:space="preserve">[Sólo si el contrato incorpora la bolsa de la cláusula [ADM-3].]</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Perfil o unidad de despliegue del Cuadro de Precios Unitarios</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Unidades consumidas en el período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Importe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Encargo escrito que las ampara (fecha y n.º)</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Saldo restante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TOTAL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80"/>
            </w:pPr>
          </w:p>
          <w:p>
            <w:pPr>
              <w:spacing w:after="100" w:line="264"/>
            </w:pPr>
            <w:r>
              <w:rPr>
                <w:rFonts w:ascii="Georgia" w:cs="Georgia" w:eastAsia="Georgia" w:hAnsi="Georgia"/>
                <w:b/>
                <w:bCs/>
                <w:sz w:val="20"/>
                <w:szCs w:val="20"/>
              </w:rPr>
              <w:t xml:space="preserve">6. Indicadores de seguimiento.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Indicador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Método de medición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Fuente del dato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Valor comprometido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Valor alcanzado</w:t>
                  </w:r>
                </w:p>
              </w:tc>
            </w:tr>
          </w:tbl>
          <w:p>
            <w:pPr>
              <w:spacing w:after="80"/>
            </w:pPr>
          </w:p>
          <w:p>
            <w:pPr>
              <w:spacing w:after="100" w:line="264"/>
            </w:pPr>
            <w:r>
              <w:rPr>
                <w:rFonts w:ascii="Georgia" w:cs="Georgia" w:eastAsia="Georgia" w:hAnsi="Georgia"/>
                <w:b/>
                <w:bCs/>
                <w:sz w:val="20"/>
                <w:szCs w:val="20"/>
              </w:rPr>
              <w:t xml:space="preserve">7. Declaración de límite.</w:t>
            </w:r>
            <w:r>
              <w:rPr>
                <w:rFonts w:ascii="Georgia" w:cs="Georgia" w:eastAsia="Georgia" w:hAnsi="Georgia"/>
                <w:sz w:val="20"/>
                <w:szCs w:val="20"/>
              </w:rPr>
              <w:t xml:space="preserve"> El adjudicatario declara que ninguna previsión de este Plan comprende prestaciones no contenidas en el Catálogo de Exigencias Tecnológicas incorporado a este contrato ni en el pliego de prescripciones técnicas.</w:t>
            </w:r>
          </w:p>
          <w:p>
            <w:pPr>
              <w:spacing w:after="100" w:line="264"/>
            </w:pPr>
            <w:r>
              <w:rPr>
                <w:rFonts w:ascii="Georgia" w:cs="Georgia" w:eastAsia="Georgia" w:hAnsi="Georgia"/>
                <w:sz w:val="20"/>
                <w:szCs w:val="20"/>
              </w:rPr>
              <w:t xml:space="preserve">Firma del adjudicatario · Fecha</w:t>
            </w:r>
          </w:p>
          <w:p>
            <w:pPr>
              <w:spacing w:after="100" w:line="264"/>
            </w:pPr>
            <w:r>
              <w:rPr>
                <w:rFonts w:ascii="Georgia" w:cs="Georgia" w:eastAsia="Georgia" w:hAnsi="Georgia"/>
                <w:sz w:val="20"/>
                <w:szCs w:val="20"/>
              </w:rPr>
              <w:t xml:space="preserve">---</w:t>
            </w:r>
          </w:p>
          <w:p>
            <w:pPr>
              <w:spacing w:after="100" w:line="264"/>
            </w:pPr>
            <w:r>
              <w:rPr>
                <w:rFonts w:ascii="Georgia" w:cs="Georgia" w:eastAsia="Georgia" w:hAnsi="Georgia"/>
                <w:b/>
                <w:bCs/>
                <w:sz w:val="20"/>
                <w:szCs w:val="20"/>
              </w:rPr>
              <w:t xml:space="preserve">DILIGENCIA DE TRAMITACIÓN</w:t>
            </w:r>
            <w:r>
              <w:rPr>
                <w:rFonts w:ascii="Georgia" w:cs="Georgia" w:eastAsia="Georgia" w:hAnsi="Georgia"/>
                <w:sz w:val="20"/>
                <w:szCs w:val="20"/>
              </w:rPr>
              <w:t xml:space="preserve"> </w:t>
            </w:r>
            <w:r>
              <w:rPr>
                <w:rFonts w:ascii="Georgia" w:cs="Georgia" w:eastAsia="Georgia" w:hAnsi="Georgia"/>
                <w:i/>
                <w:iCs/>
                <w:sz w:val="20"/>
                <w:szCs w:val="20"/>
              </w:rPr>
              <w:t xml:space="preserve">(no la cumplimenta el adjudicatario)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Trámite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Fecha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Firma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Recepción del Plan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Registro de entrada n.º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del responsable del contrato (conformidad o reparos)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Aprobación expresa de hitos por el 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la Comisión de Seguimiento n.º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Notificación al adjudicatario de los hitos aprobados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80"/>
            </w:pPr>
          </w:p>
          <w:p>
            <w:pPr>
              <w:spacing w:after="100" w:line="264"/>
            </w:pPr>
            <w:r>
              <w:rPr>
                <w:rFonts w:ascii="Georgia" w:cs="Georgia" w:eastAsia="Georgia" w:hAnsi="Georgia"/>
                <w:b/>
                <w:bCs/>
                <w:sz w:val="20"/>
                <w:szCs w:val="20"/>
              </w:rPr>
              <w:t xml:space="preserve">Hitos efectivamente aprobados, con su fecha cierta</w:t>
            </w:r>
            <w:r>
              <w:rPr>
                <w:rFonts w:ascii="Georgia" w:cs="Georgia" w:eastAsia="Georgia" w:hAnsi="Georgia"/>
                <w:sz w:val="20"/>
                <w:szCs w:val="20"/>
              </w:rPr>
              <w:t xml:space="preserve"> </w:t>
            </w:r>
            <w:r>
              <w:rPr>
                <w:rFonts w:ascii="Georgia" w:cs="Georgia" w:eastAsia="Georgia" w:hAnsi="Georgia"/>
                <w:i/>
                <w:iCs/>
                <w:sz w:val="20"/>
                <w:szCs w:val="20"/>
              </w:rPr>
              <w:t xml:space="preserve">(se transcriben desde el acta; los no transcritos no son esenciales)</w:t>
            </w:r>
            <w:r>
              <w:rPr>
                <w:rFonts w:ascii="Georgia" w:cs="Georgia" w:eastAsia="Georgia" w:hAnsi="Georgia"/>
                <w:sz w:val="20"/>
                <w:szCs w:val="20"/>
              </w:rPr>
              <w:t xml:space="preserv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N.º del apartado 4</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Hito aprobado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Fecha cierta aprobada</w:t>
                  </w:r>
                </w:p>
              </w:tc>
            </w:tr>
          </w:tbl>
          <w:p>
            <w:pPr>
              <w:spacing w:after="80"/>
            </w:pPr>
          </w:p>
        </w:tc>
      </w:tr>
    </w:tbl>
    <w:p>
      <w:pPr>
        <w:spacing w:after="220"/>
      </w:pPr>
    </w:p>
    <w:p>
      <w:pPr>
        <w:spacing w:after="140" w:line="276"/>
      </w:pPr>
      <w:r>
        <w:rPr>
          <w:rFonts w:ascii="Calibri" w:cs="Calibri" w:eastAsia="Calibri" w:hAnsi="Calibri"/>
          <w:b/>
          <w:bCs/>
          <w:sz w:val="21"/>
          <w:szCs w:val="21"/>
        </w:rPr>
        <w:t xml:space="preserve">Nota al redactor.</w:t>
      </w:r>
      <w:r>
        <w:rPr>
          <w:rFonts w:ascii="Calibri" w:cs="Calibri" w:eastAsia="Calibri" w:hAnsi="Calibri"/>
          <w:sz w:val="21"/>
          <w:szCs w:val="21"/>
        </w:rPr>
        <w:t xml:space="preserve"> El plazo de presentación del Plan y el de su actualización deben coincidir con los de la cláusula [ADM-10] del PCAP y con la fila correspondiente del cuadro de penalidades. Si el pliego fija un plazo y este modelo otro, el contratista alegará la contradicción en el primer expediente de penalidad, y la alegación prosperará.</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XV · MODELO DE RESOLUCIÓN DE APROBACIÓN ANUAL DEL CATÁLOGO DE EXIGENCIAS TECNOLÓGICAS (ANEXO V)</w:t>
      </w:r>
    </w:p>
    <w:p>
      <w:pPr>
        <w:spacing w:after="140" w:line="276"/>
      </w:pPr>
      <w:r>
        <w:rPr>
          <w:rFonts w:ascii="Calibri" w:cs="Calibri" w:eastAsia="Calibri" w:hAnsi="Calibri"/>
          <w:sz w:val="21"/>
          <w:szCs w:val="21"/>
        </w:rPr>
        <w:t xml:space="preserve">Función: hacer que la revisión anual ocurra. La separación entre un articulado estable y un catálogo de exigencias que se revisa cada año es el argumento central de este documento; sin un acto administrativo que la ejecute, esa separación es una declaración de intenciones. Este modelo es el acto. Se dicta por el órgano designado en el punto Cuarto del acuerdo del Anexo VIII, y su omisión tiene una consecuencia que conviene decir por escrito: </w:t>
      </w:r>
      <w:r>
        <w:rPr>
          <w:rFonts w:ascii="Calibri" w:cs="Calibri" w:eastAsia="Calibri" w:hAnsi="Calibri"/>
          <w:b/>
          <w:bCs/>
          <w:sz w:val="21"/>
          <w:szCs w:val="21"/>
        </w:rPr>
        <w:t xml:space="preserve">sin resolución de aprobación en plazo, el Catálogo vigente sigue siendo el del ejercicio anterior</w:t>
      </w:r>
      <w:r>
        <w:rPr>
          <w:rFonts w:ascii="Calibri" w:cs="Calibri" w:eastAsia="Calibri" w:hAnsi="Calibri"/>
          <w:sz w:val="21"/>
          <w:szCs w:val="21"/>
        </w:rPr>
        <w:t xml:space="preserve">, y así se hará constar en los expedientes que se tramiten.</w:t>
      </w:r>
    </w:p>
    <w:p>
      <w:pPr>
        <w:spacing w:after="140" w:line="276"/>
      </w:pPr>
      <w:r>
        <w:rPr>
          <w:rFonts w:ascii="Calibri" w:cs="Calibri" w:eastAsia="Calibri" w:hAnsi="Calibri"/>
          <w:b/>
          <w:bCs/>
          <w:sz w:val="21"/>
          <w:szCs w:val="21"/>
        </w:rPr>
        <w:t xml:space="preserve">Qué tiene que constar en el expediente antes de dictarla</w:t>
      </w:r>
      <w:r>
        <w:rPr>
          <w:rFonts w:ascii="Calibri" w:cs="Calibri" w:eastAsia="Calibri" w:hAnsi="Calibri"/>
          <w:sz w:val="21"/>
          <w:szCs w:val="21"/>
        </w:rPr>
        <w:t xml:space="preserve"> (los cuatro documentos del procedimiento de revisión del Anexo V, apartado V.A.4): (a) propuesta de actualización de los servicios técnicos; (b) contraste de mercado documentado, por tipología de solución; (c) informe del órgano al que corresponda el informe jurídico preceptivo; (d) acreditación de la competencia del órgano que resuelve, por remisión al acuerdo del Anexo VIII.</w:t>
      </w:r>
    </w:p>
    <w:p>
      <w:pPr>
        <w:spacing w:after="140" w:line="276"/>
      </w:pPr>
      <w:r>
        <w:rPr>
          <w:rFonts w:ascii="Calibri" w:cs="Calibri" w:eastAsia="Calibri" w:hAnsi="Calibri"/>
          <w:sz w:val="21"/>
          <w:szCs w:val="21"/>
        </w:rPr>
        <w:t xml:space="preserve">---- INICIO DEL MODELO ----</w:t>
      </w:r>
    </w:p>
    <w:p>
      <w:pPr>
        <w:spacing w:after="140" w:line="276"/>
      </w:pPr>
      <w:r>
        <w:rPr>
          <w:rFonts w:ascii="Calibri" w:cs="Calibri" w:eastAsia="Calibri" w:hAnsi="Calibri"/>
          <w:b/>
          <w:bCs/>
          <w:sz w:val="21"/>
          <w:szCs w:val="21"/>
        </w:rPr>
        <w:t xml:space="preserve">RESOLUCIÓN DE [ÓRGANO DESIGNADO EN EL PUNTO CUARTO DEL ACUERDO DE …………………] POR LA QUE SE APRUEBA EL CATÁLOGO DE EXIGENCIAS TECNOLÓGICAS DETERMINADAS DEL EJERCICIO [ ], VERSIÓN [ ]</w:t>
      </w:r>
    </w:p>
    <w:p>
      <w:pPr>
        <w:spacing w:after="140" w:line="276"/>
      </w:pPr>
      <w:r>
        <w:rPr>
          <w:rFonts w:ascii="Calibri" w:cs="Calibri" w:eastAsia="Calibri" w:hAnsi="Calibri"/>
          <w:b/>
          <w:bCs/>
          <w:sz w:val="21"/>
          <w:szCs w:val="21"/>
        </w:rPr>
        <w:t xml:space="preserve">ANTECEDENTES DE HECHO</w:t>
      </w:r>
    </w:p>
    <w:p>
      <w:pPr>
        <w:spacing w:after="140" w:line="276"/>
      </w:pPr>
      <w:r>
        <w:rPr>
          <w:rFonts w:ascii="Calibri" w:cs="Calibri" w:eastAsia="Calibri" w:hAnsi="Calibri"/>
          <w:b/>
          <w:bCs/>
          <w:sz w:val="21"/>
          <w:szCs w:val="21"/>
        </w:rPr>
        <w:t xml:space="preserve">Primero.</w:t>
      </w:r>
      <w:r>
        <w:rPr>
          <w:rFonts w:ascii="Calibri" w:cs="Calibri" w:eastAsia="Calibri" w:hAnsi="Calibri"/>
          <w:sz w:val="21"/>
          <w:szCs w:val="21"/>
        </w:rPr>
        <w:t xml:space="preserve"> Por acuerdo de [órgano de gobierno], de fecha ……………, punto ……, se aprobaron el Plan Municipal de Modernización Tecnológica, el Catálogo de Cláusulas de Inteligencia Artificial y Deep Tech y el Catálogo de Exigencias Tecnológicas Determinadas del ejercicio [ ], versión [ ], designándose a este órgano como competente para aprobar su revisión anual.</w:t>
      </w:r>
    </w:p>
    <w:p>
      <w:pPr>
        <w:spacing w:after="140" w:line="276"/>
      </w:pPr>
      <w:r>
        <w:rPr>
          <w:rFonts w:ascii="Calibri" w:cs="Calibri" w:eastAsia="Calibri" w:hAnsi="Calibri"/>
          <w:b/>
          <w:bCs/>
          <w:sz w:val="21"/>
          <w:szCs w:val="21"/>
        </w:rPr>
        <w:t xml:space="preserve">Segundo.</w:t>
      </w:r>
      <w:r>
        <w:rPr>
          <w:rFonts w:ascii="Calibri" w:cs="Calibri" w:eastAsia="Calibri" w:hAnsi="Calibri"/>
          <w:sz w:val="21"/>
          <w:szCs w:val="21"/>
        </w:rPr>
        <w:t xml:space="preserve"> Con fecha …………… los servicios técnicos municipales han formulado propuesta de actualización del Catálogo, en la que se identifican las capacidades que pasan a ser exigibles, las que se mantienen sin cambio y las que se suprimen por haberse generalizado en el mercado o haber quedado superadas.</w:t>
      </w:r>
    </w:p>
    <w:p>
      <w:pPr>
        <w:spacing w:after="140" w:line="276"/>
      </w:pPr>
      <w:r>
        <w:rPr>
          <w:rFonts w:ascii="Calibri" w:cs="Calibri" w:eastAsia="Calibri" w:hAnsi="Calibri"/>
          <w:b/>
          <w:bCs/>
          <w:sz w:val="21"/>
          <w:szCs w:val="21"/>
        </w:rPr>
        <w:t xml:space="preserve">Tercero.</w:t>
      </w:r>
      <w:r>
        <w:rPr>
          <w:rFonts w:ascii="Calibri" w:cs="Calibri" w:eastAsia="Calibri" w:hAnsi="Calibri"/>
          <w:sz w:val="21"/>
          <w:szCs w:val="21"/>
        </w:rPr>
        <w:t xml:space="preserve"> Consta en el expediente el </w:t>
      </w:r>
      <w:r>
        <w:rPr>
          <w:rFonts w:ascii="Calibri" w:cs="Calibri" w:eastAsia="Calibri" w:hAnsi="Calibri"/>
          <w:b/>
          <w:bCs/>
          <w:sz w:val="21"/>
          <w:szCs w:val="21"/>
        </w:rPr>
        <w:t xml:space="preserve">contraste de mercado</w:t>
      </w:r>
      <w:r>
        <w:rPr>
          <w:rFonts w:ascii="Calibri" w:cs="Calibri" w:eastAsia="Calibri" w:hAnsi="Calibri"/>
          <w:sz w:val="21"/>
          <w:szCs w:val="21"/>
        </w:rPr>
        <w:t xml:space="preserve"> por tipología de solución, de fecha ……………, [realizado mediante consulta preliminar del mercado publicada conforme al artículo 115 de la Ley 9/2017, cuyo informe motivado obra en el expediente y se publica con la misma publicidad que los pliegos / realizado mediante ……………]. Del contraste resulta que cada exigencia que se incorpora puede ser cumplida, en el plazo previsto, por un número de operadores no inferior a </w:t>
      </w:r>
      <w:r>
        <w:rPr>
          <w:rFonts w:ascii="Calibri" w:cs="Calibri" w:eastAsia="Calibri" w:hAnsi="Calibri"/>
          <w:b/>
          <w:bCs/>
          <w:sz w:val="21"/>
          <w:szCs w:val="21"/>
        </w:rPr>
        <w:t xml:space="preserve">[X; se recomienda 3]</w:t>
      </w:r>
      <w:r>
        <w:rPr>
          <w:rFonts w:ascii="Calibri" w:cs="Calibri" w:eastAsia="Calibri" w:hAnsi="Calibri"/>
          <w:sz w:val="21"/>
          <w:szCs w:val="21"/>
        </w:rPr>
        <w:t xml:space="preserve">.</w:t>
      </w:r>
    </w:p>
    <w:p>
      <w:pPr>
        <w:spacing w:after="140" w:line="276"/>
      </w:pPr>
      <w:r>
        <w:rPr>
          <w:rFonts w:ascii="Calibri" w:cs="Calibri" w:eastAsia="Calibri" w:hAnsi="Calibri"/>
          <w:b/>
          <w:bCs/>
          <w:sz w:val="21"/>
          <w:szCs w:val="21"/>
        </w:rPr>
        <w:t xml:space="preserve">Cuarto.</w:t>
      </w:r>
      <w:r>
        <w:rPr>
          <w:rFonts w:ascii="Calibri" w:cs="Calibri" w:eastAsia="Calibri" w:hAnsi="Calibri"/>
          <w:sz w:val="21"/>
          <w:szCs w:val="21"/>
        </w:rPr>
        <w:t xml:space="preserve"> Consta informe del órgano al que corresponde el informe jurídico preceptivo, de fecha ……………, de sentido [favorable / favorable con observaciones, que han sido incorporadas].</w:t>
      </w:r>
    </w:p>
    <w:p>
      <w:pPr>
        <w:spacing w:after="140" w:line="276"/>
      </w:pPr>
      <w:r>
        <w:rPr>
          <w:rFonts w:ascii="Calibri" w:cs="Calibri" w:eastAsia="Calibri" w:hAnsi="Calibri"/>
          <w:b/>
          <w:bCs/>
          <w:sz w:val="21"/>
          <w:szCs w:val="21"/>
        </w:rPr>
        <w:t xml:space="preserve">FUNDAMENTOS DE DERECHO</w:t>
      </w:r>
    </w:p>
    <w:p>
      <w:pPr>
        <w:spacing w:after="140" w:line="276"/>
      </w:pPr>
      <w:r>
        <w:rPr>
          <w:rFonts w:ascii="Calibri" w:cs="Calibri" w:eastAsia="Calibri" w:hAnsi="Calibri"/>
          <w:b/>
          <w:bCs/>
          <w:sz w:val="21"/>
          <w:szCs w:val="21"/>
        </w:rPr>
        <w:t xml:space="preserve">I.</w:t>
      </w:r>
      <w:r>
        <w:rPr>
          <w:rFonts w:ascii="Calibri" w:cs="Calibri" w:eastAsia="Calibri" w:hAnsi="Calibri"/>
          <w:sz w:val="21"/>
          <w:szCs w:val="21"/>
        </w:rPr>
        <w:t xml:space="preserve"> El artículo 116.4.e) de la Ley 9/2017 exige que la justificación de cada exigencia incorporada a un pliego guarde relación directa, clara y proporcional con el objeto del contrato. La aprobación anual y centralizada de las exigencias tecnológicas, con contraste de mercado documentado, es el instrumento que permite que esa justificación exista antes de cada expediente y no se construya en sede de recurso.</w:t>
      </w:r>
    </w:p>
    <w:p>
      <w:pPr>
        <w:spacing w:after="140" w:line="276"/>
      </w:pPr>
      <w:r>
        <w:rPr>
          <w:rFonts w:ascii="Calibri" w:cs="Calibri" w:eastAsia="Calibri" w:hAnsi="Calibri"/>
          <w:b/>
          <w:bCs/>
          <w:sz w:val="21"/>
          <w:szCs w:val="21"/>
        </w:rPr>
        <w:t xml:space="preserve">II.</w:t>
      </w:r>
      <w:r>
        <w:rPr>
          <w:rFonts w:ascii="Calibri" w:cs="Calibri" w:eastAsia="Calibri" w:hAnsi="Calibri"/>
          <w:sz w:val="21"/>
          <w:szCs w:val="21"/>
        </w:rPr>
        <w:t xml:space="preserve"> El artículo 126 de la misma ley obliga a que las prescripciones técnicas no creen obstáculos injustificados a la competencia y a que toda referencia a una norma técnica se acompañe de la mención «o equivalente». Las exigencias que se aprueban están formuladas por función y no por producto, protocolo o red, y remiten al régimen de equivalencia de la cláusula DT-0·v3 del Catálogo de Cláusulas.</w:t>
      </w:r>
    </w:p>
    <w:p>
      <w:pPr>
        <w:spacing w:after="140" w:line="276"/>
      </w:pPr>
      <w:r>
        <w:rPr>
          <w:rFonts w:ascii="Calibri" w:cs="Calibri" w:eastAsia="Calibri" w:hAnsi="Calibri"/>
          <w:b/>
          <w:bCs/>
          <w:sz w:val="21"/>
          <w:szCs w:val="21"/>
        </w:rPr>
        <w:t xml:space="preserve">III.</w:t>
      </w:r>
      <w:r>
        <w:rPr>
          <w:rFonts w:ascii="Calibri" w:cs="Calibri" w:eastAsia="Calibri" w:hAnsi="Calibri"/>
          <w:sz w:val="21"/>
          <w:szCs w:val="21"/>
        </w:rPr>
        <w:t xml:space="preserve"> La competencia de este órgano resulta del punto Cuarto del acuerdo citado en el antecedente primero.</w:t>
      </w:r>
    </w:p>
    <w:p>
      <w:pPr>
        <w:spacing w:after="140" w:line="276"/>
      </w:pPr>
      <w:r>
        <w:rPr>
          <w:rFonts w:ascii="Calibri" w:cs="Calibri" w:eastAsia="Calibri" w:hAnsi="Calibri"/>
          <w:b/>
          <w:bCs/>
          <w:sz w:val="21"/>
          <w:szCs w:val="21"/>
        </w:rPr>
        <w:t xml:space="preserve">RESUELVO</w:t>
      </w:r>
    </w:p>
    <w:p>
      <w:pPr>
        <w:spacing w:after="140" w:line="276"/>
      </w:pPr>
      <w:r>
        <w:rPr>
          <w:rFonts w:ascii="Calibri" w:cs="Calibri" w:eastAsia="Calibri" w:hAnsi="Calibri"/>
          <w:b/>
          <w:bCs/>
          <w:sz w:val="21"/>
          <w:szCs w:val="21"/>
        </w:rPr>
        <w:t xml:space="preserve">Primero. Aprobar el Catálogo de Exigencias Tecnológicas Determinadas del ejercicio [ ], versión [ ]</w:t>
      </w:r>
      <w:r>
        <w:rPr>
          <w:rFonts w:ascii="Calibri" w:cs="Calibri" w:eastAsia="Calibri" w:hAnsi="Calibri"/>
          <w:sz w:val="21"/>
          <w:szCs w:val="21"/>
        </w:rPr>
        <w:t xml:space="preserve">, que se acompaña como anexo a esta resolución, integrado por las exigencias siguientes: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Código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Denominación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Situación respecto de la versión anterior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Plazo de entrega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Motivo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ET-1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Se mantiene ☐ Se modifica ☐ Nueva ☐ Se suprime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 se recomienda 12]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ET-2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Se mantiene ☐ Se modifica ☐ Nueva ☐ Se suprime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 se recomienda 12]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ET-3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Se mantiene ☐ Se modifica ☐ Nueva ☐ Se suprime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 se recomienda 12]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200"/>
      </w:pPr>
    </w:p>
    <w:p>
      <w:pPr>
        <w:spacing w:after="140" w:line="276"/>
      </w:pPr>
      <w:r>
        <w:rPr>
          <w:rFonts w:ascii="Calibri" w:cs="Calibri" w:eastAsia="Calibri" w:hAnsi="Calibri"/>
          <w:b/>
          <w:bCs/>
          <w:sz w:val="21"/>
          <w:szCs w:val="21"/>
        </w:rPr>
        <w:t xml:space="preserve">Segundo. Declarar expresamente el ámbito temporal de la aprobación.</w:t>
      </w:r>
      <w:r>
        <w:rPr>
          <w:rFonts w:ascii="Calibri" w:cs="Calibri" w:eastAsia="Calibri" w:hAnsi="Calibri"/>
          <w:sz w:val="21"/>
          <w:szCs w:val="21"/>
        </w:rPr>
        <w:t xml:space="preserve"> El Catálogo aprobado se aplica a las licitaciones que se convoquen </w:t>
      </w:r>
      <w:r>
        <w:rPr>
          <w:rFonts w:ascii="Calibri" w:cs="Calibri" w:eastAsia="Calibri" w:hAnsi="Calibri"/>
          <w:b/>
          <w:bCs/>
          <w:sz w:val="21"/>
          <w:szCs w:val="21"/>
        </w:rPr>
        <w:t xml:space="preserve">a partir de la publicación de esta resolución en el perfil de contratante</w:t>
      </w:r>
      <w:r>
        <w:rPr>
          <w:rFonts w:ascii="Calibri" w:cs="Calibri" w:eastAsia="Calibri" w:hAnsi="Calibri"/>
          <w:sz w:val="21"/>
          <w:szCs w:val="21"/>
        </w:rPr>
        <w:t xml:space="preserve">. </w:t>
      </w:r>
      <w:r>
        <w:rPr>
          <w:rFonts w:ascii="Calibri" w:cs="Calibri" w:eastAsia="Calibri" w:hAnsi="Calibri"/>
          <w:b/>
          <w:bCs/>
          <w:sz w:val="21"/>
          <w:szCs w:val="21"/>
        </w:rPr>
        <w:t xml:space="preserve">No produce efecto alguno sobre los contratos ya formalizados ni sobre las licitaciones convocadas con anterioridad</w:t>
      </w:r>
      <w:r>
        <w:rPr>
          <w:rFonts w:ascii="Calibri" w:cs="Calibri" w:eastAsia="Calibri" w:hAnsi="Calibri"/>
          <w:sz w:val="21"/>
          <w:szCs w:val="21"/>
        </w:rPr>
        <w:t xml:space="preserve">, a los que sólo resulta exigible el Catálogo vigente en el momento de su licitación. Los pliegos de las licitaciones que lo incorporen citarán su versión y su fecha.</w:t>
      </w:r>
    </w:p>
    <w:p>
      <w:pPr>
        <w:spacing w:after="140" w:line="276"/>
      </w:pPr>
      <w:r>
        <w:rPr>
          <w:rFonts w:ascii="Calibri" w:cs="Calibri" w:eastAsia="Calibri" w:hAnsi="Calibri"/>
          <w:b/>
          <w:bCs/>
          <w:sz w:val="21"/>
          <w:szCs w:val="21"/>
        </w:rPr>
        <w:t xml:space="preserve">Tercero. Ordenar su transcripción física en los pliegos.</w:t>
      </w:r>
      <w:r>
        <w:rPr>
          <w:rFonts w:ascii="Calibri" w:cs="Calibri" w:eastAsia="Calibri" w:hAnsi="Calibri"/>
          <w:sz w:val="21"/>
          <w:szCs w:val="21"/>
        </w:rPr>
        <w:t xml:space="preserve"> El Catálogo se transcribirá físicamente en el pliego de prescripciones técnicas de cada licitación que lo incorpore, recortado a los módulos del contrato, con su número de versión y su fecha. </w:t>
      </w:r>
      <w:r>
        <w:rPr>
          <w:rFonts w:ascii="Calibri" w:cs="Calibri" w:eastAsia="Calibri" w:hAnsi="Calibri"/>
          <w:b/>
          <w:bCs/>
          <w:sz w:val="21"/>
          <w:szCs w:val="21"/>
        </w:rPr>
        <w:t xml:space="preserve">No se incorporará por remisión.</w:t>
      </w:r>
      <w:r>
        <w:rPr>
          <w:rFonts w:ascii="Calibri" w:cs="Calibri" w:eastAsia="Calibri" w:hAnsi="Calibri"/>
          <w:sz w:val="21"/>
          <w:szCs w:val="21"/>
        </w:rPr>
        <w:t xml:space="preserve"> En el pliego constará expresamente que las revisiones posteriores del Catálogo no afectan al contrato.</w:t>
      </w:r>
    </w:p>
    <w:p>
      <w:pPr>
        <w:spacing w:after="140" w:line="276"/>
      </w:pPr>
      <w:r>
        <w:rPr>
          <w:rFonts w:ascii="Calibri" w:cs="Calibri" w:eastAsia="Calibri" w:hAnsi="Calibri"/>
          <w:b/>
          <w:bCs/>
          <w:sz w:val="21"/>
          <w:szCs w:val="21"/>
        </w:rPr>
        <w:t xml:space="preserve">Cuarto. Dejar constancia del contraste de mercado.</w:t>
      </w:r>
      <w:r>
        <w:rPr>
          <w:rFonts w:ascii="Calibri" w:cs="Calibri" w:eastAsia="Calibri" w:hAnsi="Calibri"/>
          <w:sz w:val="21"/>
          <w:szCs w:val="21"/>
        </w:rPr>
        <w:t xml:space="preserve"> Se hace constar que ninguna exigencia se incorpora sin que el contraste acredite que puede ser cumplida por una pluralidad de operadores en el plazo previsto. Las exigencias que no superaron ese contraste, y que por ello </w:t>
      </w:r>
      <w:r>
        <w:rPr>
          <w:rFonts w:ascii="Calibri" w:cs="Calibri" w:eastAsia="Calibri" w:hAnsi="Calibri"/>
          <w:b/>
          <w:bCs/>
          <w:sz w:val="21"/>
          <w:szCs w:val="21"/>
        </w:rPr>
        <w:t xml:space="preserve">no</w:t>
      </w:r>
      <w:r>
        <w:rPr>
          <w:rFonts w:ascii="Calibri" w:cs="Calibri" w:eastAsia="Calibri" w:hAnsi="Calibri"/>
          <w:sz w:val="21"/>
          <w:szCs w:val="21"/>
        </w:rPr>
        <w:t xml:space="preserve"> se incorporan en este ejercicio, son: …………………… . Se reconsiderarán en la revisión siguiente.</w:t>
      </w:r>
    </w:p>
    <w:p>
      <w:pPr>
        <w:spacing w:after="140" w:line="276"/>
      </w:pPr>
      <w:r>
        <w:rPr>
          <w:rFonts w:ascii="Calibri" w:cs="Calibri" w:eastAsia="Calibri" w:hAnsi="Calibri"/>
          <w:b/>
          <w:bCs/>
          <w:sz w:val="21"/>
          <w:szCs w:val="21"/>
        </w:rPr>
        <w:t xml:space="preserve">Quinto. Ordenar la publicación</w:t>
      </w:r>
      <w:r>
        <w:rPr>
          <w:rFonts w:ascii="Calibri" w:cs="Calibri" w:eastAsia="Calibri" w:hAnsi="Calibri"/>
          <w:sz w:val="21"/>
          <w:szCs w:val="21"/>
        </w:rPr>
        <w:t xml:space="preserve"> de esta resolución y del Catálogo aprobado en el perfil de contratante y en el portal de transparencia municipal, en formato reutilizable, con su número de versión y su fecha.</w:t>
      </w:r>
    </w:p>
    <w:p>
      <w:pPr>
        <w:spacing w:after="140" w:line="276"/>
      </w:pPr>
      <w:r>
        <w:rPr>
          <w:rFonts w:ascii="Calibri" w:cs="Calibri" w:eastAsia="Calibri" w:hAnsi="Calibri"/>
          <w:b/>
          <w:bCs/>
          <w:sz w:val="21"/>
          <w:szCs w:val="21"/>
        </w:rPr>
        <w:t xml:space="preserve">Sexto. Dar traslado</w:t>
      </w:r>
      <w:r>
        <w:rPr>
          <w:rFonts w:ascii="Calibri" w:cs="Calibri" w:eastAsia="Calibri" w:hAnsi="Calibri"/>
          <w:sz w:val="21"/>
          <w:szCs w:val="21"/>
        </w:rPr>
        <w:t xml:space="preserve"> a los servicios gestores, al órgano al que corresponde el informe jurídico preceptivo, a la Intervención General y a los responsables de los contratos en vigor, a los solos efectos de su conocimiento y con expresa indicación de que </w:t>
      </w:r>
      <w:r>
        <w:rPr>
          <w:rFonts w:ascii="Calibri" w:cs="Calibri" w:eastAsia="Calibri" w:hAnsi="Calibri"/>
          <w:b/>
          <w:bCs/>
          <w:sz w:val="21"/>
          <w:szCs w:val="21"/>
        </w:rPr>
        <w:t xml:space="preserve">no altera las obligaciones de los contratos ya formalizados</w:t>
      </w:r>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Lugar, fecha y firma.</w:t>
      </w:r>
    </w:p>
    <w:p>
      <w:pPr>
        <w:spacing w:after="140" w:line="276"/>
      </w:pPr>
      <w:r>
        <w:rPr>
          <w:rFonts w:ascii="Calibri" w:cs="Calibri" w:eastAsia="Calibri" w:hAnsi="Calibri"/>
          <w:sz w:val="21"/>
          <w:szCs w:val="21"/>
        </w:rPr>
        <w:t xml:space="preserve">---- FIN DEL MODELO ----</w:t>
      </w:r>
    </w:p>
    <w:p>
      <w:pPr>
        <w:spacing w:after="140" w:line="276"/>
      </w:pPr>
      <w:r>
        <w:rPr>
          <w:rFonts w:ascii="Calibri" w:cs="Calibri" w:eastAsia="Calibri" w:hAnsi="Calibri"/>
          <w:b/>
          <w:bCs/>
          <w:sz w:val="21"/>
          <w:szCs w:val="21"/>
        </w:rPr>
        <w:t xml:space="preserve">Regla de cierre del anexo, que debe cumplirse aunque incomode.</w:t>
      </w:r>
      <w:r>
        <w:rPr>
          <w:rFonts w:ascii="Calibri" w:cs="Calibri" w:eastAsia="Calibri" w:hAnsi="Calibri"/>
          <w:sz w:val="21"/>
          <w:szCs w:val="21"/>
        </w:rPr>
        <w:t xml:space="preserve"> Si al inicio de un ejercicio no se ha dictado esta resolución, no se aplica el Catálogo del ejercicio anterior «actualizado de hecho»: se aplica el del ejercicio anterior tal cual, con su versión y su fecha, y se hace constar en el expediente que la revisión no se produjo. Un catálogo que se dice anual y no se revisa produce pliegos que citan una versión que nadie aprobó.</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XVI · POLÍTICA MUNICIPAL DE USO DE INTELIGENCIA ARTIFICIAL GENERATIVA POR EL PERSONAL</w:t>
      </w:r>
    </w:p>
    <w:p>
      <w:pPr>
        <w:spacing w:after="140" w:line="276"/>
      </w:pPr>
      <w:r>
        <w:rPr>
          <w:rFonts w:ascii="Calibri" w:cs="Calibri" w:eastAsia="Calibri" w:hAnsi="Calibri"/>
          <w:sz w:val="21"/>
          <w:szCs w:val="21"/>
        </w:rPr>
        <w:t xml:space="preserve">Función: cerrar la mitad municipal de la única objeción de seguridad que se planteó de forma concreta —si compromete la seguridad de un documento municipal procesarlo en una cuenta de inteligencia artificial que no es licencia del Ayuntamiento—. La cláusula ADM-13·v3 resuelve la mitad del contratista. Esta política resuelve la del Ayuntamiento, y su existencia es lo que hace defendible la exigencia: </w:t>
      </w:r>
      <w:r>
        <w:rPr>
          <w:rFonts w:ascii="Calibri" w:cs="Calibri" w:eastAsia="Calibri" w:hAnsi="Calibri"/>
          <w:b/>
          <w:bCs/>
          <w:sz w:val="21"/>
          <w:szCs w:val="21"/>
        </w:rPr>
        <w:t xml:space="preserve">un pliego que impone al contratista un régimen de uso de IA que el propio Ayuntamiento no se aplica es un pliego desproporcionado y así se alegará.</w:t>
      </w:r>
    </w:p>
    <w:p>
      <w:pPr>
        <w:spacing w:after="140" w:line="276"/>
      </w:pPr>
      <w:r>
        <w:rPr>
          <w:rFonts w:ascii="Calibri" w:cs="Calibri" w:eastAsia="Calibri" w:hAnsi="Calibri"/>
          <w:b/>
          <w:bCs/>
          <w:sz w:val="21"/>
          <w:szCs w:val="21"/>
        </w:rPr>
        <w:t xml:space="preserve">Naturaleza y aprobación.</w:t>
      </w:r>
      <w:r>
        <w:rPr>
          <w:rFonts w:ascii="Calibri" w:cs="Calibri" w:eastAsia="Calibri" w:hAnsi="Calibri"/>
          <w:sz w:val="21"/>
          <w:szCs w:val="21"/>
        </w:rPr>
        <w:t xml:space="preserve"> No es cláusula de pliego y no se copia a ninguno. Es un acto propio del Ayuntamiento, aprobado en el punto Séptimo del acuerdo del Anexo VIII o por resolución posterior, que se comunica al adjudicatario conforme al apartado 7 de ADM-13·v3.</w:t>
      </w:r>
    </w:p>
    <w:p>
      <w:pPr>
        <w:spacing w:after="140" w:line="276"/>
      </w:pPr>
      <w:r>
        <w:rPr>
          <w:rFonts w:ascii="Calibri" w:cs="Calibri" w:eastAsia="Calibri" w:hAnsi="Calibri"/>
          <w:b/>
          <w:bCs/>
          <w:sz w:val="21"/>
          <w:szCs w:val="21"/>
        </w:rPr>
        <w:t xml:space="preserve">Referencia de contenido, no normativa.</w:t>
      </w:r>
      <w:r>
        <w:rPr>
          <w:rFonts w:ascii="Calibri" w:cs="Calibri" w:eastAsia="Calibri" w:hAnsi="Calibri"/>
          <w:sz w:val="21"/>
          <w:szCs w:val="21"/>
        </w:rPr>
        <w:t xml:space="preserve"> La </w:t>
      </w:r>
      <w:r>
        <w:rPr>
          <w:rFonts w:ascii="Calibri" w:cs="Calibri" w:eastAsia="Calibri" w:hAnsi="Calibri"/>
          <w:b/>
          <w:bCs/>
          <w:sz w:val="21"/>
          <w:szCs w:val="21"/>
        </w:rPr>
        <w:t xml:space="preserve">Política general para el uso de IA generativa en procesos administrativos</w:t>
      </w:r>
      <w:r>
        <w:rPr>
          <w:rFonts w:ascii="Calibri" w:cs="Calibri" w:eastAsia="Calibri" w:hAnsi="Calibri"/>
          <w:sz w:val="21"/>
          <w:szCs w:val="21"/>
        </w:rPr>
        <w:t xml:space="preserve"> publicada por la Agencia Española de Protección de Datos el </w:t>
      </w:r>
      <w:r>
        <w:rPr>
          <w:rFonts w:ascii="Calibri" w:cs="Calibri" w:eastAsia="Calibri" w:hAnsi="Calibri"/>
          <w:b/>
          <w:bCs/>
          <w:sz w:val="21"/>
          <w:szCs w:val="21"/>
        </w:rPr>
        <w:t xml:space="preserve">27 de noviembre de 2025</w:t>
      </w:r>
      <w:r>
        <w:rPr>
          <w:rFonts w:ascii="Calibri" w:cs="Calibri" w:eastAsia="Calibri" w:hAnsi="Calibri"/>
          <w:sz w:val="21"/>
          <w:szCs w:val="21"/>
        </w:rPr>
        <w:t xml:space="preserve"> (&lt;https://www.aepd.es/documento/politica-iag-aepd.pdf&gt;), primera de este tipo en el sector público español. De ella proceden el principio de precaución del apartado 4, las reglas de uso del apartado 5 y la lista de aspectos a evaluar antes de contratar del apartado 8. Se cita como buena práctica publicada por el regulador, </w:t>
      </w:r>
      <w:r>
        <w:rPr>
          <w:rFonts w:ascii="Calibri" w:cs="Calibri" w:eastAsia="Calibri" w:hAnsi="Calibri"/>
          <w:b/>
          <w:bCs/>
          <w:sz w:val="21"/>
          <w:szCs w:val="21"/>
        </w:rPr>
        <w:t xml:space="preserve">no como norma</w:t>
      </w:r>
      <w:r>
        <w:rPr>
          <w:rFonts w:ascii="Calibri" w:cs="Calibri" w:eastAsia="Calibri" w:hAnsi="Calibri"/>
          <w:sz w:val="21"/>
          <w:szCs w:val="21"/>
        </w:rPr>
        <w:t xml:space="preserve">: no impone deber alguno a este Ayuntamiento y su seguimiento no produce presunción de conformidad con norma alguna.</w:t>
      </w:r>
    </w:p>
    <w:p>
      <w:pPr>
        <w:spacing w:after="140" w:line="276"/>
      </w:pPr>
      <w:r>
        <w:rPr>
          <w:rFonts w:ascii="Calibri" w:cs="Calibri" w:eastAsia="Calibri" w:hAnsi="Calibri"/>
          <w:sz w:val="21"/>
          <w:szCs w:val="21"/>
        </w:rPr>
        <w:t xml:space="preserve">---- INICIO DEL MODELO ----</w:t>
      </w:r>
    </w:p>
    <w:p>
      <w:pPr>
        <w:spacing w:after="140" w:line="276"/>
      </w:pPr>
      <w:r>
        <w:rPr>
          <w:rFonts w:ascii="Calibri" w:cs="Calibri" w:eastAsia="Calibri" w:hAnsi="Calibri"/>
          <w:b/>
          <w:bCs/>
          <w:sz w:val="21"/>
          <w:szCs w:val="21"/>
        </w:rPr>
        <w:t xml:space="preserve">POLÍTICA MUNICIPAL DE USO DE SISTEMAS DE INTELIGENCIA ARTIFICIAL GENERATIVA POR EL PERSONAL DEL AYUNTAMIENTO</w:t>
      </w:r>
    </w:p>
    <w:p>
      <w:pPr>
        <w:spacing w:after="140" w:line="276"/>
      </w:pPr>
      <w:r>
        <w:rPr>
          <w:rFonts w:ascii="Calibri" w:cs="Calibri" w:eastAsia="Calibri" w:hAnsi="Calibri"/>
          <w:sz w:val="21"/>
          <w:szCs w:val="21"/>
        </w:rPr>
        <w:t xml:space="preserve">Versión </w:t>
      </w:r>
      <w:r>
        <w:rPr>
          <w:rFonts w:ascii="Calibri" w:cs="Calibri" w:eastAsia="Calibri" w:hAnsi="Calibri"/>
          <w:b/>
          <w:bCs/>
          <w:sz w:val="21"/>
          <w:szCs w:val="21"/>
        </w:rPr>
        <w:t xml:space="preserve">1.0</w:t>
      </w:r>
      <w:r>
        <w:rPr>
          <w:rFonts w:ascii="Calibri" w:cs="Calibri" w:eastAsia="Calibri" w:hAnsi="Calibri"/>
          <w:sz w:val="21"/>
          <w:szCs w:val="21"/>
        </w:rPr>
        <w:t xml:space="preserve"> · Fecha de aprobación …… / …… / …… · Órgano aprobante ………………………</w:t>
      </w:r>
    </w:p>
    <w:p>
      <w:pPr>
        <w:spacing w:after="140" w:line="276"/>
      </w:pPr>
      <w:r>
        <w:rPr>
          <w:rFonts w:ascii="Calibri" w:cs="Calibri" w:eastAsia="Calibri" w:hAnsi="Calibri"/>
          <w:sz w:val="21"/>
          <w:szCs w:val="21"/>
        </w:rPr>
        <w:t xml:space="preserve">Revisión: </w:t>
      </w:r>
      <w:r>
        <w:rPr>
          <w:rFonts w:ascii="Calibri" w:cs="Calibri" w:eastAsia="Calibri" w:hAnsi="Calibri"/>
          <w:b/>
          <w:bCs/>
          <w:sz w:val="21"/>
          <w:szCs w:val="21"/>
        </w:rPr>
        <w:t xml:space="preserve">anual</w:t>
      </w:r>
      <w:r>
        <w:rPr>
          <w:rFonts w:ascii="Calibri" w:cs="Calibri" w:eastAsia="Calibri" w:hAnsi="Calibri"/>
          <w:sz w:val="21"/>
          <w:szCs w:val="21"/>
        </w:rPr>
        <w:t xml:space="preserve">, junto con el Catálogo de Exigencias Tecnológicas.</w:t>
      </w:r>
    </w:p>
    <w:p>
      <w:pPr>
        <w:spacing w:after="140" w:line="276"/>
      </w:pPr>
      <w:r>
        <w:rPr>
          <w:rFonts w:ascii="Calibri" w:cs="Calibri" w:eastAsia="Calibri" w:hAnsi="Calibri"/>
          <w:b/>
          <w:bCs/>
          <w:sz w:val="21"/>
          <w:szCs w:val="21"/>
        </w:rPr>
        <w:t xml:space="preserve">1. Objeto y ámbito.</w:t>
      </w:r>
      <w:r>
        <w:rPr>
          <w:rFonts w:ascii="Calibri" w:cs="Calibri" w:eastAsia="Calibri" w:hAnsi="Calibri"/>
          <w:sz w:val="21"/>
          <w:szCs w:val="21"/>
        </w:rPr>
        <w:t xml:space="preserve"> Esta política regula el uso de sistemas de inteligencia artificial generativa por el personal al servicio del Ayuntamiento en el ejercicio de sus funciones. Se aplica a todo el personal, cualquiera que sea su vínculo, y a quienes accedan a información municipal en virtud de encargo, encomienda o contrato, sin perjuicio de las obligaciones que a estos últimos imponga su propio contrato.</w:t>
      </w:r>
    </w:p>
    <w:p>
      <w:pPr>
        <w:spacing w:after="140" w:line="276"/>
      </w:pPr>
      <w:r>
        <w:rPr>
          <w:rFonts w:ascii="Calibri" w:cs="Calibri" w:eastAsia="Calibri" w:hAnsi="Calibri"/>
          <w:b/>
          <w:bCs/>
          <w:sz w:val="21"/>
          <w:szCs w:val="21"/>
        </w:rPr>
        <w:t xml:space="preserve">2. Lo que esta política no hace.</w:t>
      </w:r>
      <w:r>
        <w:rPr>
          <w:rFonts w:ascii="Calibri" w:cs="Calibri" w:eastAsia="Calibri" w:hAnsi="Calibri"/>
          <w:sz w:val="21"/>
          <w:szCs w:val="21"/>
        </w:rPr>
        <w:t xml:space="preserve"> No regula el uso que el personal haga de estas herramientas fuera del ejercicio de sus funciones y con información no municipal. No sustituye a la normativa de protección de datos, a la política de seguridad de la información del Ayuntamiento ni al Esquema Nacional de Seguridad: los complementa.</w:t>
      </w:r>
    </w:p>
    <w:p>
      <w:pPr>
        <w:spacing w:after="140" w:line="276"/>
      </w:pPr>
      <w:r>
        <w:rPr>
          <w:rFonts w:ascii="Calibri" w:cs="Calibri" w:eastAsia="Calibri" w:hAnsi="Calibri"/>
          <w:b/>
          <w:bCs/>
          <w:sz w:val="21"/>
          <w:szCs w:val="21"/>
        </w:rPr>
        <w:t xml:space="preserve">3. Inventario de sistemas autorizados.</w:t>
      </w:r>
      <w:r>
        <w:rPr>
          <w:rFonts w:ascii="Calibri" w:cs="Calibri" w:eastAsia="Calibri" w:hAnsi="Calibri"/>
          <w:sz w:val="21"/>
          <w:szCs w:val="21"/>
        </w:rPr>
        <w:t xml:space="preserve"> El [servicio de informática] mantiene y publica en la intranet municipal un </w:t>
      </w:r>
      <w:r>
        <w:rPr>
          <w:rFonts w:ascii="Calibri" w:cs="Calibri" w:eastAsia="Calibri" w:hAnsi="Calibri"/>
          <w:b/>
          <w:bCs/>
          <w:sz w:val="21"/>
          <w:szCs w:val="21"/>
        </w:rPr>
        <w:t xml:space="preserve">inventario de sistemas de inteligencia artificial generativa autorizados</w:t>
      </w:r>
      <w:r>
        <w:rPr>
          <w:rFonts w:ascii="Calibri" w:cs="Calibri" w:eastAsia="Calibri" w:hAnsi="Calibri"/>
          <w:sz w:val="21"/>
          <w:szCs w:val="21"/>
        </w:rPr>
        <w:t xml:space="preserve">, con indicación, para cada uno, de: proveedor; finalidad para la que se autoriza; niveles de información admitidos conforme al apartado 4; ubicación de tratamiento; plazo de retención; y fecha de alta.</w:t>
      </w:r>
    </w:p>
    <w:p>
      <w:pPr>
        <w:spacing w:after="140" w:line="276"/>
      </w:pPr>
      <w:r>
        <w:rPr>
          <w:rFonts w:ascii="Calibri" w:cs="Calibri" w:eastAsia="Calibri" w:hAnsi="Calibri"/>
          <w:b/>
          <w:bCs/>
          <w:sz w:val="21"/>
          <w:szCs w:val="21"/>
        </w:rPr>
        <w:t xml:space="preserve">Regla primera y principal: no se utilizará ningún sistema de inteligencia artificial generativa que no figure en el inventario.</w:t>
      </w:r>
      <w:r>
        <w:rPr>
          <w:rFonts w:ascii="Calibri" w:cs="Calibri" w:eastAsia="Calibri" w:hAnsi="Calibri"/>
          <w:sz w:val="21"/>
          <w:szCs w:val="21"/>
        </w:rPr>
        <w:t xml:space="preserve"> El alta de un sistema nuevo se solicita por escrito y la autoriza [puesto], previa evaluación conforme al apartado 8.</w:t>
      </w:r>
    </w:p>
    <w:p>
      <w:pPr>
        <w:spacing w:after="140" w:line="276"/>
      </w:pPr>
      <w:r>
        <w:rPr>
          <w:rFonts w:ascii="Calibri" w:cs="Calibri" w:eastAsia="Calibri" w:hAnsi="Calibri"/>
          <w:b/>
          <w:bCs/>
          <w:sz w:val="21"/>
          <w:szCs w:val="21"/>
        </w:rPr>
        <w:t xml:space="preserve">4. Clasificación de la información y principio de precaución.</w:t>
      </w:r>
      <w:r>
        <w:rPr>
          <w:rFonts w:ascii="Calibri" w:cs="Calibri" w:eastAsia="Calibri" w:hAnsi="Calibri"/>
          <w:sz w:val="21"/>
          <w:szCs w:val="21"/>
        </w:rPr>
        <w:t xml:space="preserve"> Se distinguen tres niveles, coincidentes con los de la cláusula ADM-13·v3 para que la regla sea la misma dentro y fuera: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Nivel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comprende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Regla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 · Restringida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Datos personales; expedientes en tramitación; documentación contractual no publicada; informes internos; datos de entornos de producción; y toda información clasificada como de acceso restringido por la política de seguridad municipal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Sólo en sistemas internos o desplegados ad hoc bajo control municipal.</w:t>
            </w:r>
            <w:r>
              <w:rPr>
                <w:rFonts w:ascii="Calibri" w:cs="Calibri" w:eastAsia="Calibri" w:hAnsi="Calibri"/>
                <w:b w:val="false"/>
                <w:bCs w:val="false"/>
                <w:sz w:val="18"/>
                <w:szCs w:val="18"/>
              </w:rPr>
              <w:t xml:space="preserve"> Su uso en sistemas externos exige autorización expresa, previa y escrita, y evidencias de cumplimiento aportadas por el proveedor, más allá de sus manifestaciones o compromisos contractuales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2 · Interna no restringida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Documentación de trabajo sin datos personales ni contenido reservado: borradores, guiones, esquemas, textos de estudio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Admisible en sistemas del inventario, con las reglas del apartado 5</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3 · Pública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Información ya publicada por el Ayuntamiento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restricción, con las reglas del apartado 5</w:t>
            </w:r>
          </w:p>
        </w:tc>
      </w:tr>
    </w:tbl>
    <w:p>
      <w:pPr>
        <w:spacing w:after="200"/>
      </w:pPr>
    </w:p>
    <w:p>
      <w:pPr>
        <w:spacing w:after="140" w:line="276"/>
      </w:pPr>
      <w:r>
        <w:rPr>
          <w:rFonts w:ascii="Calibri" w:cs="Calibri" w:eastAsia="Calibri" w:hAnsi="Calibri"/>
          <w:b/>
          <w:bCs/>
          <w:sz w:val="21"/>
          <w:szCs w:val="21"/>
        </w:rPr>
        <w:t xml:space="preserve">Principio de precaución.</w:t>
      </w:r>
      <w:r>
        <w:rPr>
          <w:rFonts w:ascii="Calibri" w:cs="Calibri" w:eastAsia="Calibri" w:hAnsi="Calibri"/>
          <w:sz w:val="21"/>
          <w:szCs w:val="21"/>
        </w:rPr>
        <w:t xml:space="preserve"> En caso de duda sobre el nivel de una información, se aplica el régimen del nivel superior. La duda se resuelve consultando a [puesto], no por criterio individual.</w:t>
      </w:r>
    </w:p>
    <w:p>
      <w:pPr>
        <w:spacing w:after="140" w:line="276"/>
      </w:pPr>
      <w:r>
        <w:rPr>
          <w:rFonts w:ascii="Calibri" w:cs="Calibri" w:eastAsia="Calibri" w:hAnsi="Calibri"/>
          <w:b/>
          <w:bCs/>
          <w:sz w:val="21"/>
          <w:szCs w:val="21"/>
        </w:rPr>
        <w:t xml:space="preserve">5. Reglas de uso para el personal.</w:t>
      </w:r>
    </w:p>
    <w:p>
      <w:pPr>
        <w:spacing w:after="140" w:line="276"/>
      </w:pPr>
      <w:r>
        <w:rPr>
          <w:rFonts w:ascii="Calibri" w:cs="Calibri" w:eastAsia="Calibri" w:hAnsi="Calibri"/>
          <w:sz w:val="21"/>
          <w:szCs w:val="21"/>
        </w:rPr>
        <w:t xml:space="preserve">a) </w:t>
      </w:r>
      <w:r>
        <w:rPr>
          <w:rFonts w:ascii="Calibri" w:cs="Calibri" w:eastAsia="Calibri" w:hAnsi="Calibri"/>
          <w:b/>
          <w:bCs/>
          <w:sz w:val="21"/>
          <w:szCs w:val="21"/>
        </w:rPr>
        <w:t xml:space="preserve">Revisión humana.</w:t>
      </w:r>
      <w:r>
        <w:rPr>
          <w:rFonts w:ascii="Calibri" w:cs="Calibri" w:eastAsia="Calibri" w:hAnsi="Calibri"/>
          <w:sz w:val="21"/>
          <w:szCs w:val="21"/>
        </w:rPr>
        <w:t xml:space="preserve"> Todo contenido generado se revisa por la persona usuaria antes de incorporarlo a un expediente, a un documento o a una comunicación. La responsabilidad del contenido es de quien lo firma, sin que su origen pueda invocarse como excusa.</w:t>
      </w:r>
    </w:p>
    <w:p>
      <w:pPr>
        <w:spacing w:after="140" w:line="276"/>
      </w:pPr>
      <w:r>
        <w:rPr>
          <w:rFonts w:ascii="Calibri" w:cs="Calibri" w:eastAsia="Calibri" w:hAnsi="Calibri"/>
          <w:sz w:val="21"/>
          <w:szCs w:val="21"/>
        </w:rPr>
        <w:t xml:space="preserve">b) </w:t>
      </w:r>
      <w:r>
        <w:rPr>
          <w:rFonts w:ascii="Calibri" w:cs="Calibri" w:eastAsia="Calibri" w:hAnsi="Calibri"/>
          <w:b/>
          <w:bCs/>
          <w:sz w:val="21"/>
          <w:szCs w:val="21"/>
        </w:rPr>
        <w:t xml:space="preserve">Doble revisión.</w:t>
      </w:r>
      <w:r>
        <w:rPr>
          <w:rFonts w:ascii="Calibri" w:cs="Calibri" w:eastAsia="Calibri" w:hAnsi="Calibri"/>
          <w:sz w:val="21"/>
          <w:szCs w:val="21"/>
        </w:rPr>
        <w:t xml:space="preserve"> Cuando el contenido se dirija a un superior jerárquico o vaya a publicarse, se somete además a revisión interna por pares.</w:t>
      </w:r>
    </w:p>
    <w:p>
      <w:pPr>
        <w:spacing w:after="140" w:line="276"/>
      </w:pPr>
      <w:r>
        <w:rPr>
          <w:rFonts w:ascii="Calibri" w:cs="Calibri" w:eastAsia="Calibri" w:hAnsi="Calibri"/>
          <w:sz w:val="21"/>
          <w:szCs w:val="21"/>
        </w:rPr>
        <w:t xml:space="preserve">c) </w:t>
      </w:r>
      <w:r>
        <w:rPr>
          <w:rFonts w:ascii="Calibri" w:cs="Calibri" w:eastAsia="Calibri" w:hAnsi="Calibri"/>
          <w:b/>
          <w:bCs/>
          <w:sz w:val="21"/>
          <w:szCs w:val="21"/>
        </w:rPr>
        <w:t xml:space="preserve">Minimización.</w:t>
      </w:r>
      <w:r>
        <w:rPr>
          <w:rFonts w:ascii="Calibri" w:cs="Calibri" w:eastAsia="Calibri" w:hAnsi="Calibri"/>
          <w:sz w:val="21"/>
          <w:szCs w:val="21"/>
        </w:rPr>
        <w:t xml:space="preserve"> Se reduce a lo estrictamente necesario la introducción, en sistemas externos, de información institucional sensible aunque no contenga datos personales —referencias institucionales, nombres vinculados a incidencias graves, documentos internos— cuando pueda perjudicar a la imagen o a la estrategia institucional propia o de terceros.</w:t>
      </w:r>
    </w:p>
    <w:p>
      <w:pPr>
        <w:spacing w:after="140" w:line="276"/>
      </w:pPr>
      <w:r>
        <w:rPr>
          <w:rFonts w:ascii="Calibri" w:cs="Calibri" w:eastAsia="Calibri" w:hAnsi="Calibri"/>
          <w:sz w:val="21"/>
          <w:szCs w:val="21"/>
        </w:rPr>
        <w:t xml:space="preserve">d) </w:t>
      </w:r>
      <w:r>
        <w:rPr>
          <w:rFonts w:ascii="Calibri" w:cs="Calibri" w:eastAsia="Calibri" w:hAnsi="Calibri"/>
          <w:b/>
          <w:bCs/>
          <w:sz w:val="21"/>
          <w:szCs w:val="21"/>
        </w:rPr>
        <w:t xml:space="preserve">Prohibición de decisión.</w:t>
      </w:r>
      <w:r>
        <w:rPr>
          <w:rFonts w:ascii="Calibri" w:cs="Calibri" w:eastAsia="Calibri" w:hAnsi="Calibri"/>
          <w:sz w:val="21"/>
          <w:szCs w:val="21"/>
        </w:rPr>
        <w:t xml:space="preserve"> Ningún resultado generado por estos sistemas constituye por sí solo el fundamento de un acto administrativo. Toda propuesta de resolución la formula y la firma la persona competente. Cuando el Ayuntamiento acuerde una actuación administrativa automatizada, se estará a lo dispuesto en el artículo 41 de la Ley 40/2015.</w:t>
      </w:r>
    </w:p>
    <w:p>
      <w:pPr>
        <w:spacing w:after="140" w:line="276"/>
      </w:pPr>
      <w:r>
        <w:rPr>
          <w:rFonts w:ascii="Calibri" w:cs="Calibri" w:eastAsia="Calibri" w:hAnsi="Calibri"/>
          <w:sz w:val="21"/>
          <w:szCs w:val="21"/>
        </w:rPr>
        <w:t xml:space="preserve">e) </w:t>
      </w:r>
      <w:r>
        <w:rPr>
          <w:rFonts w:ascii="Calibri" w:cs="Calibri" w:eastAsia="Calibri" w:hAnsi="Calibri"/>
          <w:b/>
          <w:bCs/>
          <w:sz w:val="21"/>
          <w:szCs w:val="21"/>
        </w:rPr>
        <w:t xml:space="preserve">Trazabilidad del uso.</w:t>
      </w:r>
      <w:r>
        <w:rPr>
          <w:rFonts w:ascii="Calibri" w:cs="Calibri" w:eastAsia="Calibri" w:hAnsi="Calibri"/>
          <w:sz w:val="21"/>
          <w:szCs w:val="21"/>
        </w:rPr>
        <w:t xml:space="preserve"> Cuando el resultado se incorpore a un expediente, se hace constar en él que se ha empleado un sistema de inteligencia artificial generativa, con indicación del sistema y de la fecha. La constancia no exime de la revisión de la letra a).</w:t>
      </w:r>
    </w:p>
    <w:p>
      <w:pPr>
        <w:spacing w:after="140" w:line="276"/>
      </w:pPr>
      <w:r>
        <w:rPr>
          <w:rFonts w:ascii="Calibri" w:cs="Calibri" w:eastAsia="Calibri" w:hAnsi="Calibri"/>
          <w:sz w:val="21"/>
          <w:szCs w:val="21"/>
        </w:rPr>
        <w:t xml:space="preserve">f) </w:t>
      </w:r>
      <w:r>
        <w:rPr>
          <w:rFonts w:ascii="Calibri" w:cs="Calibri" w:eastAsia="Calibri" w:hAnsi="Calibri"/>
          <w:b/>
          <w:bCs/>
          <w:sz w:val="21"/>
          <w:szCs w:val="21"/>
        </w:rPr>
        <w:t xml:space="preserve">Cuentas.</w:t>
      </w:r>
      <w:r>
        <w:rPr>
          <w:rFonts w:ascii="Calibri" w:cs="Calibri" w:eastAsia="Calibri" w:hAnsi="Calibri"/>
          <w:sz w:val="21"/>
          <w:szCs w:val="21"/>
        </w:rPr>
        <w:t xml:space="preserve"> Se emplean exclusivamente las cuentas corporativas habilitadas. </w:t>
      </w:r>
      <w:r>
        <w:rPr>
          <w:rFonts w:ascii="Calibri" w:cs="Calibri" w:eastAsia="Calibri" w:hAnsi="Calibri"/>
          <w:b/>
          <w:bCs/>
          <w:sz w:val="21"/>
          <w:szCs w:val="21"/>
        </w:rPr>
        <w:t xml:space="preserve">No se utilizan cuentas personales del empleado ni cuentas de prueba, gratuitas o de evaluación, para tratar información municipal de cualquier nivel.</w:t>
      </w:r>
    </w:p>
    <w:p>
      <w:pPr>
        <w:spacing w:after="140" w:line="276"/>
      </w:pPr>
      <w:r>
        <w:rPr>
          <w:rFonts w:ascii="Calibri" w:cs="Calibri" w:eastAsia="Calibri" w:hAnsi="Calibri"/>
          <w:sz w:val="21"/>
          <w:szCs w:val="21"/>
        </w:rPr>
        <w:t xml:space="preserve">g) </w:t>
      </w:r>
      <w:r>
        <w:rPr>
          <w:rFonts w:ascii="Calibri" w:cs="Calibri" w:eastAsia="Calibri" w:hAnsi="Calibri"/>
          <w:b/>
          <w:bCs/>
          <w:sz w:val="21"/>
          <w:szCs w:val="21"/>
        </w:rPr>
        <w:t xml:space="preserve">Registro.</w:t>
      </w:r>
      <w:r>
        <w:rPr>
          <w:rFonts w:ascii="Calibri" w:cs="Calibri" w:eastAsia="Calibri" w:hAnsi="Calibri"/>
          <w:sz w:val="21"/>
          <w:szCs w:val="21"/>
        </w:rPr>
        <w:t xml:space="preserve"> Los sistemas del inventario que lo permitan mantendrán registro de las interacciones, conservado conforme a la política municipal de conservación y accesible para las funciones de control y de seguridad.</w:t>
      </w:r>
    </w:p>
    <w:p>
      <w:pPr>
        <w:spacing w:after="140" w:line="276"/>
      </w:pPr>
      <w:r>
        <w:rPr>
          <w:rFonts w:ascii="Calibri" w:cs="Calibri" w:eastAsia="Calibri" w:hAnsi="Calibri"/>
          <w:b/>
          <w:bCs/>
          <w:sz w:val="21"/>
          <w:szCs w:val="21"/>
        </w:rPr>
        <w:t xml:space="preserve">6. Formación previa.</w:t>
      </w:r>
      <w:r>
        <w:rPr>
          <w:rFonts w:ascii="Calibri" w:cs="Calibri" w:eastAsia="Calibri" w:hAnsi="Calibri"/>
          <w:sz w:val="21"/>
          <w:szCs w:val="21"/>
        </w:rPr>
        <w:t xml:space="preserve"> El uso de estos sistemas requiere haber completado la formación municipal correspondiente, con contenido mínimo sobre límites de la herramienta, protección de datos, clasificación de la información y responsabilidad del resultado. El registro de personas formadas lo mantiene [puesto]. Esta previsión da cumplimiento, en el lado municipal, a la medida de alfabetización en materia de inteligencia artificial del artículo 4 del Reglamento (UE) 2024/1689, en su redacción vigente, y sirve de base a la exigencia paralela que el pliego impone al contratista.</w:t>
      </w:r>
    </w:p>
    <w:p>
      <w:pPr>
        <w:spacing w:after="140" w:line="276"/>
      </w:pPr>
      <w:r>
        <w:rPr>
          <w:rFonts w:ascii="Calibri" w:cs="Calibri" w:eastAsia="Calibri" w:hAnsi="Calibri"/>
          <w:b/>
          <w:bCs/>
          <w:sz w:val="21"/>
          <w:szCs w:val="21"/>
        </w:rPr>
        <w:t xml:space="preserve">7. Incidencias.</w:t>
      </w:r>
      <w:r>
        <w:rPr>
          <w:rFonts w:ascii="Calibri" w:cs="Calibri" w:eastAsia="Calibri" w:hAnsi="Calibri"/>
          <w:sz w:val="21"/>
          <w:szCs w:val="21"/>
        </w:rPr>
        <w:t xml:space="preserve"> La introducción indebida de información de nivel 1 en un sistema externo, o el uso de un sistema no inventariado, se comunica de inmediato a [puesto] y al delegado de protección de datos. La comunicación temprana de una incidencia propia no agrava la responsabilidad; su ocultación, sí.</w:t>
      </w:r>
    </w:p>
    <w:p>
      <w:pPr>
        <w:spacing w:after="140" w:line="276"/>
      </w:pPr>
      <w:r>
        <w:rPr>
          <w:rFonts w:ascii="Calibri" w:cs="Calibri" w:eastAsia="Calibri" w:hAnsi="Calibri"/>
          <w:b/>
          <w:bCs/>
          <w:sz w:val="21"/>
          <w:szCs w:val="21"/>
        </w:rPr>
        <w:t xml:space="preserve">8. Evaluación previa a la contratación o al alta de un sistema.</w:t>
      </w:r>
      <w:r>
        <w:rPr>
          <w:rFonts w:ascii="Calibri" w:cs="Calibri" w:eastAsia="Calibri" w:hAnsi="Calibri"/>
          <w:sz w:val="21"/>
          <w:szCs w:val="21"/>
        </w:rPr>
        <w:t xml:space="preserve"> Antes de contratar una solución de inteligencia artificial generativa o de dar de alta un sistema en el inventario, se evalúan de forma previa y documentada, al menos:</w:t>
      </w:r>
    </w:p>
    <w:p>
      <w:pPr>
        <w:spacing w:after="140" w:line="276"/>
      </w:pPr>
      <w:r>
        <w:rPr>
          <w:rFonts w:ascii="Calibri" w:cs="Calibri" w:eastAsia="Calibri" w:hAnsi="Calibri"/>
          <w:sz w:val="21"/>
          <w:szCs w:val="21"/>
        </w:rPr>
        <w:t xml:space="preserve">☐ Tratamiento de metadatos y de telemetría.</w:t>
      </w:r>
    </w:p>
    <w:p>
      <w:pPr>
        <w:spacing w:after="140" w:line="276"/>
      </w:pPr>
      <w:r>
        <w:rPr>
          <w:rFonts w:ascii="Calibri" w:cs="Calibri" w:eastAsia="Calibri" w:hAnsi="Calibri"/>
          <w:sz w:val="21"/>
          <w:szCs w:val="21"/>
        </w:rPr>
        <w:t xml:space="preserve">☐ Declaración expresa del proveedor sobre si emplea, y en qué medida, el contenido de las conversaciones y de los archivos para mejorar sus servicios o entrenar sus modelos.</w:t>
      </w:r>
    </w:p>
    <w:p>
      <w:pPr>
        <w:spacing w:after="140" w:line="276"/>
      </w:pPr>
      <w:r>
        <w:rPr>
          <w:rFonts w:ascii="Calibri" w:cs="Calibri" w:eastAsia="Calibri" w:hAnsi="Calibri"/>
          <w:sz w:val="21"/>
          <w:szCs w:val="21"/>
        </w:rPr>
        <w:t xml:space="preserve">☐ Existencia y alcance de mecanismos que excluyan el contenido del usuario del entrenamiento, y si la configuración se establece a nivel de organización o depende de cada persona usuaria.</w:t>
      </w:r>
    </w:p>
    <w:p>
      <w:pPr>
        <w:spacing w:after="140" w:line="276"/>
      </w:pPr>
      <w:r>
        <w:rPr>
          <w:rFonts w:ascii="Calibri" w:cs="Calibri" w:eastAsia="Calibri" w:hAnsi="Calibri"/>
          <w:sz w:val="21"/>
          <w:szCs w:val="21"/>
        </w:rPr>
        <w:t xml:space="preserve">☐ Ubicación de almacenamiento y de tratamiento de los datos.</w:t>
      </w:r>
    </w:p>
    <w:p>
      <w:pPr>
        <w:spacing w:after="140" w:line="276"/>
      </w:pPr>
      <w:r>
        <w:rPr>
          <w:rFonts w:ascii="Calibri" w:cs="Calibri" w:eastAsia="Calibri" w:hAnsi="Calibri"/>
          <w:sz w:val="21"/>
          <w:szCs w:val="21"/>
        </w:rPr>
        <w:t xml:space="preserve">☐ Plazo y criterios de retención.</w:t>
      </w:r>
    </w:p>
    <w:p>
      <w:pPr>
        <w:spacing w:after="140" w:line="276"/>
      </w:pPr>
      <w:r>
        <w:rPr>
          <w:rFonts w:ascii="Calibri" w:cs="Calibri" w:eastAsia="Calibri" w:hAnsi="Calibri"/>
          <w:sz w:val="21"/>
          <w:szCs w:val="21"/>
        </w:rPr>
        <w:t xml:space="preserve">☐ Existencia y alcance de revisiones humanas por parte del proveedor, y posibilidad de desactivarlas por configuración administrativa.</w:t>
      </w:r>
    </w:p>
    <w:p>
      <w:pPr>
        <w:spacing w:after="140" w:line="276"/>
      </w:pPr>
      <w:r>
        <w:rPr>
          <w:rFonts w:ascii="Calibri" w:cs="Calibri" w:eastAsia="Calibri" w:hAnsi="Calibri"/>
          <w:sz w:val="21"/>
          <w:szCs w:val="21"/>
        </w:rPr>
        <w:t xml:space="preserve">☐ Régimen aplicable en materia de protección de datos y, cuando proceda, encargo del tratamiento conforme al artículo 28 del Reglamento (UE) 2016/679, </w:t>
      </w:r>
      <w:r>
        <w:rPr>
          <w:rFonts w:ascii="Calibri" w:cs="Calibri" w:eastAsia="Calibri" w:hAnsi="Calibri"/>
          <w:b/>
          <w:bCs/>
          <w:sz w:val="21"/>
          <w:szCs w:val="21"/>
        </w:rPr>
        <w:t xml:space="preserve">sin que la sola aceptación de los términos de servicio del proveedor pueda amparar el tratamiento</w:t>
      </w:r>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 Encaje con la categoría de seguridad del sistema de información afectado conforme al Real Decreto 311/2022.</w:t>
      </w:r>
    </w:p>
    <w:p>
      <w:pPr>
        <w:spacing w:after="140" w:line="276"/>
      </w:pPr>
      <w:r>
        <w:rPr>
          <w:rFonts w:ascii="Calibri" w:cs="Calibri" w:eastAsia="Calibri" w:hAnsi="Calibri"/>
          <w:sz w:val="21"/>
          <w:szCs w:val="21"/>
        </w:rPr>
        <w:t xml:space="preserve">La evaluación se documenta y se conserva. Un alta sin evaluación documentada no se autoriza.</w:t>
      </w:r>
    </w:p>
    <w:p>
      <w:pPr>
        <w:spacing w:after="140" w:line="276"/>
      </w:pPr>
      <w:r>
        <w:rPr>
          <w:rFonts w:ascii="Calibri" w:cs="Calibri" w:eastAsia="Calibri" w:hAnsi="Calibri"/>
          <w:b/>
          <w:bCs/>
          <w:sz w:val="21"/>
          <w:szCs w:val="21"/>
        </w:rPr>
        <w:t xml:space="preserve">9. Responsabilidades.</w:t>
      </w:r>
      <w:r>
        <w:rPr>
          <w:rFonts w:ascii="Calibri" w:cs="Calibri" w:eastAsia="Calibri" w:hAnsi="Calibri"/>
          <w:sz w:val="21"/>
          <w:szCs w:val="21"/>
        </w:rPr>
        <w:t xml:space="preserve"> [Puesto] mantiene el inventario y autoriza las altas. [Puesto] aprueba y revisa esta política. El delegado de protección de datos informa las altas que impliquen tratamiento de datos personales. Cada responsable de unidad vela por su aplicación en su ámbito.</w:t>
      </w:r>
    </w:p>
    <w:p>
      <w:pPr>
        <w:spacing w:after="140" w:line="276"/>
      </w:pPr>
      <w:r>
        <w:rPr>
          <w:rFonts w:ascii="Calibri" w:cs="Calibri" w:eastAsia="Calibri" w:hAnsi="Calibri"/>
          <w:b/>
          <w:bCs/>
          <w:sz w:val="21"/>
          <w:szCs w:val="21"/>
        </w:rPr>
        <w:t xml:space="preserve">10. Vigencia y revisión.</w:t>
      </w:r>
      <w:r>
        <w:rPr>
          <w:rFonts w:ascii="Calibri" w:cs="Calibri" w:eastAsia="Calibri" w:hAnsi="Calibri"/>
          <w:sz w:val="21"/>
          <w:szCs w:val="21"/>
        </w:rPr>
        <w:t xml:space="preserve"> Esta política se revisa anualmente, junto con el Catálogo de Exigencias Tecnológicas, y siempre que un cambio normativo o una incidencia lo aconsejen. Se comunica al personal y a los adjudicatarios de los contratos que incorporen la cláusula de uso de sistemas de inteligencia artificial sobre información municipal.</w:t>
      </w:r>
    </w:p>
    <w:p>
      <w:pPr>
        <w:spacing w:after="140" w:line="276"/>
      </w:pPr>
      <w:r>
        <w:rPr>
          <w:rFonts w:ascii="Calibri" w:cs="Calibri" w:eastAsia="Calibri" w:hAnsi="Calibri"/>
          <w:sz w:val="21"/>
          <w:szCs w:val="21"/>
        </w:rPr>
        <w:t xml:space="preserve">---- FIN DEL MODELO ----</w:t>
      </w:r>
    </w:p>
    <w:p>
      <w:pPr>
        <w:spacing w:after="140" w:line="276"/>
      </w:pPr>
      <w:r>
        <w:rPr>
          <w:rFonts w:ascii="Calibri" w:cs="Calibri" w:eastAsia="Calibri" w:hAnsi="Calibri"/>
          <w:b/>
          <w:bCs/>
          <w:sz w:val="21"/>
          <w:szCs w:val="21"/>
        </w:rPr>
        <w:t xml:space="preserve">Nota al redactor.</w:t>
      </w:r>
      <w:r>
        <w:rPr>
          <w:rFonts w:ascii="Calibri" w:cs="Calibri" w:eastAsia="Calibri" w:hAnsi="Calibri"/>
          <w:sz w:val="21"/>
          <w:szCs w:val="21"/>
        </w:rPr>
        <w:t xml:space="preserve"> El inventario del apartado 3 es el punto que hace exigible todo lo demás y el que más trabajo cuesta mantener. Si el Ayuntamiento no puede mantenerlo, la respuesta correcta no es publicar la política sin inventario: es reducir a uno o dos los sistemas autorizados y decirlo. Una política que remite a un inventario que no existe tiene el mismo valor que una obligación esencial que nadie verifica.</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XVII · FÓRMULAS MODELO DE VALORACIÓN Y TRATAMIENTO DE LAS OFERTAS ANORMALMENTE BAJAS</w:t>
      </w:r>
    </w:p>
    <w:p>
      <w:pPr>
        <w:spacing w:after="140" w:line="276"/>
      </w:pPr>
      <w:r>
        <w:rPr>
          <w:rFonts w:ascii="Calibri" w:cs="Calibri" w:eastAsia="Calibri" w:hAnsi="Calibri"/>
          <w:sz w:val="21"/>
          <w:szCs w:val="21"/>
        </w:rPr>
        <w:t xml:space="preserve">Función: dar escritas las fórmulas que el baremo invoca. Un pliego que remite a «la fórmula de proporcionalidad inversa publicada en el apartado [ ]» sin publicarla incumple el artículo 145.5.b) de la LCSP, que prohíbe conferir al órgano de contratación una libertad de decisión ilimitada, y deja al licitador sin poder calcular el efecto de su propia oferta. </w:t>
      </w:r>
      <w:r>
        <w:rPr>
          <w:rFonts w:ascii="Calibri" w:cs="Calibri" w:eastAsia="Calibri" w:hAnsi="Calibri"/>
          <w:b/>
          <w:bCs/>
          <w:sz w:val="21"/>
          <w:szCs w:val="21"/>
        </w:rPr>
        <w:t xml:space="preserve">Ninguna de estas fórmulas es obligatoria: son las usuales, se ofrecen para que el redactor elija una y la publique entera.</w:t>
      </w:r>
    </w:p>
    <w:p>
      <w:pPr>
        <w:spacing w:after="140" w:line="276"/>
      </w:pPr>
      <w:r>
        <w:rPr>
          <w:rFonts w:ascii="Calibri" w:cs="Calibri" w:eastAsia="Calibri" w:hAnsi="Calibri"/>
          <w:b/>
          <w:bCs/>
          <w:sz w:val="21"/>
          <w:szCs w:val="21"/>
        </w:rPr>
        <w:t xml:space="preserve">Reglas comunes, aplicables a todas las fórmulas de este anexo. Se transcriben al PCAP junto con la fórmula elegida.</w:t>
      </w:r>
    </w:p>
    <w:p>
      <w:pPr>
        <w:pStyle w:val="ListParagraph"/>
        <w:numPr>
          <w:ilvl w:val="0"/>
          <w:numId w:val="2"/>
        </w:numPr>
        <w:spacing w:after="70" w:line="268"/>
      </w:pPr>
      <w:r>
        <w:rPr>
          <w:rFonts w:ascii="Calibri" w:cs="Calibri" w:eastAsia="Calibri" w:hAnsi="Calibri"/>
          <w:b/>
          <w:bCs/>
          <w:sz w:val="21"/>
          <w:szCs w:val="21"/>
        </w:rPr>
        <w:t xml:space="preserve">Publicación íntegra.</w:t>
      </w:r>
      <w:r>
        <w:rPr>
          <w:rFonts w:ascii="Calibri" w:cs="Calibri" w:eastAsia="Calibri" w:hAnsi="Calibri"/>
          <w:sz w:val="21"/>
          <w:szCs w:val="21"/>
        </w:rPr>
        <w:t xml:space="preserve"> La fórmula se publica en el PCAP con su expresión matemática, la definición de cada término y </w:t>
      </w:r>
      <w:r>
        <w:rPr>
          <w:rFonts w:ascii="Calibri" w:cs="Calibri" w:eastAsia="Calibri" w:hAnsi="Calibri"/>
          <w:b/>
          <w:bCs/>
          <w:sz w:val="21"/>
          <w:szCs w:val="21"/>
        </w:rPr>
        <w:t xml:space="preserve">un ejemplo numérico resuelto</w:t>
      </w:r>
      <w:r>
        <w:rPr>
          <w:rFonts w:ascii="Calibri" w:cs="Calibri" w:eastAsia="Calibri" w:hAnsi="Calibri"/>
          <w:sz w:val="21"/>
          <w:szCs w:val="21"/>
        </w:rPr>
        <w:t xml:space="preserve">. Sin ejemplo, la fórmula se discute; con ejemplo, se aplica.</w:t>
      </w:r>
    </w:p>
    <w:p>
      <w:pPr>
        <w:pStyle w:val="ListParagraph"/>
        <w:numPr>
          <w:ilvl w:val="0"/>
          <w:numId w:val="2"/>
        </w:numPr>
        <w:spacing w:after="70" w:line="268"/>
      </w:pPr>
      <w:r>
        <w:rPr>
          <w:rFonts w:ascii="Calibri" w:cs="Calibri" w:eastAsia="Calibri" w:hAnsi="Calibri"/>
          <w:b/>
          <w:bCs/>
          <w:sz w:val="21"/>
          <w:szCs w:val="21"/>
        </w:rPr>
        <w:t xml:space="preserve">Techo y suelo.</w:t>
      </w:r>
      <w:r>
        <w:rPr>
          <w:rFonts w:ascii="Calibri" w:cs="Calibri" w:eastAsia="Calibri" w:hAnsi="Calibri"/>
          <w:sz w:val="21"/>
          <w:szCs w:val="21"/>
        </w:rPr>
        <w:t xml:space="preserve"> Ninguna fórmula puede atribuir más puntos que el máximo del criterio ni menos de cero. Toda fórmula lleva la acotación expresa.</w:t>
      </w:r>
    </w:p>
    <w:p>
      <w:pPr>
        <w:pStyle w:val="ListParagraph"/>
        <w:numPr>
          <w:ilvl w:val="0"/>
          <w:numId w:val="2"/>
        </w:numPr>
        <w:spacing w:after="70" w:line="268"/>
      </w:pPr>
      <w:r>
        <w:rPr>
          <w:rFonts w:ascii="Calibri" w:cs="Calibri" w:eastAsia="Calibri" w:hAnsi="Calibri"/>
          <w:b/>
          <w:bCs/>
          <w:sz w:val="21"/>
          <w:szCs w:val="21"/>
        </w:rPr>
        <w:t xml:space="preserve">Redondeo.</w:t>
      </w:r>
      <w:r>
        <w:rPr>
          <w:rFonts w:ascii="Calibri" w:cs="Calibri" w:eastAsia="Calibri" w:hAnsi="Calibri"/>
          <w:sz w:val="21"/>
          <w:szCs w:val="21"/>
        </w:rPr>
        <w:t xml:space="preserve"> Se fija en el pliego: se recomienda </w:t>
      </w:r>
      <w:r>
        <w:rPr>
          <w:rFonts w:ascii="Calibri" w:cs="Calibri" w:eastAsia="Calibri" w:hAnsi="Calibri"/>
          <w:b/>
          <w:bCs/>
          <w:sz w:val="21"/>
          <w:szCs w:val="21"/>
        </w:rPr>
        <w:t xml:space="preserve">dos decimales</w:t>
      </w:r>
      <w:r>
        <w:rPr>
          <w:rFonts w:ascii="Calibri" w:cs="Calibri" w:eastAsia="Calibri" w:hAnsi="Calibri"/>
          <w:sz w:val="21"/>
          <w:szCs w:val="21"/>
        </w:rPr>
        <w:t xml:space="preserve">, con redondeo al más próximo y, en caso de equidistancia, al alza.</w:t>
      </w:r>
    </w:p>
    <w:p>
      <w:pPr>
        <w:pStyle w:val="ListParagraph"/>
        <w:numPr>
          <w:ilvl w:val="0"/>
          <w:numId w:val="2"/>
        </w:numPr>
        <w:spacing w:after="70" w:line="268"/>
      </w:pPr>
      <w:r>
        <w:rPr>
          <w:rFonts w:ascii="Calibri" w:cs="Calibri" w:eastAsia="Calibri" w:hAnsi="Calibri"/>
          <w:b/>
          <w:bCs/>
          <w:sz w:val="21"/>
          <w:szCs w:val="21"/>
        </w:rPr>
        <w:t xml:space="preserve">Orden de aplicación.</w:t>
      </w:r>
      <w:r>
        <w:rPr>
          <w:rFonts w:ascii="Calibri" w:cs="Calibri" w:eastAsia="Calibri" w:hAnsi="Calibri"/>
          <w:sz w:val="21"/>
          <w:szCs w:val="21"/>
        </w:rPr>
        <w:t xml:space="preserve"> Primero se resuelve la admisión de las ofertas, incluido el trámite de las anormalmente bajas del apartado 5 de este anexo; después se puntúa. </w:t>
      </w:r>
      <w:r>
        <w:rPr>
          <w:rFonts w:ascii="Calibri" w:cs="Calibri" w:eastAsia="Calibri" w:hAnsi="Calibri"/>
          <w:b/>
          <w:bCs/>
          <w:sz w:val="21"/>
          <w:szCs w:val="21"/>
        </w:rPr>
        <w:t xml:space="preserve">Una oferta excluida no forma parte de la referencia de cálculo de ninguna fórmula.</w:t>
      </w:r>
    </w:p>
    <w:p>
      <w:pPr>
        <w:pStyle w:val="ListParagraph"/>
        <w:numPr>
          <w:ilvl w:val="0"/>
          <w:numId w:val="2"/>
        </w:numPr>
        <w:spacing w:after="70" w:line="268"/>
      </w:pPr>
      <w:r>
        <w:rPr>
          <w:rFonts w:ascii="Calibri" w:cs="Calibri" w:eastAsia="Calibri" w:hAnsi="Calibri"/>
          <w:b/>
          <w:bCs/>
          <w:sz w:val="21"/>
          <w:szCs w:val="21"/>
        </w:rPr>
        <w:t xml:space="preserve">Prohibición de referencias a la conducta ajena.</w:t>
      </w:r>
      <w:r>
        <w:rPr>
          <w:rFonts w:ascii="Calibri" w:cs="Calibri" w:eastAsia="Calibri" w:hAnsi="Calibri"/>
          <w:sz w:val="21"/>
          <w:szCs w:val="21"/>
        </w:rPr>
        <w:t xml:space="preserve"> No se emplearán fórmulas cuya referencia sea la media de las ofertas presentadas ni ningún otro parámetro que dependa del comportamiento de los demás licitadores. Con ellas, la puntuación de un licitador varía sin que su oferta cambie, el licitador no puede calcular el efecto de la suya y el criterio deja de medir la prestación.</w:t>
      </w:r>
    </w:p>
    <w:p>
      <w:pPr>
        <w:pStyle w:val="ListParagraph"/>
        <w:numPr>
          <w:ilvl w:val="0"/>
          <w:numId w:val="2"/>
        </w:numPr>
        <w:spacing w:after="70" w:line="268"/>
      </w:pPr>
      <w:r>
        <w:rPr>
          <w:rFonts w:ascii="Calibri" w:cs="Calibri" w:eastAsia="Calibri" w:hAnsi="Calibri"/>
          <w:b/>
          <w:bCs/>
          <w:sz w:val="21"/>
          <w:szCs w:val="21"/>
        </w:rPr>
        <w:t xml:space="preserve">Empates.</w:t>
      </w:r>
      <w:r>
        <w:rPr>
          <w:rFonts w:ascii="Calibri" w:cs="Calibri" w:eastAsia="Calibri" w:hAnsi="Calibri"/>
          <w:sz w:val="21"/>
          <w:szCs w:val="21"/>
        </w:rPr>
        <w:t xml:space="preserve"> El PCAP publica los criterios de desempate del artículo 147 de la LCSP que aplicará, y su orden. Sin publicación previa, el desempate se decide después de conocidas las ofertas.</w:t>
      </w:r>
    </w:p>
    <w:p>
      <w:pPr>
        <w:pStyle w:val="ListParagraph"/>
        <w:numPr>
          <w:ilvl w:val="0"/>
          <w:numId w:val="2"/>
        </w:numPr>
        <w:spacing w:after="70" w:line="268"/>
      </w:pPr>
      <w:r>
        <w:rPr>
          <w:rFonts w:ascii="Calibri" w:cs="Calibri" w:eastAsia="Calibri" w:hAnsi="Calibri"/>
          <w:b/>
          <w:bCs/>
          <w:sz w:val="21"/>
          <w:szCs w:val="21"/>
        </w:rPr>
        <w:t xml:space="preserve">Coherencia con el mínimo del pliego.</w:t>
      </w:r>
      <w:r>
        <w:rPr>
          <w:rFonts w:ascii="Calibri" w:cs="Calibri" w:eastAsia="Calibri" w:hAnsi="Calibri"/>
          <w:sz w:val="21"/>
          <w:szCs w:val="21"/>
        </w:rPr>
        <w:t xml:space="preserve"> Ninguna fórmula puede puntuar el cumplimiento del mínimo exigido en el pliego de prescripciones técnicas. Sólo puntúa el exceso sobre ese mínimo, definido en lista cerrada (Anexo I, prohibición de doble asignación).</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FÓRMULAS DE VALORACIÓN DE LOS CRITERIOS EVALUABLES MEDIANTE LA MERA APLICACIÓN DE FÓRMULAS</w:t>
            </w:r>
          </w:p>
          <w:p>
            <w:pPr>
              <w:spacing w:after="100" w:line="264"/>
            </w:pPr>
            <w:r>
              <w:rPr>
                <w:rFonts w:ascii="Georgia" w:cs="Georgia" w:eastAsia="Georgia" w:hAnsi="Georgia"/>
                <w:b/>
                <w:bCs/>
                <w:sz w:val="20"/>
                <w:szCs w:val="20"/>
              </w:rPr>
              <w:t xml:space="preserve">A. Precio. Fórmula de proporcionalidad inversa.</w:t>
            </w:r>
            <w:r>
              <w:rPr>
                <w:rFonts w:ascii="Georgia" w:cs="Georgia" w:eastAsia="Georgia" w:hAnsi="Georgia"/>
                <w:sz w:val="20"/>
                <w:szCs w:val="20"/>
              </w:rPr>
              <w:t xml:space="preserve"> </w:t>
            </w:r>
            <w:r>
              <w:rPr>
                <w:rFonts w:ascii="Georgia" w:cs="Georgia" w:eastAsia="Georgia" w:hAnsi="Georgia"/>
                <w:i/>
                <w:iCs/>
                <w:sz w:val="20"/>
                <w:szCs w:val="20"/>
              </w:rPr>
              <w:t xml:space="preserve">(Recomendada cuando se quiera evitar que una baja marginal reparta toda la puntuación.)</w:t>
            </w:r>
          </w:p>
          <w:p>
            <w:pPr>
              <w:spacing w:after="100" w:line="264"/>
            </w:pPr>
            <w:r>
              <w:rPr>
                <w:rFonts w:ascii="Georgia" w:cs="Georgia" w:eastAsia="Georgia" w:hAnsi="Georgia"/>
                <w:sz w:val="20"/>
                <w:szCs w:val="20"/>
              </w:rPr>
              <w:t xml:space="preserve">&gt; P(i) = Pmáx × (Omín / O(i))</w:t>
            </w:r>
          </w:p>
          <w:p>
            <w:pPr>
              <w:spacing w:after="100" w:line="264"/>
            </w:pPr>
            <w:r>
              <w:rPr>
                <w:rFonts w:ascii="Georgia" w:cs="Georgia" w:eastAsia="Georgia" w:hAnsi="Georgia"/>
                <w:sz w:val="20"/>
                <w:szCs w:val="20"/>
              </w:rPr>
              <w:t xml:space="preserve">Donde: </w:t>
            </w:r>
            <w:r>
              <w:rPr>
                <w:rFonts w:ascii="Georgia" w:cs="Georgia" w:eastAsia="Georgia" w:hAnsi="Georgia"/>
                <w:b/>
                <w:bCs/>
                <w:sz w:val="20"/>
                <w:szCs w:val="20"/>
              </w:rPr>
              <w:t xml:space="preserve">P(i)</w:t>
            </w:r>
            <w:r>
              <w:rPr>
                <w:rFonts w:ascii="Georgia" w:cs="Georgia" w:eastAsia="Georgia" w:hAnsi="Georgia"/>
                <w:sz w:val="20"/>
                <w:szCs w:val="20"/>
              </w:rPr>
              <w:t xml:space="preserve"> = puntos del licitador </w:t>
            </w:r>
            <w:r>
              <w:rPr>
                <w:rFonts w:ascii="Georgia" w:cs="Georgia" w:eastAsia="Georgia" w:hAnsi="Georgia"/>
                <w:i/>
                <w:iCs/>
                <w:sz w:val="20"/>
                <w:szCs w:val="20"/>
              </w:rPr>
              <w:t xml:space="preserve">i</w:t>
            </w:r>
            <w:r>
              <w:rPr>
                <w:rFonts w:ascii="Georgia" w:cs="Georgia" w:eastAsia="Georgia" w:hAnsi="Georgia"/>
                <w:sz w:val="20"/>
                <w:szCs w:val="20"/>
              </w:rPr>
              <w:t xml:space="preserve">; </w:t>
            </w:r>
            <w:r>
              <w:rPr>
                <w:rFonts w:ascii="Georgia" w:cs="Georgia" w:eastAsia="Georgia" w:hAnsi="Georgia"/>
                <w:b/>
                <w:bCs/>
                <w:sz w:val="20"/>
                <w:szCs w:val="20"/>
              </w:rPr>
              <w:t xml:space="preserve">Pmáx</w:t>
            </w:r>
            <w:r>
              <w:rPr>
                <w:rFonts w:ascii="Georgia" w:cs="Georgia" w:eastAsia="Georgia" w:hAnsi="Georgia"/>
                <w:sz w:val="20"/>
                <w:szCs w:val="20"/>
              </w:rPr>
              <w:t xml:space="preserve"> = puntuación máxima del criterio de precio; </w:t>
            </w:r>
            <w:r>
              <w:rPr>
                <w:rFonts w:ascii="Georgia" w:cs="Georgia" w:eastAsia="Georgia" w:hAnsi="Georgia"/>
                <w:b/>
                <w:bCs/>
                <w:sz w:val="20"/>
                <w:szCs w:val="20"/>
              </w:rPr>
              <w:t xml:space="preserve">O(i)</w:t>
            </w:r>
            <w:r>
              <w:rPr>
                <w:rFonts w:ascii="Georgia" w:cs="Georgia" w:eastAsia="Georgia" w:hAnsi="Georgia"/>
                <w:sz w:val="20"/>
                <w:szCs w:val="20"/>
              </w:rPr>
              <w:t xml:space="preserve"> = importe ofertado por el licitador </w:t>
            </w:r>
            <w:r>
              <w:rPr>
                <w:rFonts w:ascii="Georgia" w:cs="Georgia" w:eastAsia="Georgia" w:hAnsi="Georgia"/>
                <w:i/>
                <w:iCs/>
                <w:sz w:val="20"/>
                <w:szCs w:val="20"/>
              </w:rPr>
              <w:t xml:space="preserve">i</w:t>
            </w:r>
            <w:r>
              <w:rPr>
                <w:rFonts w:ascii="Georgia" w:cs="Georgia" w:eastAsia="Georgia" w:hAnsi="Georgia"/>
                <w:sz w:val="20"/>
                <w:szCs w:val="20"/>
              </w:rPr>
              <w:t xml:space="preserve">, IVA excluido; </w:t>
            </w:r>
            <w:r>
              <w:rPr>
                <w:rFonts w:ascii="Georgia" w:cs="Georgia" w:eastAsia="Georgia" w:hAnsi="Georgia"/>
                <w:b/>
                <w:bCs/>
                <w:sz w:val="20"/>
                <w:szCs w:val="20"/>
              </w:rPr>
              <w:t xml:space="preserve">Omín</w:t>
            </w:r>
            <w:r>
              <w:rPr>
                <w:rFonts w:ascii="Georgia" w:cs="Georgia" w:eastAsia="Georgia" w:hAnsi="Georgia"/>
                <w:sz w:val="20"/>
                <w:szCs w:val="20"/>
              </w:rPr>
              <w:t xml:space="preserve"> = importe ofertado más bajo de entre las ofertas admitidas, IVA excluido.</w:t>
            </w:r>
          </w:p>
          <w:p>
            <w:pPr>
              <w:spacing w:after="100" w:line="264"/>
            </w:pPr>
            <w:r>
              <w:rPr>
                <w:rFonts w:ascii="Georgia" w:cs="Georgia" w:eastAsia="Georgia" w:hAnsi="Georgia"/>
                <w:b/>
                <w:bCs/>
                <w:sz w:val="20"/>
                <w:szCs w:val="20"/>
              </w:rPr>
              <w:t xml:space="preserve">B. Precio. Fórmula de proporcionalidad directa sobre la baja.</w:t>
            </w:r>
            <w:r>
              <w:rPr>
                <w:rFonts w:ascii="Georgia" w:cs="Georgia" w:eastAsia="Georgia" w:hAnsi="Georgia"/>
                <w:sz w:val="20"/>
                <w:szCs w:val="20"/>
              </w:rPr>
              <w:t xml:space="preserve"> </w:t>
            </w:r>
            <w:r>
              <w:rPr>
                <w:rFonts w:ascii="Georgia" w:cs="Georgia" w:eastAsia="Georgia" w:hAnsi="Georgia"/>
                <w:i/>
                <w:iCs/>
                <w:sz w:val="20"/>
                <w:szCs w:val="20"/>
              </w:rPr>
              <w:t xml:space="preserve">(Recomendada cuando el órgano quiera que el peso real del precio coincida con el nominal.)</w:t>
            </w:r>
          </w:p>
          <w:p>
            <w:pPr>
              <w:spacing w:after="100" w:line="264"/>
            </w:pPr>
            <w:r>
              <w:rPr>
                <w:rFonts w:ascii="Georgia" w:cs="Georgia" w:eastAsia="Georgia" w:hAnsi="Georgia"/>
                <w:sz w:val="20"/>
                <w:szCs w:val="20"/>
              </w:rPr>
              <w:t xml:space="preserve">&gt; P(i) = Pmáx × (PBL − O(i)) / (PBL − Omín)</w:t>
            </w:r>
          </w:p>
          <w:p>
            <w:pPr>
              <w:spacing w:after="100" w:line="264"/>
            </w:pPr>
            <w:r>
              <w:rPr>
                <w:rFonts w:ascii="Georgia" w:cs="Georgia" w:eastAsia="Georgia" w:hAnsi="Georgia"/>
                <w:sz w:val="20"/>
                <w:szCs w:val="20"/>
              </w:rPr>
              <w:t xml:space="preserve">Donde </w:t>
            </w:r>
            <w:r>
              <w:rPr>
                <w:rFonts w:ascii="Georgia" w:cs="Georgia" w:eastAsia="Georgia" w:hAnsi="Georgia"/>
                <w:b/>
                <w:bCs/>
                <w:sz w:val="20"/>
                <w:szCs w:val="20"/>
              </w:rPr>
              <w:t xml:space="preserve">PBL</w:t>
            </w:r>
            <w:r>
              <w:rPr>
                <w:rFonts w:ascii="Georgia" w:cs="Georgia" w:eastAsia="Georgia" w:hAnsi="Georgia"/>
                <w:sz w:val="20"/>
                <w:szCs w:val="20"/>
              </w:rPr>
              <w:t xml:space="preserve"> = presupuesto base de licitación, IVA excluido. Si Omín = PBL —ninguna oferta baja—, todas las ofertas obtienen </w:t>
            </w:r>
            <w:r>
              <w:rPr>
                <w:rFonts w:ascii="Georgia" w:cs="Georgia" w:eastAsia="Georgia" w:hAnsi="Georgia"/>
                <w:b/>
                <w:bCs/>
                <w:sz w:val="20"/>
                <w:szCs w:val="20"/>
              </w:rPr>
              <w:t xml:space="preserve">cero</w:t>
            </w:r>
            <w:r>
              <w:rPr>
                <w:rFonts w:ascii="Georgia" w:cs="Georgia" w:eastAsia="Georgia" w:hAnsi="Georgia"/>
                <w:sz w:val="20"/>
                <w:szCs w:val="20"/>
              </w:rPr>
              <w:t xml:space="preserve"> puntos en este criterio y así se hace constar.</w:t>
            </w:r>
          </w:p>
          <w:p>
            <w:pPr>
              <w:spacing w:after="100" w:line="264"/>
            </w:pPr>
            <w:r>
              <w:rPr>
                <w:rFonts w:ascii="Georgia" w:cs="Georgia" w:eastAsia="Georgia" w:hAnsi="Georgia"/>
                <w:b/>
                <w:bCs/>
                <w:sz w:val="20"/>
                <w:szCs w:val="20"/>
              </w:rPr>
              <w:t xml:space="preserve">C. Precio unitario ponderado del Cuadro de Precios Unitarios.</w:t>
            </w:r>
            <w:r>
              <w:rPr>
                <w:rFonts w:ascii="Georgia" w:cs="Georgia" w:eastAsia="Georgia" w:hAnsi="Georgia"/>
                <w:sz w:val="20"/>
                <w:szCs w:val="20"/>
              </w:rPr>
              <w:t xml:space="preserve"> Se calcula primero el precio unitario ponderado de cada oferta y después se le aplica la fórmula A o la B, sustituyendo O(i) por PU(i):</w:t>
            </w:r>
          </w:p>
          <w:p>
            <w:pPr>
              <w:spacing w:after="100" w:line="264"/>
            </w:pPr>
            <w:r>
              <w:rPr>
                <w:rFonts w:ascii="Georgia" w:cs="Georgia" w:eastAsia="Georgia" w:hAnsi="Georgia"/>
                <w:sz w:val="20"/>
                <w:szCs w:val="20"/>
              </w:rPr>
              <w:t xml:space="preserve">&gt; PU(i) = Σ [ w(k) × p(i,k) ] / 100</w:t>
            </w:r>
          </w:p>
          <w:p>
            <w:pPr>
              <w:spacing w:after="100" w:line="264"/>
            </w:pPr>
            <w:r>
              <w:rPr>
                <w:rFonts w:ascii="Georgia" w:cs="Georgia" w:eastAsia="Georgia" w:hAnsi="Georgia"/>
                <w:sz w:val="20"/>
                <w:szCs w:val="20"/>
              </w:rPr>
              <w:t xml:space="preserve">Donde </w:t>
            </w:r>
            <w:r>
              <w:rPr>
                <w:rFonts w:ascii="Georgia" w:cs="Georgia" w:eastAsia="Georgia" w:hAnsi="Georgia"/>
                <w:b/>
                <w:bCs/>
                <w:sz w:val="20"/>
                <w:szCs w:val="20"/>
              </w:rPr>
              <w:t xml:space="preserve">p(i,k)</w:t>
            </w:r>
            <w:r>
              <w:rPr>
                <w:rFonts w:ascii="Georgia" w:cs="Georgia" w:eastAsia="Georgia" w:hAnsi="Georgia"/>
                <w:sz w:val="20"/>
                <w:szCs w:val="20"/>
              </w:rPr>
              <w:t xml:space="preserve"> = precio/hora ofertado por el licitador </w:t>
            </w:r>
            <w:r>
              <w:rPr>
                <w:rFonts w:ascii="Georgia" w:cs="Georgia" w:eastAsia="Georgia" w:hAnsi="Georgia"/>
                <w:i/>
                <w:iCs/>
                <w:sz w:val="20"/>
                <w:szCs w:val="20"/>
              </w:rPr>
              <w:t xml:space="preserve">i</w:t>
            </w:r>
            <w:r>
              <w:rPr>
                <w:rFonts w:ascii="Georgia" w:cs="Georgia" w:eastAsia="Georgia" w:hAnsi="Georgia"/>
                <w:sz w:val="20"/>
                <w:szCs w:val="20"/>
              </w:rPr>
              <w:t xml:space="preserve"> para el perfil </w:t>
            </w:r>
            <w:r>
              <w:rPr>
                <w:rFonts w:ascii="Georgia" w:cs="Georgia" w:eastAsia="Georgia" w:hAnsi="Georgia"/>
                <w:i/>
                <w:iCs/>
                <w:sz w:val="20"/>
                <w:szCs w:val="20"/>
              </w:rPr>
              <w:t xml:space="preserve">k</w:t>
            </w:r>
            <w:r>
              <w:rPr>
                <w:rFonts w:ascii="Georgia" w:cs="Georgia" w:eastAsia="Georgia" w:hAnsi="Georgia"/>
                <w:sz w:val="20"/>
                <w:szCs w:val="20"/>
              </w:rPr>
              <w:t xml:space="preserve">, IVA excluido; </w:t>
            </w:r>
            <w:r>
              <w:rPr>
                <w:rFonts w:ascii="Georgia" w:cs="Georgia" w:eastAsia="Georgia" w:hAnsi="Georgia"/>
                <w:b/>
                <w:bCs/>
                <w:sz w:val="20"/>
                <w:szCs w:val="20"/>
              </w:rPr>
              <w:t xml:space="preserve">w(k)</w:t>
            </w:r>
            <w:r>
              <w:rPr>
                <w:rFonts w:ascii="Georgia" w:cs="Georgia" w:eastAsia="Georgia" w:hAnsi="Georgia"/>
                <w:sz w:val="20"/>
                <w:szCs w:val="20"/>
              </w:rPr>
              <w:t xml:space="preserve"> = ponderación del perfil </w:t>
            </w:r>
            <w:r>
              <w:rPr>
                <w:rFonts w:ascii="Georgia" w:cs="Georgia" w:eastAsia="Georgia" w:hAnsi="Georgia"/>
                <w:i/>
                <w:iCs/>
                <w:sz w:val="20"/>
                <w:szCs w:val="20"/>
              </w:rPr>
              <w:t xml:space="preserve">k</w:t>
            </w:r>
            <w:r>
              <w:rPr>
                <w:rFonts w:ascii="Georgia" w:cs="Georgia" w:eastAsia="Georgia" w:hAnsi="Georgia"/>
                <w:sz w:val="20"/>
                <w:szCs w:val="20"/>
              </w:rPr>
              <w:t xml:space="preserve"> publicada en el anexo de este pliego que contiene el Cuadro de Precios Unitarios. </w:t>
            </w:r>
            <w:r>
              <w:rPr>
                <w:rFonts w:ascii="Georgia" w:cs="Georgia" w:eastAsia="Georgia" w:hAnsi="Georgia"/>
                <w:b/>
                <w:bCs/>
                <w:sz w:val="20"/>
                <w:szCs w:val="20"/>
              </w:rPr>
              <w:t xml:space="preserve">La suma de las ponderaciones w(k) debe ser 100</w:t>
            </w:r>
            <w:r>
              <w:rPr>
                <w:rFonts w:ascii="Georgia" w:cs="Georgia" w:eastAsia="Georgia" w:hAnsi="Georgia"/>
                <w:sz w:val="20"/>
                <w:szCs w:val="20"/>
              </w:rPr>
              <w:t xml:space="preserve"> y responder a la cesta de consumo previsible del contrato, motivada en el expediente.</w:t>
            </w:r>
          </w:p>
          <w:p>
            <w:pPr>
              <w:spacing w:after="100" w:line="264"/>
            </w:pPr>
            <w:r>
              <w:rPr>
                <w:rFonts w:ascii="Georgia" w:cs="Georgia" w:eastAsia="Georgia" w:hAnsi="Georgia"/>
                <w:b/>
                <w:bCs/>
                <w:sz w:val="20"/>
                <w:szCs w:val="20"/>
              </w:rPr>
              <w:t xml:space="preserve">D. Plazo ofertado, cuando menor es mejor, con suelo.</w:t>
            </w:r>
          </w:p>
          <w:p>
            <w:pPr>
              <w:spacing w:after="100" w:line="264"/>
            </w:pPr>
            <w:r>
              <w:rPr>
                <w:rFonts w:ascii="Georgia" w:cs="Georgia" w:eastAsia="Georgia" w:hAnsi="Georgia"/>
                <w:sz w:val="20"/>
                <w:szCs w:val="20"/>
              </w:rPr>
              <w:t xml:space="preserve">&gt; P(i) = Pmáx × (Tmáx − T(i)) / (Tmáx − Tsuelo)</w:t>
            </w:r>
          </w:p>
          <w:p>
            <w:pPr>
              <w:spacing w:after="100" w:line="264"/>
            </w:pPr>
            <w:r>
              <w:rPr>
                <w:rFonts w:ascii="Georgia" w:cs="Georgia" w:eastAsia="Georgia" w:hAnsi="Georgia"/>
                <w:sz w:val="20"/>
                <w:szCs w:val="20"/>
              </w:rPr>
              <w:t xml:space="preserve">Donde </w:t>
            </w:r>
            <w:r>
              <w:rPr>
                <w:rFonts w:ascii="Georgia" w:cs="Georgia" w:eastAsia="Georgia" w:hAnsi="Georgia"/>
                <w:b/>
                <w:bCs/>
                <w:sz w:val="20"/>
                <w:szCs w:val="20"/>
              </w:rPr>
              <w:t xml:space="preserve">Tmáx</w:t>
            </w:r>
            <w:r>
              <w:rPr>
                <w:rFonts w:ascii="Georgia" w:cs="Georgia" w:eastAsia="Georgia" w:hAnsi="Georgia"/>
                <w:sz w:val="20"/>
                <w:szCs w:val="20"/>
              </w:rPr>
              <w:t xml:space="preserve"> = plazo máximo admitido por el pliego, que es el mínimo obligatorio y no puntúa; </w:t>
            </w:r>
            <w:r>
              <w:rPr>
                <w:rFonts w:ascii="Georgia" w:cs="Georgia" w:eastAsia="Georgia" w:hAnsi="Georgia"/>
                <w:b/>
                <w:bCs/>
                <w:sz w:val="20"/>
                <w:szCs w:val="20"/>
              </w:rPr>
              <w:t xml:space="preserve">T(i)</w:t>
            </w:r>
            <w:r>
              <w:rPr>
                <w:rFonts w:ascii="Georgia" w:cs="Georgia" w:eastAsia="Georgia" w:hAnsi="Georgia"/>
                <w:sz w:val="20"/>
                <w:szCs w:val="20"/>
              </w:rPr>
              <w:t xml:space="preserve"> = plazo ofertado por el licitador </w:t>
            </w:r>
            <w:r>
              <w:rPr>
                <w:rFonts w:ascii="Georgia" w:cs="Georgia" w:eastAsia="Georgia" w:hAnsi="Georgia"/>
                <w:i/>
                <w:iCs/>
                <w:sz w:val="20"/>
                <w:szCs w:val="20"/>
              </w:rPr>
              <w:t xml:space="preserve">i</w:t>
            </w:r>
            <w:r>
              <w:rPr>
                <w:rFonts w:ascii="Georgia" w:cs="Georgia" w:eastAsia="Georgia" w:hAnsi="Georgia"/>
                <w:sz w:val="20"/>
                <w:szCs w:val="20"/>
              </w:rPr>
              <w:t xml:space="preserve">; </w:t>
            </w:r>
            <w:r>
              <w:rPr>
                <w:rFonts w:ascii="Georgia" w:cs="Georgia" w:eastAsia="Georgia" w:hAnsi="Georgia"/>
                <w:b/>
                <w:bCs/>
                <w:sz w:val="20"/>
                <w:szCs w:val="20"/>
              </w:rPr>
              <w:t xml:space="preserve">Tsuelo</w:t>
            </w:r>
            <w:r>
              <w:rPr>
                <w:rFonts w:ascii="Georgia" w:cs="Georgia" w:eastAsia="Georgia" w:hAnsi="Georgia"/>
                <w:sz w:val="20"/>
                <w:szCs w:val="20"/>
              </w:rPr>
              <w:t xml:space="preserve"> = plazo por debajo del cual no se otorgan más puntos. A efectos de cálculo, </w:t>
            </w:r>
            <w:r>
              <w:rPr>
                <w:rFonts w:ascii="Georgia" w:cs="Georgia" w:eastAsia="Georgia" w:hAnsi="Georgia"/>
                <w:b/>
                <w:bCs/>
                <w:sz w:val="20"/>
                <w:szCs w:val="20"/>
              </w:rPr>
              <w:t xml:space="preserve">T(i) se sustituye por Tsuelo cuando el plazo ofertado sea inferior a éste</w:t>
            </w:r>
            <w:r>
              <w:rPr>
                <w:rFonts w:ascii="Georgia" w:cs="Georgia" w:eastAsia="Georgia" w:hAnsi="Georgia"/>
                <w:sz w:val="20"/>
                <w:szCs w:val="20"/>
              </w:rPr>
              <w:t xml:space="preserve">, y la puntuación no excede de Pmáx.</w:t>
            </w:r>
          </w:p>
          <w:p>
            <w:pPr>
              <w:spacing w:after="100" w:line="264"/>
            </w:pPr>
            <w:r>
              <w:rPr>
                <w:rFonts w:ascii="Georgia" w:cs="Georgia" w:eastAsia="Georgia" w:hAnsi="Georgia"/>
                <w:b/>
                <w:bCs/>
                <w:sz w:val="20"/>
                <w:szCs w:val="20"/>
              </w:rPr>
              <w:t xml:space="preserve">E. Cantidad ofertada sobre una lista cerrada, cuando más es mejor, con techo.</w:t>
            </w:r>
          </w:p>
          <w:p>
            <w:pPr>
              <w:spacing w:after="100" w:line="264"/>
            </w:pPr>
            <w:r>
              <w:rPr>
                <w:rFonts w:ascii="Georgia" w:cs="Georgia" w:eastAsia="Georgia" w:hAnsi="Georgia"/>
                <w:sz w:val="20"/>
                <w:szCs w:val="20"/>
              </w:rPr>
              <w:t xml:space="preserve">&gt; P(i) = Pmáx × (C(i) − Cmín) / (Ctecho − Cmín)</w:t>
            </w:r>
          </w:p>
          <w:p>
            <w:pPr>
              <w:spacing w:after="100" w:line="264"/>
            </w:pPr>
            <w:r>
              <w:rPr>
                <w:rFonts w:ascii="Georgia" w:cs="Georgia" w:eastAsia="Georgia" w:hAnsi="Georgia"/>
                <w:sz w:val="20"/>
                <w:szCs w:val="20"/>
              </w:rPr>
              <w:t xml:space="preserve">Donde </w:t>
            </w:r>
            <w:r>
              <w:rPr>
                <w:rFonts w:ascii="Georgia" w:cs="Georgia" w:eastAsia="Georgia" w:hAnsi="Georgia"/>
                <w:b/>
                <w:bCs/>
                <w:sz w:val="20"/>
                <w:szCs w:val="20"/>
              </w:rPr>
              <w:t xml:space="preserve">Cmín</w:t>
            </w:r>
            <w:r>
              <w:rPr>
                <w:rFonts w:ascii="Georgia" w:cs="Georgia" w:eastAsia="Georgia" w:hAnsi="Georgia"/>
                <w:sz w:val="20"/>
                <w:szCs w:val="20"/>
              </w:rPr>
              <w:t xml:space="preserve"> = número mínimo exigido por el pliego de prescripciones técnicas, que no puntúa; </w:t>
            </w:r>
            <w:r>
              <w:rPr>
                <w:rFonts w:ascii="Georgia" w:cs="Georgia" w:eastAsia="Georgia" w:hAnsi="Georgia"/>
                <w:b/>
                <w:bCs/>
                <w:sz w:val="20"/>
                <w:szCs w:val="20"/>
              </w:rPr>
              <w:t xml:space="preserve">C(i)</w:t>
            </w:r>
            <w:r>
              <w:rPr>
                <w:rFonts w:ascii="Georgia" w:cs="Georgia" w:eastAsia="Georgia" w:hAnsi="Georgia"/>
                <w:sz w:val="20"/>
                <w:szCs w:val="20"/>
              </w:rPr>
              <w:t xml:space="preserve"> = número comprometido por el licitador </w:t>
            </w:r>
            <w:r>
              <w:rPr>
                <w:rFonts w:ascii="Georgia" w:cs="Georgia" w:eastAsia="Georgia" w:hAnsi="Georgia"/>
                <w:i/>
                <w:iCs/>
                <w:sz w:val="20"/>
                <w:szCs w:val="20"/>
              </w:rPr>
              <w:t xml:space="preserve">i</w:t>
            </w:r>
            <w:r>
              <w:rPr>
                <w:rFonts w:ascii="Georgia" w:cs="Georgia" w:eastAsia="Georgia" w:hAnsi="Georgia"/>
                <w:sz w:val="20"/>
                <w:szCs w:val="20"/>
              </w:rPr>
              <w:t xml:space="preserve">, contado exclusivamente sobre los elementos de la </w:t>
            </w:r>
            <w:r>
              <w:rPr>
                <w:rFonts w:ascii="Georgia" w:cs="Georgia" w:eastAsia="Georgia" w:hAnsi="Georgia"/>
                <w:b/>
                <w:bCs/>
                <w:sz w:val="20"/>
                <w:szCs w:val="20"/>
              </w:rPr>
              <w:t xml:space="preserve">lista cerrada y numerada publicada en el pliego</w:t>
            </w:r>
            <w:r>
              <w:rPr>
                <w:rFonts w:ascii="Georgia" w:cs="Georgia" w:eastAsia="Georgia" w:hAnsi="Georgia"/>
                <w:sz w:val="20"/>
                <w:szCs w:val="20"/>
              </w:rPr>
              <w:t xml:space="preserve">; </w:t>
            </w:r>
            <w:r>
              <w:rPr>
                <w:rFonts w:ascii="Georgia" w:cs="Georgia" w:eastAsia="Georgia" w:hAnsi="Georgia"/>
                <w:b/>
                <w:bCs/>
                <w:sz w:val="20"/>
                <w:szCs w:val="20"/>
              </w:rPr>
              <w:t xml:space="preserve">Ctecho</w:t>
            </w:r>
            <w:r>
              <w:rPr>
                <w:rFonts w:ascii="Georgia" w:cs="Georgia" w:eastAsia="Georgia" w:hAnsi="Georgia"/>
                <w:sz w:val="20"/>
                <w:szCs w:val="20"/>
              </w:rPr>
              <w:t xml:space="preserve"> = número a partir del cual no se otorgan más puntos. A efectos de cálculo, C(i) se sustituye por Ctecho cuando lo supere.</w:t>
            </w:r>
          </w:p>
          <w:p>
            <w:pPr>
              <w:spacing w:after="100" w:line="264"/>
            </w:pPr>
            <w:r>
              <w:rPr>
                <w:rFonts w:ascii="Georgia" w:cs="Georgia" w:eastAsia="Georgia" w:hAnsi="Georgia"/>
                <w:b/>
                <w:bCs/>
                <w:sz w:val="20"/>
                <w:szCs w:val="20"/>
              </w:rPr>
              <w:t xml:space="preserve">F. Cantidad por unidades, con puntuación fija y tope.</w:t>
            </w:r>
            <w:r>
              <w:rPr>
                <w:rFonts w:ascii="Georgia" w:cs="Georgia" w:eastAsia="Georgia" w:hAnsi="Georgia"/>
                <w:sz w:val="20"/>
                <w:szCs w:val="20"/>
              </w:rPr>
              <w:t xml:space="preserve"> </w:t>
            </w:r>
            <w:r>
              <w:rPr>
                <w:rFonts w:ascii="Georgia" w:cs="Georgia" w:eastAsia="Georgia" w:hAnsi="Georgia"/>
                <w:i/>
                <w:iCs/>
                <w:sz w:val="20"/>
                <w:szCs w:val="20"/>
              </w:rPr>
              <w:t xml:space="preserve">(Alternativa a la E cuando las unidades sean pocas y homogéneas.)</w:t>
            </w:r>
          </w:p>
          <w:p>
            <w:pPr>
              <w:spacing w:after="100" w:line="264"/>
            </w:pPr>
            <w:r>
              <w:rPr>
                <w:rFonts w:ascii="Georgia" w:cs="Georgia" w:eastAsia="Georgia" w:hAnsi="Georgia"/>
                <w:sz w:val="20"/>
                <w:szCs w:val="20"/>
              </w:rPr>
              <w:t xml:space="preserve">&gt; P(i) = mín [ Pmáx ; u × C(i) ]</w:t>
            </w:r>
          </w:p>
          <w:p>
            <w:pPr>
              <w:spacing w:after="100" w:line="264"/>
            </w:pPr>
            <w:r>
              <w:rPr>
                <w:rFonts w:ascii="Georgia" w:cs="Georgia" w:eastAsia="Georgia" w:hAnsi="Georgia"/>
                <w:sz w:val="20"/>
                <w:szCs w:val="20"/>
              </w:rPr>
              <w:t xml:space="preserve">Donde </w:t>
            </w:r>
            <w:r>
              <w:rPr>
                <w:rFonts w:ascii="Georgia" w:cs="Georgia" w:eastAsia="Georgia" w:hAnsi="Georgia"/>
                <w:b/>
                <w:bCs/>
                <w:sz w:val="20"/>
                <w:szCs w:val="20"/>
              </w:rPr>
              <w:t xml:space="preserve">u</w:t>
            </w:r>
            <w:r>
              <w:rPr>
                <w:rFonts w:ascii="Georgia" w:cs="Georgia" w:eastAsia="Georgia" w:hAnsi="Georgia"/>
                <w:sz w:val="20"/>
                <w:szCs w:val="20"/>
              </w:rPr>
              <w:t xml:space="preserve"> = puntos por cada unidad adicional sobre el mínimo, publicados en el pliego. Sólo se computan las unidades de la lista cerrada y numerada.</w:t>
            </w:r>
          </w:p>
          <w:p>
            <w:pPr>
              <w:spacing w:after="100" w:line="264"/>
            </w:pPr>
            <w:r>
              <w:rPr>
                <w:rFonts w:ascii="Georgia" w:cs="Georgia" w:eastAsia="Georgia" w:hAnsi="Georgia"/>
                <w:b/>
                <w:bCs/>
                <w:sz w:val="20"/>
                <w:szCs w:val="20"/>
              </w:rPr>
              <w:t xml:space="preserve">G. Regla común de acotación.</w:t>
            </w:r>
            <w:r>
              <w:rPr>
                <w:rFonts w:ascii="Georgia" w:cs="Georgia" w:eastAsia="Georgia" w:hAnsi="Georgia"/>
                <w:sz w:val="20"/>
                <w:szCs w:val="20"/>
              </w:rPr>
              <w:t xml:space="preserve"> En todas las fórmulas anteriores: </w:t>
            </w:r>
            <w:r>
              <w:rPr>
                <w:rFonts w:ascii="Georgia" w:cs="Georgia" w:eastAsia="Georgia" w:hAnsi="Georgia"/>
                <w:b/>
                <w:bCs/>
                <w:sz w:val="20"/>
                <w:szCs w:val="20"/>
              </w:rPr>
              <w:t xml:space="preserve">0 ≤ P(i) ≤ Pmáx</w:t>
            </w:r>
            <w:r>
              <w:rPr>
                <w:rFonts w:ascii="Georgia" w:cs="Georgia" w:eastAsia="Georgia" w:hAnsi="Georgia"/>
                <w:sz w:val="20"/>
                <w:szCs w:val="20"/>
              </w:rPr>
              <w:t xml:space="preserve">. Los resultados se expresan con </w:t>
            </w:r>
            <w:r>
              <w:rPr>
                <w:rFonts w:ascii="Georgia" w:cs="Georgia" w:eastAsia="Georgia" w:hAnsi="Georgia"/>
                <w:b/>
                <w:bCs/>
                <w:sz w:val="20"/>
                <w:szCs w:val="20"/>
              </w:rPr>
              <w:t xml:space="preserve">[X; se recomienda DOS (2)]</w:t>
            </w:r>
            <w:r>
              <w:rPr>
                <w:rFonts w:ascii="Georgia" w:cs="Georgia" w:eastAsia="Georgia" w:hAnsi="Georgia"/>
                <w:sz w:val="20"/>
                <w:szCs w:val="20"/>
              </w:rPr>
              <w:t xml:space="preserve"> decimales, con redondeo al más próximo y, en caso de equidistancia, al alza.</w:t>
            </w:r>
          </w:p>
        </w:tc>
      </w:tr>
    </w:tbl>
    <w:p>
      <w:pPr>
        <w:spacing w:after="220"/>
      </w:pPr>
    </w:p>
    <w:p>
      <w:pPr>
        <w:spacing w:after="140" w:line="276"/>
      </w:pPr>
      <w:r>
        <w:rPr>
          <w:rFonts w:ascii="Calibri" w:cs="Calibri" w:eastAsia="Calibri" w:hAnsi="Calibri"/>
          <w:b/>
          <w:bCs/>
          <w:sz w:val="21"/>
          <w:szCs w:val="21"/>
        </w:rPr>
        <w:t xml:space="preserve">Advertencias de uso que no se copian al pliego pero deben leerse antes de elegir.</w:t>
      </w:r>
    </w:p>
    <w:p>
      <w:pPr>
        <w:pStyle w:val="ListParagraph"/>
        <w:numPr>
          <w:ilvl w:val="0"/>
          <w:numId w:val="1"/>
        </w:numPr>
        <w:spacing w:after="70" w:line="268"/>
      </w:pPr>
      <w:r>
        <w:rPr>
          <w:rFonts w:ascii="Calibri" w:cs="Calibri" w:eastAsia="Calibri" w:hAnsi="Calibri"/>
          <w:b/>
          <w:bCs/>
          <w:sz w:val="21"/>
          <w:szCs w:val="21"/>
        </w:rPr>
        <w:t xml:space="preserve">Efecto de la fórmula A.</w:t>
      </w:r>
      <w:r>
        <w:rPr>
          <w:rFonts w:ascii="Calibri" w:cs="Calibri" w:eastAsia="Calibri" w:hAnsi="Calibri"/>
          <w:sz w:val="21"/>
          <w:szCs w:val="21"/>
        </w:rPr>
        <w:t xml:space="preserve"> Reparte poco. Con un presupuesto base de 100.000 € y ofertas de 100.000 € y 90.000 €, la diferencia es del 10 % de los puntos del criterio, no del 100 %. El peso real del precio resulta menor que el peso nominal publicado. Es su virtud y su límite.</w:t>
      </w:r>
    </w:p>
    <w:p>
      <w:pPr>
        <w:pStyle w:val="ListParagraph"/>
        <w:numPr>
          <w:ilvl w:val="0"/>
          <w:numId w:val="1"/>
        </w:numPr>
        <w:spacing w:after="70" w:line="268"/>
      </w:pPr>
      <w:r>
        <w:rPr>
          <w:rFonts w:ascii="Calibri" w:cs="Calibri" w:eastAsia="Calibri" w:hAnsi="Calibri"/>
          <w:b/>
          <w:bCs/>
          <w:sz w:val="21"/>
          <w:szCs w:val="21"/>
        </w:rPr>
        <w:t xml:space="preserve">Efecto de la fórmula B.</w:t>
      </w:r>
      <w:r>
        <w:rPr>
          <w:rFonts w:ascii="Calibri" w:cs="Calibri" w:eastAsia="Calibri" w:hAnsi="Calibri"/>
          <w:sz w:val="21"/>
          <w:szCs w:val="21"/>
        </w:rPr>
        <w:t xml:space="preserve"> Atribuye el máximo a la oferta más baja y cero a quien oferte el presupuesto base. Reparte todo el rango y, por ello, amplifica el peso del precio respecto de su porcentaje nominal.</w:t>
      </w:r>
    </w:p>
    <w:p>
      <w:pPr>
        <w:pStyle w:val="ListParagraph"/>
        <w:numPr>
          <w:ilvl w:val="0"/>
          <w:numId w:val="1"/>
        </w:numPr>
        <w:spacing w:after="70" w:line="268"/>
      </w:pPr>
      <w:r>
        <w:rPr>
          <w:rFonts w:ascii="Calibri" w:cs="Calibri" w:eastAsia="Calibri" w:hAnsi="Calibri"/>
          <w:b/>
          <w:bCs/>
          <w:sz w:val="21"/>
          <w:szCs w:val="21"/>
        </w:rPr>
        <w:t xml:space="preserve">Por qué el suelo de la fórmula D no es opcional.</w:t>
      </w:r>
      <w:r>
        <w:rPr>
          <w:rFonts w:ascii="Calibri" w:cs="Calibri" w:eastAsia="Calibri" w:hAnsi="Calibri"/>
          <w:sz w:val="21"/>
          <w:szCs w:val="21"/>
        </w:rPr>
        <w:t xml:space="preserve"> Sin él, la fórmula premia plazos que ningún operador puede cumplir, el criterio deja de medir capacidad y el pliego se convierte en un incentivo al incumplimiento. El valor por defecto recomendado figura en el Anexo X.1, fila 18.</w:t>
      </w:r>
    </w:p>
    <w:p>
      <w:pPr>
        <w:pStyle w:val="ListParagraph"/>
        <w:numPr>
          <w:ilvl w:val="0"/>
          <w:numId w:val="1"/>
        </w:numPr>
        <w:spacing w:after="70" w:line="268"/>
      </w:pPr>
      <w:r>
        <w:rPr>
          <w:rFonts w:ascii="Calibri" w:cs="Calibri" w:eastAsia="Calibri" w:hAnsi="Calibri"/>
          <w:b/>
          <w:bCs/>
          <w:sz w:val="21"/>
          <w:szCs w:val="21"/>
        </w:rPr>
        <w:t xml:space="preserve">La fórmula decide el peso real del criterio.</w:t>
      </w:r>
      <w:r>
        <w:rPr>
          <w:rFonts w:ascii="Calibri" w:cs="Calibri" w:eastAsia="Calibri" w:hAnsi="Calibri"/>
          <w:sz w:val="21"/>
          <w:szCs w:val="21"/>
        </w:rPr>
        <w:t xml:space="preserve"> Dos pliegos con «precio 40 puntos» reparten cosas distintas según empleen A o B. La memoria de criterios (Anexo IV, casilla 4) tiene que justificar el peso </w:t>
      </w:r>
      <w:r>
        <w:rPr>
          <w:rFonts w:ascii="Calibri" w:cs="Calibri" w:eastAsia="Calibri" w:hAnsi="Calibri"/>
          <w:b/>
          <w:bCs/>
          <w:sz w:val="21"/>
          <w:szCs w:val="21"/>
        </w:rPr>
        <w:t xml:space="preserve">con la fórmula elegida</w:t>
      </w:r>
      <w:r>
        <w:rPr>
          <w:rFonts w:ascii="Calibri" w:cs="Calibri" w:eastAsia="Calibri" w:hAnsi="Calibri"/>
          <w:sz w:val="21"/>
          <w:szCs w:val="21"/>
        </w:rPr>
        <w:t xml:space="preserve">, no con el porcentaje nominal.</w:t>
      </w:r>
    </w:p>
    <w:p>
      <w:pPr>
        <w:pStyle w:val="ListParagraph"/>
        <w:numPr>
          <w:ilvl w:val="0"/>
          <w:numId w:val="1"/>
        </w:numPr>
        <w:spacing w:after="70" w:line="268"/>
      </w:pPr>
      <w:r>
        <w:rPr>
          <w:rFonts w:ascii="Calibri" w:cs="Calibri" w:eastAsia="Calibri" w:hAnsi="Calibri"/>
          <w:b/>
          <w:bCs/>
          <w:sz w:val="21"/>
          <w:szCs w:val="21"/>
        </w:rPr>
        <w:t xml:space="preserve">Una fórmula no arregla un criterio mal construido.</w:t>
      </w:r>
      <w:r>
        <w:rPr>
          <w:rFonts w:ascii="Calibri" w:cs="Calibri" w:eastAsia="Calibri" w:hAnsi="Calibri"/>
          <w:sz w:val="21"/>
          <w:szCs w:val="21"/>
        </w:rPr>
        <w:t xml:space="preserve"> Si el criterio puntúa algo que el PPT ya exige, o una certificación, o experiencia previa, la fórmula sólo hace más preciso el defecto. Antes de elegir fórmula, se pasan los avisos 9 y 10 del Anexo IV.</w:t>
      </w:r>
    </w:p>
    <w:p>
      <w:pPr>
        <w:pStyle w:val="ListParagraph"/>
        <w:numPr>
          <w:ilvl w:val="0"/>
          <w:numId w:val="1"/>
        </w:numPr>
        <w:spacing w:after="70" w:line="268"/>
      </w:pPr>
      <w:r>
        <w:rPr>
          <w:rFonts w:ascii="Calibri" w:cs="Calibri" w:eastAsia="Calibri" w:hAnsi="Calibri"/>
          <w:b/>
          <w:bCs/>
          <w:sz w:val="21"/>
          <w:szCs w:val="21"/>
        </w:rPr>
        <w:t xml:space="preserve">Criterios sujetos a juicio de valor.</w:t>
      </w:r>
      <w:r>
        <w:rPr>
          <w:rFonts w:ascii="Calibri" w:cs="Calibri" w:eastAsia="Calibri" w:hAnsi="Calibri"/>
          <w:sz w:val="21"/>
          <w:szCs w:val="21"/>
        </w:rPr>
        <w:t xml:space="preserve"> No se les aplica fórmula: se les aplica </w:t>
      </w:r>
      <w:r>
        <w:rPr>
          <w:rFonts w:ascii="Calibri" w:cs="Calibri" w:eastAsia="Calibri" w:hAnsi="Calibri"/>
          <w:b/>
          <w:bCs/>
          <w:sz w:val="21"/>
          <w:szCs w:val="21"/>
        </w:rPr>
        <w:t xml:space="preserve">rúbrica con descriptores por tramos</w:t>
      </w:r>
      <w:r>
        <w:rPr>
          <w:rFonts w:ascii="Calibri" w:cs="Calibri" w:eastAsia="Calibri" w:hAnsi="Calibri"/>
          <w:sz w:val="21"/>
          <w:szCs w:val="21"/>
        </w:rPr>
        <w:t xml:space="preserve">, publicada en el PCAP (artículo 145.5.b). El modelo genérico de rúbrica figura en el Anexo XX.</w:t>
      </w:r>
    </w:p>
    <w:p>
      <w:pPr>
        <w:pStyle w:val="ListParagraph"/>
        <w:numPr>
          <w:ilvl w:val="0"/>
          <w:numId w:val="1"/>
        </w:numPr>
        <w:spacing w:after="70" w:line="268"/>
      </w:pPr>
      <w:r>
        <w:rPr>
          <w:rFonts w:ascii="Calibri" w:cs="Calibri" w:eastAsia="Calibri" w:hAnsi="Calibri"/>
          <w:b/>
          <w:bCs/>
          <w:sz w:val="21"/>
          <w:szCs w:val="21"/>
        </w:rPr>
        <w:t xml:space="preserve">No se mezclan unidades.</w:t>
      </w:r>
      <w:r>
        <w:rPr>
          <w:rFonts w:ascii="Calibri" w:cs="Calibri" w:eastAsia="Calibri" w:hAnsi="Calibri"/>
          <w:sz w:val="21"/>
          <w:szCs w:val="21"/>
        </w:rPr>
        <w:t xml:space="preserve"> Una fórmula que sume euros con meses o con número de funciones no es una fórmula: es una ponderación encubierta y sin publicar.</w:t>
      </w:r>
    </w:p>
    <w:p>
      <w:pPr>
        <w:spacing w:after="140" w:line="276"/>
      </w:pPr>
      <w:r>
        <w:rPr>
          <w:rFonts w:ascii="Calibri" w:cs="Calibri" w:eastAsia="Calibri" w:hAnsi="Calibri"/>
          <w:b/>
          <w:bCs/>
          <w:sz w:val="21"/>
          <w:szCs w:val="21"/>
        </w:rPr>
        <w:t xml:space="preserve">Apartado 5 · Tratamiento de las ofertas anormalmente bajas.</w:t>
      </w:r>
    </w:p>
    <w:p>
      <w:pPr>
        <w:spacing w:after="140" w:line="276"/>
      </w:pPr>
      <w:r>
        <w:rPr>
          <w:rFonts w:ascii="Calibri" w:cs="Calibri" w:eastAsia="Calibri" w:hAnsi="Calibri"/>
          <w:sz w:val="21"/>
          <w:szCs w:val="21"/>
        </w:rPr>
        <w:t xml:space="preserve">Con un criterio de precio de peso alto, la identificación y el tratamiento de las ofertas anormalmente bajas dejan de ser un trámite y pasan a ser la principal defensa del contrato. Este catálogo no regula la materia —lo hace el </w:t>
      </w:r>
      <w:r>
        <w:rPr>
          <w:rFonts w:ascii="Calibri" w:cs="Calibri" w:eastAsia="Calibri" w:hAnsi="Calibri"/>
          <w:b/>
          <w:bCs/>
          <w:sz w:val="21"/>
          <w:szCs w:val="21"/>
        </w:rPr>
        <w:t xml:space="preserve">artículo 149 de la LCSP</w:t>
      </w:r>
      <w:r>
        <w:rPr>
          <w:rFonts w:ascii="Calibri" w:cs="Calibri" w:eastAsia="Calibri" w:hAnsi="Calibri"/>
          <w:sz w:val="21"/>
          <w:szCs w:val="21"/>
        </w:rPr>
        <w:t xml:space="preserve">—, pero sí impone tres reglas de redacción, porque su omisión es la causa habitual de que el trámite se resuelva mal:</w:t>
      </w:r>
    </w:p>
    <w:p>
      <w:pPr>
        <w:pStyle w:val="ListParagraph"/>
        <w:numPr>
          <w:ilvl w:val="0"/>
          <w:numId w:val="2"/>
        </w:numPr>
        <w:spacing w:after="70" w:line="268"/>
      </w:pPr>
      <w:r>
        <w:rPr>
          <w:rFonts w:ascii="Calibri" w:cs="Calibri" w:eastAsia="Calibri" w:hAnsi="Calibri"/>
          <w:b/>
          <w:bCs/>
          <w:sz w:val="21"/>
          <w:szCs w:val="21"/>
        </w:rPr>
        <w:t xml:space="preserve">Los parámetros objetivos se publican en el PCAP</w:t>
      </w:r>
      <w:r>
        <w:rPr>
          <w:rFonts w:ascii="Calibri" w:cs="Calibri" w:eastAsia="Calibri" w:hAnsi="Calibri"/>
          <w:sz w:val="21"/>
          <w:szCs w:val="21"/>
        </w:rPr>
        <w:t xml:space="preserve">, antes de licitar, y se refieren a la oferta en su conjunto o al criterio de precio, según se decida. Un pliego sin parámetros publicados obliga al órgano a improvisarlos después de conocidas las ofertas, que es cuando ya no se puede.</w:t>
      </w:r>
    </w:p>
    <w:p>
      <w:pPr>
        <w:pStyle w:val="ListParagraph"/>
        <w:numPr>
          <w:ilvl w:val="0"/>
          <w:numId w:val="2"/>
        </w:numPr>
        <w:spacing w:after="70" w:line="268"/>
      </w:pPr>
      <w:r>
        <w:rPr>
          <w:rFonts w:ascii="Calibri" w:cs="Calibri" w:eastAsia="Calibri" w:hAnsi="Calibri"/>
          <w:b/>
          <w:bCs/>
          <w:sz w:val="21"/>
          <w:szCs w:val="21"/>
        </w:rPr>
        <w:t xml:space="preserve">El trámite es contradictorio y previo.</w:t>
      </w:r>
      <w:r>
        <w:rPr>
          <w:rFonts w:ascii="Calibri" w:cs="Calibri" w:eastAsia="Calibri" w:hAnsi="Calibri"/>
          <w:sz w:val="21"/>
          <w:szCs w:val="21"/>
        </w:rPr>
        <w:t xml:space="preserve"> Identificada una oferta como presuntamente anormal, se requiere al licitador para que la justifique, se recaba el informe técnico y se resuelve motivadamente </w:t>
      </w:r>
      <w:r>
        <w:rPr>
          <w:rFonts w:ascii="Calibri" w:cs="Calibri" w:eastAsia="Calibri" w:hAnsi="Calibri"/>
          <w:b/>
          <w:bCs/>
          <w:sz w:val="21"/>
          <w:szCs w:val="21"/>
        </w:rPr>
        <w:t xml:space="preserve">antes</w:t>
      </w:r>
      <w:r>
        <w:rPr>
          <w:rFonts w:ascii="Calibri" w:cs="Calibri" w:eastAsia="Calibri" w:hAnsi="Calibri"/>
          <w:sz w:val="21"/>
          <w:szCs w:val="21"/>
        </w:rPr>
        <w:t xml:space="preserve"> de puntuar. Sólo entonces se aplican las fórmulas del bloque anterior.</w:t>
      </w:r>
    </w:p>
    <w:p>
      <w:pPr>
        <w:pStyle w:val="ListParagraph"/>
        <w:numPr>
          <w:ilvl w:val="0"/>
          <w:numId w:val="2"/>
        </w:numPr>
        <w:spacing w:after="70" w:line="268"/>
      </w:pPr>
      <w:r>
        <w:rPr>
          <w:rFonts w:ascii="Calibri" w:cs="Calibri" w:eastAsia="Calibri" w:hAnsi="Calibri"/>
          <w:b/>
          <w:bCs/>
          <w:sz w:val="21"/>
          <w:szCs w:val="21"/>
        </w:rPr>
        <w:t xml:space="preserve">La oferta excluida no es referencia de cálculo.</w:t>
      </w:r>
      <w:r>
        <w:rPr>
          <w:rFonts w:ascii="Calibri" w:cs="Calibri" w:eastAsia="Calibri" w:hAnsi="Calibri"/>
          <w:sz w:val="21"/>
          <w:szCs w:val="21"/>
        </w:rPr>
        <w:t xml:space="preserve"> Se hace constar expresamente en el PCAP, porque de ello depende que Omín no sea el importe de una oferta rechazada.</w:t>
      </w:r>
    </w:p>
    <w:p>
      <w:pPr>
        <w:spacing w:after="140" w:line="276"/>
      </w:pPr>
      <w:r>
        <w:rPr>
          <w:rFonts w:ascii="Calibri" w:cs="Calibri" w:eastAsia="Calibri" w:hAnsi="Calibri"/>
          <w:i/>
          <w:iCs/>
          <w:sz w:val="21"/>
          <w:szCs w:val="21"/>
        </w:rPr>
        <w:t xml:space="preserve">Comprobación encargada antes de publicar, que se añade a las del Anexo XI.3:</w:t>
      </w:r>
      <w:r>
        <w:rPr>
          <w:rFonts w:ascii="Calibri" w:cs="Calibri" w:eastAsia="Calibri" w:hAnsi="Calibri"/>
          <w:sz w:val="21"/>
          <w:szCs w:val="21"/>
        </w:rPr>
        <w:t xml:space="preserve"> si el pliego pretende remitirse a parámetros supletorios de la normativa de desarrollo en lugar de publicar los suyos, compruébese su vigencia y su aplicabilidad al contrato de que se trate. La recomendación de este catálogo es </w:t>
      </w:r>
      <w:r>
        <w:rPr>
          <w:rFonts w:ascii="Calibri" w:cs="Calibri" w:eastAsia="Calibri" w:hAnsi="Calibri"/>
          <w:b/>
          <w:bCs/>
          <w:sz w:val="21"/>
          <w:szCs w:val="21"/>
        </w:rPr>
        <w:t xml:space="preserve">publicar los parámetros en el pliego</w:t>
      </w:r>
      <w:r>
        <w:rPr>
          <w:rFonts w:ascii="Calibri" w:cs="Calibri" w:eastAsia="Calibri" w:hAnsi="Calibri"/>
          <w:sz w:val="21"/>
          <w:szCs w:val="21"/>
        </w:rPr>
        <w:t xml:space="preserve"> y no remitirse a ninguno.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XVIII · MODELOS DE ACTA</w:t>
      </w:r>
    </w:p>
    <w:p>
      <w:pPr>
        <w:spacing w:after="140" w:line="276"/>
      </w:pPr>
      <w:r>
        <w:rPr>
          <w:rFonts w:ascii="Calibri" w:cs="Calibri" w:eastAsia="Calibri" w:hAnsi="Calibri"/>
          <w:sz w:val="21"/>
          <w:szCs w:val="21"/>
        </w:rPr>
        <w:t xml:space="preserve">Función: entregar los documentos sin los cuales el catálogo no se ejecuta. Este documento convierte el acta en </w:t>
      </w:r>
      <w:r>
        <w:rPr>
          <w:rFonts w:ascii="Calibri" w:cs="Calibri" w:eastAsia="Calibri" w:hAnsi="Calibri"/>
          <w:b/>
          <w:bCs/>
          <w:sz w:val="21"/>
          <w:szCs w:val="21"/>
        </w:rPr>
        <w:t xml:space="preserve">medio de acreditación tasado</w:t>
      </w:r>
      <w:r>
        <w:rPr>
          <w:rFonts w:ascii="Calibri" w:cs="Calibri" w:eastAsia="Calibri" w:hAnsi="Calibri"/>
          <w:sz w:val="21"/>
          <w:szCs w:val="21"/>
        </w:rPr>
        <w:t xml:space="preserve"> en más de veinte lugares —aceptación de las exigencias del Anexo V, ensayo de reversibilidad, reversión, Comisión de Seguimiento, demostración funcional, comprobación del acceso de los órganos de control— y hasta ahora no entregaba ninguno. La consecuencia práctica de esa omisión es conocida: en un procedimiento contradictorio de penalidad o de resolución, </w:t>
      </w:r>
      <w:r>
        <w:rPr>
          <w:rFonts w:ascii="Calibri" w:cs="Calibri" w:eastAsia="Calibri" w:hAnsi="Calibri"/>
          <w:b/>
          <w:bCs/>
          <w:sz w:val="21"/>
          <w:szCs w:val="21"/>
        </w:rPr>
        <w:t xml:space="preserve">lo que no consta en acta no ocurrió</w:t>
      </w:r>
      <w:r>
        <w:rPr>
          <w:rFonts w:ascii="Calibri" w:cs="Calibri" w:eastAsia="Calibri" w:hAnsi="Calibri"/>
          <w:sz w:val="21"/>
          <w:szCs w:val="21"/>
        </w:rPr>
        <w:t xml:space="preserve">.</w:t>
      </w:r>
    </w:p>
    <w:p>
      <w:pPr>
        <w:spacing w:after="140" w:line="276"/>
      </w:pPr>
      <w:r>
        <w:rPr>
          <w:rFonts w:ascii="Calibri" w:cs="Calibri" w:eastAsia="Calibri" w:hAnsi="Calibri"/>
          <w:b/>
          <w:bCs/>
          <w:sz w:val="21"/>
          <w:szCs w:val="21"/>
        </w:rPr>
        <w:t xml:space="preserve">Reglas comunes a todas las actas de este anexo.</w:t>
      </w:r>
    </w:p>
    <w:p>
      <w:pPr>
        <w:pStyle w:val="ListParagraph"/>
        <w:numPr>
          <w:ilvl w:val="0"/>
          <w:numId w:val="2"/>
        </w:numPr>
        <w:spacing w:after="70" w:line="268"/>
      </w:pPr>
      <w:r>
        <w:rPr>
          <w:rFonts w:ascii="Calibri" w:cs="Calibri" w:eastAsia="Calibri" w:hAnsi="Calibri"/>
          <w:b/>
          <w:bCs/>
          <w:sz w:val="21"/>
          <w:szCs w:val="21"/>
        </w:rPr>
        <w:t xml:space="preserve">Quién la levanta.</w:t>
      </w:r>
      <w:r>
        <w:rPr>
          <w:rFonts w:ascii="Calibri" w:cs="Calibri" w:eastAsia="Calibri" w:hAnsi="Calibri"/>
          <w:sz w:val="21"/>
          <w:szCs w:val="21"/>
        </w:rPr>
        <w:t xml:space="preserve"> La levanta el Ayuntamiento, por el puesto que en cada caso designe la cláusula. La firma del contratista acredita su presencia y su conocimiento; </w:t>
      </w:r>
      <w:r>
        <w:rPr>
          <w:rFonts w:ascii="Calibri" w:cs="Calibri" w:eastAsia="Calibri" w:hAnsi="Calibri"/>
          <w:b/>
          <w:bCs/>
          <w:sz w:val="21"/>
          <w:szCs w:val="21"/>
        </w:rPr>
        <w:t xml:space="preserve">su negativa a firmar no impide levantar el acta</w:t>
      </w:r>
      <w:r>
        <w:rPr>
          <w:rFonts w:ascii="Calibri" w:cs="Calibri" w:eastAsia="Calibri" w:hAnsi="Calibri"/>
          <w:sz w:val="21"/>
          <w:szCs w:val="21"/>
        </w:rPr>
        <w:t xml:space="preserve">, y se hace constar en ella.</w:t>
      </w:r>
    </w:p>
    <w:p>
      <w:pPr>
        <w:pStyle w:val="ListParagraph"/>
        <w:numPr>
          <w:ilvl w:val="0"/>
          <w:numId w:val="2"/>
        </w:numPr>
        <w:spacing w:after="70" w:line="268"/>
      </w:pPr>
      <w:r>
        <w:rPr>
          <w:rFonts w:ascii="Calibri" w:cs="Calibri" w:eastAsia="Calibri" w:hAnsi="Calibri"/>
          <w:b/>
          <w:bCs/>
          <w:sz w:val="21"/>
          <w:szCs w:val="21"/>
        </w:rPr>
        <w:t xml:space="preserve">Qué contiene siempre.</w:t>
      </w:r>
      <w:r>
        <w:rPr>
          <w:rFonts w:ascii="Calibri" w:cs="Calibri" w:eastAsia="Calibri" w:hAnsi="Calibri"/>
          <w:sz w:val="21"/>
          <w:szCs w:val="21"/>
        </w:rPr>
        <w:t xml:space="preserve"> Expediente, contrato, fecha, hora de inicio y de fin, lugar o medio, asistentes con nombre, puesto y organización, objeto, lo actuado, el resultado y las observaciones de cada parte.</w:t>
      </w:r>
    </w:p>
    <w:p>
      <w:pPr>
        <w:pStyle w:val="ListParagraph"/>
        <w:numPr>
          <w:ilvl w:val="0"/>
          <w:numId w:val="2"/>
        </w:numPr>
        <w:spacing w:after="70" w:line="268"/>
      </w:pPr>
      <w:r>
        <w:rPr>
          <w:rFonts w:ascii="Calibri" w:cs="Calibri" w:eastAsia="Calibri" w:hAnsi="Calibri"/>
          <w:b/>
          <w:bCs/>
          <w:sz w:val="21"/>
          <w:szCs w:val="21"/>
        </w:rPr>
        <w:t xml:space="preserve">Resultado binario.</w:t>
      </w:r>
      <w:r>
        <w:rPr>
          <w:rFonts w:ascii="Calibri" w:cs="Calibri" w:eastAsia="Calibri" w:hAnsi="Calibri"/>
          <w:sz w:val="21"/>
          <w:szCs w:val="21"/>
        </w:rPr>
        <w:t xml:space="preserve"> Cuando el acta documente la comprobación de un criterio de aceptación, el resultado se consigna como </w:t>
      </w:r>
      <w:r>
        <w:rPr>
          <w:rFonts w:ascii="Calibri" w:cs="Calibri" w:eastAsia="Calibri" w:hAnsi="Calibri"/>
          <w:b/>
          <w:bCs/>
          <w:sz w:val="21"/>
          <w:szCs w:val="21"/>
        </w:rPr>
        <w:t xml:space="preserve">conforme / no conforme</w:t>
      </w:r>
      <w:r>
        <w:rPr>
          <w:rFonts w:ascii="Calibri" w:cs="Calibri" w:eastAsia="Calibri" w:hAnsi="Calibri"/>
          <w:sz w:val="21"/>
          <w:szCs w:val="21"/>
        </w:rPr>
        <w:t xml:space="preserve">, criterio por criterio. No se admiten resultados intermedios: un criterio de aceptación que sólo pueda valorarse por apreciación no sostiene una penalidad.</w:t>
      </w:r>
    </w:p>
    <w:p>
      <w:pPr>
        <w:pStyle w:val="ListParagraph"/>
        <w:numPr>
          <w:ilvl w:val="0"/>
          <w:numId w:val="2"/>
        </w:numPr>
        <w:spacing w:after="70" w:line="268"/>
      </w:pPr>
      <w:r>
        <w:rPr>
          <w:rFonts w:ascii="Calibri" w:cs="Calibri" w:eastAsia="Calibri" w:hAnsi="Calibri"/>
          <w:b/>
          <w:bCs/>
          <w:sz w:val="21"/>
          <w:szCs w:val="21"/>
        </w:rPr>
        <w:t xml:space="preserve">Incorporación.</w:t>
      </w:r>
      <w:r>
        <w:rPr>
          <w:rFonts w:ascii="Calibri" w:cs="Calibri" w:eastAsia="Calibri" w:hAnsi="Calibri"/>
          <w:sz w:val="21"/>
          <w:szCs w:val="21"/>
        </w:rPr>
        <w:t xml:space="preserve"> Toda acta se incorpora al expediente de ejecución del contrato en el plazo de </w:t>
      </w:r>
      <w:r>
        <w:rPr>
          <w:rFonts w:ascii="Calibri" w:cs="Calibri" w:eastAsia="Calibri" w:hAnsi="Calibri"/>
          <w:b/>
          <w:bCs/>
          <w:sz w:val="21"/>
          <w:szCs w:val="21"/>
        </w:rPr>
        <w:t xml:space="preserve">[X; se recomienda 5] días hábiles</w:t>
      </w:r>
      <w:r>
        <w:rPr>
          <w:rFonts w:ascii="Calibri" w:cs="Calibri" w:eastAsia="Calibri" w:hAnsi="Calibri"/>
          <w:sz w:val="21"/>
          <w:szCs w:val="21"/>
        </w:rPr>
        <w:t xml:space="preserve"> desde su firma, y se notifica al contratista.</w:t>
      </w:r>
    </w:p>
    <w:p>
      <w:pPr>
        <w:pStyle w:val="ListParagraph"/>
        <w:numPr>
          <w:ilvl w:val="0"/>
          <w:numId w:val="2"/>
        </w:numPr>
        <w:spacing w:after="70" w:line="268"/>
      </w:pPr>
      <w:r>
        <w:rPr>
          <w:rFonts w:ascii="Calibri" w:cs="Calibri" w:eastAsia="Calibri" w:hAnsi="Calibri"/>
          <w:b/>
          <w:bCs/>
          <w:sz w:val="21"/>
          <w:szCs w:val="21"/>
        </w:rPr>
        <w:t xml:space="preserve">Lo que un acta no hace.</w:t>
      </w:r>
      <w:r>
        <w:rPr>
          <w:rFonts w:ascii="Calibri" w:cs="Calibri" w:eastAsia="Calibri" w:hAnsi="Calibri"/>
          <w:sz w:val="21"/>
          <w:szCs w:val="21"/>
        </w:rPr>
        <w:t xml:space="preserve"> No modifica el contrato, no sustituye a la resolución que corresponda ni suple la audiencia del contratista en los procedimientos que la exijan. Un acta que acuerde algo que sólo el órgano de contratación puede acordar es un acta viciada en esa parte.</w:t>
      </w:r>
    </w:p>
    <w:p>
      <w:pPr>
        <w:pStyle w:val="ListParagraph"/>
        <w:numPr>
          <w:ilvl w:val="0"/>
          <w:numId w:val="2"/>
        </w:numPr>
        <w:spacing w:after="70" w:line="268"/>
      </w:pPr>
      <w:r>
        <w:rPr>
          <w:rFonts w:ascii="Calibri" w:cs="Calibri" w:eastAsia="Calibri" w:hAnsi="Calibri"/>
          <w:b/>
          <w:bCs/>
          <w:sz w:val="21"/>
          <w:szCs w:val="21"/>
        </w:rPr>
        <w:t xml:space="preserve">Numeración.</w:t>
      </w:r>
      <w:r>
        <w:rPr>
          <w:rFonts w:ascii="Calibri" w:cs="Calibri" w:eastAsia="Calibri" w:hAnsi="Calibri"/>
          <w:sz w:val="21"/>
          <w:szCs w:val="21"/>
        </w:rPr>
        <w:t xml:space="preserve"> Correlativa por contrato y por tipo, con el formato </w:t>
      </w:r>
      <w:r>
        <w:rPr>
          <w:rFonts w:ascii="Calibri" w:cs="Calibri" w:eastAsia="Calibri" w:hAnsi="Calibri"/>
          <w:color w:val="2F5496"/>
          <w:sz w:val="21"/>
          <w:szCs w:val="21"/>
        </w:rPr>
        <w:t xml:space="preserve">[tipo]/[n.º]/[año]</w:t>
      </w:r>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 INICIO DEL MODELO A — ACTA DE ACEPTACIÓN DE LAS EXIGENCIAS TECNOLÓGICAS DETERMINADAS ----</w:t>
      </w:r>
    </w:p>
    <w:p>
      <w:pPr>
        <w:spacing w:after="140" w:line="276"/>
      </w:pPr>
      <w:r>
        <w:rPr>
          <w:rFonts w:ascii="Calibri" w:cs="Calibri" w:eastAsia="Calibri" w:hAnsi="Calibri"/>
          <w:i/>
          <w:iCs/>
          <w:sz w:val="21"/>
          <w:szCs w:val="21"/>
        </w:rPr>
        <w:t xml:space="preserve">(Anexo V, regla común 4: cada exigencia se verifica mediante prueba de aceptación sobre el entorno de pruebas, documentada en acta suscrita por el responsable del contrato.)</w:t>
      </w:r>
    </w:p>
    <w:p>
      <w:pPr>
        <w:spacing w:after="140" w:line="276"/>
      </w:pPr>
      <w:r>
        <w:rPr>
          <w:rFonts w:ascii="Calibri" w:cs="Calibri" w:eastAsia="Calibri" w:hAnsi="Calibri"/>
          <w:b/>
          <w:bCs/>
          <w:sz w:val="21"/>
          <w:szCs w:val="21"/>
        </w:rPr>
        <w:t xml:space="preserve">ACTA DE ACEPTACIÓN N.º ……/……/…… · EXIGENCIA [ET-…]</w:t>
      </w:r>
    </w:p>
    <w:p>
      <w:pPr>
        <w:spacing w:after="140" w:line="276"/>
      </w:pPr>
      <w:r>
        <w:rPr>
          <w:rFonts w:ascii="Calibri" w:cs="Calibri" w:eastAsia="Calibri" w:hAnsi="Calibri"/>
          <w:sz w:val="21"/>
          <w:szCs w:val="21"/>
        </w:rPr>
        <w:t xml:space="preserve">Expediente: ……………… · Contrato: ……………… · Adjudicatario: ………………</w:t>
      </w:r>
    </w:p>
    <w:p>
      <w:pPr>
        <w:spacing w:after="140" w:line="276"/>
      </w:pPr>
      <w:r>
        <w:rPr>
          <w:rFonts w:ascii="Calibri" w:cs="Calibri" w:eastAsia="Calibri" w:hAnsi="Calibri"/>
          <w:sz w:val="21"/>
          <w:szCs w:val="21"/>
        </w:rPr>
        <w:t xml:space="preserve">Fecha: …… / …… / …… · Hora de inicio: …… · Hora de fin: ……</w:t>
      </w:r>
    </w:p>
    <w:p>
      <w:pPr>
        <w:spacing w:after="140" w:line="276"/>
      </w:pPr>
      <w:r>
        <w:rPr>
          <w:rFonts w:ascii="Calibri" w:cs="Calibri" w:eastAsia="Calibri" w:hAnsi="Calibri"/>
          <w:sz w:val="21"/>
          <w:szCs w:val="21"/>
        </w:rPr>
        <w:t xml:space="preserve">Entorno sobre el que se ejecuta la prueba: ☐ Entorno de pruebas municipal ☐ Otro: ………</w:t>
      </w:r>
    </w:p>
    <w:p>
      <w:pPr>
        <w:spacing w:after="140" w:line="276"/>
      </w:pPr>
      <w:r>
        <w:rPr>
          <w:rFonts w:ascii="Calibri" w:cs="Calibri" w:eastAsia="Calibri" w:hAnsi="Calibri"/>
          <w:sz w:val="21"/>
          <w:szCs w:val="21"/>
        </w:rPr>
        <w:t xml:space="preserve">Juego de datos empleado: ☐ Ficticios ☐ Anonimizados · Identificación: ………………</w:t>
      </w:r>
    </w:p>
    <w:p>
      <w:pPr>
        <w:spacing w:after="140" w:line="276"/>
      </w:pPr>
      <w:r>
        <w:rPr>
          <w:rFonts w:ascii="Calibri" w:cs="Calibri" w:eastAsia="Calibri" w:hAnsi="Calibri"/>
          <w:sz w:val="21"/>
          <w:szCs w:val="21"/>
        </w:rPr>
        <w:t xml:space="preserve">Asistentes: ………………………………………………………………</w:t>
      </w:r>
    </w:p>
    <w:p>
      <w:pPr>
        <w:spacing w:after="140" w:line="276"/>
      </w:pPr>
      <w:r>
        <w:rPr>
          <w:rFonts w:ascii="Calibri" w:cs="Calibri" w:eastAsia="Calibri" w:hAnsi="Calibri"/>
          <w:b/>
          <w:bCs/>
          <w:sz w:val="21"/>
          <w:szCs w:val="21"/>
        </w:rPr>
        <w:t xml:space="preserve">Resultado por criterio de aceptación</w:t>
      </w:r>
      <w:r>
        <w:rPr>
          <w:rFonts w:ascii="Calibri" w:cs="Calibri" w:eastAsia="Calibri" w:hAnsi="Calibri"/>
          <w:sz w:val="21"/>
          <w:szCs w:val="21"/>
        </w:rPr>
        <w:t xml:space="preserve"> </w:t>
      </w:r>
      <w:r>
        <w:rPr>
          <w:rFonts w:ascii="Calibri" w:cs="Calibri" w:eastAsia="Calibri" w:hAnsi="Calibri"/>
          <w:i/>
          <w:iCs/>
          <w:sz w:val="21"/>
          <w:szCs w:val="21"/>
        </w:rPr>
        <w:t xml:space="preserve">(se transcriben los criterios del Catálogo tal como figuran en el pliego; una fila por criterio)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N.º</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Criterio de aceptación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Cómo se ha comprobado (operación efectivamente ejecutada)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Evidencia obtenida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Resultado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Conforme ☐ No conforme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Conforme ☐ No conforme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Conforme ☐ No conforme</w:t>
            </w:r>
          </w:p>
        </w:tc>
      </w:tr>
    </w:tbl>
    <w:p>
      <w:pPr>
        <w:spacing w:after="200"/>
      </w:pPr>
    </w:p>
    <w:p>
      <w:pPr>
        <w:spacing w:after="140" w:line="276"/>
      </w:pPr>
      <w:r>
        <w:rPr>
          <w:rFonts w:ascii="Calibri" w:cs="Calibri" w:eastAsia="Calibri" w:hAnsi="Calibri"/>
          <w:b/>
          <w:bCs/>
          <w:sz w:val="21"/>
          <w:szCs w:val="21"/>
        </w:rPr>
        <w:t xml:space="preserve">Declaración de resultado.</w:t>
      </w:r>
      <w:r>
        <w:rPr>
          <w:rFonts w:ascii="Calibri" w:cs="Calibri" w:eastAsia="Calibri" w:hAnsi="Calibri"/>
          <w:sz w:val="21"/>
          <w:szCs w:val="21"/>
        </w:rPr>
        <w:t xml:space="preserve"> ☐ </w:t>
      </w:r>
      <w:r>
        <w:rPr>
          <w:rFonts w:ascii="Calibri" w:cs="Calibri" w:eastAsia="Calibri" w:hAnsi="Calibri"/>
          <w:b/>
          <w:bCs/>
          <w:sz w:val="21"/>
          <w:szCs w:val="21"/>
        </w:rPr>
        <w:t xml:space="preserve">Aceptada</w:t>
      </w:r>
      <w:r>
        <w:rPr>
          <w:rFonts w:ascii="Calibri" w:cs="Calibri" w:eastAsia="Calibri" w:hAnsi="Calibri"/>
          <w:sz w:val="21"/>
          <w:szCs w:val="21"/>
        </w:rPr>
        <w:t xml:space="preserve">: todos los criterios resultan conformes. ☐ </w:t>
      </w:r>
      <w:r>
        <w:rPr>
          <w:rFonts w:ascii="Calibri" w:cs="Calibri" w:eastAsia="Calibri" w:hAnsi="Calibri"/>
          <w:b/>
          <w:bCs/>
          <w:sz w:val="21"/>
          <w:szCs w:val="21"/>
        </w:rPr>
        <w:t xml:space="preserve">No aceptada</w:t>
      </w:r>
      <w:r>
        <w:rPr>
          <w:rFonts w:ascii="Calibri" w:cs="Calibri" w:eastAsia="Calibri" w:hAnsi="Calibri"/>
          <w:sz w:val="21"/>
          <w:szCs w:val="21"/>
        </w:rPr>
        <w:t xml:space="preserve">: resultan no conformes los criterios n.º ……, por los motivos que constan. Plazo de subsanación otorgado: …… . Nueva prueba prevista para el …… / …… / …… .</w:t>
      </w:r>
    </w:p>
    <w:p>
      <w:pPr>
        <w:spacing w:after="140" w:line="276"/>
      </w:pPr>
      <w:r>
        <w:rPr>
          <w:rFonts w:ascii="Calibri" w:cs="Calibri" w:eastAsia="Calibri" w:hAnsi="Calibri"/>
          <w:b/>
          <w:bCs/>
          <w:sz w:val="21"/>
          <w:szCs w:val="21"/>
        </w:rPr>
        <w:t xml:space="preserve">Advertencia que forma parte del acta.</w:t>
      </w:r>
      <w:r>
        <w:rPr>
          <w:rFonts w:ascii="Calibri" w:cs="Calibri" w:eastAsia="Calibri" w:hAnsi="Calibri"/>
          <w:sz w:val="21"/>
          <w:szCs w:val="21"/>
        </w:rPr>
        <w:t xml:space="preserve"> La aceptación </w:t>
      </w:r>
      <w:r>
        <w:rPr>
          <w:rFonts w:ascii="Calibri" w:cs="Calibri" w:eastAsia="Calibri" w:hAnsi="Calibri"/>
          <w:b/>
          <w:bCs/>
          <w:sz w:val="21"/>
          <w:szCs w:val="21"/>
        </w:rPr>
        <w:t xml:space="preserve">no libera</w:t>
      </w:r>
      <w:r>
        <w:rPr>
          <w:rFonts w:ascii="Calibri" w:cs="Calibri" w:eastAsia="Calibri" w:hAnsi="Calibri"/>
          <w:sz w:val="21"/>
          <w:szCs w:val="21"/>
        </w:rPr>
        <w:t xml:space="preserve"> al adjudicatario de su responsabilidad por defectos, errores, vulnerabilidades, incumplimientos normativos o degradación posterior de la capacidad verificada, que debe permanecer operativa durante el resto de la vigencia del contrato y de sus prórrogas.</w:t>
      </w:r>
    </w:p>
    <w:p>
      <w:pPr>
        <w:spacing w:after="140" w:line="276"/>
      </w:pPr>
      <w:r>
        <w:rPr>
          <w:rFonts w:ascii="Calibri" w:cs="Calibri" w:eastAsia="Calibri" w:hAnsi="Calibri"/>
          <w:sz w:val="21"/>
          <w:szCs w:val="21"/>
        </w:rPr>
        <w:t xml:space="preserve">Firma del responsable del contrato · Firma del técnico que ejecuta la prueba · Firma del adjudicatario (o constancia de su negativa)</w:t>
      </w:r>
    </w:p>
    <w:p>
      <w:pPr>
        <w:spacing w:after="140" w:line="276"/>
      </w:pPr>
      <w:r>
        <w:rPr>
          <w:rFonts w:ascii="Calibri" w:cs="Calibri" w:eastAsia="Calibri" w:hAnsi="Calibri"/>
          <w:sz w:val="21"/>
          <w:szCs w:val="21"/>
        </w:rPr>
        <w:t xml:space="preserve">---- FIN DEL MODELO A ----</w:t>
      </w:r>
    </w:p>
    <w:p>
      <w:pPr>
        <w:spacing w:after="140" w:line="276"/>
      </w:pPr>
      <w:r>
        <w:rPr>
          <w:rFonts w:ascii="Calibri" w:cs="Calibri" w:eastAsia="Calibri" w:hAnsi="Calibri"/>
          <w:sz w:val="21"/>
          <w:szCs w:val="21"/>
        </w:rPr>
        <w:t xml:space="preserve">---- INICIO DEL MODELO B — ACTA DE ENSAYO DE REVERSIBILIDAD ----</w:t>
      </w:r>
    </w:p>
    <w:p>
      <w:pPr>
        <w:spacing w:after="140" w:line="276"/>
      </w:pPr>
      <w:r>
        <w:rPr>
          <w:rFonts w:ascii="Calibri" w:cs="Calibri" w:eastAsia="Calibri" w:hAnsi="Calibri"/>
          <w:i/>
          <w:iCs/>
          <w:sz w:val="21"/>
          <w:szCs w:val="21"/>
        </w:rPr>
        <w:t xml:space="preserve">(Cláusula DT-8·v3, apartado 3: extracción y restitución efectivas de una muestra representativa en un entorno ajeno a la infraestructura del adjudicatario, a su costa.)</w:t>
      </w:r>
    </w:p>
    <w:p>
      <w:pPr>
        <w:spacing w:after="140" w:line="276"/>
      </w:pPr>
      <w:r>
        <w:rPr>
          <w:rFonts w:ascii="Calibri" w:cs="Calibri" w:eastAsia="Calibri" w:hAnsi="Calibri"/>
          <w:b/>
          <w:bCs/>
          <w:sz w:val="21"/>
          <w:szCs w:val="21"/>
        </w:rPr>
        <w:t xml:space="preserve">ACTA DE ENSAYO DE REVERSIBILIDAD N.º ……/……/……</w:t>
      </w:r>
    </w:p>
    <w:p>
      <w:pPr>
        <w:spacing w:after="140" w:line="276"/>
      </w:pPr>
      <w:r>
        <w:rPr>
          <w:rFonts w:ascii="Calibri" w:cs="Calibri" w:eastAsia="Calibri" w:hAnsi="Calibri"/>
          <w:sz w:val="21"/>
          <w:szCs w:val="21"/>
        </w:rPr>
        <w:t xml:space="preserve">Expediente · Contrato · Adjudicatario · Fecha · Hora de inicio y de fin</w:t>
      </w:r>
    </w:p>
    <w:p>
      <w:pPr>
        <w:spacing w:after="140" w:line="276"/>
      </w:pPr>
      <w:r>
        <w:rPr>
          <w:rFonts w:ascii="Calibri" w:cs="Calibri" w:eastAsia="Calibri" w:hAnsi="Calibri"/>
          <w:sz w:val="21"/>
          <w:szCs w:val="21"/>
        </w:rPr>
        <w:t xml:space="preserve">Periodicidad exigida por el pliego: cada </w:t>
      </w:r>
      <w:r>
        <w:rPr>
          <w:rFonts w:ascii="Calibri" w:cs="Calibri" w:eastAsia="Calibri" w:hAnsi="Calibri"/>
          <w:b/>
          <w:bCs/>
          <w:sz w:val="21"/>
          <w:szCs w:val="21"/>
        </w:rPr>
        <w:t xml:space="preserve">[X; se recomienda 24] meses</w:t>
      </w:r>
      <w:r>
        <w:rPr>
          <w:rFonts w:ascii="Calibri" w:cs="Calibri" w:eastAsia="Calibri" w:hAnsi="Calibri"/>
          <w:sz w:val="21"/>
          <w:szCs w:val="21"/>
        </w:rPr>
        <w:t xml:space="preserve">, y en todo caso uno durante el último año.</w:t>
      </w:r>
    </w:p>
    <w:p>
      <w:pPr>
        <w:spacing w:after="140" w:line="276"/>
      </w:pPr>
      <w:r>
        <w:rPr>
          <w:rFonts w:ascii="Calibri" w:cs="Calibri" w:eastAsia="Calibri" w:hAnsi="Calibri"/>
          <w:b/>
          <w:bCs/>
          <w:sz w:val="21"/>
          <w:szCs w:val="21"/>
        </w:rPr>
        <w:t xml:space="preserve">Entorno de destino del ensayo, ajeno a la infraestructura del adjudicatario:</w:t>
      </w:r>
      <w:r>
        <w:rPr>
          <w:rFonts w:ascii="Calibri" w:cs="Calibri" w:eastAsia="Calibri" w:hAnsi="Calibri"/>
          <w:sz w:val="21"/>
          <w:szCs w:val="21"/>
        </w:rPr>
        <w:t xml:space="preserve"> ………………………</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Elemento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Contenido de la muestra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Volumen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Formato de extracción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¿Restituido y legible en destino?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Tiempo empleado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Datos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Configuraciones y parametrizaciones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Diccionario de datos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Documentación técnica y de despliegue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200"/>
      </w:pPr>
    </w:p>
    <w:p>
      <w:pPr>
        <w:spacing w:after="140" w:line="276"/>
      </w:pPr>
      <w:r>
        <w:rPr>
          <w:rFonts w:ascii="Calibri" w:cs="Calibri" w:eastAsia="Calibri" w:hAnsi="Calibri"/>
          <w:b/>
          <w:bCs/>
          <w:sz w:val="21"/>
          <w:szCs w:val="21"/>
        </w:rPr>
        <w:t xml:space="preserve">Representatividad de la muestra.</w:t>
      </w:r>
      <w:r>
        <w:rPr>
          <w:rFonts w:ascii="Calibri" w:cs="Calibri" w:eastAsia="Calibri" w:hAnsi="Calibri"/>
          <w:sz w:val="21"/>
          <w:szCs w:val="21"/>
        </w:rPr>
        <w:t xml:space="preserve"> Motívese por qué la muestra empleada es representativa del conjunto: …………………… . Sin esta motivación, el ensayo acredita que se movieron unos ficheros, no que la reversión sea posible.</w:t>
      </w:r>
    </w:p>
    <w:p>
      <w:pPr>
        <w:spacing w:after="140" w:line="276"/>
      </w:pPr>
      <w:r>
        <w:rPr>
          <w:rFonts w:ascii="Calibri" w:cs="Calibri" w:eastAsia="Calibri" w:hAnsi="Calibri"/>
          <w:b/>
          <w:bCs/>
          <w:sz w:val="21"/>
          <w:szCs w:val="21"/>
        </w:rPr>
        <w:t xml:space="preserve">Comprobación del Inventario de Componentes.</w:t>
      </w:r>
      <w:r>
        <w:rPr>
          <w:rFonts w:ascii="Calibri" w:cs="Calibri" w:eastAsia="Calibri" w:hAnsi="Calibri"/>
          <w:sz w:val="21"/>
          <w:szCs w:val="21"/>
        </w:rPr>
        <w:t xml:space="preserve"> ☐ Entregado y actualizado, con las cuatro categorías separadas (producto base · desarrollos específicos para el Ayuntamiento · componentes de terceros con su licencia · configuraciones). ☐ No entregado o incompleto. </w:t>
      </w:r>
      <w:r>
        <w:rPr>
          <w:rFonts w:ascii="Calibri" w:cs="Calibri" w:eastAsia="Calibri" w:hAnsi="Calibri"/>
          <w:i/>
          <w:iCs/>
          <w:sz w:val="21"/>
          <w:szCs w:val="21"/>
        </w:rPr>
        <w:t xml:space="preserve">(La falta del Inventario impide tener por cumplida la obligación de reversibilidad.)</w:t>
      </w:r>
    </w:p>
    <w:p>
      <w:pPr>
        <w:spacing w:after="140" w:line="276"/>
      </w:pPr>
      <w:r>
        <w:rPr>
          <w:rFonts w:ascii="Calibri" w:cs="Calibri" w:eastAsia="Calibri" w:hAnsi="Calibri"/>
          <w:b/>
          <w:bCs/>
          <w:sz w:val="21"/>
          <w:szCs w:val="21"/>
        </w:rPr>
        <w:t xml:space="preserve">Resultado.</w:t>
      </w:r>
      <w:r>
        <w:rPr>
          <w:rFonts w:ascii="Calibri" w:cs="Calibri" w:eastAsia="Calibri" w:hAnsi="Calibri"/>
          <w:sz w:val="21"/>
          <w:szCs w:val="21"/>
        </w:rPr>
        <w:t xml:space="preserve"> ☐ Satisfactorio ☐ Satisfactorio con incidencias (se relacionan) ☐ No satisfactorio.</w:t>
      </w:r>
    </w:p>
    <w:p>
      <w:pPr>
        <w:spacing w:after="140" w:line="276"/>
      </w:pPr>
      <w:r>
        <w:rPr>
          <w:rFonts w:ascii="Calibri" w:cs="Calibri" w:eastAsia="Calibri" w:hAnsi="Calibri"/>
          <w:b/>
          <w:bCs/>
          <w:sz w:val="21"/>
          <w:szCs w:val="21"/>
        </w:rPr>
        <w:t xml:space="preserve">Tiempo total empleado:</w:t>
      </w:r>
      <w:r>
        <w:rPr>
          <w:rFonts w:ascii="Calibri" w:cs="Calibri" w:eastAsia="Calibri" w:hAnsi="Calibri"/>
          <w:sz w:val="21"/>
          <w:szCs w:val="21"/>
        </w:rPr>
        <w:t xml:space="preserve"> …… . </w:t>
      </w:r>
      <w:r>
        <w:rPr>
          <w:rFonts w:ascii="Calibri" w:cs="Calibri" w:eastAsia="Calibri" w:hAnsi="Calibri"/>
          <w:b/>
          <w:bCs/>
          <w:sz w:val="21"/>
          <w:szCs w:val="21"/>
        </w:rPr>
        <w:t xml:space="preserve">Estimación de esfuerzo de migración completa que resulta del ensayo:</w:t>
      </w:r>
      <w:r>
        <w:rPr>
          <w:rFonts w:ascii="Calibri" w:cs="Calibri" w:eastAsia="Calibri" w:hAnsi="Calibri"/>
          <w:sz w:val="21"/>
          <w:szCs w:val="21"/>
        </w:rPr>
        <w:t xml:space="preserve"> …… .</w:t>
      </w:r>
    </w:p>
    <w:p>
      <w:pPr>
        <w:spacing w:after="140" w:line="276"/>
      </w:pPr>
      <w:r>
        <w:rPr>
          <w:rFonts w:ascii="Calibri" w:cs="Calibri" w:eastAsia="Calibri" w:hAnsi="Calibri"/>
          <w:b/>
          <w:bCs/>
          <w:sz w:val="21"/>
          <w:szCs w:val="21"/>
        </w:rPr>
        <w:t xml:space="preserve">Actualizaciones que deben incorporarse al Plan de Reversibilidad y al Dossier como consecuencia del ensayo:</w:t>
      </w:r>
      <w:r>
        <w:rPr>
          <w:rFonts w:ascii="Calibri" w:cs="Calibri" w:eastAsia="Calibri" w:hAnsi="Calibri"/>
          <w:sz w:val="21"/>
          <w:szCs w:val="21"/>
        </w:rPr>
        <w:t xml:space="preserve"> ……………………</w:t>
      </w:r>
    </w:p>
    <w:p>
      <w:pPr>
        <w:spacing w:after="140" w:line="276"/>
      </w:pPr>
      <w:r>
        <w:rPr>
          <w:rFonts w:ascii="Calibri" w:cs="Calibri" w:eastAsia="Calibri" w:hAnsi="Calibri"/>
          <w:sz w:val="21"/>
          <w:szCs w:val="21"/>
        </w:rPr>
        <w:t xml:space="preserve">Firma del servicio de informática · Firma del responsable del contrato · Firma del adjudicatario</w:t>
      </w:r>
    </w:p>
    <w:p>
      <w:pPr>
        <w:spacing w:after="140" w:line="276"/>
      </w:pPr>
      <w:r>
        <w:rPr>
          <w:rFonts w:ascii="Calibri" w:cs="Calibri" w:eastAsia="Calibri" w:hAnsi="Calibri"/>
          <w:sz w:val="21"/>
          <w:szCs w:val="21"/>
        </w:rPr>
        <w:t xml:space="preserve">---- FIN DEL MODELO B ----</w:t>
      </w:r>
    </w:p>
    <w:p>
      <w:pPr>
        <w:spacing w:after="140" w:line="276"/>
      </w:pPr>
      <w:r>
        <w:rPr>
          <w:rFonts w:ascii="Calibri" w:cs="Calibri" w:eastAsia="Calibri" w:hAnsi="Calibri"/>
          <w:sz w:val="21"/>
          <w:szCs w:val="21"/>
        </w:rPr>
        <w:t xml:space="preserve">---- INICIO DEL MODELO C — ACTA DE REVERSIÓN ----</w:t>
      </w:r>
    </w:p>
    <w:p>
      <w:pPr>
        <w:spacing w:after="140" w:line="276"/>
      </w:pPr>
      <w:r>
        <w:rPr>
          <w:rFonts w:ascii="Calibri" w:cs="Calibri" w:eastAsia="Calibri" w:hAnsi="Calibri"/>
          <w:i/>
          <w:iCs/>
          <w:sz w:val="21"/>
          <w:szCs w:val="21"/>
        </w:rPr>
        <w:t xml:space="preserve">(Cláusula DT-8·v3, apartado 8. Es el acta de la que depende el día inicial del plazo de garantía. Su plazo para levantarse es cierto y el silencio juega a favor del contratista: léase el apartado antes de usar este modelo.)</w:t>
      </w:r>
    </w:p>
    <w:p>
      <w:pPr>
        <w:spacing w:after="140" w:line="276"/>
      </w:pPr>
      <w:r>
        <w:rPr>
          <w:rFonts w:ascii="Calibri" w:cs="Calibri" w:eastAsia="Calibri" w:hAnsi="Calibri"/>
          <w:b/>
          <w:bCs/>
          <w:sz w:val="21"/>
          <w:szCs w:val="21"/>
        </w:rPr>
        <w:t xml:space="preserve">ACTA DE REVERSIÓN N.º ……/……/……</w:t>
      </w:r>
    </w:p>
    <w:p>
      <w:pPr>
        <w:spacing w:after="140" w:line="276"/>
      </w:pPr>
      <w:r>
        <w:rPr>
          <w:rFonts w:ascii="Calibri" w:cs="Calibri" w:eastAsia="Calibri" w:hAnsi="Calibri"/>
          <w:sz w:val="21"/>
          <w:szCs w:val="21"/>
        </w:rPr>
        <w:t xml:space="preserve">Expediente · Contrato · Adjudicatario</w:t>
      </w:r>
    </w:p>
    <w:p>
      <w:pPr>
        <w:spacing w:after="140" w:line="276"/>
      </w:pPr>
      <w:r>
        <w:rPr>
          <w:rFonts w:ascii="Calibri" w:cs="Calibri" w:eastAsia="Calibri" w:hAnsi="Calibri"/>
          <w:b/>
          <w:bCs/>
          <w:sz w:val="21"/>
          <w:szCs w:val="21"/>
        </w:rPr>
        <w:t xml:space="preserve">Fecha de la comunicación de entrega íntegra por el adjudicatario:</w:t>
      </w:r>
      <w:r>
        <w:rPr>
          <w:rFonts w:ascii="Calibri" w:cs="Calibri" w:eastAsia="Calibri" w:hAnsi="Calibri"/>
          <w:sz w:val="21"/>
          <w:szCs w:val="21"/>
        </w:rPr>
        <w:t xml:space="preserve"> …… / …… / ……</w:t>
      </w:r>
    </w:p>
    <w:p>
      <w:pPr>
        <w:spacing w:after="140" w:line="276"/>
      </w:pPr>
      <w:r>
        <w:rPr>
          <w:rFonts w:ascii="Calibri" w:cs="Calibri" w:eastAsia="Calibri" w:hAnsi="Calibri"/>
          <w:b/>
          <w:bCs/>
          <w:sz w:val="21"/>
          <w:szCs w:val="21"/>
        </w:rPr>
        <w:t xml:space="preserve">Fecha de levantamiento de la presente acta:</w:t>
      </w:r>
      <w:r>
        <w:rPr>
          <w:rFonts w:ascii="Calibri" w:cs="Calibri" w:eastAsia="Calibri" w:hAnsi="Calibri"/>
          <w:sz w:val="21"/>
          <w:szCs w:val="21"/>
        </w:rPr>
        <w:t xml:space="preserve"> …… / …… / …… · </w:t>
      </w:r>
      <w:r>
        <w:rPr>
          <w:rFonts w:ascii="Calibri" w:cs="Calibri" w:eastAsia="Calibri" w:hAnsi="Calibri"/>
          <w:b/>
          <w:bCs/>
          <w:sz w:val="21"/>
          <w:szCs w:val="21"/>
        </w:rPr>
        <w:t xml:space="preserve">Plazo del pliego: [X; se recomienda 15] días hábiles desde aquella comunicación.</w:t>
      </w:r>
    </w:p>
    <w:p>
      <w:pPr>
        <w:spacing w:after="140" w:line="276"/>
      </w:pPr>
      <w:r>
        <w:rPr>
          <w:rFonts w:ascii="Calibri" w:cs="Calibri" w:eastAsia="Calibri" w:hAnsi="Calibri"/>
          <w:b/>
          <w:bCs/>
          <w:sz w:val="21"/>
          <w:szCs w:val="21"/>
        </w:rPr>
        <w:t xml:space="preserve">Relación de lo entregado</w:t>
      </w:r>
      <w:r>
        <w:rPr>
          <w:rFonts w:ascii="Calibri" w:cs="Calibri" w:eastAsia="Calibri" w:hAnsi="Calibri"/>
          <w:sz w:val="21"/>
          <w:szCs w:val="21"/>
        </w:rPr>
        <w:t xml:space="preserve"> </w:t>
      </w:r>
      <w:r>
        <w:rPr>
          <w:rFonts w:ascii="Calibri" w:cs="Calibri" w:eastAsia="Calibri" w:hAnsi="Calibri"/>
          <w:i/>
          <w:iCs/>
          <w:sz w:val="21"/>
          <w:szCs w:val="21"/>
        </w:rPr>
        <w:t xml:space="preserve">(una fila por cada letra del apartado 1 de la cláusula de reversibilidad efectivamente incorporada al pliego)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Elemento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Soporte y formato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Suma de verificación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Fecha de entrega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¿Completo?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Defectos apreciados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Datos y sus metadatos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Diccionario de datos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Código de los desarrollos específicos, fuente y objeto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Configuraciones y parametrizaciones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Prompts corporativos, bases de conocimiento y modelos ajustados con datos municipales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Documentación técnica, de construcción y de despliegue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Inventario de Componentes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Dossier de Reversibilidad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Certificación de supresión de datos personales (art. 28.3.g RGPD)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Documento de licencia de continuidad, con fechas de inicio y fin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200"/>
      </w:pPr>
    </w:p>
    <w:p>
      <w:pPr>
        <w:spacing w:after="140" w:line="276"/>
      </w:pPr>
      <w:r>
        <w:rPr>
          <w:rFonts w:ascii="Calibri" w:cs="Calibri" w:eastAsia="Calibri" w:hAnsi="Calibri"/>
          <w:b/>
          <w:bCs/>
          <w:sz w:val="21"/>
          <w:szCs w:val="21"/>
        </w:rPr>
        <w:t xml:space="preserve">Defectos apreciados y plazo de subsanación otorgado:</w:t>
      </w:r>
      <w:r>
        <w:rPr>
          <w:rFonts w:ascii="Calibri" w:cs="Calibri" w:eastAsia="Calibri" w:hAnsi="Calibri"/>
          <w:sz w:val="21"/>
          <w:szCs w:val="21"/>
        </w:rPr>
        <w:t xml:space="preserve"> …………………… · Plazo: …………</w:t>
      </w:r>
    </w:p>
    <w:p>
      <w:pPr>
        <w:spacing w:after="140" w:line="276"/>
      </w:pPr>
      <w:r>
        <w:rPr>
          <w:rFonts w:ascii="Calibri" w:cs="Calibri" w:eastAsia="Calibri" w:hAnsi="Calibri"/>
          <w:b/>
          <w:bCs/>
          <w:sz w:val="21"/>
          <w:szCs w:val="21"/>
        </w:rPr>
        <w:t xml:space="preserve">Efectos que se hacen constar expresamente.</w:t>
      </w:r>
    </w:p>
    <w:p>
      <w:pPr>
        <w:pStyle w:val="ListParagraph"/>
        <w:numPr>
          <w:ilvl w:val="0"/>
          <w:numId w:val="2"/>
        </w:numPr>
        <w:spacing w:after="70" w:line="268"/>
      </w:pPr>
      <w:r>
        <w:rPr>
          <w:rFonts w:ascii="Calibri" w:cs="Calibri" w:eastAsia="Calibri" w:hAnsi="Calibri"/>
          <w:sz w:val="21"/>
          <w:szCs w:val="21"/>
        </w:rPr>
        <w:t xml:space="preserve">El </w:t>
      </w:r>
      <w:r>
        <w:rPr>
          <w:rFonts w:ascii="Calibri" w:cs="Calibri" w:eastAsia="Calibri" w:hAnsi="Calibri"/>
          <w:b/>
          <w:bCs/>
          <w:sz w:val="21"/>
          <w:szCs w:val="21"/>
        </w:rPr>
        <w:t xml:space="preserve">plazo de garantía del contrato</w:t>
      </w:r>
      <w:r>
        <w:rPr>
          <w:rFonts w:ascii="Calibri" w:cs="Calibri" w:eastAsia="Calibri" w:hAnsi="Calibri"/>
          <w:sz w:val="21"/>
          <w:szCs w:val="21"/>
        </w:rPr>
        <w:t xml:space="preserve">, de </w:t>
      </w:r>
      <w:r>
        <w:rPr>
          <w:rFonts w:ascii="Calibri" w:cs="Calibri" w:eastAsia="Calibri" w:hAnsi="Calibri"/>
          <w:b/>
          <w:bCs/>
          <w:sz w:val="21"/>
          <w:szCs w:val="21"/>
        </w:rPr>
        <w:t xml:space="preserve">[X; se recomienda 12] meses</w:t>
      </w:r>
      <w:r>
        <w:rPr>
          <w:rFonts w:ascii="Calibri" w:cs="Calibri" w:eastAsia="Calibri" w:hAnsi="Calibri"/>
          <w:sz w:val="21"/>
          <w:szCs w:val="21"/>
        </w:rPr>
        <w:t xml:space="preserve">, se computa desde la fecha de la presente acta.</w:t>
      </w:r>
    </w:p>
    <w:p>
      <w:pPr>
        <w:pStyle w:val="ListParagraph"/>
        <w:numPr>
          <w:ilvl w:val="0"/>
          <w:numId w:val="2"/>
        </w:numPr>
        <w:spacing w:after="70" w:line="268"/>
      </w:pPr>
      <w:r>
        <w:rPr>
          <w:rFonts w:ascii="Calibri" w:cs="Calibri" w:eastAsia="Calibri" w:hAnsi="Calibri"/>
          <w:sz w:val="21"/>
          <w:szCs w:val="21"/>
        </w:rPr>
        <w:t xml:space="preserve">Si esta acta no se hubiera levantado dentro del plazo indicado y sin que el Ayuntamiento hubiera formulado objeciones, la reversión se tendría por conforme a todos los efectos y el plazo de garantía se computaría desde el día siguiente al vencimiento de dicho plazo.</w:t>
      </w:r>
    </w:p>
    <w:p>
      <w:pPr>
        <w:pStyle w:val="ListParagraph"/>
        <w:numPr>
          <w:ilvl w:val="0"/>
          <w:numId w:val="2"/>
        </w:numPr>
        <w:spacing w:after="70" w:line="268"/>
      </w:pPr>
      <w:r>
        <w:rPr>
          <w:rFonts w:ascii="Calibri" w:cs="Calibri" w:eastAsia="Calibri" w:hAnsi="Calibri"/>
          <w:sz w:val="21"/>
          <w:szCs w:val="21"/>
        </w:rPr>
        <w:t xml:space="preserve">El acceso de los órganos de control se mantiene en los términos de la cláusula correspondiente del pliego y del Anexo X.1, fila 8.</w:t>
      </w:r>
    </w:p>
    <w:p>
      <w:pPr>
        <w:spacing w:after="140" w:line="276"/>
      </w:pPr>
      <w:r>
        <w:rPr>
          <w:rFonts w:ascii="Calibri" w:cs="Calibri" w:eastAsia="Calibri" w:hAnsi="Calibri"/>
          <w:sz w:val="21"/>
          <w:szCs w:val="21"/>
        </w:rPr>
        <w:t xml:space="preserve">Firma del responsable del contrato · Firma del servicio de informática · Firma del adjudicatario</w:t>
      </w:r>
    </w:p>
    <w:p>
      <w:pPr>
        <w:spacing w:after="140" w:line="276"/>
      </w:pPr>
      <w:r>
        <w:rPr>
          <w:rFonts w:ascii="Calibri" w:cs="Calibri" w:eastAsia="Calibri" w:hAnsi="Calibri"/>
          <w:sz w:val="21"/>
          <w:szCs w:val="21"/>
        </w:rPr>
        <w:t xml:space="preserve">---- FIN DEL MODELO C ----</w:t>
      </w:r>
    </w:p>
    <w:p>
      <w:pPr>
        <w:spacing w:after="140" w:line="276"/>
      </w:pPr>
      <w:r>
        <w:rPr>
          <w:rFonts w:ascii="Calibri" w:cs="Calibri" w:eastAsia="Calibri" w:hAnsi="Calibri"/>
          <w:sz w:val="21"/>
          <w:szCs w:val="21"/>
        </w:rPr>
        <w:t xml:space="preserve">---- INICIO DEL MODELO D — ACTA DE LA COMISIÓN DE SEGUIMIENTO ----</w:t>
      </w:r>
    </w:p>
    <w:p>
      <w:pPr>
        <w:spacing w:after="140" w:line="276"/>
      </w:pPr>
      <w:r>
        <w:rPr>
          <w:rFonts w:ascii="Calibri" w:cs="Calibri" w:eastAsia="Calibri" w:hAnsi="Calibri"/>
          <w:i/>
          <w:iCs/>
          <w:sz w:val="21"/>
          <w:szCs w:val="21"/>
        </w:rPr>
        <w:t xml:space="preserve">(Cláusula ADM-4·v3, apartado 2. Sus actas son medio tasado de acreditación del cumplimiento y </w:t>
      </w:r>
      <w:r>
        <w:rPr>
          <w:rFonts w:ascii="Calibri" w:cs="Calibri" w:eastAsia="Calibri" w:hAnsi="Calibri"/>
          <w:i/>
          <w:iCs/>
          <w:sz w:val="21"/>
          <w:szCs w:val="21"/>
        </w:rPr>
        <w:t xml:space="preserve">son el documento donde se aprueban los hitos que pueden llegar a ser esenciales</w:t>
      </w:r>
      <w:r>
        <w:rPr>
          <w:rFonts w:ascii="Calibri" w:cs="Calibri" w:eastAsia="Calibri" w:hAnsi="Calibri"/>
          <w:i/>
          <w:iCs/>
          <w:sz w:val="21"/>
          <w:szCs w:val="21"/>
        </w:rPr>
        <w:t xml:space="preserve">.)</w:t>
      </w:r>
    </w:p>
    <w:p>
      <w:pPr>
        <w:spacing w:after="140" w:line="276"/>
      </w:pPr>
      <w:r>
        <w:rPr>
          <w:rFonts w:ascii="Calibri" w:cs="Calibri" w:eastAsia="Calibri" w:hAnsi="Calibri"/>
          <w:b/>
          <w:bCs/>
          <w:sz w:val="21"/>
          <w:szCs w:val="21"/>
        </w:rPr>
        <w:t xml:space="preserve">ACTA N.º ……/……/…… DE LA COMISIÓN DE SEGUIMIENTO</w:t>
      </w:r>
    </w:p>
    <w:p>
      <w:pPr>
        <w:spacing w:after="140" w:line="276"/>
      </w:pPr>
      <w:r>
        <w:rPr>
          <w:rFonts w:ascii="Calibri" w:cs="Calibri" w:eastAsia="Calibri" w:hAnsi="Calibri"/>
          <w:sz w:val="21"/>
          <w:szCs w:val="21"/>
        </w:rPr>
        <w:t xml:space="preserve">Expediente · Contrato · Adjudicatario · Fecha · Hora de inicio y de fin · Lugar o medio</w:t>
      </w:r>
    </w:p>
    <w:p>
      <w:pPr>
        <w:spacing w:after="140" w:line="276"/>
      </w:pPr>
      <w:r>
        <w:rPr>
          <w:rFonts w:ascii="Calibri" w:cs="Calibri" w:eastAsia="Calibri" w:hAnsi="Calibri"/>
          <w:sz w:val="21"/>
          <w:szCs w:val="21"/>
        </w:rPr>
        <w:t xml:space="preserve">Sesión: ☐ Ordinaria ☐ Extraordinaria, a petición de ……………… , por concurrir el hecho relevante siguiente: ………………</w:t>
      </w:r>
    </w:p>
    <w:p>
      <w:pPr>
        <w:spacing w:after="140" w:line="276"/>
      </w:pPr>
      <w:r>
        <w:rPr>
          <w:rFonts w:ascii="Calibri" w:cs="Calibri" w:eastAsia="Calibri" w:hAnsi="Calibri"/>
          <w:sz w:val="21"/>
          <w:szCs w:val="21"/>
        </w:rPr>
        <w:t xml:space="preserve">Convocatoria cursada el …… / …… / …… · Antelación: </w:t>
      </w:r>
      <w:r>
        <w:rPr>
          <w:rFonts w:ascii="Calibri" w:cs="Calibri" w:eastAsia="Calibri" w:hAnsi="Calibri"/>
          <w:b/>
          <w:bCs/>
          <w:sz w:val="21"/>
          <w:szCs w:val="21"/>
        </w:rPr>
        <w:t xml:space="preserve">[X; se recomienda 10] días</w:t>
      </w:r>
      <w:r>
        <w:rPr>
          <w:rFonts w:ascii="Calibri" w:cs="Calibri" w:eastAsia="Calibri" w:hAnsi="Calibri"/>
          <w:sz w:val="21"/>
          <w:szCs w:val="21"/>
        </w:rPr>
        <w:t xml:space="preserve">.</w:t>
      </w:r>
    </w:p>
    <w:p>
      <w:pPr>
        <w:spacing w:after="140" w:line="276"/>
      </w:pPr>
      <w:r>
        <w:rPr>
          <w:rFonts w:ascii="Calibri" w:cs="Calibri" w:eastAsia="Calibri" w:hAnsi="Calibri"/>
          <w:b/>
          <w:bCs/>
          <w:sz w:val="21"/>
          <w:szCs w:val="21"/>
        </w:rPr>
        <w:t xml:space="preserve">Asistentes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Por el Ayuntamiento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Puesto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Asiste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(preside)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Técnico del servicio de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Representante de la unidad gestora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Representante del órgano interventor </w:t>
            </w:r>
            <w:r>
              <w:rPr>
                <w:rFonts w:ascii="Calibri" w:cs="Calibri" w:eastAsia="Calibri" w:hAnsi="Calibri"/>
                <w:b w:val="false"/>
                <w:bCs w:val="false"/>
                <w:i/>
                <w:iCs/>
                <w:sz w:val="18"/>
                <w:szCs w:val="18"/>
              </w:rPr>
              <w:t xml:space="preserve">(si el contrato incorpora la condición especial de acceso de los órganos de control)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bl>
    <w:p>
      <w:pPr>
        <w:spacing w:after="200"/>
      </w:pP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Por el adjudicatario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Puesto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Asiste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Jefe de proyecto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bl>
    <w:p>
      <w:pPr>
        <w:spacing w:after="200"/>
      </w:pPr>
    </w:p>
    <w:p>
      <w:pPr>
        <w:spacing w:after="140" w:line="276"/>
      </w:pPr>
      <w:r>
        <w:rPr>
          <w:rFonts w:ascii="Calibri" w:cs="Calibri" w:eastAsia="Calibri" w:hAnsi="Calibri"/>
          <w:sz w:val="21"/>
          <w:szCs w:val="21"/>
        </w:rPr>
        <w:t xml:space="preserve">☐ </w:t>
      </w:r>
      <w:r>
        <w:rPr>
          <w:rFonts w:ascii="Calibri" w:cs="Calibri" w:eastAsia="Calibri" w:hAnsi="Calibri"/>
          <w:b/>
          <w:bCs/>
          <w:sz w:val="21"/>
          <w:szCs w:val="21"/>
        </w:rPr>
        <w:t xml:space="preserve">Inasistencia no justificada del adjudicatario</w:t>
      </w:r>
      <w:r>
        <w:rPr>
          <w:rFonts w:ascii="Calibri" w:cs="Calibri" w:eastAsia="Calibri" w:hAnsi="Calibri"/>
          <w:sz w:val="21"/>
          <w:szCs w:val="21"/>
        </w:rPr>
        <w:t xml:space="preserve">, convocado con la antelación exigida. Se hace constar a los efectos del cuadro de penalidades del pliego.</w:t>
      </w:r>
    </w:p>
    <w:p>
      <w:pPr>
        <w:spacing w:after="140" w:line="276"/>
      </w:pPr>
      <w:r>
        <w:rPr>
          <w:rFonts w:ascii="Calibri" w:cs="Calibri" w:eastAsia="Calibri" w:hAnsi="Calibri"/>
          <w:b/>
          <w:bCs/>
          <w:sz w:val="21"/>
          <w:szCs w:val="21"/>
        </w:rPr>
        <w:t xml:space="preserve">Orden del día y acuerdos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Punto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Contenido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Lo tratado y acordado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Estado de cada exigencia del Catálogo de Exigencias Tecnológicas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Cumplimiento de cada condición especial de ejecución, una por una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Vigencia de las certificaciones o sistemas de gestión exigidos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Indicadores de servicio del 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Consumo de la bolsa de servicios evolutivos </w:t>
            </w:r>
            <w:r>
              <w:rPr>
                <w:rFonts w:ascii="Calibri" w:cs="Calibri" w:eastAsia="Calibri" w:hAnsi="Calibri"/>
                <w:b w:val="false"/>
                <w:bCs w:val="false"/>
                <w:i/>
                <w:iCs/>
                <w:sz w:val="18"/>
                <w:szCs w:val="18"/>
              </w:rPr>
              <w:t xml:space="preserve">(si procede)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Incidencias registradas y su tratamiento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Plan Anual de Evolución Tecnológica: presentación, contenido y reparos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Aprobación expresa de hitos</w:t>
            </w:r>
            <w:r>
              <w:rPr>
                <w:rFonts w:ascii="Calibri" w:cs="Calibri" w:eastAsia="Calibri" w:hAnsi="Calibri"/>
                <w:b w:val="false"/>
                <w:bCs w:val="false"/>
                <w:sz w:val="18"/>
                <w:szCs w:val="18"/>
              </w:rPr>
              <w:t xml:space="preserve"> </w:t>
            </w:r>
            <w:r>
              <w:rPr>
                <w:rFonts w:ascii="Calibri" w:cs="Calibri" w:eastAsia="Calibri" w:hAnsi="Calibri"/>
                <w:b w:val="false"/>
                <w:bCs w:val="false"/>
                <w:i/>
                <w:iCs/>
                <w:sz w:val="18"/>
                <w:szCs w:val="18"/>
              </w:rPr>
              <w:t xml:space="preserve">(véase el cuadro siguiente)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Propuesta, en su caso, de imposición de penalidades o de incoación del procedimiento de resolución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200"/>
      </w:pPr>
    </w:p>
    <w:p>
      <w:pPr>
        <w:spacing w:after="140" w:line="276"/>
      </w:pPr>
      <w:r>
        <w:rPr>
          <w:rFonts w:ascii="Calibri" w:cs="Calibri" w:eastAsia="Calibri" w:hAnsi="Calibri"/>
          <w:b/>
          <w:bCs/>
          <w:sz w:val="21"/>
          <w:szCs w:val="21"/>
        </w:rPr>
        <w:t xml:space="preserve">Cuadro 8 · Aprobación expresa de hitos del Plan Anual</w:t>
      </w:r>
    </w:p>
    <w:p>
      <w:pPr>
        <w:spacing w:after="140" w:line="276"/>
      </w:pPr>
      <w:r>
        <w:rPr>
          <w:rFonts w:ascii="Calibri" w:cs="Calibri" w:eastAsia="Calibri" w:hAnsi="Calibri"/>
          <w:i/>
          <w:iCs/>
          <w:sz w:val="21"/>
          <w:szCs w:val="21"/>
        </w:rPr>
        <w:t xml:space="preserve">Advertencia que forma parte del acta: </w:t>
      </w:r>
      <w:r>
        <w:rPr>
          <w:rFonts w:ascii="Calibri" w:cs="Calibri" w:eastAsia="Calibri" w:hAnsi="Calibri"/>
          <w:i/>
          <w:iCs/>
          <w:sz w:val="21"/>
          <w:szCs w:val="21"/>
        </w:rPr>
        <w:t xml:space="preserve">sólo los hitos que se aprueben en este cuadro, con fecha cierta, adquieren carácter de obligación contractual esencial.</w:t>
      </w:r>
      <w:r>
        <w:rPr>
          <w:rFonts w:ascii="Calibri" w:cs="Calibri" w:eastAsia="Calibri" w:hAnsi="Calibri"/>
          <w:sz w:val="21"/>
          <w:szCs w:val="21"/>
        </w:rPr>
        <w:t xml:space="preserve">* Los hitos propuestos y no aprobados no lo adquieren, y así se les comunica al adjudicatario.*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N.º del apartado 4 del Plan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Hito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Fecha cierta que se aprueba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Acuerdo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 …… /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Aprobado ☐ No aprobado ☐ Aprobado con modificación de fecha</w:t>
            </w:r>
          </w:p>
        </w:tc>
      </w:tr>
    </w:tbl>
    <w:p>
      <w:pPr>
        <w:spacing w:after="200"/>
      </w:pPr>
    </w:p>
    <w:p>
      <w:pPr>
        <w:spacing w:after="140" w:line="276"/>
      </w:pPr>
      <w:r>
        <w:rPr>
          <w:rFonts w:ascii="Calibri" w:cs="Calibri" w:eastAsia="Calibri" w:hAnsi="Calibri"/>
          <w:b/>
          <w:bCs/>
          <w:sz w:val="21"/>
          <w:szCs w:val="21"/>
        </w:rPr>
        <w:t xml:space="preserve">Observaciones del adjudicatario, que se hacen constar a su instancia:</w:t>
      </w:r>
      <w:r>
        <w:rPr>
          <w:rFonts w:ascii="Calibri" w:cs="Calibri" w:eastAsia="Calibri" w:hAnsi="Calibri"/>
          <w:sz w:val="21"/>
          <w:szCs w:val="21"/>
        </w:rPr>
        <w:t xml:space="preserve"> ……………………</w:t>
      </w:r>
    </w:p>
    <w:p>
      <w:pPr>
        <w:spacing w:after="140" w:line="276"/>
      </w:pPr>
      <w:r>
        <w:rPr>
          <w:rFonts w:ascii="Calibri" w:cs="Calibri" w:eastAsia="Calibri" w:hAnsi="Calibri"/>
          <w:b/>
          <w:bCs/>
          <w:sz w:val="21"/>
          <w:szCs w:val="21"/>
        </w:rPr>
        <w:t xml:space="preserve">Constancia final.</w:t>
      </w:r>
      <w:r>
        <w:rPr>
          <w:rFonts w:ascii="Calibri" w:cs="Calibri" w:eastAsia="Calibri" w:hAnsi="Calibri"/>
          <w:sz w:val="21"/>
          <w:szCs w:val="21"/>
        </w:rPr>
        <w:t xml:space="preserve"> Esta acta se incorpora al expediente de ejecución del contrato y se notifica al adjudicatario. La aprobación de hitos que contiene la adopta el órgano de contratación, previo informe del responsable del contrato, y se documenta aquí; </w:t>
      </w:r>
      <w:r>
        <w:rPr>
          <w:rFonts w:ascii="Calibri" w:cs="Calibri" w:eastAsia="Calibri" w:hAnsi="Calibri"/>
          <w:b/>
          <w:bCs/>
          <w:sz w:val="21"/>
          <w:szCs w:val="21"/>
        </w:rPr>
        <w:t xml:space="preserve">cuando el órgano de contratación no sea quien preside la Comisión, la aprobación surte efecto desde su resolución, que se une a esta acta</w:t>
      </w:r>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Firmas de los asistentes</w:t>
      </w:r>
    </w:p>
    <w:p>
      <w:pPr>
        <w:spacing w:after="140" w:line="276"/>
      </w:pPr>
      <w:r>
        <w:rPr>
          <w:rFonts w:ascii="Calibri" w:cs="Calibri" w:eastAsia="Calibri" w:hAnsi="Calibri"/>
          <w:sz w:val="21"/>
          <w:szCs w:val="21"/>
        </w:rPr>
        <w:t xml:space="preserve">---- FIN DEL MODELO D ----</w:t>
      </w:r>
    </w:p>
    <w:p>
      <w:pPr>
        <w:spacing w:after="140" w:line="276"/>
      </w:pPr>
      <w:r>
        <w:rPr>
          <w:rFonts w:ascii="Calibri" w:cs="Calibri" w:eastAsia="Calibri" w:hAnsi="Calibri"/>
          <w:sz w:val="21"/>
          <w:szCs w:val="21"/>
        </w:rPr>
        <w:t xml:space="preserve">---- INICIO DEL MODELO E — DILIGENCIA DE COMPROBACIÓN DEL ACCESO DE LOS ÓRGANOS DE CONTROL Y DE LA EXPORTACIÓN DE DATOS ----</w:t>
      </w:r>
    </w:p>
    <w:p>
      <w:pPr>
        <w:spacing w:after="140" w:line="276"/>
      </w:pPr>
      <w:r>
        <w:rPr>
          <w:rFonts w:ascii="Calibri" w:cs="Calibri" w:eastAsia="Calibri" w:hAnsi="Calibri"/>
          <w:i/>
          <w:iCs/>
          <w:sz w:val="21"/>
          <w:szCs w:val="21"/>
        </w:rPr>
        <w:t xml:space="preserve">(Cláusula ADM-12·v3. Comprobación anual, a cargo del órgano interventor.)</w:t>
      </w:r>
    </w:p>
    <w:p>
      <w:pPr>
        <w:spacing w:after="140" w:line="276"/>
      </w:pPr>
      <w:r>
        <w:rPr>
          <w:rFonts w:ascii="Calibri" w:cs="Calibri" w:eastAsia="Calibri" w:hAnsi="Calibri"/>
          <w:b/>
          <w:bCs/>
          <w:sz w:val="21"/>
          <w:szCs w:val="21"/>
        </w:rPr>
        <w:t xml:space="preserve">DILIGENCIA N.º ……/……/…… · COMPROBACIÓN ANUAL</w:t>
      </w:r>
    </w:p>
    <w:p>
      <w:pPr>
        <w:spacing w:after="140" w:line="276"/>
      </w:pPr>
      <w:r>
        <w:rPr>
          <w:rFonts w:ascii="Calibri" w:cs="Calibri" w:eastAsia="Calibri" w:hAnsi="Calibri"/>
          <w:sz w:val="21"/>
          <w:szCs w:val="21"/>
        </w:rPr>
        <w:t xml:space="preserve">Expediente · Contrato · Adjudicatario · Fecha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Comprobación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Resultado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Evidencia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Los </w:t>
            </w:r>
            <w:r>
              <w:rPr>
                <w:rFonts w:ascii="Calibri" w:cs="Calibri" w:eastAsia="Calibri" w:hAnsi="Calibri"/>
                <w:b/>
                <w:bCs/>
                <w:sz w:val="18"/>
                <w:szCs w:val="18"/>
              </w:rPr>
              <w:t xml:space="preserve">[X; se recomienda 3] accesos nominativos</w:t>
            </w:r>
            <w:r>
              <w:rPr>
                <w:rFonts w:ascii="Calibri" w:cs="Calibri" w:eastAsia="Calibri" w:hAnsi="Calibri"/>
                <w:b w:val="false"/>
                <w:bCs w:val="false"/>
                <w:sz w:val="18"/>
                <w:szCs w:val="18"/>
              </w:rPr>
              <w:t xml:space="preserve"> de consulta están operativos y a nombre del personal designado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alcance funcional del acceso se corresponde con el definido en el 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exportación en formato abierto, reutilizable y documentado se obtiene </w:t>
            </w:r>
            <w:r>
              <w:rPr>
                <w:rFonts w:ascii="Calibri" w:cs="Calibri" w:eastAsia="Calibri" w:hAnsi="Calibri"/>
                <w:b/>
                <w:bCs/>
                <w:sz w:val="18"/>
                <w:szCs w:val="18"/>
              </w:rPr>
              <w:t xml:space="preserve">sin desarrollo a medida y sin coste por consulta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exportación comprende los datos que acreditan la realidad de la prestación, el grado de cumplimiento de los niveles de servicio y los datos económicos de la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w:t>
            </w:r>
            <w:r>
              <w:rPr>
                <w:rFonts w:ascii="Calibri" w:cs="Calibri" w:eastAsia="Calibri" w:hAnsi="Calibri"/>
                <w:b/>
                <w:bCs/>
                <w:sz w:val="18"/>
                <w:szCs w:val="18"/>
              </w:rPr>
              <w:t xml:space="preserve">diccionario de datos</w:t>
            </w:r>
            <w:r>
              <w:rPr>
                <w:rFonts w:ascii="Calibri" w:cs="Calibri" w:eastAsia="Calibri" w:hAnsi="Calibri"/>
                <w:b w:val="false"/>
                <w:bCs w:val="false"/>
                <w:sz w:val="18"/>
                <w:szCs w:val="18"/>
              </w:rPr>
              <w:t xml:space="preserve"> está entregado, actualizado a la última versión mayor en producción, y permite interpretar lo extraído </w:t>
            </w:r>
            <w:r>
              <w:rPr>
                <w:rFonts w:ascii="Calibri" w:cs="Calibri" w:eastAsia="Calibri" w:hAnsi="Calibri"/>
                <w:b/>
                <w:bCs/>
                <w:sz w:val="18"/>
                <w:szCs w:val="18"/>
              </w:rPr>
              <w:t xml:space="preserve">sin asistencia del adjudicatario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registro de actividad permite determinar qué operación se realizó, cuándo, por quién o por qué proceso automatizado y con qué resultado, y es exportable en los mismos términos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se ha facturado ni tarificado consulta alguna con cargo a estos accesos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200"/>
      </w:pPr>
    </w:p>
    <w:p>
      <w:pPr>
        <w:spacing w:after="140" w:line="276"/>
      </w:pPr>
      <w:r>
        <w:rPr>
          <w:rFonts w:ascii="Calibri" w:cs="Calibri" w:eastAsia="Calibri" w:hAnsi="Calibri"/>
          <w:b/>
          <w:bCs/>
          <w:sz w:val="21"/>
          <w:szCs w:val="21"/>
        </w:rPr>
        <w:t xml:space="preserve">Prueba efectivamente realizada:</w:t>
      </w:r>
      <w:r>
        <w:rPr>
          <w:rFonts w:ascii="Calibri" w:cs="Calibri" w:eastAsia="Calibri" w:hAnsi="Calibri"/>
          <w:sz w:val="21"/>
          <w:szCs w:val="21"/>
        </w:rPr>
        <w:t xml:space="preserve"> descríbase la extracción concreta ejecutada, con fecha, alcance y resultado: …………………… . </w:t>
      </w:r>
      <w:r>
        <w:rPr>
          <w:rFonts w:ascii="Calibri" w:cs="Calibri" w:eastAsia="Calibri" w:hAnsi="Calibri"/>
          <w:i/>
          <w:iCs/>
          <w:sz w:val="21"/>
          <w:szCs w:val="21"/>
        </w:rPr>
        <w:t xml:space="preserve">(Una diligencia que sólo declare que el acceso «está disponible» no comprueba nada: la comprobación es una extracción.)</w:t>
      </w:r>
    </w:p>
    <w:p>
      <w:pPr>
        <w:spacing w:after="140" w:line="276"/>
      </w:pPr>
      <w:r>
        <w:rPr>
          <w:rFonts w:ascii="Calibri" w:cs="Calibri" w:eastAsia="Calibri" w:hAnsi="Calibri"/>
          <w:b/>
          <w:bCs/>
          <w:sz w:val="21"/>
          <w:szCs w:val="21"/>
        </w:rPr>
        <w:t xml:space="preserve">Incidencias y requerimiento formulado, en su caso:</w:t>
      </w:r>
      <w:r>
        <w:rPr>
          <w:rFonts w:ascii="Calibri" w:cs="Calibri" w:eastAsia="Calibri" w:hAnsi="Calibri"/>
          <w:sz w:val="21"/>
          <w:szCs w:val="21"/>
        </w:rPr>
        <w:t xml:space="preserve"> …………………… · Plazo otorgado: </w:t>
      </w:r>
      <w:r>
        <w:rPr>
          <w:rFonts w:ascii="Calibri" w:cs="Calibri" w:eastAsia="Calibri" w:hAnsi="Calibri"/>
          <w:b/>
          <w:bCs/>
          <w:sz w:val="21"/>
          <w:szCs w:val="21"/>
        </w:rPr>
        <w:t xml:space="preserve">[X; se recomienda 10] días hábiles</w:t>
      </w:r>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Firma del órgano interventor · Firma del responsable del contrato</w:t>
      </w:r>
    </w:p>
    <w:p>
      <w:pPr>
        <w:spacing w:after="140" w:line="276"/>
      </w:pPr>
      <w:r>
        <w:rPr>
          <w:rFonts w:ascii="Calibri" w:cs="Calibri" w:eastAsia="Calibri" w:hAnsi="Calibri"/>
          <w:sz w:val="21"/>
          <w:szCs w:val="21"/>
        </w:rPr>
        <w:t xml:space="preserve">---- FIN DEL MODELO E ----</w:t>
      </w:r>
    </w:p>
    <w:p>
      <w:pPr>
        <w:spacing w:after="140" w:line="276"/>
      </w:pPr>
      <w:r>
        <w:rPr>
          <w:rFonts w:ascii="Calibri" w:cs="Calibri" w:eastAsia="Calibri" w:hAnsi="Calibri"/>
          <w:b/>
          <w:bCs/>
          <w:sz w:val="21"/>
          <w:szCs w:val="21"/>
        </w:rPr>
        <w:t xml:space="preserve">Nota sobre el acta de la demostración funcional.</w:t>
      </w:r>
      <w:r>
        <w:rPr>
          <w:rFonts w:ascii="Calibri" w:cs="Calibri" w:eastAsia="Calibri" w:hAnsi="Calibri"/>
          <w:sz w:val="21"/>
          <w:szCs w:val="21"/>
        </w:rPr>
        <w:t xml:space="preserve"> Su modelo no figura aquí: va con el guion y la relación cerrada de elementos verificables, en el </w:t>
      </w:r>
      <w:r>
        <w:rPr>
          <w:rFonts w:ascii="Calibri" w:cs="Calibri" w:eastAsia="Calibri" w:hAnsi="Calibri"/>
          <w:b/>
          <w:bCs/>
          <w:sz w:val="21"/>
          <w:szCs w:val="21"/>
        </w:rPr>
        <w:t xml:space="preserve">Anexo XX</w:t>
      </w:r>
      <w:r>
        <w:rPr>
          <w:rFonts w:ascii="Calibri" w:cs="Calibri" w:eastAsia="Calibri" w:hAnsi="Calibri"/>
          <w:sz w:val="21"/>
          <w:szCs w:val="21"/>
        </w:rPr>
        <w:t xml:space="preserve">, porque los tres se publican juntos como anexo del PCAP y se leen juntos.</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XIX · EXTRACTO DE VIGENCIA NORMATIVA TRANSCRIBIBLE AL PLIEGO DE PRESCRIPCIONES TÉCNICAS</w:t>
      </w:r>
    </w:p>
    <w:p>
      <w:pPr>
        <w:spacing w:after="140" w:line="276"/>
      </w:pPr>
      <w:r>
        <w:rPr>
          <w:rFonts w:ascii="Calibri" w:cs="Calibri" w:eastAsia="Calibri" w:hAnsi="Calibri"/>
          <w:sz w:val="21"/>
          <w:szCs w:val="21"/>
        </w:rPr>
        <w:t xml:space="preserve">Función: entregar el texto que la cláusula DT-1·v3 invoca cuatro veces cuando habla del «anexo de vigencia normativa de este pliego». El Anexo XI de este catálogo es un instrumento de trabajo del expediente y no se copia a ningún pliego; lo que sí se copia es este extracto, recortado a las cláusulas incorporadas. Sin él, DT-1·v3 remite a un anexo del pliego que nadie ha escrito.</w:t>
      </w:r>
    </w:p>
    <w:p>
      <w:pPr>
        <w:spacing w:after="140" w:line="276"/>
      </w:pPr>
      <w:r>
        <w:rPr>
          <w:rFonts w:ascii="Calibri" w:cs="Calibri" w:eastAsia="Calibri" w:hAnsi="Calibri"/>
          <w:b/>
          <w:bCs/>
          <w:sz w:val="21"/>
          <w:szCs w:val="21"/>
        </w:rPr>
        <w:t xml:space="preserve">Instrucciones de uso.</w:t>
      </w:r>
      <w:r>
        <w:rPr>
          <w:rFonts w:ascii="Calibri" w:cs="Calibri" w:eastAsia="Calibri" w:hAnsi="Calibri"/>
          <w:sz w:val="21"/>
          <w:szCs w:val="21"/>
        </w:rPr>
        <w:t xml:space="preserve"> (1) Se transcribe físicamente en el PPT, con su </w:t>
      </w:r>
      <w:r>
        <w:rPr>
          <w:rFonts w:ascii="Calibri" w:cs="Calibri" w:eastAsia="Calibri" w:hAnsi="Calibri"/>
          <w:b/>
          <w:bCs/>
          <w:sz w:val="21"/>
          <w:szCs w:val="21"/>
        </w:rPr>
        <w:t xml:space="preserve">fecha de corte</w:t>
      </w:r>
      <w:r>
        <w:rPr>
          <w:rFonts w:ascii="Calibri" w:cs="Calibri" w:eastAsia="Calibri" w:hAnsi="Calibri"/>
          <w:sz w:val="21"/>
          <w:szCs w:val="21"/>
        </w:rPr>
        <w:t xml:space="preserve">, y no se incorpora por remisión. (2) Se recorta a las materias de las cláusulas efectivamente incorporadas: las filas huérfanas se borran. (3) La fecha de corte del extracto que se transcriba a un pliego es la de la última revisión anual del Anexo XI aprobada; si no se ha revisado, la del Anexo XI vigente, y se dice cuál es. (4) Las tres comprobaciones del Anexo XI.3 se resuelven </w:t>
      </w:r>
      <w:r>
        <w:rPr>
          <w:rFonts w:ascii="Calibri" w:cs="Calibri" w:eastAsia="Calibri" w:hAnsi="Calibri"/>
          <w:b/>
          <w:bCs/>
          <w:sz w:val="21"/>
          <w:szCs w:val="21"/>
        </w:rPr>
        <w:t xml:space="preserve">antes</w:t>
      </w:r>
      <w:r>
        <w:rPr>
          <w:rFonts w:ascii="Calibri" w:cs="Calibri" w:eastAsia="Calibri" w:hAnsi="Calibri"/>
          <w:sz w:val="21"/>
          <w:szCs w:val="21"/>
        </w:rPr>
        <w:t xml:space="preserve"> de transcribirlo, o las filas afectadas no se transcriben.</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APÉNDICE TÉCNICO [N] · VIGENCIA NORMATIVA DE LAS EXIGENCIAS DE ESTE PLIEGO</w:t>
            </w:r>
          </w:p>
          <w:p>
            <w:pPr>
              <w:spacing w:after="100" w:line="264"/>
            </w:pPr>
            <w:r>
              <w:rPr>
                <w:rFonts w:ascii="Georgia" w:cs="Georgia" w:eastAsia="Georgia" w:hAnsi="Georgia"/>
                <w:i/>
                <w:iCs/>
                <w:sz w:val="20"/>
                <w:szCs w:val="20"/>
              </w:rPr>
              <w:t xml:space="preserve">(Fecha de corte: …… / …… / ……)</w:t>
            </w:r>
          </w:p>
          <w:p>
            <w:pPr>
              <w:spacing w:after="100" w:line="264"/>
            </w:pPr>
            <w:r>
              <w:rPr>
                <w:rFonts w:ascii="Georgia" w:cs="Georgia" w:eastAsia="Georgia" w:hAnsi="Georgia"/>
                <w:b/>
                <w:bCs/>
                <w:sz w:val="20"/>
                <w:szCs w:val="20"/>
              </w:rPr>
              <w:t xml:space="preserve">1. Objeto de este apéndice.</w:t>
            </w:r>
            <w:r>
              <w:rPr>
                <w:rFonts w:ascii="Georgia" w:cs="Georgia" w:eastAsia="Georgia" w:hAnsi="Georgia"/>
                <w:sz w:val="20"/>
                <w:szCs w:val="20"/>
              </w:rPr>
              <w:t xml:space="preserve"> Este pliego distingue expresamente entre las obligaciones que una norma en vigor ya impone y las que el Ayuntamiento anticipa como exigencia contractual. La distinción se hace para que el licitador pueda valorar el coste de cada una y para que ninguna exigencia se presente como obligación legal vigente sin serlo.</w:t>
            </w:r>
          </w:p>
          <w:p>
            <w:pPr>
              <w:spacing w:after="100" w:line="264"/>
            </w:pPr>
            <w:r>
              <w:rPr>
                <w:rFonts w:ascii="Georgia" w:cs="Georgia" w:eastAsia="Georgia" w:hAnsi="Georgia"/>
                <w:b/>
                <w:bCs/>
                <w:sz w:val="20"/>
                <w:szCs w:val="20"/>
              </w:rPr>
              <w:t xml:space="preserve">2. Cuadro de vigencia.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Materia exigida en este pliego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¿La impone hoy una norma en vigor?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Desde cuándo, o desde cuándo lo será</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Prácticas prohibidas de inteligencia artificial y alfabetización en materia de IA (arts. 4 y 5 del Reglamento (UE) 2024/1689, en su redacción vigente)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Desde el 2 de febrero de 2025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Modelos de IA de uso general, gobernanza y régimen sancionador del mismo Reglamento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Desde el 2 de agosto de 2025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Transparencia sobre la interacción con sistemas de IA y sobre el contenido generado (art. 50 del mismo Reglamento)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Desde el 2 de agosto de 2026, con el régimen transitorio de su art. 111 para los sistemas ya introducidos en el mercado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Requisitos de los sistemas de alto riesgo y obligaciones del responsable del despliegue (capítulo III, secciones 1 a 3, arts. 26 y 27 incluidos)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2 de diciembre de 2027 para los sistemas del art. 6.2 y del anexo III, y el 2 de agosto de 2028 para los del art. 6.1 y del anexo I, conforme al Reglamento (UE) 2026/1744, de 8 de julio de 2026. </w:t>
                  </w:r>
                  <w:r>
                    <w:rPr>
                      <w:rFonts w:ascii="Calibri" w:cs="Calibri" w:eastAsia="Calibri" w:hAnsi="Calibri"/>
                      <w:b/>
                      <w:bCs/>
                      <w:sz w:val="18"/>
                      <w:szCs w:val="18"/>
                    </w:rPr>
                    <w:t xml:space="preserve">Lo que este pliego exige hoy es la entrega de la documentación y de los medios que permitirán cumplirlas: instrucciones de uso, información técnica, registros y capacidad de supervisión humana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Sistemas de alto riesgo </w:t>
                  </w:r>
                  <w:r>
                    <w:rPr>
                      <w:rFonts w:ascii="Calibri" w:cs="Calibri" w:eastAsia="Calibri" w:hAnsi="Calibri"/>
                      <w:b/>
                      <w:bCs/>
                      <w:sz w:val="18"/>
                      <w:szCs w:val="18"/>
                    </w:rPr>
                    <w:t xml:space="preserve">destinados a ser utilizados por autoridades públicas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Hasta el 2 de agosto de 2030, conforme al art. 111, apartado 2, del Reglamento (UE) 2024/1689, en su redacción vigente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Protección de datos personales: encargo del tratamiento, devolución o supresión al término, evaluación de impacto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Reglamento (UE) 2016/679 y Ley Orgánica 3/2018</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Actuación administrativa automatizada y decisiones individuales automatizadas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41 de la Ley 40/2015 y art. 22 del Reglamento (UE) 2016/679</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Conformidad con el Esquema Nacional de Seguridad, y su extensión a la cadena de suministro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2.3 del Real Decreto 311/2022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Interoperabilidad y utilización de los servicios comunes de obligada utilización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Real Decreto 4/2010 y Ley 39/2015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Titularidad de las aplicaciones y su puesta a disposición de otras administraciones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157 y 158 de la Ley 40/2015; art. 308.1 de la Ley 9/2017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Acceso de los órganos de control interno a los datos de ejecución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potestad de control </w:t>
                  </w:r>
                  <w:r>
                    <w:rPr>
                      <w:rFonts w:ascii="Calibri" w:cs="Calibri" w:eastAsia="Calibri" w:hAnsi="Calibri"/>
                      <w:b/>
                      <w:bCs/>
                      <w:sz w:val="18"/>
                      <w:szCs w:val="18"/>
                    </w:rPr>
                    <w:t xml:space="preserve">existe</w:t>
                  </w:r>
                  <w:r>
                    <w:rPr>
                      <w:rFonts w:ascii="Calibri" w:cs="Calibri" w:eastAsia="Calibri" w:hAnsi="Calibri"/>
                      <w:b w:val="false"/>
                      <w:bCs w:val="false"/>
                      <w:sz w:val="18"/>
                      <w:szCs w:val="18"/>
                    </w:rPr>
                    <w:t xml:space="preserve"> (art. 214 del texto refundido de la Ley reguladora de las Haciendas Locales y Real Decreto 424/2017). Su articulación frente al contratista </w:t>
                  </w: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viene impuesta por norma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Exigencia contractual de este pliego</w:t>
                  </w:r>
                  <w:r>
                    <w:rPr>
                      <w:rFonts w:ascii="Calibri" w:cs="Calibri" w:eastAsia="Calibri" w:hAnsi="Calibri"/>
                      <w:b w:val="false"/>
                      <w:bCs w:val="false"/>
                      <w:sz w:val="18"/>
                      <w:szCs w:val="18"/>
                    </w:rPr>
                    <w:t xml:space="preserve">, que es lo que la hace efectiva frente a un tercero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Sistema de gestión de la inteligencia artificial conforme a la norma designada en este pliego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Ninguna norma obliga a un contratista a certificarse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Exigencia contractual de este pliego</w:t>
                  </w:r>
                  <w:r>
                    <w:rPr>
                      <w:rFonts w:ascii="Calibri" w:cs="Calibri" w:eastAsia="Calibri" w:hAnsi="Calibri"/>
                      <w:b w:val="false"/>
                      <w:bCs w:val="false"/>
                      <w:sz w:val="18"/>
                      <w:szCs w:val="18"/>
                    </w:rPr>
                    <w:t xml:space="preserve">, con las alternativas de acreditación que en él se establecen. Se hace constar que esta certificación </w:t>
                  </w:r>
                  <w:r>
                    <w:rPr>
                      <w:rFonts w:ascii="Calibri" w:cs="Calibri" w:eastAsia="Calibri" w:hAnsi="Calibri"/>
                      <w:b/>
                      <w:bCs/>
                      <w:sz w:val="18"/>
                      <w:szCs w:val="18"/>
                    </w:rPr>
                    <w:t xml:space="preserve">no otorga presunción de conformidad</w:t>
                  </w:r>
                  <w:r>
                    <w:rPr>
                      <w:rFonts w:ascii="Calibri" w:cs="Calibri" w:eastAsia="Calibri" w:hAnsi="Calibri"/>
                      <w:b w:val="false"/>
                      <w:bCs w:val="false"/>
                      <w:sz w:val="18"/>
                      <w:szCs w:val="18"/>
                    </w:rPr>
                    <w:t xml:space="preserve"> con el Reglamento (UE) 2024/1689: esa presunción corresponde a las normas armonizadas publicadas en el Diario Oficial de la Unión Europea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Interfaz normalizada de acceso programático para agentes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Exigencia contractual de este pliego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Operación autónoma supervisada y su trazabilidad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Parcialmente: la trazabilidad deriva del Esquema Nacional de Seguridad en la medida de la categoría del sistema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Exigencia contractual de este pliego</w:t>
                  </w:r>
                  <w:r>
                    <w:rPr>
                      <w:rFonts w:ascii="Calibri" w:cs="Calibri" w:eastAsia="Calibri" w:hAnsi="Calibri"/>
                      <w:b w:val="false"/>
                      <w:bCs w:val="false"/>
                      <w:sz w:val="18"/>
                      <w:szCs w:val="18"/>
                    </w:rPr>
                    <w:t xml:space="preserve"> en lo que exceda de esa medida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Depósito de código y continuidad del servicio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Exigencia contractual de este pliego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Control del uso de sistemas de inteligencia artificial de terceros sobre información municipal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Parcialmente: deriva del deber de confidencialidad y del régimen de encargo del tratamiento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Exigencia contractual de este pliego</w:t>
                  </w:r>
                  <w:r>
                    <w:rPr>
                      <w:rFonts w:ascii="Calibri" w:cs="Calibri" w:eastAsia="Calibri" w:hAnsi="Calibri"/>
                      <w:b w:val="false"/>
                      <w:bCs w:val="false"/>
                      <w:sz w:val="18"/>
                      <w:szCs w:val="18"/>
                    </w:rPr>
                    <w:t xml:space="preserve"> en lo relativo a la declaración de sistemas y a la autorización previa de altas</w:t>
                  </w:r>
                </w:p>
              </w:tc>
            </w:tr>
          </w:tbl>
          <w:p>
            <w:pPr>
              <w:spacing w:after="80"/>
            </w:pPr>
          </w:p>
          <w:p>
            <w:pPr>
              <w:spacing w:after="100" w:line="264"/>
            </w:pPr>
            <w:r>
              <w:rPr>
                <w:rFonts w:ascii="Georgia" w:cs="Georgia" w:eastAsia="Georgia" w:hAnsi="Georgia"/>
                <w:b/>
                <w:bCs/>
                <w:sz w:val="20"/>
                <w:szCs w:val="20"/>
              </w:rPr>
              <w:t xml:space="preserve">3. Regla de interpretación.</w:t>
            </w:r>
            <w:r>
              <w:rPr>
                <w:rFonts w:ascii="Georgia" w:cs="Georgia" w:eastAsia="Georgia" w:hAnsi="Georgia"/>
                <w:sz w:val="20"/>
                <w:szCs w:val="20"/>
              </w:rPr>
              <w:t xml:space="preserve"> Las obligaciones de la tercera columna que se identifican como exigencia contractual de este pliego se asumen por el contratista en virtud del contrato y no en virtud de la norma citada. Su incumplimiento produce los efectos previstos en este pliego, y no los que la norma anude a su propio incumplimiento.</w:t>
            </w:r>
          </w:p>
          <w:p>
            <w:pPr>
              <w:spacing w:after="100" w:line="264"/>
            </w:pPr>
            <w:r>
              <w:rPr>
                <w:rFonts w:ascii="Georgia" w:cs="Georgia" w:eastAsia="Georgia" w:hAnsi="Georgia"/>
                <w:b/>
                <w:bCs/>
                <w:sz w:val="20"/>
                <w:szCs w:val="20"/>
              </w:rPr>
              <w:t xml:space="preserve">4. Efecto de las modificaciones normativas posteriores.</w:t>
            </w:r>
            <w:r>
              <w:rPr>
                <w:rFonts w:ascii="Georgia" w:cs="Georgia" w:eastAsia="Georgia" w:hAnsi="Georgia"/>
                <w:sz w:val="20"/>
                <w:szCs w:val="20"/>
              </w:rPr>
              <w:t xml:space="preserve"> La entrada en vigor o la modificación posterior de cualquiera de las normas citadas </w:t>
            </w:r>
            <w:r>
              <w:rPr>
                <w:rFonts w:ascii="Georgia" w:cs="Georgia" w:eastAsia="Georgia" w:hAnsi="Georgia"/>
                <w:b/>
                <w:bCs/>
                <w:sz w:val="20"/>
                <w:szCs w:val="20"/>
              </w:rPr>
              <w:t xml:space="preserve">no altera el contenido de las obligaciones asumidas en este contrato</w:t>
            </w:r>
            <w:r>
              <w:rPr>
                <w:rFonts w:ascii="Georgia" w:cs="Georgia" w:eastAsia="Georgia" w:hAnsi="Georgia"/>
                <w:sz w:val="20"/>
                <w:szCs w:val="20"/>
              </w:rPr>
              <w:t xml:space="preserve">, sin perjuicio del deber general del contratista de cumplir la normativa que le sea aplicable en cada momento. Cuando el Ayuntamiento quiera que una obligación nueva resulte exigible, la incorporará a la licitación siguiente o tramitará la modificación que proceda.</w:t>
            </w:r>
          </w:p>
        </w:tc>
      </w:tr>
    </w:tbl>
    <w:p>
      <w:pPr>
        <w:spacing w:after="220"/>
      </w:pPr>
    </w:p>
    <w:p>
      <w:pPr>
        <w:spacing w:after="140" w:line="276"/>
      </w:pPr>
      <w:r>
        <w:rPr>
          <w:rFonts w:ascii="Calibri" w:cs="Calibri" w:eastAsia="Calibri" w:hAnsi="Calibri"/>
          <w:b/>
          <w:bCs/>
          <w:sz w:val="21"/>
          <w:szCs w:val="21"/>
        </w:rPr>
        <w:t xml:space="preserve">Nota al redactor.</w:t>
      </w:r>
      <w:r>
        <w:rPr>
          <w:rFonts w:ascii="Calibri" w:cs="Calibri" w:eastAsia="Calibri" w:hAnsi="Calibri"/>
          <w:sz w:val="21"/>
          <w:szCs w:val="21"/>
        </w:rPr>
        <w:t xml:space="preserve"> Este extracto es el instrumento más barato de todo el catálogo y el que más recursos evita: un pliego que dice qué exige por ley y qué exige por contrato desarma de antemano la alegación de desproporción, y un pliego que confunde ambas cosas la invita. Si por falta de tiempo hubiera que renunciar a algún anexo, no sea éste.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XX · GUION, RELACIÓN CERRADA Y RÚBRICA GENÉRICOS DE LA DEMOSTRACIÓN FUNCIONAL</w:t>
      </w:r>
    </w:p>
    <w:p>
      <w:pPr>
        <w:spacing w:after="140" w:line="276"/>
      </w:pPr>
      <w:r>
        <w:rPr>
          <w:rFonts w:ascii="Calibri" w:cs="Calibri" w:eastAsia="Calibri" w:hAnsi="Calibri"/>
          <w:sz w:val="21"/>
          <w:szCs w:val="21"/>
        </w:rPr>
        <w:t xml:space="preserve">Función: entregar los tres documentos que la cláusula ADM-9·v3 remite al anexo del PCAP y que hasta ahora sólo existían para el contrato piloto. Son genéricos: el redactor sustituye el caso de uso por el suyo y conserva la estructura.</w:t>
      </w:r>
    </w:p>
    <w:p>
      <w:pPr>
        <w:spacing w:after="140" w:line="276"/>
      </w:pPr>
      <w:r>
        <w:rPr>
          <w:rFonts w:ascii="Calibri" w:cs="Calibri" w:eastAsia="Calibri" w:hAnsi="Calibri"/>
          <w:b/>
          <w:bCs/>
          <w:sz w:val="21"/>
          <w:szCs w:val="21"/>
        </w:rPr>
        <w:t xml:space="preserve">Advertencia previa, que condiciona todo lo demás y debe leerse antes de usar el anexo.</w:t>
      </w:r>
      <w:r>
        <w:rPr>
          <w:rFonts w:ascii="Calibri" w:cs="Calibri" w:eastAsia="Calibri" w:hAnsi="Calibri"/>
          <w:sz w:val="21"/>
          <w:szCs w:val="21"/>
        </w:rPr>
        <w:t xml:space="preserve"> La demostración funcional </w:t>
      </w:r>
      <w:r>
        <w:rPr>
          <w:rFonts w:ascii="Calibri" w:cs="Calibri" w:eastAsia="Calibri" w:hAnsi="Calibri"/>
          <w:b/>
          <w:bCs/>
          <w:sz w:val="21"/>
          <w:szCs w:val="21"/>
        </w:rPr>
        <w:t xml:space="preserve">no atribuye puntuación alguna</w:t>
      </w:r>
      <w:r>
        <w:rPr>
          <w:rFonts w:ascii="Calibri" w:cs="Calibri" w:eastAsia="Calibri" w:hAnsi="Calibri"/>
          <w:sz w:val="21"/>
          <w:szCs w:val="21"/>
        </w:rPr>
        <w:t xml:space="preserve">. Es un medio de comprobación de la exactitud de lo declarado por escrito (art. 145.5.c de la LCSP), y su único efecto es </w:t>
      </w:r>
      <w:r>
        <w:rPr>
          <w:rFonts w:ascii="Calibri" w:cs="Calibri" w:eastAsia="Calibri" w:hAnsi="Calibri"/>
          <w:b/>
          <w:bCs/>
          <w:sz w:val="21"/>
          <w:szCs w:val="21"/>
        </w:rPr>
        <w:t xml:space="preserve">confirmar o retirar</w:t>
      </w:r>
      <w:r>
        <w:rPr>
          <w:rFonts w:ascii="Calibri" w:cs="Calibri" w:eastAsia="Calibri" w:hAnsi="Calibri"/>
          <w:sz w:val="21"/>
          <w:szCs w:val="21"/>
        </w:rPr>
        <w:t xml:space="preserve"> puntos ya asignados a la oferta escrita. Por tanto: la rúbrica del apartado 4 valora </w:t>
      </w:r>
      <w:r>
        <w:rPr>
          <w:rFonts w:ascii="Calibri" w:cs="Calibri" w:eastAsia="Calibri" w:hAnsi="Calibri"/>
          <w:b/>
          <w:bCs/>
          <w:sz w:val="21"/>
          <w:szCs w:val="21"/>
        </w:rPr>
        <w:t xml:space="preserve">lo descrito en la memoria técnica</w:t>
      </w:r>
      <w:r>
        <w:rPr>
          <w:rFonts w:ascii="Calibri" w:cs="Calibri" w:eastAsia="Calibri" w:hAnsi="Calibri"/>
          <w:sz w:val="21"/>
          <w:szCs w:val="21"/>
        </w:rPr>
        <w:t xml:space="preserve">, no el desempeño en sala; y el acta del apartado 5 no puntúa, sino que consigna si lo descrito se acreditó. Un anexo que reparta puntos por el resultado de la sesión favorece a quien ya tiene producto operativo y reproduce el supuesto que el artículo 40.b) de la LCSP declara anulable.</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ANEXO [ ] DEL PLIEGO DE CLÁUSULAS ADMINISTRATIVAS PARTICULARES</w:t>
            </w:r>
          </w:p>
          <w:p>
            <w:pPr>
              <w:spacing w:after="100" w:line="264"/>
            </w:pPr>
            <w:r>
              <w:rPr>
                <w:rFonts w:ascii="Georgia" w:cs="Georgia" w:eastAsia="Georgia" w:hAnsi="Georgia"/>
                <w:b/>
                <w:bCs/>
                <w:sz w:val="20"/>
                <w:szCs w:val="20"/>
              </w:rPr>
              <w:t xml:space="preserve">GUION DE LA DEMOSTRACIÓN FUNCIONAL, RELACIÓN CERRADA DE ELEMENTOS VERIFICABLES Y MATRIZ DE DECLARACIÓN</w:t>
            </w:r>
          </w:p>
          <w:p>
            <w:pPr>
              <w:spacing w:after="100" w:line="264"/>
            </w:pPr>
            <w:r>
              <w:rPr>
                <w:rFonts w:ascii="Georgia" w:cs="Georgia" w:eastAsia="Georgia" w:hAnsi="Georgia"/>
                <w:b/>
                <w:bCs/>
                <w:sz w:val="20"/>
                <w:szCs w:val="20"/>
              </w:rPr>
              <w:t xml:space="preserve">1. Relación cerrada y numerada de elementos verificables.</w:t>
            </w:r>
            <w:r>
              <w:rPr>
                <w:rFonts w:ascii="Georgia" w:cs="Georgia" w:eastAsia="Georgia" w:hAnsi="Georgia"/>
                <w:sz w:val="20"/>
                <w:szCs w:val="20"/>
              </w:rPr>
              <w:t xml:space="preserve"> Sólo se verificarán los elementos de esta relación, y sólo en la medida en que el licitador los haya descrito por escrito en su oferta presentada en plazo. </w:t>
            </w:r>
            <w:r>
              <w:rPr>
                <w:rFonts w:ascii="Georgia" w:cs="Georgia" w:eastAsia="Georgia" w:hAnsi="Georgia"/>
                <w:b/>
                <w:bCs/>
                <w:sz w:val="20"/>
                <w:szCs w:val="20"/>
              </w:rPr>
              <w:t xml:space="preserve">Lo mostrado en la sesión y no descrito en la oferta no se valorará en ningún caso. Lo descrito en la oferta y no acreditado por el medio previsto para el tipo de criterio se puntuará con cero en el subcriterio correspondiente.</w:t>
            </w:r>
          </w:p>
          <w:p>
            <w:pPr>
              <w:spacing w:after="100" w:line="264"/>
            </w:pPr>
            <w:r>
              <w:rPr>
                <w:rFonts w:ascii="Georgia" w:cs="Georgia" w:eastAsia="Georgia" w:hAnsi="Georgia"/>
                <w:sz w:val="20"/>
                <w:szCs w:val="20"/>
              </w:rPr>
              <w:t xml:space="preserve">Cada elemento indica el criterio al que sirve y el </w:t>
            </w:r>
            <w:r>
              <w:rPr>
                <w:rFonts w:ascii="Georgia" w:cs="Georgia" w:eastAsia="Georgia" w:hAnsi="Georgia"/>
                <w:b/>
                <w:bCs/>
                <w:sz w:val="20"/>
                <w:szCs w:val="20"/>
              </w:rPr>
              <w:t xml:space="preserve">momento</w:t>
            </w:r>
            <w:r>
              <w:rPr>
                <w:rFonts w:ascii="Georgia" w:cs="Georgia" w:eastAsia="Georgia" w:hAnsi="Georgia"/>
                <w:sz w:val="20"/>
                <w:szCs w:val="20"/>
              </w:rPr>
              <w:t xml:space="preserve"> de su comprobación, que depende del tipo de ese criterio: los elementos que sirven a criterios sujetos a juicio de valor se comprueban en la sesión del apartado 3; los que sirven a criterios evaluables mediante la mera aplicación de fórmulas se comprueban por medios documentales </w:t>
            </w:r>
            <w:r>
              <w:rPr>
                <w:rFonts w:ascii="Georgia" w:cs="Georgia" w:eastAsia="Georgia" w:hAnsi="Georgia"/>
                <w:b/>
                <w:bCs/>
                <w:sz w:val="20"/>
                <w:szCs w:val="20"/>
              </w:rPr>
              <w:t xml:space="preserve">después de abrir ese sobre y antes de clasificar las ofertas, respecto de todas las ofertas admitidas</w:t>
            </w:r>
            <w:r>
              <w:rPr>
                <w:rFonts w:ascii="Georgia" w:cs="Georgia" w:eastAsia="Georgia" w:hAnsi="Georgia"/>
                <w:sz w:val="20"/>
                <w:szCs w:val="20"/>
              </w:rPr>
              <w:t xml:space="preserv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N.º</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Elemento verificable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Criterio del baremo al que sirve (código publicado en el PCAP: </w:t>
                  </w:r>
                  <w:r>
                    <w:rPr>
                      <w:rFonts w:ascii="Calibri" w:cs="Calibri" w:eastAsia="Calibri" w:hAnsi="Calibri"/>
                      <w:b/>
                      <w:bCs/>
                      <w:color w:val="1F3864"/>
                      <w:sz w:val="18"/>
                      <w:szCs w:val="18"/>
                    </w:rPr>
                    <w:t xml:space="preserve">P · C1 · C2 · C3 · C4 · A · B · D · E · F · H</w:t>
                  </w: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Tipo del criterio (juicio de valor / fórmula) y momento de la comprobación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se considerará acreditado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80"/>
            </w:pPr>
          </w:p>
          <w:p>
            <w:pPr>
              <w:spacing w:after="100" w:line="264"/>
            </w:pPr>
            <w:r>
              <w:rPr>
                <w:rFonts w:ascii="Georgia" w:cs="Georgia" w:eastAsia="Georgia" w:hAnsi="Georgia"/>
                <w:b/>
                <w:bCs/>
                <w:sz w:val="20"/>
                <w:szCs w:val="20"/>
              </w:rPr>
              <w:t xml:space="preserve">2. Caso de uso.</w:t>
            </w:r>
            <w:r>
              <w:rPr>
                <w:rFonts w:ascii="Georgia" w:cs="Georgia" w:eastAsia="Georgia" w:hAnsi="Georgia"/>
                <w:sz w:val="20"/>
                <w:szCs w:val="20"/>
              </w:rPr>
              <w:t xml:space="preserve"> Idéntico para todos los licitadores, publicado con este pliego y ejecutado sobre datos ficticios o anonimizados facilitados por el Ayuntamiento.</w:t>
            </w:r>
          </w:p>
          <w:p>
            <w:pPr>
              <w:spacing w:after="100" w:line="264"/>
            </w:pPr>
            <w:r>
              <w:rPr>
                <w:rFonts w:ascii="Georgia" w:cs="Georgia" w:eastAsia="Georgia" w:hAnsi="Georgia"/>
                <w:sz w:val="20"/>
                <w:szCs w:val="20"/>
              </w:rPr>
              <w:t xml:space="preserve">&gt; «A partir del juego de datos que se entrega con este pliego, y en un máximo de </w:t>
            </w:r>
            <w:r>
              <w:rPr>
                <w:rFonts w:ascii="Georgia" w:cs="Georgia" w:eastAsia="Georgia" w:hAnsi="Georgia"/>
                <w:b/>
                <w:bCs/>
                <w:sz w:val="20"/>
                <w:szCs w:val="20"/>
              </w:rPr>
              <w:t xml:space="preserve">[X; se recomienda 90] minutos</w:t>
            </w:r>
            <w:r>
              <w:rPr>
                <w:rFonts w:ascii="Georgia" w:cs="Georgia" w:eastAsia="Georgia" w:hAnsi="Georgia"/>
                <w:sz w:val="20"/>
                <w:szCs w:val="20"/>
              </w:rPr>
              <w:t xml:space="preserve">: (1) …………………… ; (2) …………………… ; (3) …………………… ; (4) …………………… ; (5) …………………… .»</w:t>
            </w:r>
          </w:p>
          <w:p>
            <w:pPr>
              <w:spacing w:after="100" w:line="264"/>
            </w:pPr>
            <w:r>
              <w:rPr>
                <w:rFonts w:ascii="Georgia" w:cs="Georgia" w:eastAsia="Georgia" w:hAnsi="Georgia"/>
                <w:b/>
                <w:bCs/>
                <w:sz w:val="20"/>
                <w:szCs w:val="20"/>
              </w:rPr>
              <w:t xml:space="preserve">3. Guion y reglas de la sesión.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Fase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Contenido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Duración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Identificación de los asistentes y del entorno sobre el que se opera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 se recomienda 5] min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Ejecución de las tareas del caso de uso, en el orden publicado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 se recomienda 70] min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Comprobación de los elementos de la relación cerrada no cubiertos por las tareas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 se recomienda 10] min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Lectura del resultado consignado en acta y observaciones de las partes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 se recomienda 5] min</w:t>
                  </w:r>
                </w:p>
              </w:tc>
            </w:tr>
          </w:tbl>
          <w:p>
            <w:pPr>
              <w:spacing w:after="80"/>
            </w:pPr>
          </w:p>
          <w:p>
            <w:pPr>
              <w:spacing w:after="100" w:line="264"/>
            </w:pPr>
            <w:r>
              <w:rPr>
                <w:rFonts w:ascii="Georgia" w:cs="Georgia" w:eastAsia="Georgia" w:hAnsi="Georgia"/>
                <w:i/>
                <w:iCs/>
                <w:sz w:val="20"/>
                <w:szCs w:val="20"/>
              </w:rPr>
              <w:t xml:space="preserve">La suma de las cuatro fases no puede exceder de la duración máxima publicada en el apartado 2.</w:t>
            </w:r>
          </w:p>
          <w:p>
            <w:pPr>
              <w:spacing w:after="100" w:line="264"/>
            </w:pPr>
            <w:r>
              <w:rPr>
                <w:rFonts w:ascii="Georgia" w:cs="Georgia" w:eastAsia="Georgia" w:hAnsi="Georgia"/>
                <w:sz w:val="20"/>
                <w:szCs w:val="20"/>
              </w:rPr>
              <w:t xml:space="preserve">a) </w:t>
            </w:r>
            <w:r>
              <w:rPr>
                <w:rFonts w:ascii="Georgia" w:cs="Georgia" w:eastAsia="Georgia" w:hAnsi="Georgia"/>
                <w:b/>
                <w:bCs/>
                <w:sz w:val="20"/>
                <w:szCs w:val="20"/>
              </w:rPr>
              <w:t xml:space="preserve">Modalidad:</w:t>
            </w:r>
            <w:r>
              <w:rPr>
                <w:rFonts w:ascii="Georgia" w:cs="Georgia" w:eastAsia="Georgia" w:hAnsi="Georgia"/>
                <w:sz w:val="20"/>
                <w:szCs w:val="20"/>
              </w:rPr>
              <w:t xml:space="preserve"> videoconferencia sobre el entorno del propio licitador, salvo que el expediente motive expresamente la necesidad de presencialidad. No se exigirá despliegue, instalación ni integración en los sistemas municipales, ni entrega de bienes, ni gastos de desplazamiento de personal municipal.</w:t>
            </w:r>
          </w:p>
          <w:p>
            <w:pPr>
              <w:spacing w:after="100" w:line="264"/>
            </w:pPr>
            <w:r>
              <w:rPr>
                <w:rFonts w:ascii="Georgia" w:cs="Georgia" w:eastAsia="Georgia" w:hAnsi="Georgia"/>
                <w:sz w:val="20"/>
                <w:szCs w:val="20"/>
              </w:rPr>
              <w:t xml:space="preserve">b) </w:t>
            </w:r>
            <w:r>
              <w:rPr>
                <w:rFonts w:ascii="Georgia" w:cs="Georgia" w:eastAsia="Georgia" w:hAnsi="Georgia"/>
                <w:b/>
                <w:bCs/>
                <w:sz w:val="20"/>
                <w:szCs w:val="20"/>
              </w:rPr>
              <w:t xml:space="preserve">Momento:</w:t>
            </w:r>
            <w:r>
              <w:rPr>
                <w:rFonts w:ascii="Georgia" w:cs="Georgia" w:eastAsia="Georgia" w:hAnsi="Georgia"/>
                <w:sz w:val="20"/>
                <w:szCs w:val="20"/>
              </w:rPr>
              <w:t xml:space="preserve"> una vez abierto el sobre de criterios sujetos a juicio de valor y, en todo caso, </w:t>
            </w:r>
            <w:r>
              <w:rPr>
                <w:rFonts w:ascii="Georgia" w:cs="Georgia" w:eastAsia="Georgia" w:hAnsi="Georgia"/>
                <w:b/>
                <w:bCs/>
                <w:sz w:val="20"/>
                <w:szCs w:val="20"/>
              </w:rPr>
              <w:t xml:space="preserve">antes de la apertura del sobre de criterios evaluables mediante la mera aplicación de fórmulas</w:t>
            </w:r>
            <w:r>
              <w:rPr>
                <w:rFonts w:ascii="Georgia" w:cs="Georgia" w:eastAsia="Georgia" w:hAnsi="Georgia"/>
                <w:sz w:val="20"/>
                <w:szCs w:val="20"/>
              </w:rPr>
              <w:t xml:space="preserve">, dejando constancia documental de la valoración con carácter previo a dicha apertura. </w:t>
            </w:r>
            <w:r>
              <w:rPr>
                <w:rFonts w:ascii="Georgia" w:cs="Georgia" w:eastAsia="Georgia" w:hAnsi="Georgia"/>
                <w:b/>
                <w:bCs/>
                <w:sz w:val="20"/>
                <w:szCs w:val="20"/>
              </w:rPr>
              <w:t xml:space="preserve">Este momento no se altera una vez publicados los pliegos.</w:t>
            </w:r>
          </w:p>
          <w:p>
            <w:pPr>
              <w:spacing w:after="100" w:line="264"/>
            </w:pPr>
            <w:r>
              <w:rPr>
                <w:rFonts w:ascii="Georgia" w:cs="Georgia" w:eastAsia="Georgia" w:hAnsi="Georgia"/>
                <w:sz w:val="20"/>
                <w:szCs w:val="20"/>
              </w:rPr>
              <w:t xml:space="preserve">c) </w:t>
            </w:r>
            <w:r>
              <w:rPr>
                <w:rFonts w:ascii="Georgia" w:cs="Georgia" w:eastAsia="Georgia" w:hAnsi="Georgia"/>
                <w:b/>
                <w:bCs/>
                <w:sz w:val="20"/>
                <w:szCs w:val="20"/>
              </w:rPr>
              <w:t xml:space="preserve">Orden e igualdad:</w:t>
            </w:r>
            <w:r>
              <w:rPr>
                <w:rFonts w:ascii="Georgia" w:cs="Georgia" w:eastAsia="Georgia" w:hAnsi="Georgia"/>
                <w:sz w:val="20"/>
                <w:szCs w:val="20"/>
              </w:rPr>
              <w:t xml:space="preserve"> el calendario y el orden de intervención se determinan por sorteo ante la mesa de contratación y se comunican a todos los licitadores con una antelación mínima de </w:t>
            </w:r>
            <w:r>
              <w:rPr>
                <w:rFonts w:ascii="Georgia" w:cs="Georgia" w:eastAsia="Georgia" w:hAnsi="Georgia"/>
                <w:b/>
                <w:bCs/>
                <w:sz w:val="20"/>
                <w:szCs w:val="20"/>
              </w:rPr>
              <w:t xml:space="preserve">[X; se recomienda 5] días hábiles</w:t>
            </w:r>
            <w:r>
              <w:rPr>
                <w:rFonts w:ascii="Georgia" w:cs="Georgia" w:eastAsia="Georgia" w:hAnsi="Georgia"/>
                <w:sz w:val="20"/>
                <w:szCs w:val="20"/>
              </w:rPr>
              <w:t xml:space="preserve">. Todos disponen de idéntica duración máxima, del mismo entorno de referencia y de los mismos evaluadores. Cada sesión se celebra sin presencia de los restantes licitadores y sin facilitar información alguna sobre las demás ofertas.</w:t>
            </w:r>
          </w:p>
          <w:p>
            <w:pPr>
              <w:spacing w:after="100" w:line="264"/>
            </w:pPr>
            <w:r>
              <w:rPr>
                <w:rFonts w:ascii="Georgia" w:cs="Georgia" w:eastAsia="Georgia" w:hAnsi="Georgia"/>
                <w:sz w:val="20"/>
                <w:szCs w:val="20"/>
              </w:rPr>
              <w:t xml:space="preserve">d) </w:t>
            </w:r>
            <w:r>
              <w:rPr>
                <w:rFonts w:ascii="Georgia" w:cs="Georgia" w:eastAsia="Georgia" w:hAnsi="Georgia"/>
                <w:b/>
                <w:bCs/>
                <w:sz w:val="20"/>
                <w:szCs w:val="20"/>
              </w:rPr>
              <w:t xml:space="preserve">Incidencias:</w:t>
            </w:r>
            <w:r>
              <w:rPr>
                <w:rFonts w:ascii="Georgia" w:cs="Georgia" w:eastAsia="Georgia" w:hAnsi="Georgia"/>
                <w:sz w:val="20"/>
                <w:szCs w:val="20"/>
              </w:rPr>
              <w:t xml:space="preserve"> ante una incidencia técnica no imputable al licitador se admite </w:t>
            </w:r>
            <w:r>
              <w:rPr>
                <w:rFonts w:ascii="Georgia" w:cs="Georgia" w:eastAsia="Georgia" w:hAnsi="Georgia"/>
                <w:b/>
                <w:bCs/>
                <w:sz w:val="20"/>
                <w:szCs w:val="20"/>
              </w:rPr>
              <w:t xml:space="preserve">una única</w:t>
            </w:r>
            <w:r>
              <w:rPr>
                <w:rFonts w:ascii="Georgia" w:cs="Georgia" w:eastAsia="Georgia" w:hAnsi="Georgia"/>
                <w:sz w:val="20"/>
                <w:szCs w:val="20"/>
              </w:rPr>
              <w:t xml:space="preserve"> repetición, dejando constancia en acta.</w:t>
            </w:r>
          </w:p>
          <w:p>
            <w:pPr>
              <w:spacing w:after="100" w:line="264"/>
            </w:pPr>
            <w:r>
              <w:rPr>
                <w:rFonts w:ascii="Georgia" w:cs="Georgia" w:eastAsia="Georgia" w:hAnsi="Georgia"/>
                <w:sz w:val="20"/>
                <w:szCs w:val="20"/>
              </w:rPr>
              <w:t xml:space="preserve">e) </w:t>
            </w:r>
            <w:r>
              <w:rPr>
                <w:rFonts w:ascii="Georgia" w:cs="Georgia" w:eastAsia="Georgia" w:hAnsi="Georgia"/>
                <w:b/>
                <w:bCs/>
                <w:sz w:val="20"/>
                <w:szCs w:val="20"/>
              </w:rPr>
              <w:t xml:space="preserve">Prohibición de ampliar la oferta:</w:t>
            </w:r>
            <w:r>
              <w:rPr>
                <w:rFonts w:ascii="Georgia" w:cs="Georgia" w:eastAsia="Georgia" w:hAnsi="Georgia"/>
                <w:sz w:val="20"/>
                <w:szCs w:val="20"/>
              </w:rPr>
              <w:t xml:space="preserve"> no se admitirá, ni se hará constar en acta a efectos de valoración, manifestación oral alguna que amplíe, aclare, rectifique o complete la oferta escrita.</w:t>
            </w:r>
          </w:p>
          <w:p>
            <w:pPr>
              <w:spacing w:after="100" w:line="264"/>
            </w:pPr>
            <w:r>
              <w:rPr>
                <w:rFonts w:ascii="Georgia" w:cs="Georgia" w:eastAsia="Georgia" w:hAnsi="Georgia"/>
                <w:sz w:val="20"/>
                <w:szCs w:val="20"/>
              </w:rPr>
              <w:t xml:space="preserve">f) </w:t>
            </w:r>
            <w:r>
              <w:rPr>
                <w:rFonts w:ascii="Georgia" w:cs="Georgia" w:eastAsia="Georgia" w:hAnsi="Georgia"/>
                <w:b/>
                <w:bCs/>
                <w:sz w:val="20"/>
                <w:szCs w:val="20"/>
              </w:rPr>
              <w:t xml:space="preserve">Incomparecencia:</w:t>
            </w:r>
            <w:r>
              <w:rPr>
                <w:rFonts w:ascii="Georgia" w:cs="Georgia" w:eastAsia="Georgia" w:hAnsi="Georgia"/>
                <w:sz w:val="20"/>
                <w:szCs w:val="20"/>
              </w:rPr>
              <w:t xml:space="preserve"> no determina la exclusión. Los elementos declarados y no acreditados se puntúan con cero.</w:t>
            </w:r>
          </w:p>
          <w:p>
            <w:pPr>
              <w:spacing w:after="100" w:line="264"/>
            </w:pPr>
            <w:r>
              <w:rPr>
                <w:rFonts w:ascii="Georgia" w:cs="Georgia" w:eastAsia="Georgia" w:hAnsi="Georgia"/>
                <w:sz w:val="20"/>
                <w:szCs w:val="20"/>
              </w:rPr>
              <w:t xml:space="preserve">g) </w:t>
            </w:r>
            <w:r>
              <w:rPr>
                <w:rFonts w:ascii="Georgia" w:cs="Georgia" w:eastAsia="Georgia" w:hAnsi="Georgia"/>
                <w:b/>
                <w:bCs/>
                <w:sz w:val="20"/>
                <w:szCs w:val="20"/>
              </w:rPr>
              <w:t xml:space="preserve">Deslinde:</w:t>
            </w:r>
            <w:r>
              <w:rPr>
                <w:rFonts w:ascii="Georgia" w:cs="Georgia" w:eastAsia="Georgia" w:hAnsi="Georgia"/>
                <w:sz w:val="20"/>
                <w:szCs w:val="20"/>
              </w:rPr>
              <w:t xml:space="preserve"> el resultado de la demostración no acredita la solvencia técnica y </w:t>
            </w:r>
            <w:r>
              <w:rPr>
                <w:rFonts w:ascii="Georgia" w:cs="Georgia" w:eastAsia="Georgia" w:hAnsi="Georgia"/>
                <w:b/>
                <w:bCs/>
                <w:sz w:val="20"/>
                <w:szCs w:val="20"/>
              </w:rPr>
              <w:t xml:space="preserve">no puede fundar por sí solo la exclusión</w:t>
            </w:r>
            <w:r>
              <w:rPr>
                <w:rFonts w:ascii="Georgia" w:cs="Georgia" w:eastAsia="Georgia" w:hAnsi="Georgia"/>
                <w:sz w:val="20"/>
                <w:szCs w:val="20"/>
              </w:rPr>
              <w:t xml:space="preserve"> del licitador.</w:t>
            </w:r>
          </w:p>
          <w:p>
            <w:pPr>
              <w:spacing w:after="100" w:line="264"/>
            </w:pPr>
            <w:r>
              <w:rPr>
                <w:rFonts w:ascii="Georgia" w:cs="Georgia" w:eastAsia="Georgia" w:hAnsi="Georgia"/>
                <w:sz w:val="20"/>
                <w:szCs w:val="20"/>
              </w:rPr>
              <w:t xml:space="preserve">h) </w:t>
            </w:r>
            <w:r>
              <w:rPr>
                <w:rFonts w:ascii="Georgia" w:cs="Georgia" w:eastAsia="Georgia" w:hAnsi="Georgia"/>
                <w:b/>
                <w:bCs/>
                <w:sz w:val="20"/>
                <w:szCs w:val="20"/>
              </w:rPr>
              <w:t xml:space="preserve">Alcance de la sesión y comprobación de las fórmulas:</w:t>
            </w:r>
            <w:r>
              <w:rPr>
                <w:rFonts w:ascii="Georgia" w:cs="Georgia" w:eastAsia="Georgia" w:hAnsi="Georgia"/>
                <w:sz w:val="20"/>
                <w:szCs w:val="20"/>
              </w:rPr>
              <w:t xml:space="preserve"> la sesión versa </w:t>
            </w:r>
            <w:r>
              <w:rPr>
                <w:rFonts w:ascii="Georgia" w:cs="Georgia" w:eastAsia="Georgia" w:hAnsi="Georgia"/>
                <w:b/>
                <w:bCs/>
                <w:sz w:val="20"/>
                <w:szCs w:val="20"/>
              </w:rPr>
              <w:t xml:space="preserve">exclusivamente sobre los elementos de la relación cerrada que sirven a criterios sujetos a juicio de valor</w:t>
            </w:r>
            <w:r>
              <w:rPr>
                <w:rFonts w:ascii="Georgia" w:cs="Georgia" w:eastAsia="Georgia" w:hAnsi="Georgia"/>
                <w:sz w:val="20"/>
                <w:szCs w:val="20"/>
              </w:rPr>
              <w:t xml:space="preserve">. Los elementos que sirven a criterios evaluables mediante fórmulas no se comprueban en ella. Abierto el sobre de fórmulas y antes de clasificar las ofertas, la mesa comprobará documentalmente su exactitud respecto de todas las ofertas admitidas. Apreciada una duda, requerirá al licitador de que se trate, por plazo no inferior a </w:t>
            </w:r>
            <w:r>
              <w:rPr>
                <w:rFonts w:ascii="Georgia" w:cs="Georgia" w:eastAsia="Georgia" w:hAnsi="Georgia"/>
                <w:b/>
                <w:bCs/>
                <w:sz w:val="20"/>
                <w:szCs w:val="20"/>
              </w:rPr>
              <w:t xml:space="preserve">[X; se recomienda 5] días hábiles</w:t>
            </w:r>
            <w:r>
              <w:rPr>
                <w:rFonts w:ascii="Georgia" w:cs="Georgia" w:eastAsia="Georgia" w:hAnsi="Georgia"/>
                <w:sz w:val="20"/>
                <w:szCs w:val="20"/>
              </w:rPr>
              <w:t xml:space="preserve">, la documentación técnica que la resuelva, sin que la respuesta pueda ampliar ni modificar la oferta. Si la comprobación acredita que una declaración no es exacta, la puntuación se calculará aplicando la fórmula publicada sobre los elementos efectivamente acreditados. Esta comprobación no atribuye puntuación adicional y no puede fundar por sí sola la exclusión.</w:t>
            </w:r>
          </w:p>
          <w:p>
            <w:pPr>
              <w:spacing w:after="100" w:line="264"/>
            </w:pPr>
            <w:r>
              <w:rPr>
                <w:rFonts w:ascii="Georgia" w:cs="Georgia" w:eastAsia="Georgia" w:hAnsi="Georgia"/>
                <w:b/>
                <w:bCs/>
                <w:sz w:val="20"/>
                <w:szCs w:val="20"/>
              </w:rPr>
              <w:t xml:space="preserve">4. Rúbrica del criterio de juicio de valor al que sirve la demostración.</w:t>
            </w:r>
            <w:r>
              <w:rPr>
                <w:rFonts w:ascii="Georgia" w:cs="Georgia" w:eastAsia="Georgia" w:hAnsi="Georgia"/>
                <w:sz w:val="20"/>
                <w:szCs w:val="20"/>
              </w:rPr>
              <w:t xml:space="preserve"> Se valora </w:t>
            </w:r>
            <w:r>
              <w:rPr>
                <w:rFonts w:ascii="Georgia" w:cs="Georgia" w:eastAsia="Georgia" w:hAnsi="Georgia"/>
                <w:b/>
                <w:bCs/>
                <w:sz w:val="20"/>
                <w:szCs w:val="20"/>
              </w:rPr>
              <w:t xml:space="preserve">lo descrito en la memoria técnica presentada en plazo</w:t>
            </w:r>
            <w:r>
              <w:rPr>
                <w:rFonts w:ascii="Georgia" w:cs="Georgia" w:eastAsia="Georgia" w:hAnsi="Georgia"/>
                <w:sz w:val="20"/>
                <w:szCs w:val="20"/>
              </w:rPr>
              <w:t xml:space="preserve">. La demostración confirma o retira estos puntos; no puede añadir ninguno.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Tramo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Puntos</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Descriptor, referido a lo descrito por escrito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Completo y trazable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[Pmáx]</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memoria describe las cinco tareas con identificación de la función o módulo que las resuelve, del rastro de auditoría que generan y del formato de salida, y aporta la evidencia documental que el pliego exige para cada una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Completo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[0,7 × Pmáx]</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Describe las cinco tareas con ese detalle, pero no acredita documentalmente alguna de ellas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Suficiente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[0,4 × Pmáx]</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Describe con ese detalle tres o cuatro tareas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Insuficiente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[0,15 × Pmáx]</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Describe con ese detalle una o dos tareas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descrito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describe ninguna tarea con el detalle exigido, o lo descrito no permite determinar cómo se resuelve</w:t>
                  </w:r>
                </w:p>
              </w:tc>
            </w:tr>
          </w:tbl>
          <w:p>
            <w:pPr>
              <w:spacing w:after="80"/>
            </w:pPr>
          </w:p>
          <w:p>
            <w:pPr>
              <w:spacing w:after="100" w:line="264"/>
            </w:pPr>
            <w:r>
              <w:rPr>
                <w:rFonts w:ascii="Georgia" w:cs="Georgia" w:eastAsia="Georgia" w:hAnsi="Georgia"/>
                <w:b/>
                <w:bCs/>
                <w:sz w:val="20"/>
                <w:szCs w:val="20"/>
              </w:rPr>
              <w:t xml:space="preserve">Regla de aplicación.</w:t>
            </w:r>
            <w:r>
              <w:rPr>
                <w:rFonts w:ascii="Georgia" w:cs="Georgia" w:eastAsia="Georgia" w:hAnsi="Georgia"/>
                <w:sz w:val="20"/>
                <w:szCs w:val="20"/>
              </w:rPr>
              <w:t xml:space="preserve"> Los puntos asignados conforme a esta rúbrica se </w:t>
            </w:r>
            <w:r>
              <w:rPr>
                <w:rFonts w:ascii="Georgia" w:cs="Georgia" w:eastAsia="Georgia" w:hAnsi="Georgia"/>
                <w:b/>
                <w:bCs/>
                <w:sz w:val="20"/>
                <w:szCs w:val="20"/>
              </w:rPr>
              <w:t xml:space="preserve">retiran</w:t>
            </w:r>
            <w:r>
              <w:rPr>
                <w:rFonts w:ascii="Georgia" w:cs="Georgia" w:eastAsia="Georgia" w:hAnsi="Georgia"/>
                <w:sz w:val="20"/>
                <w:szCs w:val="20"/>
              </w:rPr>
              <w:t xml:space="preserve"> en el subcriterio correspondiente respecto de cada tarea descrita y no acreditada en la sesión.</w:t>
            </w:r>
          </w:p>
          <w:p>
            <w:pPr>
              <w:spacing w:after="100" w:line="264"/>
            </w:pPr>
            <w:r>
              <w:rPr>
                <w:rFonts w:ascii="Georgia" w:cs="Georgia" w:eastAsia="Georgia" w:hAnsi="Georgia"/>
                <w:b/>
                <w:bCs/>
                <w:sz w:val="20"/>
                <w:szCs w:val="20"/>
              </w:rPr>
              <w:t xml:space="preserve">5. Matriz de declaración del licitador.</w:t>
            </w:r>
            <w:r>
              <w:rPr>
                <w:rFonts w:ascii="Georgia" w:cs="Georgia" w:eastAsia="Georgia" w:hAnsi="Georgia"/>
                <w:sz w:val="20"/>
                <w:szCs w:val="20"/>
              </w:rPr>
              <w:t xml:space="preserve"> Se presenta cumplimentada </w:t>
            </w:r>
            <w:r>
              <w:rPr>
                <w:rFonts w:ascii="Georgia" w:cs="Georgia" w:eastAsia="Georgia" w:hAnsi="Georgia"/>
                <w:b/>
                <w:bCs/>
                <w:sz w:val="20"/>
                <w:szCs w:val="20"/>
              </w:rPr>
              <w:t xml:space="preserve">con la oferta</w:t>
            </w:r>
            <w:r>
              <w:rPr>
                <w:rFonts w:ascii="Georgia" w:cs="Georgia" w:eastAsia="Georgia" w:hAnsi="Georgia"/>
                <w:sz w:val="20"/>
                <w:szCs w:val="20"/>
              </w:rPr>
              <w:t xml:space="preserve"> y </w:t>
            </w:r>
            <w:r>
              <w:rPr>
                <w:rFonts w:ascii="Georgia" w:cs="Georgia" w:eastAsia="Georgia" w:hAnsi="Georgia"/>
                <w:b/>
                <w:bCs/>
                <w:sz w:val="20"/>
                <w:szCs w:val="20"/>
              </w:rPr>
              <w:t xml:space="preserve">desdoblada por sobres</w:t>
            </w:r>
            <w:r>
              <w:rPr>
                <w:rFonts w:ascii="Georgia" w:cs="Georgia" w:eastAsia="Georgia" w:hAnsi="Georgia"/>
                <w:sz w:val="20"/>
                <w:szCs w:val="20"/>
              </w:rPr>
              <w:t xml:space="preserve">: los elementos que sirven a criterios sujetos a juicio de valor, en el sobre de criterios sujetos a juicio de valor; los que sirven a criterios evaluables mediante la mera aplicación de fórmulas, en el sobre de criterios evaluables mediante fórmulas, junto con el resto de la proposición sometida a ese régimen (artículos 26 y 30.2 del Real Decreto 817/2009 y artículo 146.2 de la LCSP). Sin matriz cumplimentada, los elementos no se consideran declarados.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N.º del elemento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¿Se declara?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 de la oferta, apartado y página donde se describe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Función o módulo que lo resuelve, o hito de desarrollo comprometido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80"/>
            </w:pPr>
          </w:p>
          <w:p>
            <w:pPr>
              <w:spacing w:after="100" w:line="264"/>
            </w:pPr>
            <w:r>
              <w:rPr>
                <w:rFonts w:ascii="Georgia" w:cs="Georgia" w:eastAsia="Georgia" w:hAnsi="Georgia"/>
                <w:b/>
                <w:bCs/>
                <w:sz w:val="20"/>
                <w:szCs w:val="20"/>
              </w:rPr>
              <w:t xml:space="preserve">6. Modelo de acta de la sesión.</w:t>
            </w:r>
            <w:r>
              <w:rPr>
                <w:rFonts w:ascii="Georgia" w:cs="Georgia" w:eastAsia="Georgia" w:hAnsi="Georgia"/>
                <w:sz w:val="20"/>
                <w:szCs w:val="20"/>
              </w:rPr>
              <w:t xml:space="preserve"> De cada sesión se levanta acta escrita detallada, en el mismo acto, con el contenido siguiente. Podrá realizarse además grabación sonora o audiovisual cuando este pliego lo prevea; en tal caso se anuncia aquí y la grabación se conserva hasta que la adjudicación sea firme, a disposición del órgano competente para resolver el recurso especial. El acceso de los demás licitadores al acta y, en su caso, a la grabación se rige por el artículo 133 de la LCSP.</w:t>
            </w:r>
          </w:p>
          <w:p>
            <w:pPr>
              <w:spacing w:after="100" w:line="264"/>
            </w:pPr>
            <w:r>
              <w:rPr>
                <w:rFonts w:ascii="Georgia" w:cs="Georgia" w:eastAsia="Georgia" w:hAnsi="Georgia"/>
                <w:sz w:val="20"/>
                <w:szCs w:val="20"/>
              </w:rPr>
              <w:t xml:space="preserve">&gt; </w:t>
            </w:r>
            <w:r>
              <w:rPr>
                <w:rFonts w:ascii="Georgia" w:cs="Georgia" w:eastAsia="Georgia" w:hAnsi="Georgia"/>
                <w:b/>
                <w:bCs/>
                <w:sz w:val="20"/>
                <w:szCs w:val="20"/>
              </w:rPr>
              <w:t xml:space="preserve">ACTA DE LA SESIÓN DE DEMOSTRACIÓN FUNCIONAL</w:t>
            </w:r>
            <w:r>
              <w:rPr>
                <w:rFonts w:ascii="Georgia" w:cs="Georgia" w:eastAsia="Georgia" w:hAnsi="Georgia"/>
                <w:sz w:val="20"/>
                <w:szCs w:val="20"/>
              </w:rPr>
              <w:t xml:space="preserve"> &gt; Expediente · Licitador · Fecha · Hora de inicio y de fin · Modalidad · Entorno · Asistentes por ambas partes · Evaluadores. &gt; &gt; | N.º del elemento | ¿Consta descrito en la oferta? | ¿Acreditado en la sesión? | Evidencia observada | Observaciones | &gt; |---|---|---|---|---| &gt; | 1 | ☐ Sí ☐ No | ☐ Sí ☐ No | | | &gt; | 2 | ☐ Sí ☐ No | ☐ Sí ☐ No | | | &gt;</w:t>
            </w:r>
          </w:p>
          <w:p>
            <w:pPr>
              <w:spacing w:after="100" w:line="264"/>
            </w:pPr>
            <w:r>
              <w:rPr>
                <w:rFonts w:ascii="Georgia" w:cs="Georgia" w:eastAsia="Georgia" w:hAnsi="Georgia"/>
                <w:sz w:val="20"/>
                <w:szCs w:val="20"/>
              </w:rPr>
              <w:t xml:space="preserve">&gt; </w:t>
            </w:r>
            <w:r>
              <w:rPr>
                <w:rFonts w:ascii="Georgia" w:cs="Georgia" w:eastAsia="Georgia" w:hAnsi="Georgia"/>
                <w:b/>
                <w:bCs/>
                <w:sz w:val="20"/>
                <w:szCs w:val="20"/>
              </w:rPr>
              <w:t xml:space="preserve">Incidencias técnicas y repetición, en su caso:</w:t>
            </w:r>
            <w:r>
              <w:rPr>
                <w:rFonts w:ascii="Georgia" w:cs="Georgia" w:eastAsia="Georgia" w:hAnsi="Georgia"/>
                <w:sz w:val="20"/>
                <w:szCs w:val="20"/>
              </w:rPr>
              <w:t xml:space="preserve"> ……………………</w:t>
            </w:r>
          </w:p>
          <w:p>
            <w:pPr>
              <w:spacing w:after="100" w:line="264"/>
            </w:pPr>
            <w:r>
              <w:rPr>
                <w:rFonts w:ascii="Georgia" w:cs="Georgia" w:eastAsia="Georgia" w:hAnsi="Georgia"/>
                <w:sz w:val="20"/>
                <w:szCs w:val="20"/>
              </w:rPr>
              <w:t xml:space="preserve">&gt; </w:t>
            </w:r>
            <w:r>
              <w:rPr>
                <w:rFonts w:ascii="Georgia" w:cs="Georgia" w:eastAsia="Georgia" w:hAnsi="Georgia"/>
                <w:b/>
                <w:bCs/>
                <w:sz w:val="20"/>
                <w:szCs w:val="20"/>
              </w:rPr>
              <w:t xml:space="preserve">Manifestaciones orales que se rechazan por ampliar o rectificar la oferta escrita:</w:t>
            </w:r>
            <w:r>
              <w:rPr>
                <w:rFonts w:ascii="Georgia" w:cs="Georgia" w:eastAsia="Georgia" w:hAnsi="Georgia"/>
                <w:sz w:val="20"/>
                <w:szCs w:val="20"/>
              </w:rPr>
              <w:t xml:space="preserve"> ……………………</w:t>
            </w:r>
          </w:p>
          <w:p>
            <w:pPr>
              <w:spacing w:after="100" w:line="264"/>
            </w:pPr>
            <w:r>
              <w:rPr>
                <w:rFonts w:ascii="Georgia" w:cs="Georgia" w:eastAsia="Georgia" w:hAnsi="Georgia"/>
                <w:sz w:val="20"/>
                <w:szCs w:val="20"/>
              </w:rPr>
              <w:t xml:space="preserve">&gt; </w:t>
            </w:r>
            <w:r>
              <w:rPr>
                <w:rFonts w:ascii="Georgia" w:cs="Georgia" w:eastAsia="Georgia" w:hAnsi="Georgia"/>
                <w:b/>
                <w:bCs/>
                <w:sz w:val="20"/>
                <w:szCs w:val="20"/>
              </w:rPr>
              <w:t xml:space="preserve">Observaciones del licitador, que se hacen constar a su instancia:</w:t>
            </w:r>
            <w:r>
              <w:rPr>
                <w:rFonts w:ascii="Georgia" w:cs="Georgia" w:eastAsia="Georgia" w:hAnsi="Georgia"/>
                <w:sz w:val="20"/>
                <w:szCs w:val="20"/>
              </w:rPr>
              <w:t xml:space="preserve"> ……………………</w:t>
            </w:r>
          </w:p>
          <w:p>
            <w:pPr>
              <w:spacing w:after="100" w:line="264"/>
            </w:pPr>
            <w:r>
              <w:rPr>
                <w:rFonts w:ascii="Georgia" w:cs="Georgia" w:eastAsia="Georgia" w:hAnsi="Georgia"/>
                <w:sz w:val="20"/>
                <w:szCs w:val="20"/>
              </w:rPr>
              <w:t xml:space="preserve">&gt; Firmas de los asistentes y del secretario de la mesa.</w:t>
            </w:r>
          </w:p>
          <w:p>
            <w:pPr>
              <w:spacing w:after="100" w:line="264"/>
            </w:pPr>
            <w:r>
              <w:rPr>
                <w:rFonts w:ascii="Georgia" w:cs="Georgia" w:eastAsia="Georgia" w:hAnsi="Georgia"/>
                <w:b/>
                <w:bCs/>
                <w:sz w:val="20"/>
                <w:szCs w:val="20"/>
              </w:rPr>
              <w:t xml:space="preserve">7. Regla de cierre.</w:t>
            </w:r>
            <w:r>
              <w:rPr>
                <w:rFonts w:ascii="Georgia" w:cs="Georgia" w:eastAsia="Georgia" w:hAnsi="Georgia"/>
                <w:sz w:val="20"/>
                <w:szCs w:val="20"/>
              </w:rPr>
              <w:t xml:space="preserve"> La valoración de los criterios sujetos a juicio de valor se documenta </w:t>
            </w:r>
            <w:r>
              <w:rPr>
                <w:rFonts w:ascii="Georgia" w:cs="Georgia" w:eastAsia="Georgia" w:hAnsi="Georgia"/>
                <w:b/>
                <w:bCs/>
                <w:sz w:val="20"/>
                <w:szCs w:val="20"/>
              </w:rPr>
              <w:t xml:space="preserve">antes</w:t>
            </w:r>
            <w:r>
              <w:rPr>
                <w:rFonts w:ascii="Georgia" w:cs="Georgia" w:eastAsia="Georgia" w:hAnsi="Georgia"/>
                <w:sz w:val="20"/>
                <w:szCs w:val="20"/>
              </w:rPr>
              <w:t xml:space="preserve"> de la apertura del sobre de criterios evaluables mediante fórmulas. Una valoración de juicio de valor que se cierre después de conocidos los precios no admite retroacción. La comprobación de los elementos que sirven a criterios evaluables mediante fórmulas, practicada conforme a la letra h) del apartado 3, se realiza después de esa apertura, antes de la clasificación y respecto de todas las ofertas admitidas. No altera el orden de valoración: esos criterios son reglados y su puntuación resulta de aplicar la fórmula publicada a los elementos efectivamente acreditados.</w:t>
            </w:r>
          </w:p>
        </w:tc>
      </w:tr>
    </w:tbl>
    <w:p>
      <w:pPr>
        <w:spacing w:after="220"/>
      </w:pPr>
    </w:p>
    <w:p>
      <w:pPr>
        <w:spacing w:after="140" w:line="276"/>
      </w:pPr>
      <w:r>
        <w:rPr>
          <w:rFonts w:ascii="Calibri" w:cs="Calibri" w:eastAsia="Calibri" w:hAnsi="Calibri"/>
          <w:b/>
          <w:bCs/>
          <w:sz w:val="21"/>
          <w:szCs w:val="21"/>
        </w:rPr>
        <w:t xml:space="preserve">Notas al redactor, fuera del texto que se copia al pliego.</w:t>
      </w:r>
    </w:p>
    <w:p>
      <w:pPr>
        <w:pStyle w:val="ListParagraph"/>
        <w:numPr>
          <w:ilvl w:val="0"/>
          <w:numId w:val="1"/>
        </w:numPr>
        <w:spacing w:after="70" w:line="268"/>
      </w:pPr>
      <w:r>
        <w:rPr>
          <w:rFonts w:ascii="Calibri" w:cs="Calibri" w:eastAsia="Calibri" w:hAnsi="Calibri"/>
          <w:b/>
          <w:bCs/>
          <w:sz w:val="21"/>
          <w:szCs w:val="21"/>
        </w:rPr>
        <w:t xml:space="preserve">Cómo se construye el caso de uso del apartado 2.</w:t>
      </w:r>
      <w:r>
        <w:rPr>
          <w:rFonts w:ascii="Calibri" w:cs="Calibri" w:eastAsia="Calibri" w:hAnsi="Calibri"/>
          <w:sz w:val="21"/>
          <w:szCs w:val="21"/>
        </w:rPr>
        <w:t xml:space="preserve"> Las tareas se enuncian por su </w:t>
      </w:r>
      <w:r>
        <w:rPr>
          <w:rFonts w:ascii="Calibri" w:cs="Calibri" w:eastAsia="Calibri" w:hAnsi="Calibri"/>
          <w:b/>
          <w:bCs/>
          <w:sz w:val="21"/>
          <w:szCs w:val="21"/>
        </w:rPr>
        <w:t xml:space="preserve">resultado</w:t>
      </w:r>
      <w:r>
        <w:rPr>
          <w:rFonts w:ascii="Calibri" w:cs="Calibri" w:eastAsia="Calibri" w:hAnsi="Calibri"/>
          <w:sz w:val="21"/>
          <w:szCs w:val="21"/>
        </w:rPr>
        <w:t xml:space="preserve">, no por el camino; no se nombra producto, protocolo ni red alguna; y ninguna tarea puede exigir un despliegue, una instalación o una integración en sistemas municipales. Un caso de uso que sólo pueda resolverlo quien ya tenga la solución instalada en el Ayuntamiento no comprueba lo declarado: premia la tenencia previa.</w:t>
      </w:r>
    </w:p>
    <w:p>
      <w:pPr>
        <w:pStyle w:val="ListParagraph"/>
        <w:numPr>
          <w:ilvl w:val="0"/>
          <w:numId w:val="1"/>
        </w:numPr>
        <w:spacing w:after="70" w:line="268"/>
      </w:pPr>
      <w:r>
        <w:rPr>
          <w:rFonts w:ascii="Calibri" w:cs="Calibri" w:eastAsia="Calibri" w:hAnsi="Calibri"/>
          <w:b/>
          <w:bCs/>
          <w:sz w:val="21"/>
          <w:szCs w:val="21"/>
        </w:rPr>
        <w:t xml:space="preserve">Los coeficientes de la rúbrica.</w:t>
      </w:r>
      <w:r>
        <w:rPr>
          <w:rFonts w:ascii="Calibri" w:cs="Calibri" w:eastAsia="Calibri" w:hAnsi="Calibri"/>
          <w:sz w:val="21"/>
          <w:szCs w:val="21"/>
        </w:rPr>
        <w:t xml:space="preserve"> Los que figuran entre corchetes son los valores recomendados por defecto. Si el órgano de contratación los modifica, lo motiva en la memoria de criterios. En todo caso, los cinco tramos se publican en el PCAP con su valor numérico exacto, nunca con la fórmula del coeficiente.</w:t>
      </w:r>
    </w:p>
    <w:p>
      <w:pPr>
        <w:pStyle w:val="ListParagraph"/>
        <w:numPr>
          <w:ilvl w:val="0"/>
          <w:numId w:val="1"/>
        </w:numPr>
        <w:spacing w:after="70" w:line="268"/>
      </w:pPr>
      <w:r>
        <w:rPr>
          <w:rFonts w:ascii="Calibri" w:cs="Calibri" w:eastAsia="Calibri" w:hAnsi="Calibri"/>
          <w:b/>
          <w:bCs/>
          <w:sz w:val="21"/>
          <w:szCs w:val="21"/>
        </w:rPr>
        <w:t xml:space="preserve">Lo que cuesta.</w:t>
      </w:r>
      <w:r>
        <w:rPr>
          <w:rFonts w:ascii="Calibri" w:cs="Calibri" w:eastAsia="Calibri" w:hAnsi="Calibri"/>
          <w:sz w:val="21"/>
          <w:szCs w:val="21"/>
        </w:rPr>
        <w:t xml:space="preserve"> La demostración es la pieza más cara de este catálogo en horas municipales: entre tres y cuatro por licitador, más la preparación única del guion y del juego de datos, más </w:t>
      </w:r>
      <w:r>
        <w:rPr>
          <w:rFonts w:ascii="Calibri" w:cs="Calibri" w:eastAsia="Calibri" w:hAnsi="Calibri"/>
          <w:b/>
          <w:bCs/>
          <w:sz w:val="21"/>
          <w:szCs w:val="21"/>
        </w:rPr>
        <w:t xml:space="preserve">[X; se recomienda 1] hora por oferta admitida</w:t>
      </w:r>
      <w:r>
        <w:rPr>
          <w:rFonts w:ascii="Calibri" w:cs="Calibri" w:eastAsia="Calibri" w:hAnsi="Calibri"/>
          <w:sz w:val="21"/>
          <w:szCs w:val="21"/>
        </w:rPr>
        <w:t xml:space="preserve"> para la comprobación documental y el tiempo de los requerimientos que resulten necesarios. Con cinco ofertas admitidas y sin requerimientos adicionales, entre 24 y 29 horas. Si el expediente no puede asumir esa carga, </w:t>
      </w:r>
      <w:r>
        <w:rPr>
          <w:rFonts w:ascii="Calibri" w:cs="Calibri" w:eastAsia="Calibri" w:hAnsi="Calibri"/>
          <w:b/>
          <w:bCs/>
          <w:sz w:val="21"/>
          <w:szCs w:val="21"/>
        </w:rPr>
        <w:t xml:space="preserve">la cláusula se marca NO APLICA y no ocurre nada</w:t>
      </w:r>
      <w:r>
        <w:rPr>
          <w:rFonts w:ascii="Calibri" w:cs="Calibri" w:eastAsia="Calibri" w:hAnsi="Calibri"/>
          <w:sz w:val="21"/>
          <w:szCs w:val="21"/>
        </w:rPr>
        <w:t xml:space="preserve">, precisamente porque no reparte puntos. Lo que no cabe es publicarla y no celebrarla.</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XXI · CUADRO DE CERTIFICACIONES Y EQUIVALENCIAS ADMISIBLES</w:t>
      </w:r>
    </w:p>
    <w:p>
      <w:pPr>
        <w:spacing w:after="140" w:line="276"/>
      </w:pPr>
      <w:r>
        <w:rPr>
          <w:rFonts w:ascii="Calibri" w:cs="Calibri" w:eastAsia="Calibri" w:hAnsi="Calibri"/>
          <w:sz w:val="21"/>
          <w:szCs w:val="21"/>
        </w:rPr>
        <w:t xml:space="preserve">Función: que el redactor sepa, de un vistazo, qué puede exigir, con qué instrumento, con qué designación y qué tiene que admitir como equivalente. </w:t>
      </w:r>
      <w:r>
        <w:rPr>
          <w:rFonts w:ascii="Calibri" w:cs="Calibri" w:eastAsia="Calibri" w:hAnsi="Calibri"/>
          <w:b/>
          <w:bCs/>
          <w:sz w:val="21"/>
          <w:szCs w:val="21"/>
        </w:rPr>
        <w:t xml:space="preserve">Regla que gobierna el cuadro entero y no admite excepción: ninguna certificación de las que aquí figuran puede valorarse como criterio de adjudicación.</w:t>
      </w:r>
      <w:r>
        <w:rPr>
          <w:rFonts w:ascii="Calibri" w:cs="Calibri" w:eastAsia="Calibri" w:hAnsi="Calibri"/>
          <w:sz w:val="21"/>
          <w:szCs w:val="21"/>
        </w:rPr>
        <w:t xml:space="preserve"> Puntuar una certificación valora una característica de la empresa y no de la prestación, y la tenencia previa cae bajo el artículo 40.b) de la LCSP.</w:t>
      </w:r>
    </w:p>
    <w:p>
      <w:pPr>
        <w:spacing w:after="140" w:line="276"/>
      </w:pPr>
      <w:r>
        <w:rPr>
          <w:rFonts w:ascii="Calibri" w:cs="Calibri" w:eastAsia="Calibri" w:hAnsi="Calibri"/>
          <w:b/>
          <w:bCs/>
          <w:sz w:val="21"/>
          <w:szCs w:val="21"/>
        </w:rPr>
        <w:t xml:space="preserve">Segunda regla: designación con año y referencia estática.</w:t>
      </w:r>
      <w:r>
        <w:rPr>
          <w:rFonts w:ascii="Calibri" w:cs="Calibri" w:eastAsia="Calibri" w:hAnsi="Calibri"/>
          <w:sz w:val="21"/>
          <w:szCs w:val="21"/>
        </w:rPr>
        <w:t xml:space="preserve"> Toda norma se cita con su designación completa </w:t>
      </w:r>
      <w:r>
        <w:rPr>
          <w:rFonts w:ascii="Calibri" w:cs="Calibri" w:eastAsia="Calibri" w:hAnsi="Calibri"/>
          <w:b/>
          <w:bCs/>
          <w:sz w:val="21"/>
          <w:szCs w:val="21"/>
        </w:rPr>
        <w:t xml:space="preserve">y su año</w:t>
      </w:r>
      <w:r>
        <w:rPr>
          <w:rFonts w:ascii="Calibri" w:cs="Calibri" w:eastAsia="Calibri" w:hAnsi="Calibri"/>
          <w:sz w:val="21"/>
          <w:szCs w:val="21"/>
        </w:rPr>
        <w:t xml:space="preserve">, y el pliego añade que la designación se entiende hecha a la versión vigente </w:t>
      </w:r>
      <w:r>
        <w:rPr>
          <w:rFonts w:ascii="Calibri" w:cs="Calibri" w:eastAsia="Calibri" w:hAnsi="Calibri"/>
          <w:b/>
          <w:bCs/>
          <w:sz w:val="21"/>
          <w:szCs w:val="21"/>
        </w:rPr>
        <w:t xml:space="preserve">a la fecha de publicación del anuncio de licitación</w:t>
      </w:r>
      <w:r>
        <w:rPr>
          <w:rFonts w:ascii="Calibri" w:cs="Calibri" w:eastAsia="Calibri" w:hAnsi="Calibri"/>
          <w:sz w:val="21"/>
          <w:szCs w:val="21"/>
        </w:rPr>
        <w:t xml:space="preserve">, sin que su revisión posterior modifique el contenido de la obligación. «O norma que la sustituya» parece una cautela y es un defecto: permite que la obligación cambie después de que el licitador haya ofertado, sobre un texto que aún no existe.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Materia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Norma o marco, con designación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Instrumento admisible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¿Puede exigirse como solvencia?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Equivalencias que hay que admitir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Cuándo no se exige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Gestión de la inteligencia artificial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UNE-EN ISO/IEC 42001:2026</w:t>
            </w:r>
            <w:r>
              <w:rPr>
                <w:rFonts w:ascii="Calibri" w:cs="Calibri" w:eastAsia="Calibri" w:hAnsi="Calibri"/>
                <w:b w:val="false"/>
                <w:bCs w:val="false"/>
                <w:sz w:val="18"/>
                <w:szCs w:val="18"/>
              </w:rPr>
              <w:t xml:space="preserve">, «Tecnología de la información. Inteligencia artificial. Sistema de gestión», edición de 8 de abril de 2026, que anula la UNE-ISO/IEC 42001:2025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Condición especial de ejecución (recomendado) o solvencia técnica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Sólo</w:t>
            </w:r>
            <w:r>
              <w:rPr>
                <w:rFonts w:ascii="Calibri" w:cs="Calibri" w:eastAsia="Calibri" w:hAnsi="Calibri"/>
                <w:b w:val="false"/>
                <w:bCs w:val="false"/>
                <w:sz w:val="18"/>
                <w:szCs w:val="18"/>
              </w:rPr>
              <w:t xml:space="preserve"> en contratos sujetos a regulación armonizada y cuando el sistema de IA sea elemento determinante de la prestación, no accesorio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Certificado equivalente de organismo de cualquier Estado miembro; y </w:t>
            </w:r>
            <w:r>
              <w:rPr>
                <w:rFonts w:ascii="Calibri" w:cs="Calibri" w:eastAsia="Calibri" w:hAnsi="Calibri"/>
                <w:b/>
                <w:bCs/>
                <w:sz w:val="18"/>
                <w:szCs w:val="18"/>
              </w:rPr>
              <w:t xml:space="preserve">otras pruebas de medidas equivalentes</w:t>
            </w:r>
            <w:r>
              <w:rPr>
                <w:rFonts w:ascii="Calibri" w:cs="Calibri" w:eastAsia="Calibri" w:hAnsi="Calibri"/>
                <w:b w:val="false"/>
                <w:bCs w:val="false"/>
                <w:sz w:val="18"/>
                <w:szCs w:val="18"/>
              </w:rPr>
              <w:t xml:space="preserve"> (art. 93.2 LCSP): política aprobada por el órgano de dirección, procedimiento de gestión de riesgos, procedimiento de supervisión humana con puestos identificados, registro de incidencias y de cambios de modelo o versión, e informe de la última revisión con antigüedad no superior a </w:t>
            </w:r>
            <w:r>
              <w:rPr>
                <w:rFonts w:ascii="Calibri" w:cs="Calibri" w:eastAsia="Calibri" w:hAnsi="Calibri"/>
                <w:b/>
                <w:bCs/>
                <w:sz w:val="18"/>
                <w:szCs w:val="18"/>
              </w:rPr>
              <w:t xml:space="preserve">[X; se recomienda 24]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Contratos sin intervención de sistemas de IA sobre datos o procesos municipales; contratos menores; basados en acuerdo marco; adhesiones a centrales de compra; prórrogas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Seguridad de la información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UNE-EN ISO/IEC 27001:[año vigente]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Condición especial de ejecución u obligación del contratista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con motivación en el Informe de Necesidad y en contratos armonizados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Certificado equivalente de cualquier Estado miembro; y otras pruebas de medidas equivalentes (art. 93.2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Cuando la conformidad con el Esquema Nacional de Seguridad ya cubra la necesidad. </w:t>
            </w:r>
            <w:r>
              <w:rPr>
                <w:rFonts w:ascii="Calibri" w:cs="Calibri" w:eastAsia="Calibri" w:hAnsi="Calibri"/>
                <w:b/>
                <w:bCs/>
                <w:sz w:val="18"/>
                <w:szCs w:val="18"/>
              </w:rPr>
              <w:t xml:space="preserve">Exigir las dos cosas sin motivar por qué no basta una es desproporcionado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Privacidad</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UNE-EN ISO/IEC 27701:[año vigente]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Obligación del contratista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Excepcional, sólo con motivación expresa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Las mismas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Cuando el contrato no comporte tratamiento de datos personales por cuenta del Ayuntamiento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Esquema Nacional de Seguridad</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Real Decreto 311/2022</w:t>
            </w:r>
            <w:r>
              <w:rPr>
                <w:rFonts w:ascii="Calibri" w:cs="Calibri" w:eastAsia="Calibri" w:hAnsi="Calibri"/>
                <w:b w:val="false"/>
                <w:bCs w:val="false"/>
                <w:sz w:val="18"/>
                <w:szCs w:val="18"/>
              </w:rPr>
              <w:t xml:space="preserve">, en la </w:t>
            </w:r>
            <w:r>
              <w:rPr>
                <w:rFonts w:ascii="Calibri" w:cs="Calibri" w:eastAsia="Calibri" w:hAnsi="Calibri"/>
                <w:b/>
                <w:bCs/>
                <w:sz w:val="18"/>
                <w:szCs w:val="18"/>
              </w:rPr>
              <w:t xml:space="preserve">categoría que resulte de su anexo I</w:t>
            </w:r>
            <w:r>
              <w:rPr>
                <w:rFonts w:ascii="Calibri" w:cs="Calibri" w:eastAsia="Calibri" w:hAnsi="Calibri"/>
                <w:b w:val="false"/>
                <w:bCs w:val="false"/>
                <w:sz w:val="18"/>
                <w:szCs w:val="18"/>
              </w:rPr>
              <w:t xml:space="preserve"> para el sistema de que se trate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 más acreditación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procede como solvencia: es exigencia del sistema, no de la empresa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Según el art. 38.1: </w:t>
            </w:r>
            <w:r>
              <w:rPr>
                <w:rFonts w:ascii="Calibri" w:cs="Calibri" w:eastAsia="Calibri" w:hAnsi="Calibri"/>
                <w:b/>
                <w:bCs/>
                <w:sz w:val="18"/>
                <w:szCs w:val="18"/>
              </w:rPr>
              <w:t xml:space="preserve">certificación de conformidad</w:t>
            </w:r>
            <w:r>
              <w:rPr>
                <w:rFonts w:ascii="Calibri" w:cs="Calibri" w:eastAsia="Calibri" w:hAnsi="Calibri"/>
                <w:b w:val="false"/>
                <w:bCs w:val="false"/>
                <w:sz w:val="18"/>
                <w:szCs w:val="18"/>
              </w:rPr>
              <w:t xml:space="preserve"> en categorías MEDIA y ALTA; </w:t>
            </w:r>
            <w:r>
              <w:rPr>
                <w:rFonts w:ascii="Calibri" w:cs="Calibri" w:eastAsia="Calibri" w:hAnsi="Calibri"/>
                <w:b/>
                <w:bCs/>
                <w:sz w:val="18"/>
                <w:szCs w:val="18"/>
              </w:rPr>
              <w:t xml:space="preserve">declaración de conformidad</w:t>
            </w:r>
            <w:r>
              <w:rPr>
                <w:rFonts w:ascii="Calibri" w:cs="Calibri" w:eastAsia="Calibri" w:hAnsi="Calibri"/>
                <w:b w:val="false"/>
                <w:bCs w:val="false"/>
                <w:sz w:val="18"/>
                <w:szCs w:val="18"/>
              </w:rPr>
              <w:t xml:space="preserve">, previa autoevaluación, en categoría BÁSICA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Nunca se exige una categoría a priori ni por remisión a un nivel predeterminado. La categoría </w:t>
            </w:r>
            <w:r>
              <w:rPr>
                <w:rFonts w:ascii="Calibri" w:cs="Calibri" w:eastAsia="Calibri" w:hAnsi="Calibri"/>
                <w:b/>
                <w:bCs/>
                <w:sz w:val="18"/>
                <w:szCs w:val="18"/>
              </w:rPr>
              <w:t xml:space="preserve">resulta</w:t>
            </w:r>
            <w:r>
              <w:rPr>
                <w:rFonts w:ascii="Calibri" w:cs="Calibri" w:eastAsia="Calibri" w:hAnsi="Calibri"/>
                <w:b w:val="false"/>
                <w:bCs w:val="false"/>
                <w:sz w:val="18"/>
                <w:szCs w:val="18"/>
              </w:rPr>
              <w:t xml:space="preserve"> del análisis, firmado por el responsable de la información y el responsable del servicio, y la determina el responsable de la seguridad</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Cadena de suministro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Art. 2.3 del Real Decreto 311/2022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exigencia se extiende a los subcontratistas cuyos sistemas sustenten el servicio, motivada en el análisis de riesgos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Cuando el análisis de riesgos no la sostenga. Extenderla a toda la cadena sin análisis reduce la concurrencia sin ganar seguridad</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Servicios electrónicos de confianza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Condición de </w:t>
            </w:r>
            <w:r>
              <w:rPr>
                <w:rFonts w:ascii="Calibri" w:cs="Calibri" w:eastAsia="Calibri" w:hAnsi="Calibri"/>
                <w:b/>
                <w:bCs/>
                <w:sz w:val="18"/>
                <w:szCs w:val="18"/>
              </w:rPr>
              <w:t xml:space="preserve">prestador cualificado</w:t>
            </w:r>
            <w:r>
              <w:rPr>
                <w:rFonts w:ascii="Calibri" w:cs="Calibri" w:eastAsia="Calibri" w:hAnsi="Calibri"/>
                <w:b w:val="false"/>
                <w:bCs w:val="false"/>
                <w:sz w:val="18"/>
                <w:szCs w:val="18"/>
              </w:rPr>
              <w:t xml:space="preserve"> conforme a la normativa europea de identificación electrónica y servicios de confianza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Requisito de aptitud o 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cuando el objeto comprenda efectivamente la prestación de tales servicios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inscripción en la lista de confianza de cualquier Estado miembro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Cuando el objeto no comprenda la prestación de servicios de confianza. Exigirlo «por si acaso» es una barrera de entrada sin necesidad</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Calidad general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UNE-EN ISO 9001:[año vigente]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Solvencia técnica en contratos armonizados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con motivación específica de qué aporta a </w:t>
            </w:r>
            <w:r>
              <w:rPr>
                <w:rFonts w:ascii="Calibri" w:cs="Calibri" w:eastAsia="Calibri" w:hAnsi="Calibri"/>
                <w:b/>
                <w:bCs/>
                <w:sz w:val="18"/>
                <w:szCs w:val="18"/>
              </w:rPr>
              <w:t xml:space="preserve">este</w:t>
            </w:r>
            <w:r>
              <w:rPr>
                <w:rFonts w:ascii="Calibri" w:cs="Calibri" w:eastAsia="Calibri" w:hAnsi="Calibri"/>
                <w:b w:val="false"/>
                <w:bCs w:val="false"/>
                <w:sz w:val="18"/>
                <w:szCs w:val="18"/>
              </w:rPr>
              <w:t xml:space="preserve"> objeto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Certificados equivalentes y otras pruebas de medidas equivalentes (art. 93.2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defecto </w:t>
            </w:r>
            <w:r>
              <w:rPr>
                <w:rFonts w:ascii="Calibri" w:cs="Calibri" w:eastAsia="Calibri" w:hAnsi="Calibri"/>
                <w:b/>
                <w:bCs/>
                <w:sz w:val="18"/>
                <w:szCs w:val="18"/>
              </w:rPr>
              <w:t xml:space="preserve">no se exige</w:t>
            </w:r>
            <w:r>
              <w:rPr>
                <w:rFonts w:ascii="Calibri" w:cs="Calibri" w:eastAsia="Calibri" w:hAnsi="Calibri"/>
                <w:b w:val="false"/>
                <w:bCs w:val="false"/>
                <w:sz w:val="18"/>
                <w:szCs w:val="18"/>
              </w:rPr>
              <w:t xml:space="preserve">: es la certificación que más se pide por inercia y menos se motiva</w:t>
            </w:r>
          </w:p>
        </w:tc>
      </w:tr>
    </w:tbl>
    <w:p>
      <w:pPr>
        <w:spacing w:after="200"/>
      </w:pPr>
    </w:p>
    <w:p>
      <w:pPr>
        <w:spacing w:after="140" w:line="276"/>
      </w:pPr>
      <w:r>
        <w:rPr>
          <w:rFonts w:ascii="Calibri" w:cs="Calibri" w:eastAsia="Calibri" w:hAnsi="Calibri"/>
          <w:b/>
          <w:bCs/>
          <w:sz w:val="21"/>
          <w:szCs w:val="21"/>
        </w:rPr>
        <w:t xml:space="preserve">Cómo se acredita una equivalencia, en tres reglas.</w:t>
      </w:r>
    </w:p>
    <w:p>
      <w:pPr>
        <w:pStyle w:val="ListParagraph"/>
        <w:numPr>
          <w:ilvl w:val="0"/>
          <w:numId w:val="2"/>
        </w:numPr>
        <w:spacing w:after="70" w:line="268"/>
      </w:pPr>
      <w:r>
        <w:rPr>
          <w:rFonts w:ascii="Calibri" w:cs="Calibri" w:eastAsia="Calibri" w:hAnsi="Calibri"/>
          <w:b/>
          <w:bCs/>
          <w:sz w:val="21"/>
          <w:szCs w:val="21"/>
        </w:rPr>
        <w:t xml:space="preserve">La carga de la prueba es del licitador</w:t>
      </w:r>
      <w:r>
        <w:rPr>
          <w:rFonts w:ascii="Calibri" w:cs="Calibri" w:eastAsia="Calibri" w:hAnsi="Calibri"/>
          <w:sz w:val="21"/>
          <w:szCs w:val="21"/>
        </w:rPr>
        <w:t xml:space="preserve">, que la aporta </w:t>
      </w:r>
      <w:r>
        <w:rPr>
          <w:rFonts w:ascii="Calibri" w:cs="Calibri" w:eastAsia="Calibri" w:hAnsi="Calibri"/>
          <w:b/>
          <w:bCs/>
          <w:sz w:val="21"/>
          <w:szCs w:val="21"/>
        </w:rPr>
        <w:t xml:space="preserve">con la oferta</w:t>
      </w:r>
      <w:r>
        <w:rPr>
          <w:rFonts w:ascii="Calibri" w:cs="Calibri" w:eastAsia="Calibri" w:hAnsi="Calibri"/>
          <w:sz w:val="21"/>
          <w:szCs w:val="21"/>
        </w:rPr>
        <w:t xml:space="preserve"> o con la documentación previa a la adjudicación, según lo que el pliego determine. No se admite después.</w:t>
      </w:r>
    </w:p>
    <w:p>
      <w:pPr>
        <w:pStyle w:val="ListParagraph"/>
        <w:numPr>
          <w:ilvl w:val="0"/>
          <w:numId w:val="2"/>
        </w:numPr>
        <w:spacing w:after="70" w:line="268"/>
      </w:pPr>
      <w:r>
        <w:rPr>
          <w:rFonts w:ascii="Calibri" w:cs="Calibri" w:eastAsia="Calibri" w:hAnsi="Calibri"/>
          <w:b/>
          <w:bCs/>
          <w:sz w:val="21"/>
          <w:szCs w:val="21"/>
        </w:rPr>
        <w:t xml:space="preserve">El rechazo se motiva.</w:t>
      </w:r>
      <w:r>
        <w:rPr>
          <w:rFonts w:ascii="Calibri" w:cs="Calibri" w:eastAsia="Calibri" w:hAnsi="Calibri"/>
          <w:sz w:val="21"/>
          <w:szCs w:val="21"/>
        </w:rPr>
        <w:t xml:space="preserve"> Una equivalencia rechazada sin motivación técnica escrita es una decisión discrecional sobre un requisito de admisión, y así se alegará.</w:t>
      </w:r>
    </w:p>
    <w:p>
      <w:pPr>
        <w:pStyle w:val="ListParagraph"/>
        <w:numPr>
          <w:ilvl w:val="0"/>
          <w:numId w:val="2"/>
        </w:numPr>
        <w:spacing w:after="70" w:line="268"/>
      </w:pPr>
      <w:r>
        <w:rPr>
          <w:rFonts w:ascii="Calibri" w:cs="Calibri" w:eastAsia="Calibri" w:hAnsi="Calibri"/>
          <w:b/>
          <w:bCs/>
          <w:sz w:val="21"/>
          <w:szCs w:val="21"/>
        </w:rPr>
        <w:t xml:space="preserve">La equivalencia se juzga sobre el contenido, no sobre el título.</w:t>
      </w:r>
      <w:r>
        <w:rPr>
          <w:rFonts w:ascii="Calibri" w:cs="Calibri" w:eastAsia="Calibri" w:hAnsi="Calibri"/>
          <w:sz w:val="21"/>
          <w:szCs w:val="21"/>
        </w:rPr>
        <w:t xml:space="preserve"> Lo que hay que comprobar es si las medidas acreditadas cubren las mismas materias que la norma designada, no si el documento se llama igual.</w:t>
      </w:r>
    </w:p>
    <w:p>
      <w:pPr>
        <w:spacing w:after="140" w:line="276"/>
      </w:pPr>
      <w:r>
        <w:rPr>
          <w:rFonts w:ascii="Calibri" w:cs="Calibri" w:eastAsia="Calibri" w:hAnsi="Calibri"/>
          <w:b/>
          <w:bCs/>
          <w:sz w:val="21"/>
          <w:szCs w:val="21"/>
        </w:rPr>
        <w:t xml:space="preserve">Regla final del anexo.</w:t>
      </w:r>
      <w:r>
        <w:rPr>
          <w:rFonts w:ascii="Calibri" w:cs="Calibri" w:eastAsia="Calibri" w:hAnsi="Calibri"/>
          <w:sz w:val="21"/>
          <w:szCs w:val="21"/>
        </w:rPr>
        <w:t xml:space="preserve"> Si el redactor no sabe decir qué necesidad municipal concreta cubre una certificación, y con qué precepto, esa certificación no se exige. Un pliego que acumula certificaciones sin motivación individual no eleva la calidad de las ofertas: reduce el número de licitadores que pueden presentarlas.</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XXII · MODELO DE ANUNCIO Y DE INFORME DE CONSULTA PRELIMINAR DEL MERCADO</w:t>
      </w:r>
    </w:p>
    <w:p>
      <w:pPr>
        <w:spacing w:after="140" w:line="276"/>
      </w:pPr>
      <w:r>
        <w:rPr>
          <w:rFonts w:ascii="Calibri" w:cs="Calibri" w:eastAsia="Calibri" w:hAnsi="Calibri"/>
          <w:sz w:val="21"/>
          <w:szCs w:val="21"/>
        </w:rPr>
        <w:t xml:space="preserve">Función: modelizar el instrumento que la memoria justificativa y el circuito del expediente describen y no entregan. La consulta preliminar del mercado del artículo 115 de la LCSP es la pieza que convierte la afirmación de neutralidad tecnológica en prueba de neutralidad tecnológica, y es además el contraste de mercado que el Anexo V exige para la revisión anual: </w:t>
      </w:r>
      <w:r>
        <w:rPr>
          <w:rFonts w:ascii="Calibri" w:cs="Calibri" w:eastAsia="Calibri" w:hAnsi="Calibri"/>
          <w:b/>
          <w:bCs/>
          <w:sz w:val="21"/>
          <w:szCs w:val="21"/>
        </w:rPr>
        <w:t xml:space="preserve">se hace una vez al año, de forma centralizada, y su documentación se reutiliza en todos los expedientes del ejercicio.</w:t>
      </w:r>
      <w:r>
        <w:rPr>
          <w:rFonts w:ascii="Calibri" w:cs="Calibri" w:eastAsia="Calibri" w:hAnsi="Calibri"/>
          <w:sz w:val="21"/>
          <w:szCs w:val="21"/>
        </w:rPr>
        <w:t xml:space="preserve"> Hacerla por expediente es inasumible y no añade nada.</w:t>
      </w:r>
    </w:p>
    <w:p>
      <w:pPr>
        <w:spacing w:after="140" w:line="276"/>
      </w:pPr>
      <w:r>
        <w:rPr>
          <w:rFonts w:ascii="Calibri" w:cs="Calibri" w:eastAsia="Calibri" w:hAnsi="Calibri"/>
          <w:b/>
          <w:bCs/>
          <w:sz w:val="21"/>
          <w:szCs w:val="21"/>
        </w:rPr>
        <w:t xml:space="preserve">Regla de orden, que es lo que más se incumple.</w:t>
      </w:r>
      <w:r>
        <w:rPr>
          <w:rFonts w:ascii="Calibri" w:cs="Calibri" w:eastAsia="Calibri" w:hAnsi="Calibri"/>
          <w:sz w:val="21"/>
          <w:szCs w:val="21"/>
        </w:rPr>
        <w:t xml:space="preserve"> La publicación del anuncio es </w:t>
      </w:r>
      <w:r>
        <w:rPr>
          <w:rFonts w:ascii="Calibri" w:cs="Calibri" w:eastAsia="Calibri" w:hAnsi="Calibri"/>
          <w:b/>
          <w:bCs/>
          <w:sz w:val="21"/>
          <w:szCs w:val="21"/>
        </w:rPr>
        <w:t xml:space="preserve">previa</w:t>
      </w:r>
      <w:r>
        <w:rPr>
          <w:rFonts w:ascii="Calibri" w:cs="Calibri" w:eastAsia="Calibri" w:hAnsi="Calibri"/>
          <w:sz w:val="21"/>
          <w:szCs w:val="21"/>
        </w:rPr>
        <w:t xml:space="preserve"> a la consulta, no posterior. Publicar después de haber hablado con el mercado no cumple el precepto y deja el expediente peor que si no se hubiera consultado.</w:t>
      </w:r>
    </w:p>
    <w:p>
      <w:pPr>
        <w:spacing w:after="140" w:line="276"/>
      </w:pPr>
      <w:r>
        <w:rPr>
          <w:rFonts w:ascii="Calibri" w:cs="Calibri" w:eastAsia="Calibri" w:hAnsi="Calibri"/>
          <w:sz w:val="21"/>
          <w:szCs w:val="21"/>
        </w:rPr>
        <w:t xml:space="preserve">---- INICIO DEL MODELO A — ANUNCIO PREVIO DE CONSULTA ----</w:t>
      </w:r>
    </w:p>
    <w:p>
      <w:pPr>
        <w:spacing w:after="140" w:line="276"/>
      </w:pPr>
      <w:r>
        <w:rPr>
          <w:rFonts w:ascii="Calibri" w:cs="Calibri" w:eastAsia="Calibri" w:hAnsi="Calibri"/>
          <w:b/>
          <w:bCs/>
          <w:sz w:val="21"/>
          <w:szCs w:val="21"/>
        </w:rPr>
        <w:t xml:space="preserve">ANUNCIO DE CONSULTA PRELIMINAR DEL MERCADO</w:t>
      </w:r>
    </w:p>
    <w:p>
      <w:pPr>
        <w:spacing w:after="140" w:line="276"/>
      </w:pPr>
      <w:r>
        <w:rPr>
          <w:rFonts w:ascii="Calibri" w:cs="Calibri" w:eastAsia="Calibri" w:hAnsi="Calibri"/>
          <w:i/>
          <w:iCs/>
          <w:sz w:val="21"/>
          <w:szCs w:val="21"/>
        </w:rPr>
        <w:t xml:space="preserve">(Artículo 115 de la Ley 9/2017, de Contratos del Sector Público)</w:t>
      </w:r>
    </w:p>
    <w:p>
      <w:pPr>
        <w:spacing w:after="140" w:line="276"/>
      </w:pPr>
      <w:r>
        <w:rPr>
          <w:rFonts w:ascii="Calibri" w:cs="Calibri" w:eastAsia="Calibri" w:hAnsi="Calibri"/>
          <w:sz w:val="21"/>
          <w:szCs w:val="21"/>
        </w:rPr>
        <w:t xml:space="preserve">Publicado en el perfil de contratante alojado en la Plataforma de Contratación del Sector Público [o servicio de información equivalente], con fecha …… / …… / …… .</w:t>
      </w:r>
    </w:p>
    <w:p>
      <w:pPr>
        <w:spacing w:after="140" w:line="276"/>
      </w:pPr>
      <w:r>
        <w:rPr>
          <w:rFonts w:ascii="Calibri" w:cs="Calibri" w:eastAsia="Calibri" w:hAnsi="Calibri"/>
          <w:b/>
          <w:bCs/>
          <w:sz w:val="21"/>
          <w:szCs w:val="21"/>
        </w:rPr>
        <w:t xml:space="preserve">1. Órgano que promueve la consulta:</w:t>
      </w:r>
      <w:r>
        <w:rPr>
          <w:rFonts w:ascii="Calibri" w:cs="Calibri" w:eastAsia="Calibri" w:hAnsi="Calibri"/>
          <w:sz w:val="21"/>
          <w:szCs w:val="21"/>
        </w:rPr>
        <w:t xml:space="preserve"> ……………………… · </w:t>
      </w:r>
      <w:r>
        <w:rPr>
          <w:rFonts w:ascii="Calibri" w:cs="Calibri" w:eastAsia="Calibri" w:hAnsi="Calibri"/>
          <w:b/>
          <w:bCs/>
          <w:sz w:val="21"/>
          <w:szCs w:val="21"/>
        </w:rPr>
        <w:t xml:space="preserve">Servicio responsable:</w:t>
      </w:r>
      <w:r>
        <w:rPr>
          <w:rFonts w:ascii="Calibri" w:cs="Calibri" w:eastAsia="Calibri" w:hAnsi="Calibri"/>
          <w:sz w:val="21"/>
          <w:szCs w:val="21"/>
        </w:rPr>
        <w:t xml:space="preserve"> ………………………</w:t>
      </w:r>
    </w:p>
    <w:p>
      <w:pPr>
        <w:spacing w:after="140" w:line="276"/>
      </w:pPr>
      <w:r>
        <w:rPr>
          <w:rFonts w:ascii="Calibri" w:cs="Calibri" w:eastAsia="Calibri" w:hAnsi="Calibri"/>
          <w:b/>
          <w:bCs/>
          <w:sz w:val="21"/>
          <w:szCs w:val="21"/>
        </w:rPr>
        <w:t xml:space="preserve">2. Objeto de la consulta.</w:t>
      </w:r>
      <w:r>
        <w:rPr>
          <w:rFonts w:ascii="Calibri" w:cs="Calibri" w:eastAsia="Calibri" w:hAnsi="Calibri"/>
          <w:sz w:val="21"/>
          <w:szCs w:val="21"/>
        </w:rPr>
        <w:t xml:space="preserve"> Conocer las capacidades disponibles en el mercado en relación con [materia del ejercicio del Catálogo de Exigencias Tecnológicas: …………………], con la finalidad de preparar correctamente las licitaciones del ejercicio [ ] y de comprobar que las exigencias que se prevé incorporar pueden ser cumplidas, en el plazo previsto, por una pluralidad de operadores.</w:t>
      </w:r>
    </w:p>
    <w:p>
      <w:pPr>
        <w:spacing w:after="140" w:line="276"/>
      </w:pPr>
      <w:r>
        <w:rPr>
          <w:rFonts w:ascii="Calibri" w:cs="Calibri" w:eastAsia="Calibri" w:hAnsi="Calibri"/>
          <w:b/>
          <w:bCs/>
          <w:sz w:val="21"/>
          <w:szCs w:val="21"/>
        </w:rPr>
        <w:t xml:space="preserve">3. Cuestiones que se someten a consulta.</w:t>
      </w:r>
      <w:r>
        <w:rPr>
          <w:rFonts w:ascii="Calibri" w:cs="Calibri" w:eastAsia="Calibri" w:hAnsi="Calibri"/>
          <w:sz w:val="21"/>
          <w:szCs w:val="21"/>
        </w:rPr>
        <w:t xml:space="preserve"> </w:t>
      </w:r>
      <w:r>
        <w:rPr>
          <w:rFonts w:ascii="Calibri" w:cs="Calibri" w:eastAsia="Calibri" w:hAnsi="Calibri"/>
          <w:i/>
          <w:iCs/>
          <w:sz w:val="21"/>
          <w:szCs w:val="21"/>
        </w:rPr>
        <w:t xml:space="preserve">(Se formulan por función y por resultado, nunca por producto, protocolo o red.)</w:t>
      </w:r>
    </w:p>
    <w:p>
      <w:pPr>
        <w:spacing w:after="140" w:line="276"/>
      </w:pPr>
      <w:r>
        <w:rPr>
          <w:rFonts w:ascii="Calibri" w:cs="Calibri" w:eastAsia="Calibri" w:hAnsi="Calibri"/>
          <w:sz w:val="21"/>
          <w:szCs w:val="21"/>
        </w:rPr>
        <w:t xml:space="preserve">a) ¿Con qué medios y en qué plazo puede exponerse [la capacidad de que se trate] en soluciones ya operativas en administraciones locales?</w:t>
      </w:r>
    </w:p>
    <w:p>
      <w:pPr>
        <w:spacing w:after="140" w:line="276"/>
      </w:pPr>
      <w:r>
        <w:rPr>
          <w:rFonts w:ascii="Calibri" w:cs="Calibri" w:eastAsia="Calibri" w:hAnsi="Calibri"/>
          <w:sz w:val="21"/>
          <w:szCs w:val="21"/>
        </w:rPr>
        <w:t xml:space="preserve">b) ¿Qué plazo mínimo razonable requiere su implantación desde la formalización de un contrato?</w:t>
      </w:r>
    </w:p>
    <w:p>
      <w:pPr>
        <w:spacing w:after="140" w:line="276"/>
      </w:pPr>
      <w:r>
        <w:rPr>
          <w:rFonts w:ascii="Calibri" w:cs="Calibri" w:eastAsia="Calibri" w:hAnsi="Calibri"/>
          <w:sz w:val="21"/>
          <w:szCs w:val="21"/>
        </w:rPr>
        <w:t xml:space="preserve">c) ¿Qué criterios de aceptación permitirían comprobarla de forma binaria en un entorno de pruebas?</w:t>
      </w:r>
    </w:p>
    <w:p>
      <w:pPr>
        <w:spacing w:after="140" w:line="276"/>
      </w:pPr>
      <w:r>
        <w:rPr>
          <w:rFonts w:ascii="Calibri" w:cs="Calibri" w:eastAsia="Calibri" w:hAnsi="Calibri"/>
          <w:sz w:val="21"/>
          <w:szCs w:val="21"/>
        </w:rPr>
        <w:t xml:space="preserve">d) ¿Qué coste incremental aproximado comporta, y sobre qué base se calcula?</w:t>
      </w:r>
    </w:p>
    <w:p>
      <w:pPr>
        <w:spacing w:after="140" w:line="276"/>
      </w:pPr>
      <w:r>
        <w:rPr>
          <w:rFonts w:ascii="Calibri" w:cs="Calibri" w:eastAsia="Calibri" w:hAnsi="Calibri"/>
          <w:sz w:val="21"/>
          <w:szCs w:val="21"/>
        </w:rPr>
        <w:t xml:space="preserve">e) ¿Qué obstáculos técnicos o de licenciamiento impedirían cumplirla?</w:t>
      </w:r>
    </w:p>
    <w:p>
      <w:pPr>
        <w:spacing w:after="140" w:line="276"/>
      </w:pPr>
      <w:r>
        <w:rPr>
          <w:rFonts w:ascii="Calibri" w:cs="Calibri" w:eastAsia="Calibri" w:hAnsi="Calibri"/>
          <w:b/>
          <w:bCs/>
          <w:sz w:val="21"/>
          <w:szCs w:val="21"/>
        </w:rPr>
        <w:t xml:space="preserve">4. Inicio y plazo.</w:t>
      </w:r>
      <w:r>
        <w:rPr>
          <w:rFonts w:ascii="Calibri" w:cs="Calibri" w:eastAsia="Calibri" w:hAnsi="Calibri"/>
          <w:sz w:val="21"/>
          <w:szCs w:val="21"/>
        </w:rPr>
        <w:t xml:space="preserve"> La consulta se inicia el …… / …… / …… y las aportaciones podrán presentarse hasta el …… / …… / …… , por [medio], en [formato].</w:t>
      </w:r>
    </w:p>
    <w:p>
      <w:pPr>
        <w:spacing w:after="140" w:line="276"/>
      </w:pPr>
      <w:r>
        <w:rPr>
          <w:rFonts w:ascii="Calibri" w:cs="Calibri" w:eastAsia="Calibri" w:hAnsi="Calibri"/>
          <w:b/>
          <w:bCs/>
          <w:sz w:val="21"/>
          <w:szCs w:val="21"/>
        </w:rPr>
        <w:t xml:space="preserve">5. Terceros que van a participar.</w:t>
      </w:r>
      <w:r>
        <w:rPr>
          <w:rFonts w:ascii="Calibri" w:cs="Calibri" w:eastAsia="Calibri" w:hAnsi="Calibri"/>
          <w:sz w:val="21"/>
          <w:szCs w:val="21"/>
        </w:rPr>
        <w:t xml:space="preserve"> Se relacionan a continuación las denominaciones de los terceros cuya participación está prevista a la fecha de este anuncio: ………………………………………… . </w:t>
      </w:r>
      <w:r>
        <w:rPr>
          <w:rFonts w:ascii="Calibri" w:cs="Calibri" w:eastAsia="Calibri" w:hAnsi="Calibri"/>
          <w:i/>
          <w:iCs/>
          <w:sz w:val="21"/>
          <w:szCs w:val="21"/>
        </w:rPr>
        <w:t xml:space="preserve">(Si se han seleccionado asesores externos, se expresan las razones de su elección: …………………)</w:t>
      </w:r>
    </w:p>
    <w:p>
      <w:pPr>
        <w:spacing w:after="140" w:line="276"/>
      </w:pPr>
      <w:r>
        <w:rPr>
          <w:rFonts w:ascii="Calibri" w:cs="Calibri" w:eastAsia="Calibri" w:hAnsi="Calibri"/>
          <w:b/>
          <w:bCs/>
          <w:sz w:val="21"/>
          <w:szCs w:val="21"/>
        </w:rPr>
        <w:t xml:space="preserve">6. Advertencias que se hacen constar expresamente.</w:t>
      </w:r>
    </w:p>
    <w:p>
      <w:pPr>
        <w:spacing w:after="140" w:line="276"/>
      </w:pPr>
      <w:r>
        <w:rPr>
          <w:rFonts w:ascii="Calibri" w:cs="Calibri" w:eastAsia="Calibri" w:hAnsi="Calibri"/>
          <w:sz w:val="21"/>
          <w:szCs w:val="21"/>
        </w:rPr>
        <w:t xml:space="preserve">a) La participación en esta consulta </w:t>
      </w:r>
      <w:r>
        <w:rPr>
          <w:rFonts w:ascii="Calibri" w:cs="Calibri" w:eastAsia="Calibri" w:hAnsi="Calibri"/>
          <w:b/>
          <w:bCs/>
          <w:sz w:val="21"/>
          <w:szCs w:val="21"/>
        </w:rPr>
        <w:t xml:space="preserve">no comporta ventaja alguna</w:t>
      </w:r>
      <w:r>
        <w:rPr>
          <w:rFonts w:ascii="Calibri" w:cs="Calibri" w:eastAsia="Calibri" w:hAnsi="Calibri"/>
          <w:sz w:val="21"/>
          <w:szCs w:val="21"/>
        </w:rPr>
        <w:t xml:space="preserve"> respecto de la adjudicación de los contratos que se convoquen, ni exclusión de ellos.</w:t>
      </w:r>
    </w:p>
    <w:p>
      <w:pPr>
        <w:spacing w:after="140" w:line="276"/>
      </w:pPr>
      <w:r>
        <w:rPr>
          <w:rFonts w:ascii="Calibri" w:cs="Calibri" w:eastAsia="Calibri" w:hAnsi="Calibri"/>
          <w:sz w:val="21"/>
          <w:szCs w:val="21"/>
        </w:rPr>
        <w:t xml:space="preserve">b) No se revelará a unos participantes la solución propuesta por otros.</w:t>
      </w:r>
    </w:p>
    <w:p>
      <w:pPr>
        <w:spacing w:after="140" w:line="276"/>
      </w:pPr>
      <w:r>
        <w:rPr>
          <w:rFonts w:ascii="Calibri" w:cs="Calibri" w:eastAsia="Calibri" w:hAnsi="Calibri"/>
          <w:sz w:val="21"/>
          <w:szCs w:val="21"/>
        </w:rPr>
        <w:t xml:space="preserve">c) Toda la información aportada que resulte relevante para las licitaciones </w:t>
      </w:r>
      <w:r>
        <w:rPr>
          <w:rFonts w:ascii="Calibri" w:cs="Calibri" w:eastAsia="Calibri" w:hAnsi="Calibri"/>
          <w:b/>
          <w:bCs/>
          <w:sz w:val="21"/>
          <w:szCs w:val="21"/>
        </w:rPr>
        <w:t xml:space="preserve">se pondrá a disposición del resto de licitadores</w:t>
      </w:r>
      <w:r>
        <w:rPr>
          <w:rFonts w:ascii="Calibri" w:cs="Calibri" w:eastAsia="Calibri" w:hAnsi="Calibri"/>
          <w:sz w:val="21"/>
          <w:szCs w:val="21"/>
        </w:rPr>
        <w:t xml:space="preserve"> en las mismas condiciones.</w:t>
      </w:r>
    </w:p>
    <w:p>
      <w:pPr>
        <w:spacing w:after="140" w:line="276"/>
      </w:pPr>
      <w:r>
        <w:rPr>
          <w:rFonts w:ascii="Calibri" w:cs="Calibri" w:eastAsia="Calibri" w:hAnsi="Calibri"/>
          <w:sz w:val="21"/>
          <w:szCs w:val="21"/>
        </w:rPr>
        <w:t xml:space="preserve">d) De esta consulta no puede resultar un objeto contractual tan concreto y delimitado que únicamente se ajuste a las características técnicas de uno de los consultados.</w:t>
      </w:r>
    </w:p>
    <w:p>
      <w:pPr>
        <w:spacing w:after="140" w:line="276"/>
      </w:pPr>
      <w:r>
        <w:rPr>
          <w:rFonts w:ascii="Calibri" w:cs="Calibri" w:eastAsia="Calibri" w:hAnsi="Calibri"/>
          <w:sz w:val="21"/>
          <w:szCs w:val="21"/>
        </w:rPr>
        <w:t xml:space="preserve">e) Quienes participen deberán suscribir la declaración de participación previa en la preparación (modelo B del Anexo IX de este catálogo).</w:t>
      </w:r>
    </w:p>
    <w:p>
      <w:pPr>
        <w:spacing w:after="140" w:line="276"/>
      </w:pPr>
      <w:r>
        <w:rPr>
          <w:rFonts w:ascii="Calibri" w:cs="Calibri" w:eastAsia="Calibri" w:hAnsi="Calibri"/>
          <w:sz w:val="21"/>
          <w:szCs w:val="21"/>
        </w:rPr>
        <w:t xml:space="preserve">---- FIN DEL MODELO A ----</w:t>
      </w:r>
    </w:p>
    <w:p>
      <w:pPr>
        <w:spacing w:after="140" w:line="276"/>
      </w:pPr>
      <w:r>
        <w:rPr>
          <w:rFonts w:ascii="Calibri" w:cs="Calibri" w:eastAsia="Calibri" w:hAnsi="Calibri"/>
          <w:sz w:val="21"/>
          <w:szCs w:val="21"/>
        </w:rPr>
        <w:t xml:space="preserve">---- INICIO DEL MODELO B — INFORME MOTIVADO DE RESULTADO ----</w:t>
      </w:r>
    </w:p>
    <w:p>
      <w:pPr>
        <w:spacing w:after="140" w:line="276"/>
      </w:pPr>
      <w:r>
        <w:rPr>
          <w:rFonts w:ascii="Calibri" w:cs="Calibri" w:eastAsia="Calibri" w:hAnsi="Calibri"/>
          <w:b/>
          <w:bCs/>
          <w:sz w:val="21"/>
          <w:szCs w:val="21"/>
        </w:rPr>
        <w:t xml:space="preserve">INFORME MOTIVADO DE LA CONSULTA PRELIMINAR DEL MERCADO</w:t>
      </w:r>
    </w:p>
    <w:p>
      <w:pPr>
        <w:spacing w:after="140" w:line="276"/>
      </w:pPr>
      <w:r>
        <w:rPr>
          <w:rFonts w:ascii="Calibri" w:cs="Calibri" w:eastAsia="Calibri" w:hAnsi="Calibri"/>
          <w:i/>
          <w:iCs/>
          <w:sz w:val="21"/>
          <w:szCs w:val="21"/>
        </w:rPr>
        <w:t xml:space="preserve">(Art. 115.3 de la Ley 9/2017. Forma parte del expediente y se publica con la misma publicidad que los pliegos.)</w:t>
      </w:r>
    </w:p>
    <w:p>
      <w:pPr>
        <w:spacing w:after="140" w:line="276"/>
      </w:pPr>
      <w:r>
        <w:rPr>
          <w:rFonts w:ascii="Calibri" w:cs="Calibri" w:eastAsia="Calibri" w:hAnsi="Calibri"/>
          <w:b/>
          <w:bCs/>
          <w:sz w:val="21"/>
          <w:szCs w:val="21"/>
        </w:rPr>
        <w:t xml:space="preserve">1. Anuncio previo.</w:t>
      </w:r>
      <w:r>
        <w:rPr>
          <w:rFonts w:ascii="Calibri" w:cs="Calibri" w:eastAsia="Calibri" w:hAnsi="Calibri"/>
          <w:sz w:val="21"/>
          <w:szCs w:val="21"/>
        </w:rPr>
        <w:t xml:space="preserve"> Publicado el …… / …… / …… en …………… . Plazo de aportaciones: de …… a …… .</w:t>
      </w:r>
    </w:p>
    <w:p>
      <w:pPr>
        <w:spacing w:after="140" w:line="276"/>
      </w:pPr>
      <w:r>
        <w:rPr>
          <w:rFonts w:ascii="Calibri" w:cs="Calibri" w:eastAsia="Calibri" w:hAnsi="Calibri"/>
          <w:b/>
          <w:bCs/>
          <w:sz w:val="21"/>
          <w:szCs w:val="21"/>
        </w:rPr>
        <w:t xml:space="preserve">2. Estudios realizados y sus autores.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Estudio o documento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Autor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Fecha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Encargado o espontáneo</w:t>
            </w:r>
          </w:p>
        </w:tc>
      </w:tr>
    </w:tbl>
    <w:p>
      <w:pPr>
        <w:spacing w:after="200"/>
      </w:pPr>
    </w:p>
    <w:p>
      <w:pPr>
        <w:spacing w:after="140" w:line="276"/>
      </w:pPr>
      <w:r>
        <w:rPr>
          <w:rFonts w:ascii="Calibri" w:cs="Calibri" w:eastAsia="Calibri" w:hAnsi="Calibri"/>
          <w:b/>
          <w:bCs/>
          <w:sz w:val="21"/>
          <w:szCs w:val="21"/>
        </w:rPr>
        <w:t xml:space="preserve">3. Entidades consultadas y respuestas recibidas.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Entidad</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Fecha de la aportación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Medio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¿Ha suscrito la declaración de participación previa?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r>
    </w:tbl>
    <w:p>
      <w:pPr>
        <w:spacing w:after="200"/>
      </w:pPr>
    </w:p>
    <w:p>
      <w:pPr>
        <w:spacing w:after="140" w:line="276"/>
      </w:pPr>
      <w:r>
        <w:rPr>
          <w:rFonts w:ascii="Calibri" w:cs="Calibri" w:eastAsia="Calibri" w:hAnsi="Calibri"/>
          <w:b/>
          <w:bCs/>
          <w:sz w:val="21"/>
          <w:szCs w:val="21"/>
        </w:rPr>
        <w:t xml:space="preserve">4. Cuestiones formuladas y síntesis de las respuestas.</w:t>
      </w:r>
      <w:r>
        <w:rPr>
          <w:rFonts w:ascii="Calibri" w:cs="Calibri" w:eastAsia="Calibri" w:hAnsi="Calibri"/>
          <w:sz w:val="21"/>
          <w:szCs w:val="21"/>
        </w:rPr>
        <w:t xml:space="preserve"> </w:t>
      </w:r>
      <w:r>
        <w:rPr>
          <w:rFonts w:ascii="Calibri" w:cs="Calibri" w:eastAsia="Calibri" w:hAnsi="Calibri"/>
          <w:i/>
          <w:iCs/>
          <w:sz w:val="21"/>
          <w:szCs w:val="21"/>
        </w:rPr>
        <w:t xml:space="preserve">(Una fila por cuestión del apartado 3 del anuncio. La síntesis no identifica al autor de cada solución cuando ello revelaría su propuesta a los demás.)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Cuestión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Síntesis de las respuestas</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Convergencias</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Discrepancias</w:t>
            </w:r>
          </w:p>
        </w:tc>
      </w:tr>
    </w:tbl>
    <w:p>
      <w:pPr>
        <w:spacing w:after="200"/>
      </w:pPr>
    </w:p>
    <w:p>
      <w:pPr>
        <w:spacing w:after="140" w:line="276"/>
      </w:pPr>
      <w:r>
        <w:rPr>
          <w:rFonts w:ascii="Calibri" w:cs="Calibri" w:eastAsia="Calibri" w:hAnsi="Calibri"/>
          <w:b/>
          <w:bCs/>
          <w:sz w:val="21"/>
          <w:szCs w:val="21"/>
        </w:rPr>
        <w:t xml:space="preserve">5. Conclusión sobre la pluralidad de operadores.</w:t>
      </w:r>
      <w:r>
        <w:rPr>
          <w:rFonts w:ascii="Calibri" w:cs="Calibri" w:eastAsia="Calibri" w:hAnsi="Calibri"/>
          <w:sz w:val="21"/>
          <w:szCs w:val="21"/>
        </w:rPr>
        <w:t xml:space="preserve"> Del resultado de la consulta se concluye que las exigencias siguientes pueden ser cumplidas, en el plazo indicado, por un número de operadores no inferior a </w:t>
      </w:r>
      <w:r>
        <w:rPr>
          <w:rFonts w:ascii="Calibri" w:cs="Calibri" w:eastAsia="Calibri" w:hAnsi="Calibri"/>
          <w:b/>
          <w:bCs/>
          <w:sz w:val="21"/>
          <w:szCs w:val="21"/>
        </w:rPr>
        <w:t xml:space="preserve">[X; se recomienda 3]</w:t>
      </w:r>
      <w:r>
        <w:rPr>
          <w:rFonts w:ascii="Calibri" w:cs="Calibri" w:eastAsia="Calibri" w:hAnsi="Calibri"/>
          <w:sz w:val="21"/>
          <w:szCs w:val="21"/>
        </w:rPr>
        <w:t xml:space="preserv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Exigencia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N.º de operadores que acreditan poder cumplirla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Plazo mínimo que declaran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¿Se incorpora al Catálogo del ejercicio?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 se aplaza</w:t>
            </w:r>
          </w:p>
        </w:tc>
      </w:tr>
    </w:tbl>
    <w:p>
      <w:pPr>
        <w:spacing w:after="200"/>
      </w:pPr>
    </w:p>
    <w:p>
      <w:pPr>
        <w:spacing w:after="140" w:line="276"/>
      </w:pPr>
      <w:r>
        <w:rPr>
          <w:rFonts w:ascii="Calibri" w:cs="Calibri" w:eastAsia="Calibri" w:hAnsi="Calibri"/>
          <w:b/>
          <w:bCs/>
          <w:sz w:val="21"/>
          <w:szCs w:val="21"/>
        </w:rPr>
        <w:t xml:space="preserve">6. Resultados que se han tenido en cuenta al elaborar los pliegos, y resultados que no.</w:t>
      </w:r>
      <w:r>
        <w:rPr>
          <w:rFonts w:ascii="Calibri" w:cs="Calibri" w:eastAsia="Calibri" w:hAnsi="Calibri"/>
          <w:sz w:val="21"/>
          <w:szCs w:val="21"/>
        </w:rPr>
        <w:t xml:space="preserve"> Se relacionan expresamente las aportaciones que se han incorporado y, respecto de las que no se han tenido en cuenta, </w:t>
      </w:r>
      <w:r>
        <w:rPr>
          <w:rFonts w:ascii="Calibri" w:cs="Calibri" w:eastAsia="Calibri" w:hAnsi="Calibri"/>
          <w:b/>
          <w:bCs/>
          <w:sz w:val="21"/>
          <w:szCs w:val="21"/>
        </w:rPr>
        <w:t xml:space="preserve">el motivo</w:t>
      </w:r>
      <w:r>
        <w:rPr>
          <w:rFonts w:ascii="Calibri" w:cs="Calibri" w:eastAsia="Calibri" w:hAnsi="Calibri"/>
          <w:sz w:val="21"/>
          <w:szCs w:val="21"/>
        </w:rPr>
        <w:t xml:space="preserve">: ………………………… . </w:t>
      </w:r>
      <w:r>
        <w:rPr>
          <w:rFonts w:ascii="Calibri" w:cs="Calibri" w:eastAsia="Calibri" w:hAnsi="Calibri"/>
          <w:i/>
          <w:iCs/>
          <w:sz w:val="21"/>
          <w:szCs w:val="21"/>
        </w:rPr>
        <w:t xml:space="preserve">(La omisión de este apartado es el defecto más frecuente y el más fácil de reprochar: el precepto obliga a dejar constancia de los motivos.)</w:t>
      </w:r>
    </w:p>
    <w:p>
      <w:pPr>
        <w:spacing w:after="140" w:line="276"/>
      </w:pPr>
      <w:r>
        <w:rPr>
          <w:rFonts w:ascii="Calibri" w:cs="Calibri" w:eastAsia="Calibri" w:hAnsi="Calibri"/>
          <w:b/>
          <w:bCs/>
          <w:sz w:val="21"/>
          <w:szCs w:val="21"/>
        </w:rPr>
        <w:t xml:space="preserve">7. Medidas adoptadas para que la participación previa no falsee la competencia.</w:t>
      </w:r>
      <w:r>
        <w:rPr>
          <w:rFonts w:ascii="Calibri" w:cs="Calibri" w:eastAsia="Calibri" w:hAnsi="Calibri"/>
          <w:sz w:val="21"/>
          <w:szCs w:val="21"/>
        </w:rPr>
        <w:t xml:space="preserve"> Se remite al cuadro C del Anexo IX, cuyas filas se cumplimentan con la constancia documental de este expediente.</w:t>
      </w:r>
    </w:p>
    <w:p>
      <w:pPr>
        <w:spacing w:after="140" w:line="276"/>
      </w:pPr>
      <w:r>
        <w:rPr>
          <w:rFonts w:ascii="Calibri" w:cs="Calibri" w:eastAsia="Calibri" w:hAnsi="Calibri"/>
          <w:sz w:val="21"/>
          <w:szCs w:val="21"/>
        </w:rPr>
        <w:t xml:space="preserve">Firma del servicio responsable · Fecha</w:t>
      </w:r>
    </w:p>
    <w:p>
      <w:pPr>
        <w:spacing w:after="140" w:line="276"/>
      </w:pPr>
      <w:r>
        <w:rPr>
          <w:rFonts w:ascii="Calibri" w:cs="Calibri" w:eastAsia="Calibri" w:hAnsi="Calibri"/>
          <w:sz w:val="21"/>
          <w:szCs w:val="21"/>
        </w:rPr>
        <w:t xml:space="preserve">---- FIN DEL MODELO B ----</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XXIII · PRESTACIONES DE CARÁCTER INTELECTUAL: REGLA DE MOTIVACIÓN</w:t>
      </w:r>
    </w:p>
    <w:p>
      <w:pPr>
        <w:spacing w:after="140" w:line="276"/>
      </w:pPr>
      <w:r>
        <w:rPr>
          <w:rFonts w:ascii="Calibri" w:cs="Calibri" w:eastAsia="Calibri" w:hAnsi="Calibri"/>
          <w:sz w:val="21"/>
          <w:szCs w:val="21"/>
        </w:rPr>
        <w:t xml:space="preserve">Función: cerrar un concepto del que dependen tres decisiones de este catálogo y que ninguna de sus partes define. De la calificación de un contrato como de prestaciones de carácter intelectual dependen: el </w:t>
      </w:r>
      <w:r>
        <w:rPr>
          <w:rFonts w:ascii="Calibri" w:cs="Calibri" w:eastAsia="Calibri" w:hAnsi="Calibri"/>
          <w:b/>
          <w:bCs/>
          <w:sz w:val="21"/>
          <w:szCs w:val="21"/>
        </w:rPr>
        <w:t xml:space="preserve">51 %</w:t>
      </w:r>
      <w:r>
        <w:rPr>
          <w:rFonts w:ascii="Calibri" w:cs="Calibri" w:eastAsia="Calibri" w:hAnsi="Calibri"/>
          <w:sz w:val="21"/>
          <w:szCs w:val="21"/>
        </w:rPr>
        <w:t xml:space="preserve"> mínimo de criterios cualitativos (art. 145.4 LCSP), el </w:t>
      </w:r>
      <w:r>
        <w:rPr>
          <w:rFonts w:ascii="Calibri" w:cs="Calibri" w:eastAsia="Calibri" w:hAnsi="Calibri"/>
          <w:b/>
          <w:bCs/>
          <w:sz w:val="21"/>
          <w:szCs w:val="21"/>
        </w:rPr>
        <w:t xml:space="preserve">45 %</w:t>
      </w:r>
      <w:r>
        <w:rPr>
          <w:rFonts w:ascii="Calibri" w:cs="Calibri" w:eastAsia="Calibri" w:hAnsi="Calibri"/>
          <w:sz w:val="21"/>
          <w:szCs w:val="21"/>
        </w:rPr>
        <w:t xml:space="preserve"> de tope de juicio de valor en el procedimiento abierto simplificado en lugar del 25 % (art. 159.1.b), y la </w:t>
      </w:r>
      <w:r>
        <w:rPr>
          <w:rFonts w:ascii="Calibri" w:cs="Calibri" w:eastAsia="Calibri" w:hAnsi="Calibri"/>
          <w:b/>
          <w:bCs/>
          <w:sz w:val="21"/>
          <w:szCs w:val="21"/>
        </w:rPr>
        <w:t xml:space="preserve">exclusión del procedimiento abreviado</w:t>
      </w:r>
      <w:r>
        <w:rPr>
          <w:rFonts w:ascii="Calibri" w:cs="Calibri" w:eastAsia="Calibri" w:hAnsi="Calibri"/>
          <w:sz w:val="21"/>
          <w:szCs w:val="21"/>
        </w:rPr>
        <w:t xml:space="preserve"> (art. 159.6).</w:t>
      </w:r>
    </w:p>
    <w:p>
      <w:pPr>
        <w:spacing w:after="140" w:line="276"/>
      </w:pPr>
      <w:r>
        <w:rPr>
          <w:rFonts w:ascii="Calibri" w:cs="Calibri" w:eastAsia="Calibri" w:hAnsi="Calibri"/>
          <w:b/>
          <w:bCs/>
          <w:sz w:val="21"/>
          <w:szCs w:val="21"/>
        </w:rPr>
        <w:t xml:space="preserve">Advertencia de método, que se formula como se formulan en este documento todas las afirmaciones negativas.</w:t>
      </w:r>
      <w:r>
        <w:rPr>
          <w:rFonts w:ascii="Calibri" w:cs="Calibri" w:eastAsia="Calibri" w:hAnsi="Calibri"/>
          <w:sz w:val="21"/>
          <w:szCs w:val="21"/>
        </w:rPr>
        <w:t xml:space="preserve"> La Ley de Contratos del Sector Público emplea la expresión en los preceptos citados y no la define. Este catálogo </w:t>
      </w:r>
      <w:r>
        <w:rPr>
          <w:rFonts w:ascii="Calibri" w:cs="Calibri" w:eastAsia="Calibri" w:hAnsi="Calibri"/>
          <w:b/>
          <w:bCs/>
          <w:sz w:val="21"/>
          <w:szCs w:val="21"/>
        </w:rPr>
        <w:t xml:space="preserve">no ha verificado en fuente primaria</w:t>
      </w:r>
      <w:r>
        <w:rPr>
          <w:rFonts w:ascii="Calibri" w:cs="Calibri" w:eastAsia="Calibri" w:hAnsi="Calibri"/>
          <w:sz w:val="21"/>
          <w:szCs w:val="21"/>
        </w:rPr>
        <w:t xml:space="preserve"> doctrina que delimite el concepto para los contratos de servicios informáticos; la comprobación queda encargada antes de aprobar cualquier expediente que se apoye en la calificación, y se añade a las comprobaciones pendientes del Anexo XI.3. Lo que sigue no es, por tanto, una definición: es una </w:t>
      </w:r>
      <w:r>
        <w:rPr>
          <w:rFonts w:ascii="Calibri" w:cs="Calibri" w:eastAsia="Calibri" w:hAnsi="Calibri"/>
          <w:b/>
          <w:bCs/>
          <w:sz w:val="21"/>
          <w:szCs w:val="21"/>
        </w:rPr>
        <w:t xml:space="preserve">regla de motivación</w:t>
      </w:r>
      <w:r>
        <w:rPr>
          <w:rFonts w:ascii="Calibri" w:cs="Calibri" w:eastAsia="Calibri" w:hAnsi="Calibri"/>
          <w:sz w:val="21"/>
          <w:szCs w:val="21"/>
        </w:rPr>
        <w:t xml:space="preserve">, y su valor está en obligar a escribir el razonamiento donde tiene que estar.</w:t>
      </w:r>
    </w:p>
    <w:p>
      <w:pPr>
        <w:spacing w:after="140" w:line="276"/>
      </w:pPr>
      <w:r>
        <w:rPr>
          <w:rFonts w:ascii="Calibri" w:cs="Calibri" w:eastAsia="Calibri" w:hAnsi="Calibri"/>
          <w:b/>
          <w:bCs/>
          <w:sz w:val="21"/>
          <w:szCs w:val="21"/>
        </w:rPr>
        <w:t xml:space="preserve">Regla primera: la calificación se motiva en el expediente, antes de aprobar el pliego, y no se deduce del objeto.</w:t>
      </w:r>
      <w:r>
        <w:rPr>
          <w:rFonts w:ascii="Calibri" w:cs="Calibri" w:eastAsia="Calibri" w:hAnsi="Calibri"/>
          <w:sz w:val="21"/>
          <w:szCs w:val="21"/>
        </w:rPr>
        <w:t xml:space="preserve"> No basta con que el contrato sea de servicios informáticos. Se motiva por escrito, en el Informe de Necesidad, y la motivación se traslada a la memoria de criterios.</w:t>
      </w:r>
    </w:p>
    <w:p>
      <w:pPr>
        <w:spacing w:after="140" w:line="276"/>
      </w:pPr>
      <w:r>
        <w:rPr>
          <w:rFonts w:ascii="Calibri" w:cs="Calibri" w:eastAsia="Calibri" w:hAnsi="Calibri"/>
          <w:b/>
          <w:bCs/>
          <w:sz w:val="21"/>
          <w:szCs w:val="21"/>
        </w:rPr>
        <w:t xml:space="preserve">Regla segunda: se motiva sobre la prestación, no sobre el sector.</w:t>
      </w:r>
      <w:r>
        <w:rPr>
          <w:rFonts w:ascii="Calibri" w:cs="Calibri" w:eastAsia="Calibri" w:hAnsi="Calibri"/>
          <w:sz w:val="21"/>
          <w:szCs w:val="21"/>
        </w:rPr>
        <w:t xml:space="preserve"> Los indicios que sostienen la calificación, que deben concurrir de forma acumulativa y acreditarse uno a uno: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Indicio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Cómo se acredita en el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prestación consiste principalmente en </w:t>
            </w:r>
            <w:r>
              <w:rPr>
                <w:rFonts w:ascii="Calibri" w:cs="Calibri" w:eastAsia="Calibri" w:hAnsi="Calibri"/>
                <w:b/>
                <w:bCs/>
                <w:sz w:val="18"/>
                <w:szCs w:val="18"/>
              </w:rPr>
              <w:t xml:space="preserve">análisis, diseño, concepción o elaboración</w:t>
            </w:r>
            <w:r>
              <w:rPr>
                <w:rFonts w:ascii="Calibri" w:cs="Calibri" w:eastAsia="Calibri" w:hAnsi="Calibri"/>
                <w:b w:val="false"/>
                <w:bCs w:val="false"/>
                <w:sz w:val="18"/>
                <w:szCs w:val="18"/>
              </w:rPr>
              <w:t xml:space="preserve">, y su resultado no es un bien ni un servicio predeterminado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Descripción del entregable principal: si es un producto ya existente que se instala y se mantiene, el indicio no concurre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resultado </w:t>
            </w:r>
            <w:r>
              <w:rPr>
                <w:rFonts w:ascii="Calibri" w:cs="Calibri" w:eastAsia="Calibri" w:hAnsi="Calibri"/>
                <w:b/>
                <w:bCs/>
                <w:sz w:val="18"/>
                <w:szCs w:val="18"/>
              </w:rPr>
              <w:t xml:space="preserve">varía sustancialmente</w:t>
            </w:r>
            <w:r>
              <w:rPr>
                <w:rFonts w:ascii="Calibri" w:cs="Calibri" w:eastAsia="Calibri" w:hAnsi="Calibri"/>
                <w:b w:val="false"/>
                <w:bCs w:val="false"/>
                <w:sz w:val="18"/>
                <w:szCs w:val="18"/>
              </w:rPr>
              <w:t xml:space="preserve"> según la aptitud y el criterio profesional de quien lo ejecuta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Comparación razonada de dos soluciones posibles para la misma necesidad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calidad del resultado </w:t>
            </w:r>
            <w:r>
              <w:rPr>
                <w:rFonts w:ascii="Calibri" w:cs="Calibri" w:eastAsia="Calibri" w:hAnsi="Calibri"/>
                <w:b/>
                <w:bCs/>
                <w:sz w:val="18"/>
                <w:szCs w:val="18"/>
              </w:rPr>
              <w:t xml:space="preserve">no puede asegurarse mediante prescripciones técnicas cerradas</w:t>
            </w:r>
            <w:r>
              <w:rPr>
                <w:rFonts w:ascii="Calibri" w:cs="Calibri" w:eastAsia="Calibri" w:hAnsi="Calibri"/>
                <w:b w:val="false"/>
                <w:bCs w:val="false"/>
                <w:sz w:val="18"/>
                <w:szCs w:val="18"/>
              </w:rPr>
              <w:t xml:space="preserve"> y sólo se comprueba valorando la solución propuesta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Motivación de por qué el PPT no puede describir exhaustivamente el resultado exigido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coste está determinado principalmente por el </w:t>
            </w:r>
            <w:r>
              <w:rPr>
                <w:rFonts w:ascii="Calibri" w:cs="Calibri" w:eastAsia="Calibri" w:hAnsi="Calibri"/>
                <w:b/>
                <w:bCs/>
                <w:sz w:val="18"/>
                <w:szCs w:val="18"/>
              </w:rPr>
              <w:t xml:space="preserve">esfuerzo profesional cualificado</w:t>
            </w:r>
            <w:r>
              <w:rPr>
                <w:rFonts w:ascii="Calibri" w:cs="Calibri" w:eastAsia="Calibri" w:hAnsi="Calibri"/>
                <w:b w:val="false"/>
                <w:bCs w:val="false"/>
                <w:sz w:val="18"/>
                <w:szCs w:val="18"/>
              </w:rPr>
              <w:t xml:space="preserve">, y no por licencias, equipos o infraestructura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Desglose del presupuesto base de licitación por partidas</w:t>
            </w:r>
          </w:p>
        </w:tc>
      </w:tr>
    </w:tbl>
    <w:p>
      <w:pPr>
        <w:spacing w:after="200"/>
      </w:pPr>
    </w:p>
    <w:p>
      <w:pPr>
        <w:spacing w:after="140" w:line="276"/>
      </w:pPr>
      <w:r>
        <w:rPr>
          <w:rFonts w:ascii="Calibri" w:cs="Calibri" w:eastAsia="Calibri" w:hAnsi="Calibri"/>
          <w:b/>
          <w:bCs/>
          <w:sz w:val="21"/>
          <w:szCs w:val="21"/>
        </w:rPr>
        <w:t xml:space="preserve">Regla tercera: la calificación tiene consecuencias en cadena, y se comprueban todas antes de publicar.</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Si el contrato </w:t>
            </w:r>
            <w:r>
              <w:rPr>
                <w:rFonts w:ascii="Calibri" w:cs="Calibri" w:eastAsia="Calibri" w:hAnsi="Calibri"/>
                <w:b/>
                <w:bCs/>
                <w:color w:val="1F3864"/>
                <w:sz w:val="18"/>
                <w:szCs w:val="18"/>
              </w:rPr>
              <w:t xml:space="preserve">es</w:t>
            </w:r>
            <w:r>
              <w:rPr>
                <w:rFonts w:ascii="Calibri" w:cs="Calibri" w:eastAsia="Calibri" w:hAnsi="Calibri"/>
                <w:b/>
                <w:bCs/>
                <w:color w:val="1F3864"/>
                <w:sz w:val="18"/>
                <w:szCs w:val="18"/>
              </w:rPr>
              <w:t xml:space="preserve"> de prestaciones de carácter intelectual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Si </w:t>
            </w:r>
            <w:r>
              <w:rPr>
                <w:rFonts w:ascii="Calibri" w:cs="Calibri" w:eastAsia="Calibri" w:hAnsi="Calibri"/>
                <w:b/>
                <w:bCs/>
                <w:color w:val="1F3864"/>
                <w:sz w:val="18"/>
                <w:szCs w:val="18"/>
              </w:rPr>
              <w:t xml:space="preserve">no</w:t>
            </w:r>
            <w:r>
              <w:rPr>
                <w:rFonts w:ascii="Calibri" w:cs="Calibri" w:eastAsia="Calibri" w:hAnsi="Calibri"/>
                <w:b/>
                <w:bCs/>
                <w:color w:val="1F3864"/>
                <w:sz w:val="18"/>
                <w:szCs w:val="18"/>
              </w:rPr>
              <w:t xml:space="preserve"> lo 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Los criterios cualitativos deben representar al menos el </w:t>
            </w:r>
            <w:r>
              <w:rPr>
                <w:rFonts w:ascii="Calibri" w:cs="Calibri" w:eastAsia="Calibri" w:hAnsi="Calibri"/>
                <w:b/>
                <w:bCs/>
                <w:sz w:val="18"/>
                <w:szCs w:val="18"/>
              </w:rPr>
              <w:t xml:space="preserve">51 %</w:t>
            </w:r>
            <w:r>
              <w:rPr>
                <w:rFonts w:ascii="Calibri" w:cs="Calibri" w:eastAsia="Calibri" w:hAnsi="Calibri"/>
                <w:b w:val="false"/>
                <w:bCs w:val="false"/>
                <w:sz w:val="18"/>
                <w:szCs w:val="18"/>
              </w:rPr>
              <w:t xml:space="preserve"> de la puntuación (art. 145.4)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opera ese mínimo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el abierto simplificado, el juicio de valor puede llegar al </w:t>
            </w:r>
            <w:r>
              <w:rPr>
                <w:rFonts w:ascii="Calibri" w:cs="Calibri" w:eastAsia="Calibri" w:hAnsi="Calibri"/>
                <w:b/>
                <w:bCs/>
                <w:sz w:val="18"/>
                <w:szCs w:val="18"/>
              </w:rPr>
              <w:t xml:space="preserve">45 %</w:t>
            </w:r>
            <w:r>
              <w:rPr>
                <w:rFonts w:ascii="Calibri" w:cs="Calibri" w:eastAsia="Calibri" w:hAnsi="Calibri"/>
                <w:b w:val="false"/>
                <w:bCs w:val="false"/>
                <w:sz w:val="18"/>
                <w:szCs w:val="18"/>
              </w:rPr>
              <w:t xml:space="preserve"> (art. 159.1.b)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tope es el </w:t>
            </w:r>
            <w:r>
              <w:rPr>
                <w:rFonts w:ascii="Calibri" w:cs="Calibri" w:eastAsia="Calibri" w:hAnsi="Calibri"/>
                <w:b/>
                <w:bCs/>
                <w:sz w:val="18"/>
                <w:szCs w:val="18"/>
              </w:rPr>
              <w:t xml:space="preserve">25 %</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cabe el procedimiento abreviado</w:t>
            </w:r>
            <w:r>
              <w:rPr>
                <w:rFonts w:ascii="Calibri" w:cs="Calibri" w:eastAsia="Calibri" w:hAnsi="Calibri"/>
                <w:b w:val="false"/>
                <w:bCs w:val="false"/>
                <w:sz w:val="18"/>
                <w:szCs w:val="18"/>
              </w:rPr>
              <w:t xml:space="preserve"> (art. 159.6)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Cabe, si se cumplen sus demás requisitos</w:t>
            </w:r>
          </w:p>
        </w:tc>
      </w:tr>
    </w:tbl>
    <w:p>
      <w:pPr>
        <w:spacing w:after="200"/>
      </w:pPr>
    </w:p>
    <w:p>
      <w:pPr>
        <w:spacing w:after="140" w:line="276"/>
      </w:pPr>
      <w:r>
        <w:rPr>
          <w:rFonts w:ascii="Calibri" w:cs="Calibri" w:eastAsia="Calibri" w:hAnsi="Calibri"/>
          <w:b/>
          <w:bCs/>
          <w:sz w:val="21"/>
          <w:szCs w:val="21"/>
        </w:rPr>
        <w:t xml:space="preserve">Regla cuarta, y es la que más veces se incumple: la calificación no se usa a conveniencia.</w:t>
      </w:r>
      <w:r>
        <w:rPr>
          <w:rFonts w:ascii="Calibri" w:cs="Calibri" w:eastAsia="Calibri" w:hAnsi="Calibri"/>
          <w:sz w:val="21"/>
          <w:szCs w:val="21"/>
        </w:rPr>
        <w:t xml:space="preserve"> Un expediente no puede invocar el carácter intelectual para justificar un 45 % de juicio de valor y, en el mismo pliego, tramitar por el procedimiento abreviado, que esa misma calificación excluye. Ni puede invocarlo para el 51 % y negarlo al calcular el tope del simplificado. </w:t>
      </w:r>
      <w:r>
        <w:rPr>
          <w:rFonts w:ascii="Calibri" w:cs="Calibri" w:eastAsia="Calibri" w:hAnsi="Calibri"/>
          <w:b/>
          <w:bCs/>
          <w:sz w:val="21"/>
          <w:szCs w:val="21"/>
        </w:rPr>
        <w:t xml:space="preserve">La calificación es una y produce todos sus efectos.</w:t>
      </w:r>
      <w:r>
        <w:rPr>
          <w:rFonts w:ascii="Calibri" w:cs="Calibri" w:eastAsia="Calibri" w:hAnsi="Calibri"/>
          <w:sz w:val="21"/>
          <w:szCs w:val="21"/>
        </w:rPr>
        <w:t xml:space="preserve"> El aviso correspondiente figura en el Anexo IV, comprobaciones 2, 3 y 4.</w:t>
      </w:r>
    </w:p>
    <w:p>
      <w:pPr>
        <w:spacing w:after="140" w:line="276"/>
      </w:pPr>
      <w:r>
        <w:rPr>
          <w:rFonts w:ascii="Calibri" w:cs="Calibri" w:eastAsia="Calibri" w:hAnsi="Calibri"/>
          <w:b/>
          <w:bCs/>
          <w:sz w:val="21"/>
          <w:szCs w:val="21"/>
        </w:rPr>
        <w:t xml:space="preserve">Regla quinta: por defecto, no se califica.</w:t>
      </w:r>
      <w:r>
        <w:rPr>
          <w:rFonts w:ascii="Calibri" w:cs="Calibri" w:eastAsia="Calibri" w:hAnsi="Calibri"/>
          <w:sz w:val="21"/>
          <w:szCs w:val="21"/>
        </w:rPr>
        <w:t xml:space="preserve"> Cuando el contrato tenga por objeto el suministro, la implantación y el mantenimiento evolutivo de una solución de mercado —que es el supuesto ordinario de este catálogo—, la calificación </w:t>
      </w:r>
      <w:r>
        <w:rPr>
          <w:rFonts w:ascii="Calibri" w:cs="Calibri" w:eastAsia="Calibri" w:hAnsi="Calibri"/>
          <w:b/>
          <w:bCs/>
          <w:sz w:val="21"/>
          <w:szCs w:val="21"/>
        </w:rPr>
        <w:t xml:space="preserve">no</w:t>
      </w:r>
      <w:r>
        <w:rPr>
          <w:rFonts w:ascii="Calibri" w:cs="Calibri" w:eastAsia="Calibri" w:hAnsi="Calibri"/>
          <w:sz w:val="21"/>
          <w:szCs w:val="21"/>
        </w:rPr>
        <w:t xml:space="preserve"> procede, y el expediente lo dice en una línea. Calificar por inercia un contrato de mantenimiento como prestación intelectual, para elevar el peso del juicio de valor, es exactamente lo que un órgano de recursos comprueba primero.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XXIV · CONTRATOS YA FORMALIZADOS CON LA VERSIÓN 2 DEL CLAUSULADO</w:t>
      </w:r>
    </w:p>
    <w:p>
      <w:pPr>
        <w:spacing w:after="140" w:line="276"/>
      </w:pPr>
      <w:r>
        <w:rPr>
          <w:rFonts w:ascii="Calibri" w:cs="Calibri" w:eastAsia="Calibri" w:hAnsi="Calibri"/>
          <w:sz w:val="21"/>
          <w:szCs w:val="21"/>
        </w:rPr>
        <w:t xml:space="preserve">Función: resolver el caso que el resto del documento no cubre. La tabla de correspondencias del Anexo XII dice a quien </w:t>
      </w:r>
      <w:r>
        <w:rPr>
          <w:rFonts w:ascii="Calibri" w:cs="Calibri" w:eastAsia="Calibri" w:hAnsi="Calibri"/>
          <w:b/>
          <w:bCs/>
          <w:sz w:val="21"/>
          <w:szCs w:val="21"/>
        </w:rPr>
        <w:t xml:space="preserve">va a redactar</w:t>
      </w:r>
      <w:r>
        <w:rPr>
          <w:rFonts w:ascii="Calibri" w:cs="Calibri" w:eastAsia="Calibri" w:hAnsi="Calibri"/>
          <w:sz w:val="21"/>
          <w:szCs w:val="21"/>
        </w:rPr>
        <w:t xml:space="preserve"> qué debe rectificar; el circuito del expediente cubre las prórrogas; el piloto cubre lo que está por licitar. Falta el contrato </w:t>
      </w:r>
      <w:r>
        <w:rPr>
          <w:rFonts w:ascii="Calibri" w:cs="Calibri" w:eastAsia="Calibri" w:hAnsi="Calibri"/>
          <w:b/>
          <w:bCs/>
          <w:sz w:val="21"/>
          <w:szCs w:val="21"/>
        </w:rPr>
        <w:t xml:space="preserve">vivo, formalizado y en ejecución</w:t>
      </w:r>
      <w:r>
        <w:rPr>
          <w:rFonts w:ascii="Calibri" w:cs="Calibri" w:eastAsia="Calibri" w:hAnsi="Calibri"/>
          <w:sz w:val="21"/>
          <w:szCs w:val="21"/>
        </w:rPr>
        <w:t xml:space="preserve"> con cláusulas de la versión 2.</w:t>
      </w:r>
    </w:p>
    <w:p>
      <w:pPr>
        <w:spacing w:after="140" w:line="276"/>
      </w:pPr>
      <w:r>
        <w:rPr>
          <w:rFonts w:ascii="Calibri" w:cs="Calibri" w:eastAsia="Calibri" w:hAnsi="Calibri"/>
          <w:sz w:val="21"/>
          <w:szCs w:val="21"/>
        </w:rPr>
        <w:t xml:space="preserve">*</w:t>
      </w:r>
      <w:r>
        <w:rPr>
          <w:rFonts w:ascii="Calibri" w:cs="Calibri" w:eastAsia="Calibri" w:hAnsi="Calibri"/>
          <w:i/>
          <w:iCs/>
          <w:sz w:val="21"/>
          <w:szCs w:val="21"/>
        </w:rPr>
        <w:t xml:space="preserve">Regla primera, y de ella deriva todo lo demás: los pliegos son </w:t>
      </w:r>
      <w:r>
        <w:rPr>
          <w:rFonts w:ascii="Calibri" w:cs="Calibri" w:eastAsia="Calibri" w:hAnsi="Calibri"/>
          <w:sz w:val="21"/>
          <w:szCs w:val="21"/>
        </w:rPr>
        <w:t xml:space="preserve">lex contractus</w:t>
      </w:r>
      <w:r>
        <w:rPr>
          <w:rFonts w:ascii="Calibri" w:cs="Calibri" w:eastAsia="Calibri" w:hAnsi="Calibri"/>
          <w:i/>
          <w:iCs/>
          <w:sz w:val="21"/>
          <w:szCs w:val="21"/>
        </w:rPr>
        <w:t xml:space="preserve">.</w:t>
      </w:r>
      <w:r>
        <w:rPr>
          <w:rFonts w:ascii="Calibri" w:cs="Calibri" w:eastAsia="Calibri" w:hAnsi="Calibri"/>
          <w:sz w:val="21"/>
          <w:szCs w:val="21"/>
        </w:rPr>
        <w:t xml:space="preserve">* Las correcciones de la versión 3 </w:t>
      </w:r>
      <w:r>
        <w:rPr>
          <w:rFonts w:ascii="Calibri" w:cs="Calibri" w:eastAsia="Calibri" w:hAnsi="Calibri"/>
          <w:b/>
          <w:bCs/>
          <w:sz w:val="21"/>
          <w:szCs w:val="21"/>
        </w:rPr>
        <w:t xml:space="preserve">no se aplican retroactivamente</w:t>
      </w:r>
      <w:r>
        <w:rPr>
          <w:rFonts w:ascii="Calibri" w:cs="Calibri" w:eastAsia="Calibri" w:hAnsi="Calibri"/>
          <w:sz w:val="21"/>
          <w:szCs w:val="21"/>
        </w:rPr>
        <w:t xml:space="preserve"> a un contrato en vigor. Lo pactado es lo que figura en sus pliegos, con sus defectos. Nada de lo que este catálogo diga altera un contrato ya formalizado, y así se hace constar en la resolución de aprobación anual del Anexo XV.</w:t>
      </w:r>
    </w:p>
    <w:p>
      <w:pPr>
        <w:spacing w:after="140" w:line="276"/>
      </w:pPr>
      <w:r>
        <w:rPr>
          <w:rFonts w:ascii="Calibri" w:cs="Calibri" w:eastAsia="Calibri" w:hAnsi="Calibri"/>
          <w:b/>
          <w:bCs/>
          <w:sz w:val="21"/>
          <w:szCs w:val="21"/>
        </w:rPr>
        <w:t xml:space="preserve">Regla segunda: lo que no se puede hacer.</w:t>
      </w:r>
    </w:p>
    <w:p>
      <w:pPr>
        <w:pStyle w:val="ListParagraph"/>
        <w:numPr>
          <w:ilvl w:val="0"/>
          <w:numId w:val="1"/>
        </w:numPr>
        <w:spacing w:after="70" w:line="268"/>
      </w:pPr>
      <w:r>
        <w:rPr>
          <w:rFonts w:ascii="Calibri" w:cs="Calibri" w:eastAsia="Calibri" w:hAnsi="Calibri"/>
          <w:b/>
          <w:bCs/>
          <w:sz w:val="21"/>
          <w:szCs w:val="21"/>
        </w:rPr>
        <w:t xml:space="preserve">No se introducen las cláusulas de la versión 3 por la vía de una modificación contractual.</w:t>
      </w:r>
      <w:r>
        <w:rPr>
          <w:rFonts w:ascii="Calibri" w:cs="Calibri" w:eastAsia="Calibri" w:hAnsi="Calibri"/>
          <w:sz w:val="21"/>
          <w:szCs w:val="21"/>
        </w:rPr>
        <w:t xml:space="preserve"> Una modificación no prevista de las del artículo 205 de la LCSP exige que concurran sus supuestos; añadir obligaciones nuevas al contratista porque el Ayuntamiento ha mejorado su clausulado no es ninguno de ellos. Intentarlo produce una modificación anulable y un contratista con derecho a reclamar.</w:t>
      </w:r>
    </w:p>
    <w:p>
      <w:pPr>
        <w:pStyle w:val="ListParagraph"/>
        <w:numPr>
          <w:ilvl w:val="0"/>
          <w:numId w:val="1"/>
        </w:numPr>
        <w:spacing w:after="70" w:line="268"/>
      </w:pPr>
      <w:r>
        <w:rPr>
          <w:rFonts w:ascii="Calibri" w:cs="Calibri" w:eastAsia="Calibri" w:hAnsi="Calibri"/>
          <w:b/>
          <w:bCs/>
          <w:sz w:val="21"/>
          <w:szCs w:val="21"/>
        </w:rPr>
        <w:t xml:space="preserve">No se reinterpretan las cláusulas de la versión 2 con el vocabulario de la versión 3.</w:t>
      </w:r>
      <w:r>
        <w:rPr>
          <w:rFonts w:ascii="Calibri" w:cs="Calibri" w:eastAsia="Calibri" w:hAnsi="Calibri"/>
          <w:sz w:val="21"/>
          <w:szCs w:val="21"/>
        </w:rPr>
        <w:t xml:space="preserve"> Si el contrato dice «obsolescencia tecnológica» con la definición abierta que la versión 3 abandonó, esa es la obligación pactada, y su indeterminación juega contra quien la redactó.</w:t>
      </w:r>
    </w:p>
    <w:p>
      <w:pPr>
        <w:pStyle w:val="ListParagraph"/>
        <w:numPr>
          <w:ilvl w:val="0"/>
          <w:numId w:val="1"/>
        </w:numPr>
        <w:spacing w:after="70" w:line="268"/>
      </w:pPr>
      <w:r>
        <w:rPr>
          <w:rFonts w:ascii="Calibri" w:cs="Calibri" w:eastAsia="Calibri" w:hAnsi="Calibri"/>
          <w:b/>
          <w:bCs/>
          <w:sz w:val="21"/>
          <w:szCs w:val="21"/>
        </w:rPr>
        <w:t xml:space="preserve">No se penaliza sobre hechos que el contrato no tipifica.</w:t>
      </w:r>
      <w:r>
        <w:rPr>
          <w:rFonts w:ascii="Calibri" w:cs="Calibri" w:eastAsia="Calibri" w:hAnsi="Calibri"/>
          <w:sz w:val="21"/>
          <w:szCs w:val="21"/>
        </w:rPr>
        <w:t xml:space="preserve"> El cuadro de penalidades de la versión 3 no es aplicable a un contrato que no lo incorpora.</w:t>
      </w:r>
    </w:p>
    <w:p>
      <w:pPr>
        <w:spacing w:after="140" w:line="276"/>
      </w:pPr>
      <w:r>
        <w:rPr>
          <w:rFonts w:ascii="Calibri" w:cs="Calibri" w:eastAsia="Calibri" w:hAnsi="Calibri"/>
          <w:b/>
          <w:bCs/>
          <w:sz w:val="21"/>
          <w:szCs w:val="21"/>
        </w:rPr>
        <w:t xml:space="preserve">Regla tercera: lo que sí se puede hacer, por orden de menor a mayor intervención.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Actuación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Cuándo procede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 qué se documenta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Inventariar</w:t>
            </w:r>
            <w:r>
              <w:rPr>
                <w:rFonts w:ascii="Calibri" w:cs="Calibri" w:eastAsia="Calibri" w:hAnsi="Calibri"/>
                <w:b w:val="false"/>
                <w:bCs w:val="false"/>
                <w:sz w:val="18"/>
                <w:szCs w:val="18"/>
              </w:rPr>
              <w:t xml:space="preserve"> los contratos vivos con cláusulas de la versión 2, con su fecha de finalización y de prórroga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Siempre, y es lo primero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Relación firmada por el responsable de cada contrato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Ejercer las facultades que el contrato ya concede</w:t>
            </w:r>
            <w:r>
              <w:rPr>
                <w:rFonts w:ascii="Calibri" w:cs="Calibri" w:eastAsia="Calibri" w:hAnsi="Calibri"/>
                <w:b w:val="false"/>
                <w:bCs w:val="false"/>
                <w:sz w:val="18"/>
                <w:szCs w:val="18"/>
              </w:rPr>
              <w:t xml:space="preserve"> —seguimiento, informes, entrega de documentación— aunque el contrato no las llame como las llama la versión 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Siempre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Actas del Anexo XVIII, adaptadas al contenido del contrato de que se trate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Solicitar del contratista, sin contraprestación y con carácter voluntario</w:t>
            </w:r>
            <w:r>
              <w:rPr>
                <w:rFonts w:ascii="Calibri" w:cs="Calibri" w:eastAsia="Calibri" w:hAnsi="Calibri"/>
                <w:b w:val="false"/>
                <w:bCs w:val="false"/>
                <w:sz w:val="18"/>
                <w:szCs w:val="18"/>
              </w:rPr>
              <w:t xml:space="preserve">, la entrega anticipada del inventario de componentes y del diccionario de datos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Cuando el contrato no los prevea y el contratista acceda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Acuerdo escrito que </w:t>
            </w:r>
            <w:r>
              <w:rPr>
                <w:rFonts w:ascii="Calibri" w:cs="Calibri" w:eastAsia="Calibri" w:hAnsi="Calibri"/>
                <w:b/>
                <w:bCs/>
                <w:sz w:val="18"/>
                <w:szCs w:val="18"/>
              </w:rPr>
              <w:t xml:space="preserve">declare expresamente su carácter voluntario y gratuito</w:t>
            </w:r>
            <w:r>
              <w:rPr>
                <w:rFonts w:ascii="Calibri" w:cs="Calibri" w:eastAsia="Calibri" w:hAnsi="Calibri"/>
                <w:b w:val="false"/>
                <w:bCs w:val="false"/>
                <w:sz w:val="18"/>
                <w:szCs w:val="18"/>
              </w:rPr>
              <w:t xml:space="preserve">, y que no altera el contrato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Preparar la reversión con lo que el contrato dé de 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Desde el penúltimo 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Ensayo con el modelo B del Anexo XVIII, en la medida en que el contrato lo permita; y en su defecto, informe que deje constancia de lo que </w:t>
            </w: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puede exigirse, para la siguiente licitación</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prorrogar</w:t>
            </w:r>
            <w:r>
              <w:rPr>
                <w:rFonts w:ascii="Calibri" w:cs="Calibri" w:eastAsia="Calibri" w:hAnsi="Calibri"/>
                <w:b w:val="false"/>
                <w:bCs w:val="false"/>
                <w:sz w:val="18"/>
                <w:szCs w:val="18"/>
              </w:rPr>
              <w:t xml:space="preserve">, cuando la prórroga sea potestativa y el contrato carezca de reversibilidad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Cuando el informe anterior acredite el riesgo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motivado previo al acuerdo de prórroga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Aplicar el catálogo íntegro en la licitación siguiente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Siempre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Ficha del Anexo II e Informe de Necesidad del nuevo expediente</w:t>
            </w:r>
          </w:p>
        </w:tc>
      </w:tr>
    </w:tbl>
    <w:p>
      <w:pPr>
        <w:spacing w:after="200"/>
      </w:pPr>
    </w:p>
    <w:p>
      <w:pPr>
        <w:spacing w:after="140" w:line="276"/>
      </w:pPr>
      <w:r>
        <w:rPr>
          <w:rFonts w:ascii="Calibri" w:cs="Calibri" w:eastAsia="Calibri" w:hAnsi="Calibri"/>
          <w:b/>
          <w:bCs/>
          <w:sz w:val="21"/>
          <w:szCs w:val="21"/>
        </w:rPr>
        <w:t xml:space="preserve">Regla cuarta: las prórrogas.</w:t>
      </w:r>
      <w:r>
        <w:rPr>
          <w:rFonts w:ascii="Calibri" w:cs="Calibri" w:eastAsia="Calibri" w:hAnsi="Calibri"/>
          <w:sz w:val="21"/>
          <w:szCs w:val="21"/>
        </w:rPr>
        <w:t xml:space="preserve"> En una prórroga no caben obligaciones nuevas. Lo que sí cabe, y conviene, es que el informe que la propone deje constancia de qué exigencias del catálogo </w:t>
      </w:r>
      <w:r>
        <w:rPr>
          <w:rFonts w:ascii="Calibri" w:cs="Calibri" w:eastAsia="Calibri" w:hAnsi="Calibri"/>
          <w:b/>
          <w:bCs/>
          <w:sz w:val="21"/>
          <w:szCs w:val="21"/>
        </w:rPr>
        <w:t xml:space="preserve">no</w:t>
      </w:r>
      <w:r>
        <w:rPr>
          <w:rFonts w:ascii="Calibri" w:cs="Calibri" w:eastAsia="Calibri" w:hAnsi="Calibri"/>
          <w:sz w:val="21"/>
          <w:szCs w:val="21"/>
        </w:rPr>
        <w:t xml:space="preserve"> pueden introducirse y de qué consecuencias tiene, para que la decisión de prorrogar se adopte sabiendo lo que se prorroga.</w:t>
      </w:r>
    </w:p>
    <w:p>
      <w:pPr>
        <w:spacing w:after="140" w:line="276"/>
      </w:pPr>
      <w:r>
        <w:rPr>
          <w:rFonts w:ascii="Calibri" w:cs="Calibri" w:eastAsia="Calibri" w:hAnsi="Calibri"/>
          <w:b/>
          <w:bCs/>
          <w:sz w:val="21"/>
          <w:szCs w:val="21"/>
        </w:rPr>
        <w:t xml:space="preserve">Regla quinta, y es la única buena noticia del anexo: el valor está en la siguiente licitación.</w:t>
      </w:r>
      <w:r>
        <w:rPr>
          <w:rFonts w:ascii="Calibri" w:cs="Calibri" w:eastAsia="Calibri" w:hAnsi="Calibri"/>
          <w:sz w:val="21"/>
          <w:szCs w:val="21"/>
        </w:rPr>
        <w:t xml:space="preserve"> Un contrato vivo mal cubierto no se arregla; se documenta. El Dossier de Reversibilidad que hoy no existe se sustituye por el informe de lo que no puede exigirse, y ese informe es el mejor material de partida del pliego siguiente. Es también el argumento más eficaz ante el órgano de gobierno para aprobar el acuerdo del Anexo VIII.</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XXV · REGLA DE COMPOSICIÓN Y NUMERACIÓN DE LOS APÉNDICES TÉCNICOS DEL PLIEGO</w:t>
      </w:r>
    </w:p>
    <w:p>
      <w:pPr>
        <w:spacing w:after="140" w:line="276"/>
      </w:pPr>
      <w:r>
        <w:rPr>
          <w:rFonts w:ascii="Calibri" w:cs="Calibri" w:eastAsia="Calibri" w:hAnsi="Calibri"/>
          <w:sz w:val="21"/>
          <w:szCs w:val="21"/>
        </w:rPr>
        <w:t xml:space="preserve">Función: entregar la matriz funcional que sirve de base al criterio C1 y evitar que tres cláusulas técnicas remitan cada una a «el apéndice de este pliego» sin que nadie diga cuántos son ni cómo se numeran. El criterio C1 y las cláusulas DT-4·v3, DT-7·v3 y DT-9·v3 exigen apéndice, y el Anexo XIX de este catálogo añade uno más. Un pliego con apéndices sin rotular produce remisiones que no resuelven.</w:t>
      </w:r>
    </w:p>
    <w:p>
      <w:pPr>
        <w:spacing w:after="140" w:line="276"/>
      </w:pPr>
      <w:r>
        <w:rPr>
          <w:rFonts w:ascii="Calibri" w:cs="Calibri" w:eastAsia="Calibri" w:hAnsi="Calibri"/>
          <w:b/>
          <w:bCs/>
          <w:sz w:val="21"/>
          <w:szCs w:val="21"/>
        </w:rPr>
        <w:t xml:space="preserve">Una sola sede para la interfaz normalizada.</w:t>
      </w:r>
      <w:r>
        <w:rPr>
          <w:rFonts w:ascii="Calibri" w:cs="Calibri" w:eastAsia="Calibri" w:hAnsi="Calibri"/>
          <w:sz w:val="21"/>
          <w:szCs w:val="21"/>
        </w:rPr>
        <w:t xml:space="preserve"> DT-7·v3 y DT-9·v3 versan sobre el mismo elemento —los módulos y las funciones de la interfaz normalizada— y comparten un </w:t>
      </w:r>
      <w:r>
        <w:rPr>
          <w:rFonts w:ascii="Calibri" w:cs="Calibri" w:eastAsia="Calibri" w:hAnsi="Calibri"/>
          <w:b/>
          <w:bCs/>
          <w:sz w:val="21"/>
          <w:szCs w:val="21"/>
        </w:rPr>
        <w:t xml:space="preserve">único apéndice</w:t>
      </w:r>
      <w:r>
        <w:rPr>
          <w:rFonts w:ascii="Calibri" w:cs="Calibri" w:eastAsia="Calibri" w:hAnsi="Calibri"/>
          <w:sz w:val="21"/>
          <w:szCs w:val="21"/>
        </w:rPr>
        <w:t xml:space="preserve">. La versión anterior de esta regla les daba uno a cada una, con el resultado de que un pliego montado al pie de la letra tenía </w:t>
      </w:r>
      <w:r>
        <w:rPr>
          <w:rFonts w:ascii="Calibri" w:cs="Calibri" w:eastAsia="Calibri" w:hAnsi="Calibri"/>
          <w:b/>
          <w:bCs/>
          <w:sz w:val="21"/>
          <w:szCs w:val="21"/>
        </w:rPr>
        <w:t xml:space="preserve">dos relaciones cerradas sobre la misma interfaz</w:t>
      </w:r>
      <w:r>
        <w:rPr>
          <w:rFonts w:ascii="Calibri" w:cs="Calibri" w:eastAsia="Calibri" w:hAnsi="Calibri"/>
          <w:sz w:val="21"/>
          <w:szCs w:val="21"/>
        </w:rPr>
        <w:t xml:space="preserve"> y el criterio de adjudicación A no decía respecto de cuál se medía el exceso ofertado: indeterminación del término de comparación de un criterio automático (arts. 145.5.b y 145.5.c LCSP) y el vicio que la regla V.A.1.7 del Anexo V declara inadmisible. Los módulos, las funciones mínimas y las funciones adicionales ofertables se relacionan </w:t>
      </w:r>
      <w:r>
        <w:rPr>
          <w:rFonts w:ascii="Calibri" w:cs="Calibri" w:eastAsia="Calibri" w:hAnsi="Calibri"/>
          <w:b/>
          <w:bCs/>
          <w:sz w:val="21"/>
          <w:szCs w:val="21"/>
        </w:rPr>
        <w:t xml:space="preserve">exclusivamente</w:t>
      </w:r>
      <w:r>
        <w:rPr>
          <w:rFonts w:ascii="Calibri" w:cs="Calibri" w:eastAsia="Calibri" w:hAnsi="Calibri"/>
          <w:sz w:val="21"/>
          <w:szCs w:val="21"/>
        </w:rPr>
        <w:t xml:space="preserve"> en el apartado inicial del Apéndice técnico 2, delante de la transcripción del Catálogo del ejercicio.</w:t>
      </w:r>
    </w:p>
    <w:p>
      <w:pPr>
        <w:spacing w:after="140" w:line="276"/>
      </w:pPr>
      <w:r>
        <w:rPr>
          <w:rFonts w:ascii="Calibri" w:cs="Calibri" w:eastAsia="Calibri" w:hAnsi="Calibri"/>
          <w:b/>
          <w:bCs/>
          <w:sz w:val="21"/>
          <w:szCs w:val="21"/>
        </w:rPr>
        <w:t xml:space="preserve">Regla de composición del PPT.</w:t>
      </w:r>
      <w:r>
        <w:rPr>
          <w:rFonts w:ascii="Calibri" w:cs="Calibri" w:eastAsia="Calibri" w:hAnsi="Calibri"/>
          <w:sz w:val="21"/>
          <w:szCs w:val="21"/>
        </w:rPr>
        <w:t xml:space="preserve"> Todo pliego de prescripciones técnicas que incorpore cláusulas de este catálogo se compone de: (a) el cuerpo del pliego; (b) los apéndices técnicos que siguen, en este orden y con esta rotulación; y (c) los que el objeto del contrato exija además, numerados a continuación.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N.º</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Rótulo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Contenido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 que lo exige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Se suprime si…</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Apéndice técnico 0</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Matriz de requisitos funcionales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Dos bloques cerrados y numerados: A, requisitos mínimos obligatorios, que no puntúan; B, requisitos funcionales valorables, que constituyen la única base del criterio C1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ADM-7·v3, criterio C1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baremo no incorpora C1. Si el bloque B queda vacío, C1 se suprime y el baremo se recompone antes de publicar</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Apéndice técnico 1</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Procesos automatizables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 </w:t>
            </w:r>
            <w:r>
              <w:rPr>
                <w:rFonts w:ascii="Calibri" w:cs="Calibri" w:eastAsia="Calibri" w:hAnsi="Calibri"/>
                <w:b/>
                <w:bCs/>
                <w:sz w:val="18"/>
                <w:szCs w:val="18"/>
              </w:rPr>
              <w:t xml:space="preserve">cerrada y numerada</w:t>
            </w:r>
            <w:r>
              <w:rPr>
                <w:rFonts w:ascii="Calibri" w:cs="Calibri" w:eastAsia="Calibri" w:hAnsi="Calibri"/>
                <w:b w:val="false"/>
                <w:bCs w:val="false"/>
                <w:sz w:val="18"/>
                <w:szCs w:val="18"/>
              </w:rPr>
              <w:t xml:space="preserve"> de los procesos cuya automatización se exige como mínimo, y de los que pueden ofertarse por encima del mínimo, separados en dos bloques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DT-4·v3 se marca NO APLICA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Apéndice técnico 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Exigencias tecnológicas determinadas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Dos apartados, en este orden: (i) relación cerrada y numerada de los módulos sobre los que se expone la interfaz, de las </w:t>
            </w:r>
            <w:r>
              <w:rPr>
                <w:rFonts w:ascii="Calibri" w:cs="Calibri" w:eastAsia="Calibri" w:hAnsi="Calibri"/>
                <w:b/>
                <w:bCs/>
                <w:sz w:val="18"/>
                <w:szCs w:val="18"/>
              </w:rPr>
              <w:t xml:space="preserve">funciones mínimas</w:t>
            </w:r>
            <w:r>
              <w:rPr>
                <w:rFonts w:ascii="Calibri" w:cs="Calibri" w:eastAsia="Calibri" w:hAnsi="Calibri"/>
                <w:b w:val="false"/>
                <w:bCs w:val="false"/>
                <w:sz w:val="18"/>
                <w:szCs w:val="18"/>
              </w:rPr>
              <w:t xml:space="preserve"> exigidas y, en bloque separado, de las </w:t>
            </w:r>
            <w:r>
              <w:rPr>
                <w:rFonts w:ascii="Calibri" w:cs="Calibri" w:eastAsia="Calibri" w:hAnsi="Calibri"/>
                <w:b/>
                <w:bCs/>
                <w:sz w:val="18"/>
                <w:szCs w:val="18"/>
              </w:rPr>
              <w:t xml:space="preserve">funciones adicionales ofertables</w:t>
            </w:r>
            <w:r>
              <w:rPr>
                <w:rFonts w:ascii="Calibri" w:cs="Calibri" w:eastAsia="Calibri" w:hAnsi="Calibri"/>
                <w:b w:val="false"/>
                <w:bCs w:val="false"/>
                <w:sz w:val="18"/>
                <w:szCs w:val="18"/>
              </w:rPr>
              <w:t xml:space="preserve">, que es la única base del criterio A; y (ii) transcripción física del Catálogo de Exigencias Tecnológicas del ejercicio, con su versión y su fecha, recortado a los módulos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DT-7·v3, DT-9·v3 y Anexo V</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Ambas</w:t>
            </w:r>
            <w:r>
              <w:rPr>
                <w:rFonts w:ascii="Calibri" w:cs="Calibri" w:eastAsia="Calibri" w:hAnsi="Calibri"/>
                <w:b w:val="false"/>
                <w:bCs w:val="false"/>
                <w:sz w:val="18"/>
                <w:szCs w:val="18"/>
              </w:rPr>
              <w:t xml:space="preserve"> se marcan NO APLICA. Si sólo se marca NO APLICA DT-7·v3, decae el apartado (i); si sólo se marca NO APLICA DT-9·v3, decae el apartado (ii). El apéndice conserva rótulo y número en los dos casos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Apéndice técnico 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Vigencia normativa de las exigencias de este pliego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extracto del Anexo XIX, con su fecha de corte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se incorpora ninguna cláusula que distinga entre obligación legal y exigencia contractual anticipada</w:t>
            </w:r>
          </w:p>
        </w:tc>
      </w:tr>
    </w:tbl>
    <w:p>
      <w:pPr>
        <w:spacing w:after="200"/>
      </w:pPr>
    </w:p>
    <w:p>
      <w:pPr>
        <w:spacing w:after="140" w:line="276"/>
      </w:pPr>
      <w:r>
        <w:rPr>
          <w:rFonts w:ascii="Calibri" w:cs="Calibri" w:eastAsia="Calibri" w:hAnsi="Calibri"/>
          <w:b/>
          <w:bCs/>
          <w:sz w:val="21"/>
          <w:szCs w:val="21"/>
        </w:rPr>
        <w:t xml:space="preserve">Modelo del Apéndice técnico 0.</w:t>
      </w:r>
      <w:r>
        <w:rPr>
          <w:rFonts w:ascii="Calibri" w:cs="Calibri" w:eastAsia="Calibri" w:hAnsi="Calibri"/>
          <w:sz w:val="21"/>
          <w:szCs w:val="21"/>
        </w:rPr>
        <w:t xml:space="preserve"> Se cumplimenta antes de publicar y se transcribe físicamente al PPT. Las filas se enuncian por el resultado funcional exigido, sin nombrar productos ni describir cómo debe implementarse.</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APÉNDICE TÉCNICO 0 · MATRIZ DE REQUISITOS FUNCIONALES</w:t>
            </w:r>
          </w:p>
          <w:p>
            <w:pPr>
              <w:spacing w:after="100" w:line="264"/>
            </w:pPr>
            <w:r>
              <w:rPr>
                <w:rFonts w:ascii="Georgia" w:cs="Georgia" w:eastAsia="Georgia" w:hAnsi="Georgia"/>
                <w:b/>
                <w:bCs/>
                <w:sz w:val="20"/>
                <w:szCs w:val="20"/>
              </w:rPr>
              <w:t xml:space="preserve">Bloque A · Requisitos mínimos obligatorios.</w:t>
            </w:r>
            <w:r>
              <w:rPr>
                <w:rFonts w:ascii="Georgia" w:cs="Georgia" w:eastAsia="Georgia" w:hAnsi="Georgia"/>
                <w:sz w:val="20"/>
                <w:szCs w:val="20"/>
              </w:rPr>
              <w:t xml:space="preserve"> Todos los requisitos de este bloque son prescripciones técnicas mínimas. Su cumplimiento no atribuye puntuación y su incumplimiento se trata conforme al régimen de admisión de ofertas fijado en los pliegos.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N.º</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Requisito funcional mínimo obligatorio, enunciado por resultado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Momento en que debe estar operativo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80"/>
            </w:pPr>
          </w:p>
          <w:p>
            <w:pPr>
              <w:spacing w:after="100" w:line="264"/>
            </w:pPr>
            <w:r>
              <w:rPr>
                <w:rFonts w:ascii="Georgia" w:cs="Georgia" w:eastAsia="Georgia" w:hAnsi="Georgia"/>
                <w:b/>
                <w:bCs/>
                <w:sz w:val="20"/>
                <w:szCs w:val="20"/>
              </w:rPr>
              <w:t xml:space="preserve">Bloque B · Requisitos funcionales valorables.</w:t>
            </w:r>
            <w:r>
              <w:rPr>
                <w:rFonts w:ascii="Georgia" w:cs="Georgia" w:eastAsia="Georgia" w:hAnsi="Georgia"/>
                <w:sz w:val="20"/>
                <w:szCs w:val="20"/>
              </w:rPr>
              <w:t xml:space="preserve"> Esta relación es cerrada: sólo sus filas pueden atribuir puntuación en el criterio C1.</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N.º</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Requisito funcional valorable, enunciado por resultado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Compromiso del licitador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Versión y módulo que lo soporta o hito de desarrollo comprometido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80"/>
            </w:pPr>
          </w:p>
          <w:p>
            <w:pPr>
              <w:spacing w:after="100" w:line="264"/>
            </w:pPr>
            <w:r>
              <w:rPr>
                <w:rFonts w:ascii="Georgia" w:cs="Georgia" w:eastAsia="Georgia" w:hAnsi="Georgia"/>
                <w:b/>
                <w:bCs/>
                <w:sz w:val="20"/>
                <w:szCs w:val="20"/>
              </w:rPr>
              <w:t xml:space="preserve">Regla de valoración.</w:t>
            </w:r>
            <w:r>
              <w:rPr>
                <w:rFonts w:ascii="Georgia" w:cs="Georgia" w:eastAsia="Georgia" w:hAnsi="Georgia"/>
                <w:sz w:val="20"/>
                <w:szCs w:val="20"/>
              </w:rPr>
              <w:t xml:space="preserve"> C(i) es el número de filas del bloque B que el licitador marque «Sí» y acredite por el medio documental del criterio C1. Se aplica la fórmula de cantidad publicada en el PCAP, correspondiente a la fórmula E del Anexo XVII del catálogo, con </w:t>
            </w:r>
            <w:r>
              <w:rPr>
                <w:rFonts w:ascii="Georgia" w:cs="Georgia" w:eastAsia="Georgia" w:hAnsi="Georgia"/>
                <w:b/>
                <w:bCs/>
                <w:sz w:val="20"/>
                <w:szCs w:val="20"/>
              </w:rPr>
              <w:t xml:space="preserve">Cmín = 0</w:t>
            </w:r>
            <w:r>
              <w:rPr>
                <w:rFonts w:ascii="Georgia" w:cs="Georgia" w:eastAsia="Georgia" w:hAnsi="Georgia"/>
                <w:sz w:val="20"/>
                <w:szCs w:val="20"/>
              </w:rPr>
              <w:t xml:space="preserve"> y </w:t>
            </w:r>
            <w:r>
              <w:rPr>
                <w:rFonts w:ascii="Georgia" w:cs="Georgia" w:eastAsia="Georgia" w:hAnsi="Georgia"/>
                <w:b/>
                <w:bCs/>
                <w:sz w:val="20"/>
                <w:szCs w:val="20"/>
              </w:rPr>
              <w:t xml:space="preserve">Ctecho = número total de filas publicadas en el bloque B</w:t>
            </w:r>
            <w:r>
              <w:rPr>
                <w:rFonts w:ascii="Georgia" w:cs="Georgia" w:eastAsia="Georgia" w:hAnsi="Georgia"/>
                <w:sz w:val="20"/>
                <w:szCs w:val="20"/>
              </w:rPr>
              <w:t xml:space="preserve">. Las filas del bloque A no puntúan. Si el bloque B queda vacío, se suprime C1 y se recompone el baremo antes de publicar el anuncio.</w:t>
            </w:r>
          </w:p>
        </w:tc>
      </w:tr>
    </w:tbl>
    <w:p>
      <w:pPr>
        <w:spacing w:after="220"/>
      </w:pPr>
    </w:p>
    <w:p>
      <w:pPr>
        <w:spacing w:after="140" w:line="276"/>
      </w:pPr>
      <w:r>
        <w:rPr>
          <w:rFonts w:ascii="Calibri" w:cs="Calibri" w:eastAsia="Calibri" w:hAnsi="Calibri"/>
          <w:b/>
          <w:bCs/>
          <w:sz w:val="21"/>
          <w:szCs w:val="21"/>
        </w:rPr>
        <w:t xml:space="preserve">Reglas de aplicación.</w:t>
      </w:r>
    </w:p>
    <w:p>
      <w:pPr>
        <w:pStyle w:val="ListParagraph"/>
        <w:numPr>
          <w:ilvl w:val="0"/>
          <w:numId w:val="2"/>
        </w:numPr>
        <w:spacing w:after="70" w:line="268"/>
      </w:pPr>
      <w:r>
        <w:rPr>
          <w:rFonts w:ascii="Calibri" w:cs="Calibri" w:eastAsia="Calibri" w:hAnsi="Calibri"/>
          <w:b/>
          <w:bCs/>
          <w:sz w:val="21"/>
          <w:szCs w:val="21"/>
        </w:rPr>
        <w:t xml:space="preserve">Los apéndices no se renumeran al suprimir uno.</w:t>
      </w:r>
      <w:r>
        <w:rPr>
          <w:rFonts w:ascii="Calibri" w:cs="Calibri" w:eastAsia="Calibri" w:hAnsi="Calibri"/>
          <w:sz w:val="21"/>
          <w:szCs w:val="21"/>
        </w:rPr>
        <w:t xml:space="preserve"> Si el Apéndice técnico 0 o el Apéndice técnico 1 no proceden, se hace constar en el índice «Apéndice técnico 0 · No procede» o «Apéndice técnico 1 · No procede», respectivamente, y se conservan los números de los siguientes. Renumerar rompe todas las remisiones del cuerpo del pliego, que es exactamente el defecto que este anexo evita.</w:t>
      </w:r>
    </w:p>
    <w:p>
      <w:pPr>
        <w:pStyle w:val="ListParagraph"/>
        <w:numPr>
          <w:ilvl w:val="0"/>
          <w:numId w:val="2"/>
        </w:numPr>
        <w:spacing w:after="70" w:line="268"/>
      </w:pPr>
      <w:r>
        <w:rPr>
          <w:rFonts w:ascii="Calibri" w:cs="Calibri" w:eastAsia="Calibri" w:hAnsi="Calibri"/>
          <w:b/>
          <w:bCs/>
          <w:sz w:val="21"/>
          <w:szCs w:val="21"/>
        </w:rPr>
        <w:t xml:space="preserve">Las remisiones del cuerpo del pliego citan el rótulo completo</w:t>
      </w:r>
      <w:r>
        <w:rPr>
          <w:rFonts w:ascii="Calibri" w:cs="Calibri" w:eastAsia="Calibri" w:hAnsi="Calibri"/>
          <w:sz w:val="21"/>
          <w:szCs w:val="21"/>
        </w:rPr>
        <w:t xml:space="preserve">, no sólo el número: «el Apéndice técnico 2 · Exigencias tecnológicas determinadas». Cuando la remisión se refiera sólo a una parte del apéndice, se cita también el apartado: «el apartado de módulos y funciones de la interfaz normalizada del Apéndice técnico 2 · Exigencias tecnológicas determinadas».</w:t>
      </w:r>
    </w:p>
    <w:p>
      <w:pPr>
        <w:pStyle w:val="ListParagraph"/>
        <w:numPr>
          <w:ilvl w:val="0"/>
          <w:numId w:val="2"/>
        </w:numPr>
        <w:spacing w:after="70" w:line="268"/>
      </w:pPr>
      <w:r>
        <w:rPr>
          <w:rFonts w:ascii="Calibri" w:cs="Calibri" w:eastAsia="Calibri" w:hAnsi="Calibri"/>
          <w:b/>
          <w:bCs/>
          <w:sz w:val="21"/>
          <w:szCs w:val="21"/>
        </w:rPr>
        <w:t xml:space="preserve">Los anexos del PCAP se numeran por separado y con numeración propia del expediente.</w:t>
      </w:r>
      <w:r>
        <w:rPr>
          <w:rFonts w:ascii="Calibri" w:cs="Calibri" w:eastAsia="Calibri" w:hAnsi="Calibri"/>
          <w:sz w:val="21"/>
          <w:szCs w:val="21"/>
        </w:rPr>
        <w:t xml:space="preserve"> No se emplea la numeración romana de este catálogo para los anexos de un pliego: el Anexo IX de este catálogo es la declaración de conflicto de interés y el X es la tabla de parámetros, y un redactor que siga esa remisión aterriza en el documento equivocado. En el articulado, las remisiones a anexos del pliego se escriben </w:t>
      </w:r>
      <w:r>
        <w:rPr>
          <w:rFonts w:ascii="Calibri" w:cs="Calibri" w:eastAsia="Calibri" w:hAnsi="Calibri"/>
          <w:b/>
          <w:bCs/>
          <w:sz w:val="21"/>
          <w:szCs w:val="21"/>
        </w:rPr>
        <w:t xml:space="preserve">«Anexo [ ] de este pliego»</w:t>
      </w:r>
      <w:r>
        <w:rPr>
          <w:rFonts w:ascii="Calibri" w:cs="Calibri" w:eastAsia="Calibri" w:hAnsi="Calibri"/>
          <w:sz w:val="21"/>
          <w:szCs w:val="21"/>
        </w:rPr>
        <w:t xml:space="preserve">, y el número lo pone el redactor del expediente.</w:t>
      </w:r>
    </w:p>
    <w:p>
      <w:pPr>
        <w:pStyle w:val="ListParagraph"/>
        <w:numPr>
          <w:ilvl w:val="0"/>
          <w:numId w:val="2"/>
        </w:numPr>
        <w:spacing w:after="70" w:line="268"/>
      </w:pPr>
      <w:r>
        <w:rPr>
          <w:rFonts w:ascii="Calibri" w:cs="Calibri" w:eastAsia="Calibri" w:hAnsi="Calibri"/>
          <w:b/>
          <w:bCs/>
          <w:sz w:val="21"/>
          <w:szCs w:val="21"/>
        </w:rPr>
        <w:t xml:space="preserve">Todo apéndice se transcribe físicamente.</w:t>
      </w:r>
      <w:r>
        <w:rPr>
          <w:rFonts w:ascii="Calibri" w:cs="Calibri" w:eastAsia="Calibri" w:hAnsi="Calibri"/>
          <w:sz w:val="21"/>
          <w:szCs w:val="21"/>
        </w:rPr>
        <w:t xml:space="preserve"> Ninguno se incorpora por remisión a un documento municipal revisable.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NOTA DE ALCANCE · INSTRUMENTOS QUE ESTA VERSIÓN NO ENTREGA</w:t>
      </w:r>
    </w:p>
    <w:p>
      <w:pPr>
        <w:spacing w:after="140" w:line="276"/>
      </w:pPr>
      <w:r>
        <w:rPr>
          <w:rFonts w:ascii="Calibri" w:cs="Calibri" w:eastAsia="Calibri" w:hAnsi="Calibri"/>
          <w:sz w:val="21"/>
          <w:szCs w:val="21"/>
        </w:rPr>
        <w:t xml:space="preserve">Este catálogo se ha comprometido a no afirmar lo que no ha comprobado. La misma regla obliga a no anunciar lo que no entrega. </w:t>
      </w:r>
      <w:r>
        <w:rPr>
          <w:rFonts w:ascii="Calibri" w:cs="Calibri" w:eastAsia="Calibri" w:hAnsi="Calibri"/>
          <w:b/>
          <w:bCs/>
          <w:sz w:val="21"/>
          <w:szCs w:val="21"/>
        </w:rPr>
        <w:t xml:space="preserve">Dos instrumentos que este documento invoca no se incluyen en la versión 3.0, y se dice aquí para que ningún índice, ninguna remisión y ninguna memoria los den por disponibles.</w:t>
      </w:r>
    </w:p>
    <w:p>
      <w:pPr>
        <w:spacing w:after="140" w:line="276"/>
      </w:pPr>
      <w:r>
        <w:rPr>
          <w:rFonts w:ascii="Calibri" w:cs="Calibri" w:eastAsia="Calibri" w:hAnsi="Calibri"/>
          <w:b/>
          <w:bCs/>
          <w:sz w:val="21"/>
          <w:szCs w:val="21"/>
        </w:rPr>
        <w:t xml:space="preserve">1. Pliegos-tipo ensamblados (PPT-tipo y PCAP-tipo).</w:t>
      </w:r>
      <w:r>
        <w:rPr>
          <w:rFonts w:ascii="Calibri" w:cs="Calibri" w:eastAsia="Calibri" w:hAnsi="Calibri"/>
          <w:sz w:val="21"/>
          <w:szCs w:val="21"/>
        </w:rPr>
        <w:t xml:space="preserve"> La necesidad se formuló con estas palabras: lo que se usa un martes por la mañana no es el documento doctrinal, son los pliegos-tipo ensamblados para los perfiles de contrato frecuentes. Es una petición fundada y este documento la asume. </w:t>
      </w:r>
      <w:r>
        <w:rPr>
          <w:rFonts w:ascii="Calibri" w:cs="Calibri" w:eastAsia="Calibri" w:hAnsi="Calibri"/>
          <w:b/>
          <w:bCs/>
          <w:sz w:val="21"/>
          <w:szCs w:val="21"/>
        </w:rPr>
        <w:t xml:space="preserve">No se entrega en esta versión.</w:t>
      </w:r>
      <w:r>
        <w:rPr>
          <w:rFonts w:ascii="Calibri" w:cs="Calibri" w:eastAsia="Calibri" w:hAnsi="Calibri"/>
          <w:sz w:val="21"/>
          <w:szCs w:val="21"/>
        </w:rPr>
        <w:t xml:space="preserve"> Mientras no se entregue, el redactor compone el pliego a partir de los bloques </w:t>
      </w:r>
      <w:r>
        <w:rPr>
          <w:rFonts w:ascii="Calibri" w:cs="Calibri" w:eastAsia="Calibri" w:hAnsi="Calibri"/>
          <w:color w:val="2F5496"/>
          <w:sz w:val="21"/>
          <w:szCs w:val="21"/>
        </w:rPr>
        <w:t xml:space="preserve">:::pliego</w:t>
      </w:r>
      <w:r>
        <w:rPr>
          <w:rFonts w:ascii="Calibri" w:cs="Calibri" w:eastAsia="Calibri" w:hAnsi="Calibri"/>
          <w:sz w:val="21"/>
          <w:szCs w:val="21"/>
        </w:rPr>
        <w:t xml:space="preserve"> de las Partes I a III y de los apéndices del Anexo XXV, siguiendo el circuito de la Parte V. Se deja constancia de que el catálogo, sin los pliegos-tipo, exige del redactor un trabajo de ensamblado que los pliegos-tipo eliminarían, y de que ese trabajo es la causa principal de que un catálogo bien construido se lea y no se aplique.</w:t>
      </w:r>
    </w:p>
    <w:p>
      <w:pPr>
        <w:spacing w:after="140" w:line="276"/>
      </w:pPr>
      <w:r>
        <w:rPr>
          <w:rFonts w:ascii="Calibri" w:cs="Calibri" w:eastAsia="Calibri" w:hAnsi="Calibri"/>
          <w:b/>
          <w:bCs/>
          <w:sz w:val="21"/>
          <w:szCs w:val="21"/>
        </w:rPr>
        <w:t xml:space="preserve">2. Expediente piloto completo.</w:t>
      </w:r>
      <w:r>
        <w:rPr>
          <w:rFonts w:ascii="Calibri" w:cs="Calibri" w:eastAsia="Calibri" w:hAnsi="Calibri"/>
          <w:sz w:val="21"/>
          <w:szCs w:val="21"/>
        </w:rPr>
        <w:t xml:space="preserve"> La Parte VI resuelve el caso —calificación, categoría de seguridad, cláusulas aplicables y no aplicables, catálogo recortado, baremo, umbrales, verificadores y carga— pero </w:t>
      </w:r>
      <w:r>
        <w:rPr>
          <w:rFonts w:ascii="Calibri" w:cs="Calibri" w:eastAsia="Calibri" w:hAnsi="Calibri"/>
          <w:b/>
          <w:bCs/>
          <w:sz w:val="21"/>
          <w:szCs w:val="21"/>
        </w:rPr>
        <w:t xml:space="preserve">no entrega el expediente documento a documento</w:t>
      </w:r>
      <w:r>
        <w:rPr>
          <w:rFonts w:ascii="Calibri" w:cs="Calibri" w:eastAsia="Calibri" w:hAnsi="Calibri"/>
          <w:sz w:val="21"/>
          <w:szCs w:val="21"/>
        </w:rPr>
        <w:t xml:space="preserve">. Los documentos del circuito figuran enumerados en la Parte V, y buena parte de ellos está modelizada en los anexos II, III, IV, XIV, XV, XVIII, XX y XXII de esta parte; lo que falta es el juego completo, cumplimentado con los datos del contrato piloto, y el modelo de los documentos del circuito que ningún anexo cubre. </w:t>
      </w:r>
      <w:r>
        <w:rPr>
          <w:rFonts w:ascii="Calibri" w:cs="Calibri" w:eastAsia="Calibri" w:hAnsi="Calibri"/>
          <w:b/>
          <w:bCs/>
          <w:sz w:val="21"/>
          <w:szCs w:val="21"/>
        </w:rPr>
        <w:t xml:space="preserve">No se entrega en esta versión.</w:t>
      </w:r>
    </w:p>
    <w:p>
      <w:pPr>
        <w:spacing w:after="140" w:line="276"/>
      </w:pPr>
      <w:r>
        <w:rPr>
          <w:rFonts w:ascii="Calibri" w:cs="Calibri" w:eastAsia="Calibri" w:hAnsi="Calibri"/>
          <w:b/>
          <w:bCs/>
          <w:sz w:val="21"/>
          <w:szCs w:val="21"/>
        </w:rPr>
        <w:t xml:space="preserve">Compromiso.</w:t>
      </w:r>
      <w:r>
        <w:rPr>
          <w:rFonts w:ascii="Calibri" w:cs="Calibri" w:eastAsia="Calibri" w:hAnsi="Calibri"/>
          <w:sz w:val="21"/>
          <w:szCs w:val="21"/>
        </w:rPr>
        <w:t xml:space="preserve"> Ambos instrumentos quedan incorporados al compromiso de evaluación del piloto: los informes a los seis y a los doce meses se pronunciarán sobre su necesidad real y sobre el perfil de contrato por el que conviene empezar. Un documento que promete en su índice lo que no contiene pierde más credibilidad que uno que reconoce lo que le falta.</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NOTA FINAL · CUSTODIA Y VERSIONADO DE ESTE DOCUMENTO</w:t>
      </w:r>
    </w:p>
    <w:p>
      <w:pPr>
        <w:spacing w:after="140" w:line="276"/>
      </w:pPr>
      <w:r>
        <w:rPr>
          <w:rFonts w:ascii="Calibri" w:cs="Calibri" w:eastAsia="Calibri" w:hAnsi="Calibri"/>
          <w:sz w:val="21"/>
          <w:szCs w:val="21"/>
        </w:rPr>
        <w:t xml:space="preserve">Un catálogo del que circulan cinco copias distintas deja de ser un catálogo. Antes de su publicación debe quedar resuelto, y hacerse constar en el acuerdo de aprobación:</w:t>
      </w:r>
    </w:p>
    <w:p>
      <w:pPr>
        <w:pStyle w:val="ListParagraph"/>
        <w:numPr>
          <w:ilvl w:val="0"/>
          <w:numId w:val="2"/>
        </w:numPr>
        <w:spacing w:after="70" w:line="268"/>
      </w:pPr>
      <w:r>
        <w:rPr>
          <w:rFonts w:ascii="Calibri" w:cs="Calibri" w:eastAsia="Calibri" w:hAnsi="Calibri"/>
          <w:b/>
          <w:bCs/>
          <w:sz w:val="21"/>
          <w:szCs w:val="21"/>
        </w:rPr>
        <w:t xml:space="preserve">Dónde vive el maestro.</w:t>
      </w:r>
      <w:r>
        <w:rPr>
          <w:rFonts w:ascii="Calibri" w:cs="Calibri" w:eastAsia="Calibri" w:hAnsi="Calibri"/>
          <w:sz w:val="21"/>
          <w:szCs w:val="21"/>
        </w:rPr>
        <w:t xml:space="preserve"> Una única ubicación oficial, publicada en el perfil de contratante y en el portal de transparencia, en formato reutilizable. Toda copia de trabajo se identifica como tal.</w:t>
      </w:r>
    </w:p>
    <w:p>
      <w:pPr>
        <w:pStyle w:val="ListParagraph"/>
        <w:numPr>
          <w:ilvl w:val="0"/>
          <w:numId w:val="2"/>
        </w:numPr>
        <w:spacing w:after="70" w:line="268"/>
      </w:pPr>
      <w:r>
        <w:rPr>
          <w:rFonts w:ascii="Calibri" w:cs="Calibri" w:eastAsia="Calibri" w:hAnsi="Calibri"/>
          <w:b/>
          <w:bCs/>
          <w:sz w:val="21"/>
          <w:szCs w:val="21"/>
        </w:rPr>
        <w:t xml:space="preserve">Quién lo versiona.</w:t>
      </w:r>
      <w:r>
        <w:rPr>
          <w:rFonts w:ascii="Calibri" w:cs="Calibri" w:eastAsia="Calibri" w:hAnsi="Calibri"/>
          <w:sz w:val="21"/>
          <w:szCs w:val="21"/>
        </w:rPr>
        <w:t xml:space="preserve"> El servicio promotor, mediante propuesta al órgano que lo aprobó. Las versiones se numeran y se fechan; ninguna sustituye a la anterior sin acuerdo expreso.</w:t>
      </w:r>
    </w:p>
    <w:p>
      <w:pPr>
        <w:pStyle w:val="ListParagraph"/>
        <w:numPr>
          <w:ilvl w:val="0"/>
          <w:numId w:val="2"/>
        </w:numPr>
        <w:spacing w:after="70" w:line="268"/>
      </w:pPr>
      <w:r>
        <w:rPr>
          <w:rFonts w:ascii="Calibri" w:cs="Calibri" w:eastAsia="Calibri" w:hAnsi="Calibri"/>
          <w:b/>
          <w:bCs/>
          <w:sz w:val="21"/>
          <w:szCs w:val="21"/>
        </w:rPr>
        <w:t xml:space="preserve">Cómo se sabe cuál es la vigente.</w:t>
      </w:r>
      <w:r>
        <w:rPr>
          <w:rFonts w:ascii="Calibri" w:cs="Calibri" w:eastAsia="Calibri" w:hAnsi="Calibri"/>
          <w:sz w:val="21"/>
          <w:szCs w:val="21"/>
        </w:rPr>
        <w:t xml:space="preserve"> Cada pliego cita la versión del catálogo y la versión del Catálogo de Exigencias Tecnológicas que aplica, con su fecha. Esa cita es la que permite, dos años después, saber qué se exigió exactamente.</w:t>
      </w:r>
    </w:p>
    <w:p>
      <w:pPr>
        <w:pStyle w:val="ListParagraph"/>
        <w:numPr>
          <w:ilvl w:val="0"/>
          <w:numId w:val="2"/>
        </w:numPr>
        <w:spacing w:after="70" w:line="268"/>
      </w:pPr>
      <w:r>
        <w:rPr>
          <w:rFonts w:ascii="Calibri" w:cs="Calibri" w:eastAsia="Calibri" w:hAnsi="Calibri"/>
          <w:b/>
          <w:bCs/>
          <w:sz w:val="21"/>
          <w:szCs w:val="21"/>
        </w:rPr>
        <w:t xml:space="preserve">Qué se revisa y cuándo.</w:t>
      </w:r>
      <w:r>
        <w:rPr>
          <w:rFonts w:ascii="Calibri" w:cs="Calibri" w:eastAsia="Calibri" w:hAnsi="Calibri"/>
          <w:sz w:val="21"/>
          <w:szCs w:val="21"/>
        </w:rPr>
        <w:t xml:space="preserve"> El Catálogo de Exigencias Tecnológicas, cada año, con contraste de mercado. El articulado, sólo cuando la evaluación del piloto o un cambio normativo lo exijan. La separación entre ambos ritmos es deliberada: es lo que permite que la revisión anual ocurra de verdad y que el articulado no se reabra cada doce meses.</w:t>
      </w:r>
    </w:p>
    <w:p>
      <w:pPr>
        <w:pStyle w:val="ListParagraph"/>
        <w:numPr>
          <w:ilvl w:val="0"/>
          <w:numId w:val="2"/>
        </w:numPr>
        <w:spacing w:after="70" w:line="268"/>
      </w:pPr>
      <w:r>
        <w:rPr>
          <w:rFonts w:ascii="Calibri" w:cs="Calibri" w:eastAsia="Calibri" w:hAnsi="Calibri"/>
          <w:b/>
          <w:bCs/>
          <w:sz w:val="21"/>
          <w:szCs w:val="21"/>
        </w:rPr>
        <w:t xml:space="preserve">Qué se hace con lo que se aprende.</w:t>
      </w:r>
      <w:r>
        <w:rPr>
          <w:rFonts w:ascii="Calibri" w:cs="Calibri" w:eastAsia="Calibri" w:hAnsi="Calibri"/>
          <w:sz w:val="21"/>
          <w:szCs w:val="21"/>
        </w:rPr>
        <w:t xml:space="preserve"> Los informes de evaluación del piloto (VI.8) concluyen con propuesta motivada de ajuste del catálogo, del anexo anual y de los valores por defecto del Anexo X. Un catálogo que no se corrige con lo que aprende envejece igual que el pliego que pretende sustituir.</w:t>
      </w:r>
    </w:p>
    <w:sectPr>
      <w:headerReference w:type="default" r:id="rId7"/>
      <w:footerReference w:type="default" r:id="rId8"/>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spacing w:after="200"/>
      <w:jc w:val="right"/>
    </w:pPr>
    <w:r>
      <w:rPr>
        <w:rFonts w:ascii="Calibri" w:cs="Calibri" w:eastAsia="Calibri" w:hAnsi="Calibri"/>
        <w:color w:val="595959"/>
        <w:sz w:val="16"/>
        <w:szCs w:val="16"/>
      </w:rPr>
      <w:t xml:space="preserve">Cláusulas de IA y Deep Tech · versión 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bxajzsmrueiiug9sllz7" Type="http://schemas.openxmlformats.org/officeDocument/2006/relationships/hyperlink" Target="https://www.ufv.es/una-nueva-definicion-para-las-ciudades-que-transformaran-el-mundo-noticias-actualidad/" TargetMode="External"/><Relationship Id="rIdsafrcwdk2jgmsi54lynch" Type="http://schemas.openxmlformats.org/officeDocument/2006/relationships/hyperlink" Target="https://miguelangeldominguez.info" TargetMode="External"/><Relationship Id="rIdq35wlk326nvjqyxr2gego" Type="http://schemas.openxmlformats.org/officeDocument/2006/relationships/hyperlink" Target="https://www.pozuelodealarcon.org/tu-ayuntamiento/organizacion-municipal/trayectoria-profesional-delfina-lafuente-veira" TargetMode="External"/><Relationship Id="rId1v7srxbqgbmkvhauqqawn" Type="http://schemas.openxmlformats.org/officeDocument/2006/relationships/hyperlink" Target="https://www.linkedin.com/in/garvia/" TargetMode="External"/><Relationship Id="rIdw4td0jkrfp5knlcj571cd" Type="http://schemas.openxmlformats.org/officeDocument/2006/relationships/hyperlink" Target="https://creativecommons.org/licenses/by/4.0/deed.es" TargetMode="External"/><Relationship Id="rIdka76geql3jox5ow4iglwi" Type="http://schemas.openxmlformats.org/officeDocument/2006/relationships/hyperlink" Target="https://github.com/migueldadd4u/ai-clauses" TargetMode="External"/><Relationship Id="rIdritvwcu9qxt-zz20_ybqa" Type="http://schemas.openxmlformats.org/officeDocument/2006/relationships/hyperlink" Target="https://www.comunidad.madrid/tacp/sites/default/files/resolucion_383-2024_expediente_383-2024.pdf" TargetMode="External"/><Relationship Id="rIdpliw9frkkeiqp9gnqbizd" Type="http://schemas.openxmlformats.org/officeDocument/2006/relationships/hyperlink" Target="https://www.hacienda.gob.es/dgpatrimonio/junta%20consultiva/informes/informes2026/informe202518modificaciones204y205delalcsp.pdf" TargetMode="External"/><Relationship Id="rIdwquuu_iqvb8tnbvs6ptli" Type="http://schemas.openxmlformats.org/officeDocument/2006/relationships/hyperlink" Target="https://contratos-publicos.comunidad.madrid/media/827829/download" TargetMode="External"/><Relationship Id="rIdclu-wkrbwsjpqxm6_pga5" Type="http://schemas.openxmlformats.org/officeDocument/2006/relationships/hyperlink" Target="https://www.boe.es/buscar/act.php?id=BOE-A-2017-12902" TargetMode="External"/><Relationship Id="rIdakmzxz1na0l5hwvz0hnr9" Type="http://schemas.openxmlformats.org/officeDocument/2006/relationships/hyperlink" Target="https://www.boe.es/buscar/doc.php?id=DOUE-L-2025-81543" TargetMode="External"/><Relationship Id="rIdib2w2q12qhpwc1zd-23hl" Type="http://schemas.openxmlformats.org/officeDocument/2006/relationships/hyperlink" Target="https://www.boe.es/buscar/doc.php?id=BOE-A-2016-11098" TargetMode="External"/><Relationship Id="rIdtew-mppllq6u2pgjgh54i" Type="http://schemas.openxmlformats.org/officeDocument/2006/relationships/hyperlink" Target="https://www.boe.es/buscar/doc.php?id=DOUE-L-2026-81147" TargetMode="External"/><Relationship Id="rIdoocytgovwhci6izq7-cqx" Type="http://schemas.openxmlformats.org/officeDocument/2006/relationships/hyperlink" Target="https://www.comunidad.madrid/tacp/sites/default/files/resolucion_383-2024_expediente_383-2024.pdf" TargetMode="External"/><Relationship Id="rId-7gv3s-jscebpawpmmkmc" Type="http://schemas.openxmlformats.org/officeDocument/2006/relationships/hyperlink" Target="https://www.boe.es/buscar/doc.php?id=DOUE-L-2026-81147" TargetMode="External"/><Relationship Id="rIdw7o9q4zc-dheeudr_4i8d" Type="http://schemas.openxmlformats.org/officeDocument/2006/relationships/hyperlink" Target="https://www.linuxfoundation.org/press/linux-foundation-announces-the-formation-of-the-agentic-ai-foundation" TargetMode="External"/><Relationship Id="rIdoq6iobxpcpmr9bsbjhj9v" Type="http://schemas.openxmlformats.org/officeDocument/2006/relationships/hyperlink" Target="https://single-market-economy.ec.europa.eu/single-market/european-standards/ict-standardisation/ict-technical-specifications_en" TargetMode="External"/><Relationship Id="rIddch1pvhraja6opcxgj8nk" Type="http://schemas.openxmlformats.org/officeDocument/2006/relationships/hyperlink" Target="https://www.hacienda.gob.es/TACRC/Resoluciones/A%C3%B1o%202022/Recurso%200998-2022%20(Res%201113" TargetMode="External"/><Relationship Id="rIdcuyopdnaoobhfrtmyfmqf" Type="http://schemas.openxmlformats.org/officeDocument/2006/relationships/hyperlink" Target="https://www.comunidad.madrid/tacp/sites/default/files/resolucion_535-2025_expediente_526-2025.pdf" TargetMode="External"/><Relationship Id="rIdprwqynqdhn8lpz01kww-y" Type="http://schemas.openxmlformats.org/officeDocument/2006/relationships/hyperlink" Target="https://eur-lex.europa.eu/legal-content/ES/TXT/HTML/?uri=CELEX:62023CJ0424" TargetMode="External"/><Relationship Id="rIdgiuhn_wkstae37roh6u0d" Type="http://schemas.openxmlformats.org/officeDocument/2006/relationships/hyperlink" Target="https://eur-lex.europa.eu/legal-content/ES/TXT/HTML/?uri=CELEX:62017CJ0014" TargetMode="External"/><Relationship Id="rIdhjf8sql7ycazy68s-lico" Type="http://schemas.openxmlformats.org/officeDocument/2006/relationships/hyperlink" Target="https://www.hacienda.gob.es/TACRC/Resoluciones/A%C3%B1o%202021/Recurso%201372-2021%20VAL%20314-2021%20(Res%201727" TargetMode="External"/><Relationship Id="rIdftgyjmnqi3rn2_wsjpto-" Type="http://schemas.openxmlformats.org/officeDocument/2006/relationships/hyperlink" Target="https://www.hacienda.gob.es/TACRC/Resoluciones/A%C3%B1o%202020/Recurso%200323-2020%20%20(Res%20549" TargetMode="External"/><Relationship Id="rIdio8_dthzd70oobkkchabh" Type="http://schemas.openxmlformats.org/officeDocument/2006/relationships/hyperlink" Target="https://www.comunidad.madrid/tacp/sites/default/files/resolucion_535-2025_expediente_526-2025.pdf" TargetMode="External"/><Relationship Id="rIdmbeeeppmlinhoe5zipjae" Type="http://schemas.openxmlformats.org/officeDocument/2006/relationships/hyperlink" Target="https://www.comunidad.madrid/tacp/sites/default/files/resolucion_92-2024_recurso_070-2024_web.pdf" TargetMode="External"/><Relationship Id="rIdazhwmjgyyudtunm4jm0lp" Type="http://schemas.openxmlformats.org/officeDocument/2006/relationships/hyperlink" Target="https://www.boe.es/buscar/act.php?id=BOE-A-2013-13722" TargetMode="External"/><Relationship Id="rIdg9pxgzmagigitpq3pvdbe" Type="http://schemas.openxmlformats.org/officeDocument/2006/relationships/hyperlink" Target="https://www.boe.es/buscar/act.php?id=BOE-A-2015-10565" TargetMode="External"/><Relationship Id="rIdltcp8sjnjlzteqxwey3oq" Type="http://schemas.openxmlformats.org/officeDocument/2006/relationships/hyperlink" Target="https://www.boe.es/buscar/act.php?id=BOE-A-2010-1331" TargetMode="External"/><Relationship Id="rIde1nscew5ql8ljfgpinppf" Type="http://schemas.openxmlformats.org/officeDocument/2006/relationships/hyperlink" Target="https://www.boe.es/buscar/act.php?id=BOE-A-2021-13749" TargetMode="External"/><Relationship Id="rIduvbbpf3e4qdpxcooipue5" Type="http://schemas.openxmlformats.org/officeDocument/2006/relationships/hyperlink" Target="https://www.boe.es/buscar/act.php?id=BOE-A-2015-10565" TargetMode="External"/><Relationship Id="rIdgqpwz-xawtvjjb7ahogmf" Type="http://schemas.openxmlformats.org/officeDocument/2006/relationships/hyperlink" Target="https://www.boe.es/buscar/act.php?id=BOE-A-2021-5032" TargetMode="External"/><Relationship Id="rIdfv9jezqa85scpp6bw6ybr" Type="http://schemas.openxmlformats.org/officeDocument/2006/relationships/hyperlink" Target="https://www.boe.es/buscar/act.php?id=BOE-A-2015-10565" TargetMode="External"/><Relationship Id="rIdjdhckrvvahmqpxglr5pmj" Type="http://schemas.openxmlformats.org/officeDocument/2006/relationships/hyperlink" Target="https://www.boe.es/buscar/act.php?id=BOE-A-2021-5032" TargetMode="External"/><Relationship Id="rId3km0wd439wcpa4r_gaukz" Type="http://schemas.openxmlformats.org/officeDocument/2006/relationships/hyperlink" Target="https://www.boe.es/buscar/act.php?id=BOE-A-2015-10565" TargetMode="External"/><Relationship Id="rId6gdrlmz-65zqyjlszkm4l" Type="http://schemas.openxmlformats.org/officeDocument/2006/relationships/hyperlink" Target="https://www.boe.es/buscar/act.php?id=BOE-A-2021-5032" TargetMode="External"/><Relationship Id="rIddsrs2lzg57nbdsujgf06i" Type="http://schemas.openxmlformats.org/officeDocument/2006/relationships/hyperlink" Target="https://www.boe.es/buscar/act.php?id=BOE-A-2010-1331" TargetMode="External"/><Relationship Id="rId_szoi87uipmkqytflfn5q" Type="http://schemas.openxmlformats.org/officeDocument/2006/relationships/hyperlink" Target="https://www.comunidad.madrid/tacp/sites/default/files/resolucion_383-2024_expediente_383-2024.pdf" TargetMode="External"/><Relationship Id="rIdbkhytb6msgycyygl8ej9n" Type="http://schemas.openxmlformats.org/officeDocument/2006/relationships/hyperlink" Target="https://www.comunidad.madrid/tacp/sites/default/files/resolucion_383-2024_expediente_383-2024.pdf" TargetMode="External"/><Relationship Id="rIdbhappfbcl3w1n4p31dd4h" Type="http://schemas.openxmlformats.org/officeDocument/2006/relationships/hyperlink" Target="https://www.comunidad.madrid/tacp/sites/default/files/resolucion_535-2025_expediente_526-2025.pdf" TargetMode="External"/><Relationship Id="rId6ckxdghttwjexh72hacuj" Type="http://schemas.openxmlformats.org/officeDocument/2006/relationships/hyperlink" Target="https://www.hacienda.gob.es/tacrc/resoluciones/a%C3%B1o%202019/recurso%200557-2019%20val%20113-2019%20(res%20786" TargetMode="External"/><Relationship Id="rId2crusb2uvid1hc76fywej" Type="http://schemas.openxmlformats.org/officeDocument/2006/relationships/hyperlink" Target="https://www.hacienda.gob.es/TACRC/Resoluciones/A%C3%B1o%202021/Recurso%201372-2021%20VAL%20314-2021%20(Res%201727" TargetMode="External"/><Relationship Id="rIdspx_drzp3xnbqd9i4ai3f" Type="http://schemas.openxmlformats.org/officeDocument/2006/relationships/hyperlink" Target="https://tienda.aenor.com/p/norma-une-en-iso-iec-42001-2026-n0075951" TargetMode="External"/><Relationship Id="rIdeviuwcs1cd-j4ktiswbx4" Type="http://schemas.openxmlformats.org/officeDocument/2006/relationships/hyperlink" Target="https://www.euskadi.eus/contenidos/informacion/kpecpe_oarc_memorias_doctrina/eu_def/adjuntos/Doktrina-2018-2023.pdf" TargetMode="External"/><Relationship Id="rIdxpx6tiu_q8om_u6gmnyef" Type="http://schemas.openxmlformats.org/officeDocument/2006/relationships/hyperlink" Target="https://www.hacienda.gob.es/TACRC/Resoluciones/A%C3%B1o%202022/Recurso%200998-2022%20(Res%201113" TargetMode="External"/><Relationship Id="rId_atuhglfzgocy7xylttfu" Type="http://schemas.openxmlformats.org/officeDocument/2006/relationships/hyperlink" Target="https://www.hacienda.gob.es/tacrc/resoluciones/a%C3%B1o%202022/recurso%200846-2022%20(res%201287" TargetMode="External"/><Relationship Id="rIdxcix1w_rlyu47tpjzqwzz" Type="http://schemas.openxmlformats.org/officeDocument/2006/relationships/hyperlink" Target="https://www.hacienda.gob.es/TACRC/Documentos/RESOLUCIONES%20DE%20PLENO%202022/Resoluci%C3%B3n%20Recurso%20842-2022%20(Res%201111" TargetMode="External"/><Relationship Id="rIdu7wflzdpe2pptgl764bp0" Type="http://schemas.openxmlformats.org/officeDocument/2006/relationships/hyperlink" Target="https://contratacion.castillalamancha.es/sites/default/files/infocontrataclm/descargar_consulta_019-2022.pdf" TargetMode="External"/><Relationship Id="rId0qllejqypgkcmpvipndhn" Type="http://schemas.openxmlformats.org/officeDocument/2006/relationships/hyperlink" Target="http://www.contratosdelsectorpublico.es/DocumentosWEB/02TribunalesContractuales/TACP%20Aragon/TACP%20Arag%C3%B3n%2076-2015.pdf" TargetMode="External"/><Relationship Id="rIddtjnui6gnsed9vwb7aqep" Type="http://schemas.openxmlformats.org/officeDocument/2006/relationships/hyperlink" Target="https://www.hacienda.gob.es/TACRC/Documentos/RESOLUCIONES%20DE%20PLENO%202022/Resoluci%C3%B3n%20Recurso%20842-2022%20(Res%201111" TargetMode="External"/><Relationship Id="rIdzuwpkoxa40hecnjsnvwwx" Type="http://schemas.openxmlformats.org/officeDocument/2006/relationships/hyperlink" Target="https://www.comunidad.madrid/tacp/sites/default/files/resolucion_383-2024_expediente_383-2024.pdf" TargetMode="External"/><Relationship Id="rIdtzf3xf5sdgjbfrpiu-ole" Type="http://schemas.openxmlformats.org/officeDocument/2006/relationships/hyperlink" Target="https://www.comunidad.madrid/tacp/sites/default/files/resolucion_383-2024_expediente_383-2024.pdf" TargetMode="External"/><Relationship Id="rId6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Cláusulas de IA y Deep Tech para la contratación pública</dc:title>
  <dc:creator>Miguel Ángel Domínguez Castellano</dc:creator>
  <dc:description>Clausulado tipo, versión 3.0</dc:description>
  <cp:lastModifiedBy>Un-named</cp:lastModifiedBy>
  <cp:revision>1</cp:revision>
  <dcterms:created xsi:type="dcterms:W3CDTF">2026-09-13T20:21:37.482Z</dcterms:created>
  <dcterms:modified xsi:type="dcterms:W3CDTF">2026-09-13T20:21:37.482Z</dcterms:modified>
</cp:coreProperties>
</file>

<file path=docProps/custom.xml><?xml version="1.0" encoding="utf-8"?>
<Properties xmlns="http://schemas.openxmlformats.org/officeDocument/2006/custom-properties" xmlns:vt="http://schemas.openxmlformats.org/officeDocument/2006/docPropsVTypes"/>
</file>