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Elaborado por Delfina Lafuente Veira y el Dr. José Antonio Ondiviela García</w:t>
      </w:r>
    </w:p>
    <w:p>
      <w:pPr>
        <w:spacing w:after="140"/>
        <w:jc w:val="center"/>
      </w:pPr>
      <w:r>
        <w:rPr>
          <w:rFonts w:ascii="Calibri" w:cs="Calibri" w:eastAsia="Calibri" w:hAnsi="Calibri"/>
          <w:color w:val="595959"/>
          <w:sz w:val="20"/>
          <w:szCs w:val="20"/>
        </w:rPr>
        <w:t xml:space="preserve">Publicado por Miguel Ángel Domínguez Castellano</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sz w:val="21"/>
          <w:szCs w:val="21"/>
        </w:rPr>
        <w:t xml:space="preserve">Esta Parte 0 se escribe para tres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spacing w:after="140" w:line="276"/>
      </w:pPr>
      <w:r>
        <w:rPr>
          <w:rFonts w:ascii="Calibri" w:cs="Calibri" w:eastAsia="Calibri" w:hAnsi="Calibri"/>
          <w:sz w:val="21"/>
          <w:szCs w:val="21"/>
        </w:rPr>
        <w:t xml:space="preserve">En toda esta Parte 0 no hay ni un solo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Nada de lo que aquí se escribe se copia a un pliego: es la explicación del catálogo, no el catálogo. El texto copiable empieza en la Parte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cinco palabras que importan son </w:t>
      </w:r>
      <w:r>
        <w:rPr>
          <w:rFonts w:ascii="Calibri" w:cs="Calibri" w:eastAsia="Calibri" w:hAnsi="Calibri"/>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por el que el área de contratación municipal escribió que las cláusulas «nacen a partir de unas necesidades que no se demandan por ninguno de los gestores y si no es así no dejan de ser algo artificioso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sz w:val="21"/>
          <w:szCs w:val="21"/>
        </w:rPr>
        <w:t xml:space="preserve">No es una norma.</w:t>
      </w:r>
      <w:r>
        <w:rPr>
          <w:rFonts w:ascii="Calibri" w:cs="Calibri" w:eastAsia="Calibri" w:hAnsi="Calibri"/>
          <w:sz w:val="21"/>
          <w:szCs w:val="21"/>
        </w:rPr>
        <w:t xml:space="preserve"> No obliga a nadie por sí mismo. No crea competencias, no modifica la Ley 9/2017, de 8 de noviembre, de Contratos del Sector Público (en adelante,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sz w:val="21"/>
          <w:szCs w:val="21"/>
        </w:rPr>
        <w:t xml:space="preserve">No sustituye a la memoria justificativa de ningún expediente.</w:t>
      </w:r>
      <w:r>
        <w:rPr>
          <w:rFonts w:ascii="Calibri" w:cs="Calibri" w:eastAsia="Calibri" w:hAnsi="Calibri"/>
          <w:sz w:val="21"/>
          <w:szCs w:val="21"/>
        </w:rPr>
        <w:t xml:space="preserve"> Esto es lo más importante que puede leer un habilitado nacional en la primera página,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su </w:t>
      </w:r>
      <w:r>
        <w:rPr>
          <w:rFonts w:ascii="Georgia" w:cs="Georgia" w:eastAsia="Georgia" w:hAnsi="Georgia"/>
          <w:b/>
          <w:bCs/>
          <w:i/>
          <w:iCs/>
          <w:color w:val="595959"/>
          <w:sz w:val="20"/>
          <w:szCs w:val="20"/>
        </w:rPr>
        <w:t xml:space="preserve">Resolución 383/2024, de 3 de octubre de 2024 (recurso 383/2024)</w:t>
      </w:r>
      <w:r>
        <w:rPr>
          <w:rFonts w:ascii="Georgia" w:cs="Georgia" w:eastAsia="Georgia" w:hAnsi="Georgia"/>
          <w:i/>
          <w:iCs/>
          <w:color w:val="595959"/>
          <w:sz w:val="20"/>
          <w:szCs w:val="20"/>
        </w:rPr>
        <w:t xml:space="preserve">, estimó el recurso de TECNOLOGÍAS VIALES APLICADAS TEVA, S.L. y </w:t>
      </w:r>
      <w:r>
        <w:rPr>
          <w:rFonts w:ascii="Georgia" w:cs="Georgia" w:eastAsia="Georgia" w:hAnsi="Georgia"/>
          <w:b/>
          <w:bCs/>
          <w:i/>
          <w:iCs/>
          <w:color w:val="595959"/>
          <w:sz w:val="20"/>
          <w:szCs w:val="20"/>
        </w:rPr>
        <w:t xml:space="preserve">anuló los pliegos</w:t>
      </w:r>
      <w:r>
        <w:rPr>
          <w:rFonts w:ascii="Georgia" w:cs="Georgia" w:eastAsia="Georgia" w:hAnsi="Georgia"/>
          <w:i/>
          <w:iCs/>
          <w:color w:val="595959"/>
          <w:sz w:val="20"/>
          <w:szCs w:val="20"/>
        </w:rPr>
        <w:t xml:space="preserve">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(Resolución accesible en el repositorio de resoluciones del Tribunal, en www.comunidad.madrid/tacp. Se cita como doctrina general trasladada por analogía; su texto íntegro debe incorporarse al expediente que la invoque.)</w:t>
      </w:r>
    </w:p>
    <w:p>
      <w:pPr>
        <w:spacing w:after="140" w:line="276"/>
      </w:pPr>
      <w:r>
        <w:rPr>
          <w:rFonts w:ascii="Calibri" w:cs="Calibri" w:eastAsia="Calibri" w:hAnsi="Calibri"/>
          <w:sz w:val="21"/>
          <w:szCs w:val="21"/>
        </w:rPr>
        <w:t xml:space="preserve">Léase despacio la última línea: </w:t>
      </w:r>
      <w:r>
        <w:rPr>
          <w:rFonts w:ascii="Calibri" w:cs="Calibri" w:eastAsia="Calibri" w:hAnsi="Calibri"/>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bloque delimitado; todo lo demás queda fuera y no debe acabar nunca en un pliego. Esa separación física es la respuesta a la segunda queja del área de contratación municipal: que el grado de abstracción del documento anterior era «muy elevado».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Hay pliegos ya redactados que citan los códigos de la versión 2.0, y su contenido no es el mismo. La equivalencia cláusula a cláusula está en el Anexo XIV.B.</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Pozuelo de Alarcón aparece entre paréntesis como ejemplo. Ahora bien, </w:t>
      </w:r>
      <w:r>
        <w:rPr>
          <w:rFonts w:ascii="Calibri" w:cs="Calibri" w:eastAsia="Calibri" w:hAnsi="Calibri"/>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con criterios de aceptación binarios —se cumple o no se cumple, sin apreciación— y un plazo de implantación de </w:t>
      </w:r>
      <w:r>
        <w:rPr>
          <w:rFonts w:ascii="Calibri" w:cs="Calibri" w:eastAsia="Calibri" w:hAnsi="Calibri"/>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sz w:val="21"/>
          <w:szCs w:val="21"/>
        </w:rPr>
        <w:t xml:space="preserve">(Cifras de ejemplo, construidas para explicar el mecanismo. No proceden de ningún expediente municipal concreto y no deben citarse como dato.)</w:t>
      </w:r>
    </w:p>
    <w:p>
      <w:pPr>
        <w:spacing w:after="140" w:line="276"/>
      </w:pPr>
      <w:r>
        <w:rPr>
          <w:rFonts w:ascii="Calibri" w:cs="Calibri" w:eastAsia="Calibri" w:hAnsi="Calibri"/>
          <w:sz w:val="21"/>
          <w:szCs w:val="21"/>
        </w:rPr>
        <w:t xml:space="preserve">Contrato de servicios de mantenimiento y evolución de la aplicación municipal de contabilidad y patrimonio: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720.000 €</w:t>
            </w:r>
          </w:p>
        </w:tc>
      </w:tr>
    </w:tbl>
    <w:p>
      <w:pPr>
        <w:spacing w:after="200"/>
      </w:pPr>
    </w:p>
    <w:p>
      <w:pPr>
        <w:spacing w:after="140" w:line="276"/>
      </w:pPr>
      <w:r>
        <w:rPr>
          <w:rFonts w:ascii="Calibri" w:cs="Calibri" w:eastAsia="Calibri" w:hAnsi="Calibri"/>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—144.000 € sobre este contrato— habría computado en el valor estimado desde el primer día, elevándolo a </w:t>
      </w:r>
      <w:r>
        <w:rPr>
          <w:rFonts w:ascii="Calibri" w:cs="Calibri" w:eastAsia="Calibri" w:hAnsi="Calibri"/>
          <w:b/>
          <w:bCs/>
          <w:sz w:val="21"/>
          <w:szCs w:val="21"/>
        </w:rPr>
        <w:t xml:space="preserve">864.000 €</w:t>
      </w:r>
      <w:r>
        <w:rPr>
          <w:rFonts w:ascii="Calibri" w:cs="Calibri" w:eastAsia="Calibri" w:hAnsi="Calibri"/>
          <w:sz w:val="21"/>
          <w:szCs w:val="21"/>
        </w:rPr>
        <w:t xml:space="preserve">, con las consecuencias de umbral que se explican abajo.</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sz w:val="21"/>
          <w:szCs w:val="21"/>
        </w:rPr>
        <w:t xml:space="preserve">100.000 €</w:t>
      </w:r>
      <w:r>
        <w:rPr>
          <w:rFonts w:ascii="Calibri" w:cs="Calibri" w:eastAsia="Calibri" w:hAnsi="Calibri"/>
          <w:sz w:val="21"/>
          <w:szCs w:val="21"/>
        </w:rPr>
        <w:t xml:space="preserve"> de valor estimado a partir de los cuales sus pliegos son directamente recurribles en recurso especial (artículo 44.1.a) y 2.a) LCSP). Puede además expulsarlo del procedimiento abierto simplificado (artículo 159.1 LCSP; cuantías vigentes en el Anexo XII).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val="false"/>
                <w:bCs w:val="false"/>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Exigir ALTA sin que ese análisis conste en el expediente es una restricción desproporcionada, y es literalmente el motivo por el que se anularon los pliegos de Parla (Res. TACP Madrid 383/2024, citada arriba).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val="false"/>
                <w:bCs w:val="false"/>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val="false"/>
                <w:bCs w:val="false"/>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contempla como causa de anulabilidad la actuación que confiera ventaja indebida.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val="false"/>
                <w:bCs w:val="false"/>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val="false"/>
                <w:bCs w:val="false"/>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(DOUE de 24 de julio de 2026; referencia BOE DOUE-L-2026-81147), que modifica el Reglamento (UE) 2024/1689, fija la aplicación del capítulo III, secciones 1, 2 y 3 el </w:t>
            </w:r>
            <w:r>
              <w:rPr>
                <w:rFonts w:ascii="Calibri" w:cs="Calibri" w:eastAsia="Calibri" w:hAnsi="Calibri"/>
                <w:b w:val="false"/>
                <w:bCs w:val="false"/>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val="false"/>
                <w:bCs w:val="false"/>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val="false"/>
                <w:bCs w:val="false"/>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val="false"/>
                <w:bCs w:val="false"/>
                <w:sz w:val="18"/>
                <w:szCs w:val="18"/>
              </w:rPr>
              <w:t xml:space="preserve">en su redacción vigente</w:t>
            </w:r>
            <w:r>
              <w:rPr>
                <w:rFonts w:ascii="Calibri" w:cs="Calibri" w:eastAsia="Calibri" w:hAnsi="Calibri"/>
                <w:b w:val="false"/>
                <w:bCs w:val="false"/>
                <w:sz w:val="18"/>
                <w:szCs w:val="18"/>
              </w:rPr>
              <w:t xml:space="preserve">», sin fechas en el articulado. El Anexo XIV.A separa en dos columnas, con fecha de corte expresa, lo que es </w:t>
            </w:r>
            <w:r>
              <w:rPr>
                <w:rFonts w:ascii="Calibri" w:cs="Calibri" w:eastAsia="Calibri" w:hAnsi="Calibri"/>
                <w:b w:val="false"/>
                <w:bCs w:val="false"/>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val="false"/>
                <w:bCs w:val="false"/>
                <w:sz w:val="18"/>
                <w:szCs w:val="18"/>
              </w:rPr>
              <w:t xml:space="preserve">exigencia contractual anticipada voluntariamente por el Ayuntamiento</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val="false"/>
                <w:bCs w:val="false"/>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sz w:val="21"/>
          <w:szCs w:val="21"/>
        </w:rPr>
        <w:t xml:space="preserve">No se promete que exista doctrina que ampare estas cláusulas.</w:t>
      </w:r>
      <w:r>
        <w:rPr>
          <w:rFonts w:ascii="Calibri" w:cs="Calibri" w:eastAsia="Calibri" w:hAnsi="Calibri"/>
          <w:sz w:val="21"/>
          <w:szCs w:val="21"/>
        </w:rPr>
        <w:t xml:space="preserve"> No la hay. A fecha de corte de </w:t>
      </w:r>
      <w:r>
        <w:rPr>
          <w:rFonts w:ascii="Calibri" w:cs="Calibri" w:eastAsia="Calibri" w:hAnsi="Calibri"/>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como criterio de adjudicación, ni sobre demostraciones funcionales de software. Todas las resoluciones que este documento cita se citan </w:t>
      </w:r>
      <w:r>
        <w:rPr>
          <w:rFonts w:ascii="Calibri" w:cs="Calibri" w:eastAsia="Calibri" w:hAnsi="Calibri"/>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No se promete capacidad de seguimiento que el Ayuntamiento no tenga.</w:t>
      </w:r>
      <w:r>
        <w:rPr>
          <w:rFonts w:ascii="Calibri" w:cs="Calibri" w:eastAsia="Calibri" w:hAnsi="Calibri"/>
          <w:sz w:val="21"/>
          <w:szCs w:val="21"/>
        </w:rPr>
        <w:t xml:space="preserve"> El área de contratación municipal advirtió que «son pocos los contratos en los que se haga un seguimiento real y este se basa exclusivamente en el control del gasto». La advertencia se ha incorporado como regla: </w:t>
      </w:r>
      <w:r>
        <w:rPr>
          <w:rFonts w:ascii="Calibri" w:cs="Calibri" w:eastAsia="Calibri" w:hAnsi="Calibri"/>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(Anexo I), y la regla de separación prohíbe expresamente las tres combinaciones que producen doble cómputo: solvencia y adjudicación, prescripción obligatoria y adjudicación, y criterio de adjudicación y condición especial de ejecución.</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La Parte I incorpora una cláusula de separabilidad: la nulidad o anulación de una cláusula o de un criterio no afecta a la validez de los restantes.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en diez pasos</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sz w:val="21"/>
          <w:szCs w:val="21"/>
        </w:rPr>
        <w:t xml:space="preserve">Antes de los diez pasos hay un </w:t>
      </w:r>
      <w:r>
        <w:rPr>
          <w:rFonts w:ascii="Calibri" w:cs="Calibri" w:eastAsia="Calibri" w:hAnsi="Calibri"/>
          <w:sz w:val="21"/>
          <w:szCs w:val="21"/>
        </w:rPr>
        <w:t xml:space="preserve">paso 0 que no es del expediente</w:t>
      </w:r>
      <w:r>
        <w:rPr>
          <w:rFonts w:ascii="Calibri" w:cs="Calibri" w:eastAsia="Calibri" w:hAnsi="Calibri"/>
          <w:sz w:val="21"/>
          <w:szCs w:val="21"/>
        </w:rPr>
        <w:t xml:space="preserve">, sino anual y del Ayuntamiento entero.</w:t>
      </w:r>
    </w:p>
    <w:p>
      <w:pPr>
        <w:pStyle w:val="Heading3"/>
        <w:keepNext/>
        <w:spacing w:after="140" w:before="320"/>
      </w:pPr>
      <w:r>
        <w:rPr>
          <w:rFonts w:ascii="Georgia" w:cs="Georgia" w:eastAsia="Georgia" w:hAnsi="Georgia"/>
          <w:b/>
          <w:bCs/>
          <w:color w:val="2F5496"/>
          <w:sz w:val="22"/>
          <w:szCs w:val="22"/>
        </w:rPr>
        <w:t xml:space="preserve">Paso 0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Modelos en el Anexo XI.A y XI.B; el contraste de mercado se hace </w:t>
      </w:r>
      <w:r>
        <w:rPr>
          <w:rFonts w:ascii="Calibri" w:cs="Calibri" w:eastAsia="Calibri" w:hAnsi="Calibri"/>
          <w:sz w:val="21"/>
          <w:szCs w:val="21"/>
        </w:rPr>
        <w:t xml:space="preserve">una vez al año y de forma centralizada</w:t>
      </w:r>
      <w:r>
        <w:rPr>
          <w:rFonts w:ascii="Calibri" w:cs="Calibri" w:eastAsia="Calibri" w:hAnsi="Calibri"/>
          <w:sz w:val="21"/>
          <w:szCs w:val="21"/>
        </w:rPr>
        <w:t xml:space="preserve">, no expediente por expediente, porque por expediente es inasumible.</w:t>
      </w:r>
    </w:p>
    <w:p>
      <w:pPr>
        <w:pStyle w:val="Heading3"/>
        <w:keepNext/>
        <w:spacing w:after="140" w:before="320"/>
      </w:pPr>
      <w:r>
        <w:rPr>
          <w:rFonts w:ascii="Georgia" w:cs="Georgia" w:eastAsia="Georgia" w:hAnsi="Georgia"/>
          <w:b/>
          <w:bCs/>
          <w:color w:val="2F5496"/>
          <w:sz w:val="22"/>
          <w:szCs w:val="22"/>
        </w:rPr>
        <w:t xml:space="preserve">Los diez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VE y del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 + informes</w:t>
            </w:r>
          </w:p>
        </w:tc>
      </w:tr>
    </w:tbl>
    <w:p>
      <w:pPr>
        <w:spacing w:after="200"/>
      </w:pPr>
    </w:p>
    <w:p>
      <w:pPr>
        <w:spacing w:after="140" w:line="276"/>
      </w:pPr>
      <w:r>
        <w:rPr>
          <w:rFonts w:ascii="Calibri" w:cs="Calibri" w:eastAsia="Calibri" w:hAnsi="Calibri"/>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0—. La relación con el objeto del contrato debe ser </w:t>
      </w:r>
      <w:r>
        <w:rPr>
          <w:rFonts w:ascii="Calibri" w:cs="Calibri" w:eastAsia="Calibri" w:hAnsi="Calibri"/>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0. El gestor de contabilidad no puede firmar la ficha de la seguridad ni la de la Intervención,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sz w:val="21"/>
          <w:szCs w:val="21"/>
        </w:rPr>
        <w:t xml:space="preserve">tabla de dependencias</w:t>
      </w:r>
      <w:r>
        <w:rPr>
          <w:rFonts w:ascii="Calibri" w:cs="Calibri" w:eastAsia="Calibri" w:hAnsi="Calibri"/>
          <w:sz w:val="21"/>
          <w:szCs w:val="21"/>
        </w:rPr>
        <w:t xml:space="preserve"> (Anexo XIV.B):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el Anexo VI,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Este paso es el que evita el resultado de Parla.</w:t>
      </w:r>
    </w:p>
    <w:p>
      <w:pPr>
        <w:spacing w:after="140" w:line="276"/>
      </w:pPr>
      <w:r>
        <w:rPr>
          <w:rFonts w:ascii="Calibri" w:cs="Calibri" w:eastAsia="Calibri" w:hAnsi="Calibri"/>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sz w:val="21"/>
          <w:szCs w:val="21"/>
        </w:rPr>
        <w:t xml:space="preserve">5. Redacción del PPT (pluma: el área gestora).</w:t>
      </w:r>
      <w:r>
        <w:rPr>
          <w:rFonts w:ascii="Calibri" w:cs="Calibri" w:eastAsia="Calibri" w:hAnsi="Calibri"/>
          <w:sz w:val="21"/>
          <w:szCs w:val="21"/>
        </w:rPr>
        <w:t xml:space="preserve"> Se copian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bloque —la justificación, la advertencia, la nota de verificación— se queda fuera del pliego y viaja al expediente.</w:t>
      </w:r>
    </w:p>
    <w:p>
      <w:pPr>
        <w:spacing w:after="140" w:line="276"/>
      </w:pPr>
      <w:r>
        <w:rPr>
          <w:rFonts w:ascii="Calibri" w:cs="Calibri" w:eastAsia="Calibri" w:hAnsi="Calibri"/>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sz w:val="21"/>
          <w:szCs w:val="21"/>
        </w:rPr>
        <w:t xml:space="preserve">7. Memoria de criterios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w:t>
      </w:r>
    </w:p>
    <w:p>
      <w:pPr>
        <w:spacing w:after="140" w:line="276"/>
      </w:pPr>
      <w:r>
        <w:rPr>
          <w:rFonts w:ascii="Calibri" w:cs="Calibri" w:eastAsia="Calibri" w:hAnsi="Calibri"/>
          <w:sz w:val="21"/>
          <w:szCs w:val="21"/>
        </w:rPr>
        <w:t xml:space="preserve">8. Valor estimado y los tres umbrales.</w:t>
      </w:r>
      <w:r>
        <w:rPr>
          <w:rFonts w:ascii="Calibri" w:cs="Calibri" w:eastAsia="Calibri" w:hAnsi="Calibri"/>
          <w:sz w:val="21"/>
          <w:szCs w:val="21"/>
        </w:rPr>
        <w:t xml:space="preserve"> Se calcula el valor estimado incluyendo prórrogas y cualquier reserva de modificación prevista (art. 101 LCSP) y se comprueba contra los tres umbrales que cambian el procedimiento: el del abierto simplificado y su variante abreviada (art. 159 LCSP), el de los </w:t>
      </w:r>
      <w:r>
        <w:rPr>
          <w:rFonts w:ascii="Calibri" w:cs="Calibri" w:eastAsia="Calibri" w:hAnsi="Calibri"/>
          <w:sz w:val="21"/>
          <w:szCs w:val="21"/>
        </w:rPr>
        <w:t xml:space="preserve">100.000 €</w:t>
      </w:r>
      <w:r>
        <w:rPr>
          <w:rFonts w:ascii="Calibri" w:cs="Calibri" w:eastAsia="Calibri" w:hAnsi="Calibri"/>
          <w:sz w:val="21"/>
          <w:szCs w:val="21"/>
        </w:rPr>
        <w:t xml:space="preserve"> a partir de los cuales los pliegos de un contrato de servicios o suministros son recurribles (art. 44.1.a) LCSP) y el de los contratos sujetos a regulación armonizada. </w:t>
      </w:r>
      <w:r>
        <w:rPr>
          <w:rFonts w:ascii="Calibri" w:cs="Calibri" w:eastAsia="Calibri" w:hAnsi="Calibri"/>
          <w:sz w:val="21"/>
          <w:szCs w:val="21"/>
        </w:rPr>
        <w:t xml:space="preserve">Las cuantías vigentes se consultan en el Anexo XII y se comprueban antes de cada expediente</w:t>
      </w:r>
      <w:r>
        <w:rPr>
          <w:rFonts w:ascii="Calibri" w:cs="Calibri" w:eastAsia="Calibri" w:hAnsi="Calibri"/>
          <w:sz w:val="21"/>
          <w:szCs w:val="21"/>
        </w:rPr>
        <w:t xml:space="preserve">: se actualizan periódicamente.</w:t>
      </w:r>
    </w:p>
    <w:p>
      <w:pPr>
        <w:spacing w:after="140" w:line="276"/>
      </w:pPr>
      <w:r>
        <w:rPr>
          <w:rFonts w:ascii="Calibri" w:cs="Calibri" w:eastAsia="Calibri" w:hAnsi="Calibri"/>
          <w:sz w:val="21"/>
          <w:szCs w:val="21"/>
        </w:rPr>
        <w:t xml:space="preserve">9. Conflicto de interés y participación previa.</w:t>
      </w:r>
      <w:r>
        <w:rPr>
          <w:rFonts w:ascii="Calibri" w:cs="Calibri" w:eastAsia="Calibri" w:hAnsi="Calibri"/>
          <w:sz w:val="21"/>
          <w:szCs w:val="21"/>
        </w:rPr>
        <w:t xml:space="preserve"> Declaración escrita, por iniciativa propia y </w:t>
      </w:r>
      <w:r>
        <w:rPr>
          <w:rFonts w:ascii="Calibri" w:cs="Calibri" w:eastAsia="Calibri" w:hAnsi="Calibri"/>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sz w:val="21"/>
          <w:szCs w:val="21"/>
        </w:rPr>
        <w:t xml:space="preserve">10. Comprobación, informe jurídico y fiscalización.</w:t>
      </w:r>
      <w:r>
        <w:rPr>
          <w:rFonts w:ascii="Calibri" w:cs="Calibri" w:eastAsia="Calibri" w:hAnsi="Calibri"/>
          <w:sz w:val="21"/>
          <w:szCs w:val="21"/>
        </w:rPr>
        <w:t xml:space="preserve"> Se pasa la lista de comprobación del Anexo XII. Se recaba el </w:t>
      </w:r>
      <w:r>
        <w:rPr>
          <w:rFonts w:ascii="Calibri" w:cs="Calibri" w:eastAsia="Calibri" w:hAnsi="Calibri"/>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—el caso de Pozuelo de Alarcón, por la disposición adicional 3.ª.8 LCSP en relación con la disposición adicional 8.ª de la Ley 7/1985—, y la Secretaría en el régimen común. Y se remite a </w:t>
      </w:r>
      <w:r>
        <w:rPr>
          <w:rFonts w:ascii="Calibri" w:cs="Calibri" w:eastAsia="Calibri" w:hAnsi="Calibri"/>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sz w:val="21"/>
          <w:szCs w:val="21"/>
        </w:rPr>
        <w:t xml:space="preserve">Y un paso 10 bis que ahorra un disgusto:</w:t>
      </w:r>
      <w:r>
        <w:rPr>
          <w:rFonts w:ascii="Calibri" w:cs="Calibri" w:eastAsia="Calibri" w:hAnsi="Calibri"/>
          <w:sz w:val="21"/>
          <w:szCs w:val="21"/>
        </w:rPr>
        <w:t xml:space="preserve"> antes de publicar, se arma la </w:t>
      </w:r>
      <w:r>
        <w:rPr>
          <w:rFonts w:ascii="Calibri" w:cs="Calibri" w:eastAsia="Calibri" w:hAnsi="Calibri"/>
          <w:sz w:val="21"/>
          <w:szCs w:val="21"/>
        </w:rPr>
        <w:t xml:space="preserve">carpeta de defensa</w:t>
      </w:r>
      <w:r>
        <w:rPr>
          <w:rFonts w:ascii="Calibri" w:cs="Calibri" w:eastAsia="Calibri" w:hAnsi="Calibri"/>
          <w:sz w:val="21"/>
          <w:szCs w:val="21"/>
        </w:rPr>
        <w:t xml:space="preserve">.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Cuadro de un vistazo: los documentos del expediente</w:t>
      </w:r>
    </w:p>
    <w:p>
      <w:pPr>
        <w:spacing w:after="140" w:line="276"/>
      </w:pPr>
      <w:r>
        <w:rPr>
          <w:rFonts w:ascii="Calibri" w:cs="Calibri" w:eastAsia="Calibri" w:hAnsi="Calibri"/>
          <w:sz w:val="21"/>
          <w:szCs w:val="21"/>
        </w:rPr>
        <w:t xml:space="preserve">Dos bloques. El primero son documentos que la norma exige en cualquier expediente y que este catálogo no inventa: lo que hace es decir qué debe decir cada uno cuando hay componente tecnológico. El segundo son los documentos que añade este catálogo, que no son preceptivos por sí mismos pero que son el soporte de la justificación que sí lo es.</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val="false"/>
                <w:bCs w:val="false"/>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val="false"/>
                <w:bCs w:val="false"/>
                <w:sz w:val="18"/>
                <w:szCs w:val="18"/>
              </w:rPr>
              <w:t xml:space="preserve">sólo en los contratos cuya ejecución requiera el tratamiento por el contratista de datos personales por cuenta del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y 101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anexo I; forma de acreditación en su art. 38.1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3.ª.3 LCSP y RD 424/2017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en el perfil de contratante de la motivación de la necesidad y del resto de documentación preparatoria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116.1 y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XI.A y XI.B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los tres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y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V.12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que este catálogo NO cubre</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Aquí se dice, caso por caso, qué se puede hacer y qué no.</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sz w:val="21"/>
          <w:szCs w:val="21"/>
        </w:rPr>
        <w:t xml:space="preserve">Por qué no cabe.</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sz w:val="21"/>
          <w:szCs w:val="21"/>
        </w:rPr>
        <w:t xml:space="preserve">Qué SÍ se puede hacer.</w:t>
      </w:r>
    </w:p>
    <w:p>
      <w:pPr>
        <w:pStyle w:val="ListParagraph"/>
        <w:numPr>
          <w:ilvl w:val="0"/>
          <w:numId w:val="1"/>
        </w:numPr>
        <w:spacing w:after="70" w:line="268"/>
      </w:pPr>
      <w:r>
        <w:rPr>
          <w:rFonts w:ascii="Calibri" w:cs="Calibri" w:eastAsia="Calibri" w:hAnsi="Calibri"/>
          <w:sz w:val="21"/>
          <w:szCs w:val="21"/>
        </w:rPr>
        <w:t xml:space="preserve">Incorporar al </w:t>
      </w:r>
      <w:r>
        <w:rPr>
          <w:rFonts w:ascii="Calibri" w:cs="Calibri" w:eastAsia="Calibri" w:hAnsi="Calibri"/>
          <w:b/>
          <w:bCs/>
          <w:sz w:val="21"/>
          <w:szCs w:val="21"/>
        </w:rPr>
        <w:t xml:space="preserve">encargo o a la solicitud de oferta</w:t>
      </w:r>
      <w:r>
        <w:rPr>
          <w:rFonts w:ascii="Calibri" w:cs="Calibri" w:eastAsia="Calibri" w:hAnsi="Calibri"/>
          <w:sz w:val="21"/>
          <w:szCs w:val="21"/>
        </w:rPr>
        <w:t xml:space="preserve"> requisitos funcionales sencillos y comprobables en la propia entrega: formato abierto de los datos, entrega de los datos y de su diccionario al finalizar, ausencia de coste por la extracción, y respeto de la protección de datos si hay tratamiento por cuenta del Ayuntamiento (art. 28 RGPD).</w:t>
      </w:r>
    </w:p>
    <w:p>
      <w:pPr>
        <w:pStyle w:val="ListParagraph"/>
        <w:numPr>
          <w:ilvl w:val="0"/>
          <w:numId w:val="1"/>
        </w:numPr>
        <w:spacing w:after="70" w:line="268"/>
      </w:pPr>
      <w:r>
        <w:rPr>
          <w:rFonts w:ascii="Calibri" w:cs="Calibri" w:eastAsia="Calibri" w:hAnsi="Calibri"/>
          <w:sz w:val="21"/>
          <w:szCs w:val="21"/>
        </w:rPr>
        <w:t xml:space="preserve">Comprobar antes de contratar si existe ya una aplicación reutilizable (art. 157.3 de la Ley 40/2015).</w:t>
      </w:r>
    </w:p>
    <w:p>
      <w:pPr>
        <w:pStyle w:val="ListParagraph"/>
        <w:numPr>
          <w:ilvl w:val="0"/>
          <w:numId w:val="1"/>
        </w:numPr>
        <w:spacing w:after="70" w:line="268"/>
      </w:pPr>
      <w:r>
        <w:rPr>
          <w:rFonts w:ascii="Calibri" w:cs="Calibri" w:eastAsia="Calibri" w:hAnsi="Calibri"/>
          <w:sz w:val="21"/>
          <w:szCs w:val="21"/>
        </w:rPr>
        <w:t xml:space="preserve">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0.</w:t>
      </w:r>
    </w:p>
    <w:p>
      <w:pPr>
        <w:spacing w:after="140" w:line="276"/>
      </w:pPr>
      <w:r>
        <w:rPr>
          <w:rFonts w:ascii="Calibri" w:cs="Calibri" w:eastAsia="Calibri" w:hAnsi="Calibri"/>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sz w:val="21"/>
          <w:szCs w:val="21"/>
        </w:rPr>
        <w:t xml:space="preserve">Por qué no cabe.</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sz w:val="21"/>
          <w:szCs w:val="21"/>
        </w:rPr>
        <w:t xml:space="preserve">Por qué no cabe.</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Para evitarlo:</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ejemplar maestro</w:t>
      </w:r>
      <w:r>
        <w:rPr>
          <w:rFonts w:ascii="Calibri" w:cs="Calibri" w:eastAsia="Calibri" w:hAnsi="Calibri"/>
          <w:sz w:val="21"/>
          <w:szCs w:val="21"/>
        </w:rPr>
        <w:t xml:space="preserve"> vive en un único lugar publicado por el Ayuntamiento, con número de versión y fecha en la portada y en el pie de cada página.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articulado</w:t>
      </w:r>
      <w:r>
        <w:rPr>
          <w:rFonts w:ascii="Calibri" w:cs="Calibri" w:eastAsia="Calibri" w:hAnsi="Calibri"/>
          <w:sz w:val="21"/>
          <w:szCs w:val="21"/>
        </w:rPr>
        <w:t xml:space="preserve"> (Partes I a III) se aprueba una vez y sólo se toca por acuerdo expreso. El </w:t>
      </w:r>
      <w:r>
        <w:rPr>
          <w:rFonts w:ascii="Calibri" w:cs="Calibri" w:eastAsia="Calibri" w:hAnsi="Calibri"/>
          <w:b/>
          <w:bCs/>
          <w:sz w:val="21"/>
          <w:szCs w:val="21"/>
        </w:rPr>
        <w:t xml:space="preserve">Anexo V</w:t>
      </w:r>
      <w:r>
        <w:rPr>
          <w:rFonts w:ascii="Calibri" w:cs="Calibri" w:eastAsia="Calibri" w:hAnsi="Calibri"/>
          <w:sz w:val="21"/>
          <w:szCs w:val="21"/>
        </w:rPr>
        <w:t xml:space="preserve"> se aprueba cada año por resolución del órgano competente, sin reabrir el articulado.</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Con esos dos datos, cualquiera puede reconstruir años después qué se exigió y por qué.</w:t>
      </w:r>
    </w:p>
    <w:p>
      <w:pPr>
        <w:pStyle w:val="ListParagraph"/>
        <w:numPr>
          <w:ilvl w:val="0"/>
          <w:numId w:val="1"/>
        </w:numPr>
        <w:spacing w:after="70" w:line="268"/>
      </w:pPr>
      <w:r>
        <w:rPr>
          <w:rFonts w:ascii="Calibri" w:cs="Calibri" w:eastAsia="Calibri" w:hAnsi="Calibri"/>
          <w:sz w:val="21"/>
          <w:szCs w:val="21"/>
        </w:rPr>
        <w:t xml:space="preserve">Los códigos de cláusula se escriben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es un pliego que no se sabe a qué texto remite.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y, en particular,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XIV.A (Anexo de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r>
        <w:rPr>
          <w:rFonts w:ascii="Calibri" w:cs="Calibri" w:eastAsia="Calibri" w:hAnsi="Calibri"/>
          <w:sz w:val="21"/>
          <w:szCs w:val="21"/>
          <w:u w:val="single"/>
        </w:rPr>
        <w:t xml:space="preserve">LCSP, texto consolidado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o valor estimado inferior a </w:t>
            </w:r>
            <w:r>
              <w:rPr>
                <w:rFonts w:ascii="Calibri" w:cs="Calibri" w:eastAsia="Calibri" w:hAnsi="Calibri"/>
                <w:b w:val="false"/>
                <w:bCs w:val="false"/>
                <w:sz w:val="18"/>
                <w:szCs w:val="18"/>
              </w:rPr>
              <w:t xml:space="preserve">[X; se recomienda 50.000] €</w:t>
            </w:r>
            <w:r>
              <w:rPr>
                <w:rFonts w:ascii="Calibri" w:cs="Calibri" w:eastAsia="Calibri" w:hAnsi="Calibri"/>
                <w:b w:val="false"/>
                <w:bCs w:val="false"/>
                <w:sz w:val="18"/>
                <w:szCs w:val="18"/>
              </w:rPr>
              <w:t xml:space="preserve">; o contrato sin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val="false"/>
                <w:bCs w:val="false"/>
                <w:sz w:val="18"/>
                <w:szCs w:val="18"/>
              </w:rPr>
              <w:t xml:space="preserve">[50.000]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ADM-4·v3, ADM-5·v3, ADM-6·v3, ADM-8·v3 y 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val="false"/>
                <w:bCs w:val="false"/>
                <w:sz w:val="18"/>
                <w:szCs w:val="18"/>
              </w:rPr>
              <w:t xml:space="preserve">216.000 €</w:t>
            </w:r>
            <w:r>
              <w:rPr>
                <w:rFonts w:ascii="Calibri" w:cs="Calibri" w:eastAsia="Calibri" w:hAnsi="Calibri"/>
                <w:b w:val="false"/>
                <w:bCs w:val="false"/>
                <w:sz w:val="18"/>
                <w:szCs w:val="18"/>
              </w:rPr>
              <w:t xml:space="preserve"> en servicios y suministros para 2026-2027, conforme al </w:t>
            </w:r>
            <w:r>
              <w:rPr>
                <w:rFonts w:ascii="Calibri" w:cs="Calibri" w:eastAsia="Calibri" w:hAnsi="Calibri"/>
                <w:b w:val="false"/>
                <w:bCs w:val="false"/>
                <w:sz w:val="18"/>
                <w:szCs w:val="18"/>
                <w:u w:val="single"/>
              </w:rPr>
              <w:t xml:space="preserve">Reglamento Delegado (UE) 2025/2152</w:t>
            </w:r>
            <w:r>
              <w:rPr>
                <w:rFonts w:ascii="Calibri" w:cs="Calibri" w:eastAsia="Calibri" w:hAnsi="Calibri"/>
                <w:b w:val="false"/>
                <w:bCs w:val="false"/>
                <w:sz w:val="18"/>
                <w:szCs w:val="18"/>
              </w:rPr>
              <w:t xml:space="preserve">; es un umbral legal, no un parámetro del órgano de contratación, y caduca el 31/12/2027); o sistema de categoría ENS </w:t>
            </w:r>
            <w:r>
              <w:rPr>
                <w:rFonts w:ascii="Calibri" w:cs="Calibri" w:eastAsia="Calibri" w:hAnsi="Calibri"/>
                <w:b w:val="false"/>
                <w:bCs w:val="false"/>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val="false"/>
                <w:bCs w:val="false"/>
                <w:sz w:val="18"/>
                <w:szCs w:val="18"/>
              </w:rPr>
              <w:t xml:space="preserve">ALTA</w:t>
            </w:r>
            <w:r>
              <w:rPr>
                <w:rFonts w:ascii="Calibri" w:cs="Calibri" w:eastAsia="Calibri" w:hAnsi="Calibri"/>
                <w:b w:val="false"/>
                <w:bCs w:val="false"/>
                <w:sz w:val="18"/>
                <w:szCs w:val="18"/>
              </w:rPr>
              <w:t xml:space="preserve">; o servicio de los relacionados en el Anexo 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ADM-7·v3, ADM-9·v3 y ADM-11·v3;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sz w:val="21"/>
          <w:szCs w:val="21"/>
        </w:rPr>
        <w:t xml:space="preserve">antes de aprobarlo</w:t>
      </w:r>
      <w:r>
        <w:rPr>
          <w:rFonts w:ascii="Calibri" w:cs="Calibri" w:eastAsia="Calibri" w:hAnsi="Calibri"/>
          <w:sz w:val="21"/>
          <w:szCs w:val="21"/>
        </w:rPr>
        <w:t xml:space="preserve">, los doce elementos siguientes. La regla general se enuncia primero; el régimen de Pozuelo de Alarcón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de Pozuelo)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(Pozuelo se rige por el Título X de la Ley 7/1985, régimen de municipios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val="false"/>
                <w:bCs w:val="false"/>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Pozuelo,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r>
              <w:rPr>
                <w:rFonts w:ascii="Calibri" w:cs="Calibri" w:eastAsia="Calibri" w:hAnsi="Calibri"/>
                <w:b w:val="false"/>
                <w:bCs w:val="false"/>
                <w:sz w:val="18"/>
                <w:szCs w:val="18"/>
                <w:u w:val="single"/>
              </w:rPr>
              <w:t xml:space="preserve">Ley 5/2016, de 22 de julio</w:t>
            </w:r>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val="false"/>
                <w:bCs w:val="false"/>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val="false"/>
                <w:bCs w:val="false"/>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Pozuelo no sirve como Anexo V de nadie 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sz w:val="21"/>
          <w:szCs w:val="21"/>
        </w:rPr>
        <w:t xml:space="preserve">no se aplica</w:t>
      </w:r>
      <w:r>
        <w:rPr>
          <w:rFonts w:ascii="Calibri" w:cs="Calibri" w:eastAsia="Calibri" w:hAnsi="Calibri"/>
          <w:sz w:val="21"/>
          <w:szCs w:val="21"/>
        </w:rPr>
        <w:t xml:space="preserve">, con dos excepciones que no derivan del catálogo sino de la norma: los requisitos necesarios para asegurar la conformidad con el ENS, que el artículo 2.3 del Real Decreto 311/2022 ordena contemplar en los pliegos de los contratos del sector público, y el encargo de tratamiento del artículo 28 del RGPD cuando el contratista vaya a tratar datos personales por cuenta del Ayuntamiento. Ambos se incorporan al documento contractual o al pedido. Queda prohibido fraccionar el objeto para situar un contrato por debajo del umbral del menor y eludir el catálogo; si se detecta, la ficha se deniega.</w:t>
      </w:r>
    </w:p>
    <w:p>
      <w:pPr>
        <w:spacing w:after="140" w:line="276"/>
      </w:pPr>
      <w:r>
        <w:rPr>
          <w:rFonts w:ascii="Calibri" w:cs="Calibri" w:eastAsia="Calibri" w:hAnsi="Calibri"/>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única objeción que bloquea la aprobación: </w:t>
      </w:r>
      <w:r>
        <w:rPr>
          <w:rFonts w:ascii="Calibri" w:cs="Calibri" w:eastAsia="Calibri" w:hAnsi="Calibri"/>
          <w:sz w:val="21"/>
          <w:szCs w:val="21"/>
        </w:rPr>
        <w:t xml:space="preserve">«[las cláusulas] nacen a partir de unas necesidades que no se demandan por ninguno de los gestores y si no es así no dejan de ser algo artificioso al contrato»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 objeción es correcta en el estándar y equivocada en el sujeto, y además </w:t>
      </w:r>
      <w:r>
        <w:rPr>
          <w:rFonts w:ascii="Calibri" w:cs="Calibri" w:eastAsia="Calibri" w:hAnsi="Calibri"/>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 contabilidad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val="false"/>
                <w:bCs w:val="false"/>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val="false"/>
                <w:bCs w:val="false"/>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val="false"/>
                <w:bCs w:val="false"/>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val="false"/>
                <w:bCs w:val="false"/>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val="false"/>
                <w:bCs w:val="false"/>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val="false"/>
                <w:bCs w:val="false"/>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val="false"/>
                <w:bCs w:val="false"/>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val="false"/>
                <w:bCs w:val="false"/>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val="false"/>
                <w:bCs w:val="false"/>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EXIGIBLE HOY.</w:t>
            </w:r>
            <w:r>
              <w:rPr>
                <w:rFonts w:ascii="Calibri" w:cs="Calibri" w:eastAsia="Calibri" w:hAnsi="Calibri"/>
                <w:b w:val="false"/>
                <w:bCs w:val="false"/>
                <w:sz w:val="18"/>
                <w:szCs w:val="18"/>
              </w:rPr>
              <w:t xml:space="preserve"> El </w:t>
            </w:r>
            <w:r>
              <w:rPr>
                <w:rFonts w:ascii="Calibri" w:cs="Calibri" w:eastAsia="Calibri" w:hAnsi="Calibri"/>
                <w:b w:val="false"/>
                <w:bCs w:val="false"/>
                <w:sz w:val="18"/>
                <w:szCs w:val="18"/>
                <w:u w:val="single"/>
              </w:rPr>
              <w:t xml:space="preserve">Reglamento (UE) 2026/1744, de 8 de julio de 2026</w:t>
            </w:r>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val="false"/>
                <w:bCs w:val="false"/>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val="false"/>
                <w:bCs w:val="false"/>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val="false"/>
                <w:bCs w:val="false"/>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confirmación</w:t>
            </w:r>
            <w:r>
              <w:rPr>
                <w:rFonts w:ascii="Calibri" w:cs="Calibri" w:eastAsia="Calibri" w:hAnsi="Calibri"/>
                <w:b w:val="false"/>
                <w:bCs w:val="false"/>
                <w:sz w:val="18"/>
                <w:szCs w:val="18"/>
              </w:rPr>
              <w:t xml:space="preserve"> en el texto consolidado antes de publicar: el precepto está en la sección 5 del capítulo III y no consta entre los aplazados, extremo que debe verificarse y consignarse en el Anexo XIV.A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XIV.A</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XIV.A, con fecha de corte. La versión 2.0 de este clausulado y el resumen ejecutivo de la versión 1 describen el calendario original y han quedado desactualizados; así se hace constar en la tabla de correspondencias del Anexo XIV.B.</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Pozuelo,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sz w:val="21"/>
          <w:szCs w:val="21"/>
        </w:rPr>
        <w:t xml:space="preserve">Modelo de acuerdo</w:t>
      </w:r>
      <w:r>
        <w:rPr>
          <w:rFonts w:ascii="Calibri" w:cs="Calibri" w:eastAsia="Calibri" w:hAnsi="Calibri"/>
          <w:sz w:val="21"/>
          <w:szCs w:val="21"/>
        </w:rPr>
        <w:t xml:space="preserve"> </w:t>
      </w:r>
      <w:r>
        <w:rPr>
          <w:rFonts w:ascii="Calibri" w:cs="Calibri" w:eastAsia="Calibri" w:hAnsi="Calibri"/>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contabilidad no puede firmar la ficha del ENS ni la del acceso de la Intervención: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sz w:val="21"/>
          <w:szCs w:val="21"/>
        </w:rPr>
        <w:t xml:space="preserve">estimó el recurso y anuló los pliegos</w:t>
      </w:r>
      <w:r>
        <w:rPr>
          <w:rFonts w:ascii="Calibri" w:cs="Calibri" w:eastAsia="Calibri" w:hAnsi="Calibri"/>
          <w:sz w:val="21"/>
          <w:szCs w:val="21"/>
        </w:rPr>
        <w:t xml:space="preserve"> por exigir certificaciones de conformidad con el Esquema Nacional de Seguridad de nivel ALTO sin justificación.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r>
        <w:rPr>
          <w:rFonts w:ascii="Calibri" w:cs="Calibri" w:eastAsia="Calibri" w:hAnsi="Calibri"/>
          <w:sz w:val="21"/>
          <w:szCs w:val="21"/>
          <w:u w:val="single"/>
        </w:rPr>
        <w:t xml:space="preserve">Resolución 383/2024 (PDF)</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color w:val="2F5496"/>
          <w:sz w:val="21"/>
          <w:szCs w:val="21"/>
          <w:u w:val="single"/>
        </w:rPr>
        <w:t xml:space="preserve">Reglamento (UE) 2026/1744, de 8 de julio de 2026</w:t>
      </w:r>
      <w:r>
        <w:rPr>
          <w:rFonts w:ascii="Calibri" w:cs="Calibri" w:eastAsia="Calibri" w:hAnsi="Calibri"/>
          <w:sz w:val="21"/>
          <w:szCs w:val="21"/>
        </w:rPr>
        <w:t xml:space="preserve">. Las fechas de exigibilidad, en el Anexo XIV.A.</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sz w:val="21"/>
          <w:szCs w:val="21"/>
        </w:rPr>
        <w:t xml:space="preserve">La norma de sistemas de gestión de la inteligencia artificial de la familia ISO/IEC 42001, </w:t>
      </w:r>
      <w:r>
        <w:rPr>
          <w:rFonts w:ascii="Calibri" w:cs="Calibri" w:eastAsia="Calibri" w:hAnsi="Calibri"/>
          <w:b/>
          <w:bCs/>
          <w:sz w:val="21"/>
          <w:szCs w:val="21"/>
        </w:rPr>
        <w:t xml:space="preserve">con designación y año expresos, que deben fijarse antes de publicar</w:t>
      </w:r>
      <w:r>
        <w:rPr>
          <w:rFonts w:ascii="Calibri" w:cs="Calibri" w:eastAsia="Calibri" w:hAnsi="Calibri"/>
          <w:sz w:val="21"/>
          <w:szCs w:val="21"/>
        </w:rPr>
        <w:t xml:space="preserve"> —coexisten en el catálogo una traducción española de 2025 y una adopción europea posterior—, o norma que la sustituya, o equivalente. Su tratamiento contractual está en ADM-1·v3.</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r>
        <w:rPr>
          <w:rFonts w:ascii="Calibri" w:cs="Calibri" w:eastAsia="Calibri" w:hAnsi="Calibri"/>
          <w:color w:val="2F5496"/>
          <w:sz w:val="21"/>
          <w:szCs w:val="21"/>
          <w:u w:val="single"/>
        </w:rPr>
        <w:t xml:space="preserve">9 de diciembre de 2025</w:t>
      </w:r>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lista de especificaciones técnicas del ámbito TIC identificadas por la Comisión Europea para poder ser referenciadas en contratación pública, conforme a los artículos 13 y 14 del Reglamento (UE) n.º 1025/2012, no incluye ningún protocolo de agentes.</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sz w:val="21"/>
          <w:szCs w:val="21"/>
        </w:rPr>
        <w:t xml:space="preserve">Anexo XIV.A, Anexo de vigencia normativa</w:t>
      </w:r>
      <w:r>
        <w:rPr>
          <w:rFonts w:ascii="Calibri" w:cs="Calibri" w:eastAsia="Calibri" w:hAnsi="Calibri"/>
          <w:sz w:val="21"/>
          <w:szCs w:val="21"/>
        </w:rPr>
        <w:t xml:space="preserve">, que se estructura en dos columnas —</w:t>
      </w:r>
      <w:r>
        <w:rPr>
          <w:rFonts w:ascii="Calibri" w:cs="Calibri" w:eastAsia="Calibri" w:hAnsi="Calibri"/>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XIV.A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XIV.C, que carece de efectos jurídicos y así lo hace constar.</w:t>
      </w:r>
    </w:p>
    <w:p>
      <w:pPr>
        <w:spacing w:after="140" w:line="276"/>
      </w:pPr>
      <w:r>
        <w:rPr>
          <w:rFonts w:ascii="Calibri" w:cs="Calibri" w:eastAsia="Calibri" w:hAnsi="Calibri"/>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y que comprende: la entrega ordenada, sin coste adicional y en formato abierto, reutilizable y documentado, de los datos, de los desarrollos específicos, de las configuraciones, parametrizaciones y modelos, del Inventario de Componentes y de la documentación técnica y funcional; la entrega del diccionario de datos; la asistencia al Ayuntamiento o al nuevo contratista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w:t>
            </w:r>
            <w:r>
              <w:rPr>
                <w:rFonts w:ascii="Georgia" w:cs="Georgia" w:eastAsia="Georgia" w:hAnsi="Georgia"/>
                <w:b/>
                <w:bCs/>
                <w:sz w:val="20"/>
                <w:szCs w:val="20"/>
              </w:rPr>
              <w:t xml:space="preserve">La reversibilidad no comprende la entrega del código fuente del producto base ni el de terceros licenciantes</w:t>
            </w:r>
            <w:r>
              <w:rPr>
                <w:rFonts w:ascii="Georgia" w:cs="Georgia" w:eastAsia="Georgia" w:hAnsi="Georgia"/>
                <w:sz w:val="20"/>
                <w:szCs w:val="20"/>
              </w:rPr>
              <w:t xml:space="preserve">, cuyos derechos de propiedad intelectual quedan expresamente salvaguardados.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Dicho anexo se incorpora físicamente a este pliego, con número de versión y fecha, y permanece invariable durante toda la vigencia del contrato y de sus prórrogas; las revisiones posteriores del catálogo municipal no afectan a este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y añade tres piezas que aquélla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r>
        <w:rPr>
          <w:rFonts w:ascii="Calibri" w:cs="Calibri" w:eastAsia="Calibri" w:hAnsi="Calibri"/>
          <w:sz w:val="21"/>
          <w:szCs w:val="21"/>
          <w:u w:val="single"/>
        </w:rPr>
        <w:t xml:space="preserve">Resolución 1113/2022, de 27 de septiembre de 2022, recurso 998/2022</w:t>
      </w:r>
      <w:r>
        <w:rPr>
          <w:rFonts w:ascii="Calibri" w:cs="Calibri" w:eastAsia="Calibri" w:hAnsi="Calibri"/>
          <w:sz w:val="21"/>
          <w:szCs w:val="21"/>
        </w:rPr>
        <w:t xml:space="preserve">%2027-9-2022.pdf), fundamento de derecho séptimo; el Tribunal anuló las cláusulas afectadas y ordenó retroacción). Se cita como doctrina general sobre condiciones especiales de ejecución, trasladada por analogía: no consta doctrina sobre cláusulas de contenido tecnológico-evolutivo. La nueva definición sustituye la apreciación por dos hechos comprobables y remite la calificación a la lista cerrada de ADM-6·v3.</w:t>
      </w:r>
    </w:p>
    <w:p>
      <w:pPr>
        <w:spacing w:after="140" w:line="276"/>
      </w:pPr>
      <w:r>
        <w:rPr>
          <w:rFonts w:ascii="Calibri" w:cs="Calibri" w:eastAsia="Calibri" w:hAnsi="Calibri"/>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r>
        <w:rPr>
          <w:rFonts w:ascii="Calibri" w:cs="Calibri" w:eastAsia="Calibri" w:hAnsi="Calibri"/>
          <w:sz w:val="21"/>
          <w:szCs w:val="21"/>
          <w:u w:val="single"/>
        </w:rPr>
        <w:t xml:space="preserve">Resolución 535/2025, de 18 de diciembre de 2025, recurso 526/2025</w:t>
      </w:r>
      <w:r>
        <w:rPr>
          <w:rFonts w:ascii="Calibri" w:cs="Calibri" w:eastAsia="Calibri" w:hAnsi="Calibri"/>
          <w:sz w:val="21"/>
          <w:szCs w:val="21"/>
        </w:rPr>
        <w:t xml:space="preserve"> —</w:t>
      </w:r>
      <w:r>
        <w:rPr>
          <w:rFonts w:ascii="Calibri" w:cs="Calibri" w:eastAsia="Calibri" w:hAnsi="Calibri"/>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r>
        <w:rPr>
          <w:rFonts w:ascii="Calibri" w:cs="Calibri" w:eastAsia="Calibri" w:hAnsi="Calibri"/>
          <w:sz w:val="21"/>
          <w:szCs w:val="21"/>
          <w:u w:val="single"/>
        </w:rPr>
        <w:t xml:space="preserve">asunto C-424/23, DYKA Plastics</w:t>
      </w:r>
      <w:r>
        <w:rPr>
          <w:rFonts w:ascii="Calibri" w:cs="Calibri" w:eastAsia="Calibri" w:hAnsi="Calibri"/>
          <w:sz w:val="21"/>
          <w:szCs w:val="21"/>
        </w:rPr>
        <w:t xml:space="preserve">, apartado 61); y el poder adjudicador </w:t>
      </w:r>
      <w:r>
        <w:rPr>
          <w:rFonts w:ascii="Calibri" w:cs="Calibri" w:eastAsia="Calibri" w:hAnsi="Calibri"/>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r>
        <w:rPr>
          <w:rFonts w:ascii="Calibri" w:cs="Calibri" w:eastAsia="Calibri" w:hAnsi="Calibri"/>
          <w:sz w:val="21"/>
          <w:szCs w:val="21"/>
          <w:u w:val="single"/>
        </w:rPr>
        <w:t xml:space="preserve">asunto C-14/17</w:t>
      </w:r>
      <w:r>
        <w:rPr>
          <w:rFonts w:ascii="Calibri" w:cs="Calibri" w:eastAsia="Calibri" w:hAnsi="Calibri"/>
          <w:sz w:val="21"/>
          <w:szCs w:val="21"/>
        </w:rPr>
        <w:t xml:space="preserve">).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r>
        <w:rPr>
          <w:rFonts w:ascii="Calibri" w:cs="Calibri" w:eastAsia="Calibri" w:hAnsi="Calibri"/>
          <w:color w:val="2F5496"/>
          <w:sz w:val="21"/>
          <w:szCs w:val="21"/>
          <w:u w:val="single"/>
        </w:rPr>
        <w:t xml:space="preserve">Resolución 1727/2021, de 2 de diciembre de 2021, recurso 1372/2021</w:t>
      </w:r>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r>
        <w:rPr>
          <w:rFonts w:ascii="Calibri" w:cs="Calibri" w:eastAsia="Calibri" w:hAnsi="Calibri"/>
          <w:sz w:val="21"/>
          <w:szCs w:val="21"/>
          <w:u w:val="single"/>
        </w:rPr>
        <w:t xml:space="preserve">Resolución 549/2020, de 17 de abril de 2020, recurso 323/2020</w:t>
      </w:r>
      <w:r>
        <w:rPr>
          <w:rFonts w:ascii="Calibri" w:cs="Calibri" w:eastAsia="Calibri" w:hAnsi="Calibri"/>
          <w:sz w:val="21"/>
          <w:szCs w:val="21"/>
        </w:rPr>
        <w:t xml:space="preserve">%2017-04-2020.pdf): </w:t>
      </w:r>
      <w:r>
        <w:rPr>
          <w:rFonts w:ascii="Calibri" w:cs="Calibri" w:eastAsia="Calibri" w:hAnsi="Calibri"/>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sz w:val="21"/>
          <w:szCs w:val="21"/>
        </w:rPr>
        <w:t xml:space="preserve">ex lege</w:t>
      </w:r>
      <w:r>
        <w:rPr>
          <w:rFonts w:ascii="Calibri" w:cs="Calibri" w:eastAsia="Calibri" w:hAnsi="Calibri"/>
          <w:sz w:val="21"/>
          <w:szCs w:val="21"/>
        </w:rPr>
        <w:t xml:space="preserve"> </w:t>
      </w:r>
      <w:r>
        <w:rPr>
          <w:rFonts w:ascii="Calibri" w:cs="Calibri" w:eastAsia="Calibri" w:hAnsi="Calibri"/>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XII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relación cerrada figura en DT-0.6·v3.</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XII identifica esos casos.</w:t>
      </w:r>
    </w:p>
    <w:p>
      <w:pPr>
        <w:spacing w:after="140" w:line="276"/>
      </w:pPr>
      <w:r>
        <w:rPr>
          <w:rFonts w:ascii="Calibri" w:cs="Calibri" w:eastAsia="Calibri" w:hAnsi="Calibri"/>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la memoria de criterios (Anexo IV),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tres casillas obligatorias: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sz w:val="21"/>
          <w:szCs w:val="21"/>
        </w:rPr>
        <w:t xml:space="preserve">Se transcribe obligatoriamente al PPT</w:t>
      </w:r>
      <w:r>
        <w:rPr>
          <w:rFonts w:ascii="Calibri" w:cs="Calibri" w:eastAsia="Calibri" w:hAnsi="Calibri"/>
          <w:sz w:val="21"/>
          <w:szCs w:val="21"/>
        </w:rPr>
        <w:t xml:space="preserve">: el bloque de referencias técnicas no normativas del §4.2 y las definiciones del §5.2 que resulten aplicables a las cláusulas incorporadas.</w:t>
      </w:r>
    </w:p>
    <w:p>
      <w:pPr>
        <w:spacing w:after="140" w:line="276"/>
      </w:pPr>
      <w:r>
        <w:rPr>
          <w:rFonts w:ascii="Calibri" w:cs="Calibri" w:eastAsia="Calibri" w:hAnsi="Calibri"/>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[DT-0.6·v3]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[DT-0.6·v3],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XII. Todos son decisión del órgano de contratación; el valor recomendado es el punto de partida, no una decisión ajena.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33.4.d) regula la circularización en auditoría pública, no el acceso funcional permanente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XII.</w:t>
      </w:r>
    </w:p>
    <w:p>
      <w:pPr>
        <w:spacing w:after="140" w:line="276"/>
      </w:pPr>
      <w:r>
        <w:rPr>
          <w:rFonts w:ascii="Calibri" w:cs="Calibri" w:eastAsia="Calibri" w:hAnsi="Calibri"/>
          <w:sz w:val="21"/>
          <w:szCs w:val="21"/>
        </w:rPr>
        <w:t xml:space="preserve">Reutilización por otra administración.</w:t>
      </w:r>
      <w:r>
        <w:rPr>
          <w:rFonts w:ascii="Calibri" w:cs="Calibri" w:eastAsia="Calibri" w:hAnsi="Calibri"/>
          <w:sz w:val="21"/>
          <w:szCs w:val="21"/>
        </w:rPr>
        <w:t xml:space="preserve"> Las cláusulas están escritas en regla general, y Pozuelo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XIV.B.</w:t>
      </w:r>
    </w:p>
    <w:p>
      <w:pPr>
        <w:spacing w:after="140" w:line="276"/>
      </w:pPr>
      <w:r>
        <w:rPr>
          <w:rFonts w:ascii="Calibri" w:cs="Calibri" w:eastAsia="Calibri" w:hAnsi="Calibri"/>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sz w:val="21"/>
          <w:szCs w:val="21"/>
        </w:rPr>
        <w:t xml:space="preserve">VAR Srl y ATM c. Iveco Orecchia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r>
        <w:rPr>
          <w:rFonts w:ascii="Calibri" w:cs="Calibri" w:eastAsia="Calibri" w:hAnsi="Calibri"/>
          <w:sz w:val="21"/>
          <w:szCs w:val="21"/>
          <w:u w:val="single"/>
        </w:rPr>
        <w:t xml:space="preserve">PDF</w:t>
      </w:r>
      <w:r>
        <w:rPr>
          <w:rFonts w:ascii="Calibri" w:cs="Calibri" w:eastAsia="Calibri" w:hAnsi="Calibri"/>
          <w:sz w:val="21"/>
          <w:szCs w:val="21"/>
        </w:rPr>
        <w:t xml:space="preserve">. Esa resolución es </w:t>
      </w:r>
      <w:r>
        <w:rPr>
          <w:rFonts w:ascii="Calibri" w:cs="Calibri" w:eastAsia="Calibri" w:hAnsi="Calibri"/>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sz w:val="21"/>
          <w:szCs w:val="21"/>
        </w:rPr>
        <w:t xml:space="preserve">Carga estimada al año</w:t>
      </w:r>
      <w:r>
        <w:rPr>
          <w:rFonts w:ascii="Calibri" w:cs="Calibri" w:eastAsia="Calibri" w:hAnsi="Calibri"/>
          <w:sz w:val="21"/>
          <w:szCs w:val="21"/>
        </w:rPr>
        <w:t xml:space="preserve"> </w:t>
      </w:r>
      <w:r>
        <w:rPr>
          <w:rFonts w:ascii="Calibri" w:cs="Calibri" w:eastAsia="Calibri" w:hAnsi="Calibri"/>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en tramitación (expediente 121/000096, BOCG Serie A núm. 97-1, de 12 de junio de 2026) tipifica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El riesgo sancionador por mal despliegue apunta al Ayuntamiento, no al proveedor. Trasladar al contratista obligaciones que son indelegables no protege al Ayuntamiento: le hace creer que está cubierto.</w:t>
      </w:r>
    </w:p>
    <w:p>
      <w:pPr>
        <w:spacing w:after="140" w:line="276"/>
      </w:pPr>
      <w:r>
        <w:rPr>
          <w:rFonts w:ascii="Calibri" w:cs="Calibri" w:eastAsia="Calibri" w:hAnsi="Calibri"/>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sz w:val="21"/>
          <w:szCs w:val="21"/>
        </w:rPr>
        <w:t xml:space="preserve">Carga estimada al año</w:t>
      </w:r>
      <w:r>
        <w:rPr>
          <w:rFonts w:ascii="Calibri" w:cs="Calibri" w:eastAsia="Calibri" w:hAnsi="Calibri"/>
          <w:sz w:val="21"/>
          <w:szCs w:val="21"/>
        </w:rPr>
        <w:t xml:space="preserve"> </w:t>
      </w:r>
      <w:r>
        <w:rPr>
          <w:rFonts w:ascii="Calibri" w:cs="Calibri" w:eastAsia="Calibri" w:hAnsi="Calibri"/>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Si el expediente no puede designar un actor municipal para esta verificación y consignar su periodicidad, la cláusula no se incorpora. Crear obligaciones que nadie comprueba es peor que no crearlas: la primera vez que haya que exigirlas, no habrá acta que lo sostenga.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se aplica únicamente el apartado 3 (prácticas prohibidas) y, cuando haya tratamiento de datos personales, la obligación de aportar las instrucciones de uso. El resto es desproporcionado a la cuantía.</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sz w:val="21"/>
          <w:szCs w:val="21"/>
        </w:rPr>
        <w:t xml:space="preserve">(Degradada y renombrada. </w:t>
      </w:r>
      <w:r>
        <w:rPr>
          <w:rFonts w:ascii="Calibri" w:cs="Calibri" w:eastAsia="Calibri" w:hAnsi="Calibri"/>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con la Infraestructura Europea de Servicios Blockchain (EBSI) o con infraestructuras que acrediten interoperabilidad equivalente, sobre los casos de uso identificados en este pliego.</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ha fijado el Tribunal Administrativo de Contratación Pública de la Comunidad de Madrid en su Resolución 92/2024, de 7 de marzo de 2024, recurso 70/2024, </w:t>
      </w:r>
      <w:r>
        <w:rPr>
          <w:rFonts w:ascii="Calibri" w:cs="Calibri" w:eastAsia="Calibri" w:hAnsi="Calibri"/>
          <w:sz w:val="21"/>
          <w:szCs w:val="21"/>
          <w:u w:val="single"/>
        </w:rPr>
        <w:t xml:space="preserve">PDF</w:t>
      </w:r>
      <w:r>
        <w:rPr>
          <w:rFonts w:ascii="Calibri" w:cs="Calibri" w:eastAsia="Calibri" w:hAnsi="Calibri"/>
          <w:sz w:val="21"/>
          <w:szCs w:val="21"/>
        </w:rPr>
        <w:t xml:space="preserve">, doctrina general trasladable por analogía—, pero eso no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EBSI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sz w:val="21"/>
          <w:szCs w:val="21"/>
        </w:rPr>
        <w:t xml:space="preserve">Carga estimada al año</w:t>
      </w:r>
      <w:r>
        <w:rPr>
          <w:rFonts w:ascii="Calibri" w:cs="Calibri" w:eastAsia="Calibri" w:hAnsi="Calibri"/>
          <w:sz w:val="21"/>
          <w:szCs w:val="21"/>
        </w:rPr>
        <w:t xml:space="preserve"> </w:t>
      </w:r>
      <w:r>
        <w:rPr>
          <w:rFonts w:ascii="Calibri" w:cs="Calibri" w:eastAsia="Calibri" w:hAnsi="Calibri"/>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Obligación esencial: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correlativo de ADM-7·v3 y la mención correspondiente del Anexo VI. Puntuar una capacidad cuya cláusula técnica el propio pliego ha declarado innecesaria es un defecto que no se motiva. Véase la tabla de dependencias del apartado II.11.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sz w:val="21"/>
          <w:szCs w:val="21"/>
        </w:rPr>
        <w:t xml:space="preserve">(Degradada. </w:t>
      </w:r>
      <w:r>
        <w:rPr>
          <w:rFonts w:ascii="Calibri" w:cs="Calibri" w:eastAsia="Calibri" w:hAnsi="Calibri"/>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entrega inicial del plan a los [6] meses; revisión anual coincidiendo con la del ENS.</w:t>
      </w:r>
    </w:p>
    <w:p>
      <w:pPr>
        <w:spacing w:after="140" w:line="276"/>
      </w:pPr>
      <w:r>
        <w:rPr>
          <w:rFonts w:ascii="Calibri" w:cs="Calibri" w:eastAsia="Calibri" w:hAnsi="Calibri"/>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sz w:val="21"/>
          <w:szCs w:val="21"/>
        </w:rPr>
        <w:t xml:space="preserve">Carga estimada al año</w:t>
      </w:r>
      <w:r>
        <w:rPr>
          <w:rFonts w:ascii="Calibri" w:cs="Calibri" w:eastAsia="Calibri" w:hAnsi="Calibri"/>
          <w:sz w:val="21"/>
          <w:szCs w:val="21"/>
        </w:rPr>
        <w:t xml:space="preserve"> </w:t>
      </w:r>
      <w:r>
        <w:rPr>
          <w:rFonts w:ascii="Calibri" w:cs="Calibri" w:eastAsia="Calibri" w:hAnsi="Calibri"/>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Obligación esencial: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 (declaración responsable). DT-3·v3 no tiene criterio de adjudicación asociado en v3: salió del baremo.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XIV.C, </w:t>
      </w:r>
      <w:r>
        <w:rPr>
          <w:rFonts w:ascii="Calibri" w:cs="Calibri" w:eastAsia="Calibri" w:hAnsi="Calibri"/>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sz w:val="21"/>
          <w:szCs w:val="21"/>
        </w:rPr>
        <w:t xml:space="preserve">Carga estimada al año</w:t>
      </w:r>
      <w:r>
        <w:rPr>
          <w:rFonts w:ascii="Calibri" w:cs="Calibri" w:eastAsia="Calibri" w:hAnsi="Calibri"/>
          <w:sz w:val="21"/>
          <w:szCs w:val="21"/>
        </w:rPr>
        <w:t xml:space="preserve"> </w:t>
      </w:r>
      <w:r>
        <w:rPr>
          <w:rFonts w:ascii="Calibri" w:cs="Calibri" w:eastAsia="Calibri" w:hAnsi="Calibri"/>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Obligación esencial: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(automatización sobre listado cerrado) y la mención del Anexo VI.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sz w:val="21"/>
          <w:szCs w:val="21"/>
        </w:rPr>
        <w:t xml:space="preserve">(Reescrita. Se corrige un error de sentido inverso del texto anterior: la mención «o servicios equivalentes» </w:t>
      </w:r>
      <w:r>
        <w:rPr>
          <w:rFonts w:ascii="Calibri" w:cs="Calibri" w:eastAsia="Calibri" w:hAnsi="Calibri"/>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la Intervención de ADM-12·v3 existe sobre el papel y no en la práctica.</w:t>
      </w:r>
    </w:p>
    <w:p>
      <w:pPr>
        <w:spacing w:after="140" w:line="276"/>
      </w:pPr>
      <w:r>
        <w:rPr>
          <w:rFonts w:ascii="Calibri" w:cs="Calibri" w:eastAsia="Calibri" w:hAnsi="Calibri"/>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sz w:val="21"/>
          <w:szCs w:val="21"/>
        </w:rPr>
        <w:t xml:space="preserve">Carga estimada al año</w:t>
      </w:r>
      <w:r>
        <w:rPr>
          <w:rFonts w:ascii="Calibri" w:cs="Calibri" w:eastAsia="Calibri" w:hAnsi="Calibri"/>
          <w:sz w:val="21"/>
          <w:szCs w:val="21"/>
        </w:rPr>
        <w:t xml:space="preserve"> </w:t>
      </w:r>
      <w:r>
        <w:rPr>
          <w:rFonts w:ascii="Calibri" w:cs="Calibri" w:eastAsia="Calibri" w:hAnsi="Calibri"/>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sz w:val="21"/>
          <w:szCs w:val="21"/>
        </w:rPr>
        <w:t xml:space="preserve">son esenciales por imperativo del artículo 122.2 LCSP</w:t>
      </w:r>
      <w:r>
        <w:rPr>
          <w:rFonts w:ascii="Calibri" w:cs="Calibri" w:eastAsia="Calibri" w:hAnsi="Calibri"/>
          <w:sz w:val="21"/>
          <w:szCs w:val="21"/>
        </w:rPr>
        <w:t xml:space="preserve"> y figuran como tales en ADM-6·v3, bloque 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se conservan los apartados 4 (exportación y diccionario) y 5; el resto es desproporcionado.</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 y anuló los pliegos</w:t>
      </w:r>
      <w:r>
        <w:rPr>
          <w:rFonts w:ascii="Georgia" w:cs="Georgia" w:eastAsia="Georgia" w:hAnsi="Georgia"/>
          <w:i/>
          <w:iCs/>
          <w:color w:val="595959"/>
          <w:sz w:val="20"/>
          <w:szCs w:val="20"/>
        </w:rPr>
        <w:t xml:space="preserve"> por exigir certificaciones de conformidad con el Esquema Nacional de Seguridad de Nivel ALTO sin justificación.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r>
        <w:rPr>
          <w:rFonts w:ascii="Georgia" w:cs="Georgia" w:eastAsia="Georgia" w:hAnsi="Georgia"/>
          <w:i/>
          <w:iCs/>
          <w:color w:val="595959"/>
          <w:sz w:val="20"/>
          <w:szCs w:val="20"/>
          <w:u w:val="single"/>
        </w:rPr>
        <w:t xml:space="preserve">PDF</w:t>
      </w:r>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una restricción desproporcionada, y además un sobrecoste inútil: MEDIA y ALTA arrastran auditoría de certificación y BÁSICA no.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sz w:val="21"/>
          <w:szCs w:val="21"/>
        </w:rPr>
        <w:t xml:space="preserve">Carga estimada al año</w:t>
      </w:r>
      <w:r>
        <w:rPr>
          <w:rFonts w:ascii="Calibri" w:cs="Calibri" w:eastAsia="Calibri" w:hAnsi="Calibri"/>
          <w:sz w:val="21"/>
          <w:szCs w:val="21"/>
        </w:rPr>
        <w:t xml:space="preserve"> </w:t>
      </w:r>
      <w:r>
        <w:rPr>
          <w:rFonts w:ascii="Calibri" w:cs="Calibri" w:eastAsia="Calibri" w:hAnsi="Calibri"/>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se conservan los apartados 1, 2, 5 y 6; la exigencia de certificación se sustituye por declaración responsable de aplicación de las medidas correspondientes a la categoría.</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sz w:val="21"/>
          <w:szCs w:val="21"/>
        </w:rPr>
        <w:t xml:space="preserve">(Reescrita. Es el cambio de mayor calado técnico de esta Parte. La obligación se define por lo que la interfaz debe </w:t>
      </w:r>
      <w:r>
        <w:rPr>
          <w:rFonts w:ascii="Calibri" w:cs="Calibri" w:eastAsia="Calibri" w:hAnsi="Calibri"/>
          <w:sz w:val="21"/>
          <w:szCs w:val="21"/>
        </w:rPr>
        <w:t xml:space="preserve">hacer</w:t>
      </w:r>
      <w:r>
        <w:rPr>
          <w:rFonts w:ascii="Calibri" w:cs="Calibri" w:eastAsia="Calibri" w:hAnsi="Calibri"/>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atendiendo a la relación directa, clara y proporcional con el objeto del contrato exigida por el artículo 116.4.e) LCSP. No se extiende a otras aplicaciones municipales, ni a prestaciones ajenas al objeto de este contrato.</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las funciones de consulta correspondientes a los módulos del Apéndice [núm.] y, cuando el Apéndice lo indique, las funciones de escritura que en él se relacionen.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Disponible para el Ayuntamiento, con datos ficticios o anonimizados, que permita verificar las letras a) a h) de este apartado. Estará operativo,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2, con esta estructura mínima: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Apéndice del apartado 2 se transcribe físicamente dentro del PPT.</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XI.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y exigir la acreditación al licitador propuesto como adjudicatario en el trámite del artículo 150.2 LCSP.</w:t>
      </w:r>
    </w:p>
    <w:p>
      <w:pPr>
        <w:spacing w:after="140" w:line="276"/>
      </w:pPr>
      <w:r>
        <w:rPr>
          <w:rFonts w:ascii="Calibri" w:cs="Calibri" w:eastAsia="Calibri" w:hAnsi="Calibri"/>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contabilidad,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sz w:val="21"/>
          <w:szCs w:val="21"/>
        </w:rPr>
        <w:t xml:space="preserve">Con qué documento:</w:t>
      </w:r>
      <w:r>
        <w:rPr>
          <w:rFonts w:ascii="Calibri" w:cs="Calibri" w:eastAsia="Calibri" w:hAnsi="Calibri"/>
          <w:sz w:val="21"/>
          <w:szCs w:val="21"/>
        </w:rPr>
        <w:t xml:space="preserve"> </w:t>
      </w:r>
      <w:r>
        <w:rPr>
          <w:rFonts w:ascii="Calibri" w:cs="Calibri" w:eastAsia="Calibri" w:hAnsi="Calibri"/>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sz w:val="21"/>
          <w:szCs w:val="21"/>
        </w:rPr>
        <w:t xml:space="preserve">Carga estimada al año</w:t>
      </w:r>
      <w:r>
        <w:rPr>
          <w:rFonts w:ascii="Calibri" w:cs="Calibri" w:eastAsia="Calibri" w:hAnsi="Calibri"/>
          <w:sz w:val="21"/>
          <w:szCs w:val="21"/>
        </w:rPr>
        <w:t xml:space="preserve"> </w:t>
      </w:r>
      <w:r>
        <w:rPr>
          <w:rFonts w:ascii="Calibri" w:cs="Calibri" w:eastAsia="Calibri" w:hAnsi="Calibri"/>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de contabilidad, y resolver el contrato por su falta, es el tipo de desproporción que un tribunal aprecia sin necesidad de entrar en el fondo.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y plazo ofertado), la fila correspondiente del cuadro de penalidades de ADM-5·v3, el punto correspondiente de la lista de ADM-6·v3.B, la mención de ADM-10·v3 y la del Anexo VI. Véase la tabla del apartado II.11.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actualizado.</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cuya propiedad intelectual queda expresamente salvaguardada, salvo que dicho producto haya sido desarrollado a medida para el Ayuntamiento o esté sujeto a licencia de fuentes abiertas.</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Desde el inicio de la ejecución, y actualizado con cada versión puesta en producción,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por dos vías simultáneas: el período de reversión se computa </w:t>
      </w:r>
      <w:r>
        <w:rPr>
          <w:rFonts w:ascii="Calibri" w:cs="Calibri" w:eastAsia="Calibri" w:hAnsi="Calibri"/>
          <w:sz w:val="21"/>
          <w:szCs w:val="21"/>
        </w:rPr>
        <w:t xml:space="preserve">dentro</w:t>
      </w:r>
      <w:r>
        <w:rPr>
          <w:rFonts w:ascii="Calibri" w:cs="Calibri" w:eastAsia="Calibri" w:hAnsi="Calibri"/>
          <w:sz w:val="21"/>
          <w:szCs w:val="21"/>
        </w:rPr>
        <w:t xml:space="preserve"> del plazo de ejecución (apartado 4), y el coste de la licencia se computa en el presupuesto base de licitación conforme al artículo 100.2 LCSP. Deja de ser gratuita: está pagada.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Inventario, en cada puesta en producción; Plan, a los [3] meses y anualmente; ensayo, según el apartado 3; entrega y acta, en el período de reversión.</w:t>
      </w:r>
    </w:p>
    <w:p>
      <w:pPr>
        <w:spacing w:after="140" w:line="276"/>
      </w:pPr>
      <w:r>
        <w:rPr>
          <w:rFonts w:ascii="Calibri" w:cs="Calibri" w:eastAsia="Calibri" w:hAnsi="Calibri"/>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sz w:val="21"/>
          <w:szCs w:val="21"/>
        </w:rPr>
        <w:t xml:space="preserve">Carga estimada al año</w:t>
      </w:r>
      <w:r>
        <w:rPr>
          <w:rFonts w:ascii="Calibri" w:cs="Calibri" w:eastAsia="Calibri" w:hAnsi="Calibri"/>
          <w:sz w:val="21"/>
          <w:szCs w:val="21"/>
        </w:rPr>
        <w:t xml:space="preserve"> </w:t>
      </w:r>
      <w:r>
        <w:rPr>
          <w:rFonts w:ascii="Calibri" w:cs="Calibri" w:eastAsia="Calibri" w:hAnsi="Calibri"/>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sz w:val="21"/>
          <w:szCs w:val="21"/>
        </w:rPr>
        <w:t xml:space="preserve">no</w:t>
      </w:r>
      <w:r>
        <w:rPr>
          <w:rFonts w:ascii="Calibri" w:cs="Calibri" w:eastAsia="Calibri" w:hAnsi="Calibri"/>
          <w:sz w:val="21"/>
          <w:szCs w:val="21"/>
        </w:rPr>
        <w:t xml:space="preserve"> son esenciales.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se conservan los apartados 1.a), 2 en forma simplificada, 7 y 8.</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sz w:val="21"/>
          <w:szCs w:val="21"/>
        </w:rPr>
        <w:t xml:space="preserve">(NUEVA. Contiene el </w:t>
      </w:r>
      <w:r>
        <w:rPr>
          <w:rFonts w:ascii="Calibri" w:cs="Calibri" w:eastAsia="Calibri" w:hAnsi="Calibri"/>
          <w:sz w:val="21"/>
          <w:szCs w:val="21"/>
        </w:rPr>
        <w:t xml:space="preserve">régimen</w:t>
      </w:r>
      <w:r>
        <w:rPr>
          <w:rFonts w:ascii="Calibri" w:cs="Calibri" w:eastAsia="Calibri" w:hAnsi="Calibri"/>
          <w:sz w:val="21"/>
          <w:szCs w:val="21"/>
        </w:rPr>
        <w:t xml:space="preserve">: qué se exige, cómo se acepta y qué consecuencias tiene. </w:t>
      </w:r>
      <w:r>
        <w:rPr>
          <w:rFonts w:ascii="Calibri" w:cs="Calibri" w:eastAsia="Calibri" w:hAnsi="Calibri"/>
          <w:sz w:val="21"/>
          <w:szCs w:val="21"/>
        </w:rPr>
        <w:t xml:space="preserve">El catálogo del ejercicio no está aquí</w:t>
      </w:r>
      <w:r>
        <w:rPr>
          <w:rFonts w:ascii="Calibri" w:cs="Calibri" w:eastAsia="Calibri" w:hAnsi="Calibri"/>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 considerará versión sucesora aquella que presente continuidad funcional con el producto contratado, lo sustituya en el catálogo del fabricante o cuente con una ruta de migración ofrecida por el propio fabricante.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Las actuaciones ejecutadas son reversibles mediante función de la propia solución o, cuando ello no sea técnicamente posible, existe procedimiento documentado de reversión que identifica los pasos, el tiempo estimado y el puesto responsable de ejecutarlo. Se acredita ejecutando una reversión sobre el entorno de pruebas y documentándola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es el que señalaron a la vez el área de contratación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lo aplican, en materia de condiciones especiales de ejecución, las Resoluciones del Tribunal Administrativo Central de Recursos Contractuales </w:t>
      </w:r>
      <w:r>
        <w:rPr>
          <w:rFonts w:ascii="Calibri" w:cs="Calibri" w:eastAsia="Calibri" w:hAnsi="Calibri"/>
          <w:sz w:val="21"/>
          <w:szCs w:val="21"/>
        </w:rPr>
        <w:t xml:space="preserve">1071/2018</w:t>
      </w:r>
      <w:r>
        <w:rPr>
          <w:rFonts w:ascii="Calibri" w:cs="Calibri" w:eastAsia="Calibri" w:hAnsi="Calibri"/>
          <w:sz w:val="21"/>
          <w:szCs w:val="21"/>
        </w:rPr>
        <w:t xml:space="preserve">, </w:t>
      </w:r>
      <w:r>
        <w:rPr>
          <w:rFonts w:ascii="Calibri" w:cs="Calibri" w:eastAsia="Calibri" w:hAnsi="Calibri"/>
          <w:sz w:val="21"/>
          <w:szCs w:val="21"/>
        </w:rPr>
        <w:t xml:space="preserve">1111/2022</w:t>
      </w:r>
      <w:r>
        <w:rPr>
          <w:rFonts w:ascii="Calibri" w:cs="Calibri" w:eastAsia="Calibri" w:hAnsi="Calibri"/>
          <w:sz w:val="21"/>
          <w:szCs w:val="21"/>
        </w:rPr>
        <w:t xml:space="preserve"> (Pleno, recurso 842/2022, de 27 de septiembre de 2022), </w:t>
      </w:r>
      <w:r>
        <w:rPr>
          <w:rFonts w:ascii="Calibri" w:cs="Calibri" w:eastAsia="Calibri" w:hAnsi="Calibri"/>
          <w:sz w:val="21"/>
          <w:szCs w:val="21"/>
        </w:rPr>
        <w:t xml:space="preserve">1113/2022</w:t>
      </w:r>
      <w:r>
        <w:rPr>
          <w:rFonts w:ascii="Calibri" w:cs="Calibri" w:eastAsia="Calibri" w:hAnsi="Calibri"/>
          <w:sz w:val="21"/>
          <w:szCs w:val="21"/>
        </w:rPr>
        <w:t xml:space="preserve"> (recurso 998/2022, de 27 de septiembre de 2022) y </w:t>
      </w:r>
      <w:r>
        <w:rPr>
          <w:rFonts w:ascii="Calibri" w:cs="Calibri" w:eastAsia="Calibri" w:hAnsi="Calibri"/>
          <w:sz w:val="21"/>
          <w:szCs w:val="21"/>
        </w:rPr>
        <w:t xml:space="preserve">1287/2022</w:t>
      </w:r>
      <w:r>
        <w:rPr>
          <w:rFonts w:ascii="Calibri" w:cs="Calibri" w:eastAsia="Calibri" w:hAnsi="Calibri"/>
          <w:sz w:val="21"/>
          <w:szCs w:val="21"/>
        </w:rPr>
        <w:t xml:space="preserve"> (recurso 846/2022, de 20 de octubre de 2022). La primera declara que una redacción «demasiado amplia y genérica» equivale a no haber establecido condición especial alguna; la segunda y la cuarta anulan cláusulas por imprecisión; la tercera afirma que «las obligaciones genéricas o imprecisas no pueden configurarse como propias de un contrato […] menos aún pueden elevarse a categoría de obligaciones esenciales». Se citan como </w:t>
      </w:r>
      <w:r>
        <w:rPr>
          <w:rFonts w:ascii="Calibri" w:cs="Calibri" w:eastAsia="Calibri" w:hAnsi="Calibri"/>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val="false"/>
                <w:bCs w:val="false"/>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val="false"/>
                <w:bCs w:val="false"/>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val="false"/>
                <w:bCs w:val="false"/>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val="false"/>
                <w:bCs w:val="false"/>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8.6</w:t>
            </w:r>
            <w:r>
              <w:rPr>
                <w:rFonts w:ascii="Calibri" w:cs="Calibri" w:eastAsia="Calibri" w:hAnsi="Calibri"/>
                <w:b w:val="false"/>
                <w:bCs w:val="false"/>
                <w:sz w:val="18"/>
                <w:szCs w:val="18"/>
              </w:rPr>
              <w:t xml:space="preserve">: la alternativa documental subsiste, pero debe identificar pasos, tiempo y responsable, y se prueba en el entorno de pruebas</w:t>
            </w:r>
          </w:p>
        </w:tc>
      </w:tr>
    </w:tbl>
    <w:p>
      <w:pPr>
        <w:spacing w:after="200"/>
      </w:pPr>
    </w:p>
    <w:p>
      <w:pPr>
        <w:spacing w:after="140" w:line="276"/>
      </w:pPr>
      <w:r>
        <w:rPr>
          <w:rFonts w:ascii="Calibri" w:cs="Calibri" w:eastAsia="Calibri" w:hAnsi="Calibri"/>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sz w:val="21"/>
          <w:szCs w:val="21"/>
        </w:rPr>
        <w:t xml:space="preserve">Carga estimada al año</w:t>
      </w:r>
      <w:r>
        <w:rPr>
          <w:rFonts w:ascii="Calibri" w:cs="Calibri" w:eastAsia="Calibri" w:hAnsi="Calibri"/>
          <w:sz w:val="21"/>
          <w:szCs w:val="21"/>
        </w:rPr>
        <w:t xml:space="preserve"> </w:t>
      </w:r>
      <w:r>
        <w:rPr>
          <w:rFonts w:ascii="Calibri" w:cs="Calibri" w:eastAsia="Calibri" w:hAnsi="Calibri"/>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sz w:val="21"/>
          <w:szCs w:val="21"/>
        </w:rPr>
        <w:t xml:space="preserve">no</w:t>
      </w:r>
      <w:r>
        <w:rPr>
          <w:rFonts w:ascii="Calibri" w:cs="Calibri" w:eastAsia="Calibri" w:hAnsi="Calibri"/>
          <w:sz w:val="21"/>
          <w:szCs w:val="21"/>
        </w:rPr>
        <w:t xml:space="preserve"> es esencial y su incumplimiento genera penalidad.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Tabla de dependencias: qué arrastra cada cláusula si se marca NO APLICA</w:t>
      </w:r>
    </w:p>
    <w:p>
      <w:pPr>
        <w:spacing w:after="140" w:line="276"/>
      </w:pPr>
      <w:r>
        <w:rPr>
          <w:rFonts w:ascii="Calibri" w:cs="Calibri" w:eastAsia="Calibri" w:hAnsi="Calibri"/>
          <w:sz w:val="21"/>
          <w:szCs w:val="21"/>
        </w:rPr>
        <w:t xml:space="preserve">Ésta es la tabla que evita el defecto más frecuente al ensamblar un pliego a partir de un catálogo: descartar una cláusula técnica y dejar vivas, en el pliego administrativo y en los anexos, las menciones que la citan. El resultado es un pliego contradictorio, y la contradicción entre PPT y PCAP es un motivo de recurso barato.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además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si el PPT cita algún estándar, red, protocolo o producto, DT-0·v3 no puede excluirse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DT-1 del cuadro de penalidades de ADM-5·v3 · declaración de sistemas de IA del Anexo VI · referencias a supervisión humana de IA en DT-4·v3.3.e) y DT-7·v3.3.f) si tampoco se aplican · criterio de gobernanza de IA de ADM-7·v3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de interoperabilidad con infraestructuras de servicios de confianza de ADM-7·v3 · mención correlativa del Anexo VI · fila de DT-2 en ADM-5·v3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Mención correlativa del Anexo VI · fila de DT-3 en ADM-5·v3 (DT-3·v3 no tiene criterio de adjudicación asociado)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Apéndice de procesos automatizables · criterio de automatización sobre listado cerrado de ADM-7·v3 · mención del Anexo VI · fila de DT-4 en ADM-5·v3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entorno de pruebas en DT-7·v3.3.e) y DT-9·v3.5, que deberán reubicarse · apartado de ubicación de servidores de ADM-6·v3.A · exportación en formato abierto de ADM-12·v3, que quedaría sin soporte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 a la categoría ENS en DT-7·v3.3.g) y en DT-3·v3.5 · exigencias de certificación de ADM-1·v3 relativas al ENS · fila de DT-6 en ADM-5·v3. </w:t>
            </w:r>
            <w:r>
              <w:rPr>
                <w:rFonts w:ascii="Calibri" w:cs="Calibri" w:eastAsia="Calibri" w:hAnsi="Calibri"/>
                <w:b w:val="false"/>
                <w:bCs w:val="false"/>
                <w:sz w:val="18"/>
                <w:szCs w:val="18"/>
              </w:rPr>
              <w:t xml:space="preserve">Advertencia: descartar DT-6·v3 en un contrato con sistema de información contradice el artículo 2.3 del RD 311/2022; requiere motivación expresa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Apéndice de módulos · criterios de alcance funcional y de plazo ofertado de ADM-7·v3 · punto correspondiente de la lista cerrada de ADM-6·v3.B · filas de DT-7 en ADM-5·v3 · mención en ADM-10·v3 · mención del Anexo VI · remisión de DT-1·v3.6.d) al mecanismo de suspensión, que deberá redactarse de forma autónoma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correspondiente de la lista cerrada de ADM-6·v3.B · filas de DT-8 en ADM-5·v3 · referencia al Dossier de Reversibilidad en ADM-8·v3 · cláusula de plazo de garantía del PCAP, que deberá redactarse con otro día inicial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Apéndice de exigencias · </w:t>
            </w:r>
            <w:r>
              <w:rPr>
                <w:rFonts w:ascii="Calibri" w:cs="Calibri" w:eastAsia="Calibri" w:hAnsi="Calibri"/>
                <w:b w:val="false"/>
                <w:bCs w:val="false"/>
                <w:sz w:val="18"/>
                <w:szCs w:val="18"/>
              </w:rPr>
              <w:t xml:space="preserve">toda la cláusula ADM-2·v3, que carece de objeto sin Anexo V</w:t>
            </w:r>
            <w:r>
              <w:rPr>
                <w:rFonts w:ascii="Calibri" w:cs="Calibri" w:eastAsia="Calibri" w:hAnsi="Calibri"/>
                <w:b w:val="false"/>
                <w:bCs w:val="false"/>
                <w:sz w:val="18"/>
                <w:szCs w:val="18"/>
              </w:rPr>
              <w:t xml:space="preserve"> · punto correspondiente de ADM-6·v3.B · criterio de compromisos de evolución y versión sucesora de ADM-7·v3 · menciones de ADM-3·v3 y ADM-10·v3 · mención del Anexo VI</w:t>
            </w:r>
          </w:p>
        </w:tc>
      </w:tr>
    </w:tbl>
    <w:p>
      <w:pPr>
        <w:spacing w:after="200"/>
      </w:pPr>
    </w:p>
    <w:p>
      <w:pPr>
        <w:spacing w:after="140" w:line="276"/>
      </w:pPr>
      <w:r>
        <w:rPr>
          <w:rFonts w:ascii="Calibri" w:cs="Calibri" w:eastAsia="Calibri" w:hAnsi="Calibri"/>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de verificación de la Parte II</w:t>
      </w:r>
    </w:p>
    <w:p>
      <w:pPr>
        <w:spacing w:after="140" w:line="276"/>
      </w:pPr>
      <w:r>
        <w:rPr>
          <w:rFonts w:ascii="Calibri" w:cs="Calibri" w:eastAsia="Calibri" w:hAnsi="Calibri"/>
          <w:sz w:val="21"/>
          <w:szCs w:val="21"/>
        </w:rPr>
        <w:t xml:space="preserve">La regla es previa a toda la Parte: </w:t>
      </w:r>
      <w:r>
        <w:rPr>
          <w:rFonts w:ascii="Calibri" w:cs="Calibri" w:eastAsia="Calibri" w:hAnsi="Calibri"/>
          <w:sz w:val="21"/>
          <w:szCs w:val="21"/>
        </w:rPr>
        <w:t xml:space="preserve">no se incorpora ninguna cláusula cuya verificación no tenga actor municipal designado y periodicidad.</w:t>
      </w:r>
      <w:r>
        <w:rPr>
          <w:rFonts w:ascii="Calibri" w:cs="Calibri" w:eastAsia="Calibri" w:hAnsi="Calibri"/>
          <w:sz w:val="21"/>
          <w:szCs w:val="21"/>
        </w:rPr>
        <w:t xml:space="preserve"> Crear obligaciones —y más aún obligaciones esenciales— que después nadie comprueba es peor que no crearlas: el día en que haya que exigirlas no habrá acta que lo sostenga, y la Intervención lo hará constar.</w:t>
      </w:r>
    </w:p>
    <w:p>
      <w:pPr>
        <w:spacing w:after="140" w:line="276"/>
      </w:pPr>
      <w:r>
        <w:rPr>
          <w:rFonts w:ascii="Calibri" w:cs="Calibri" w:eastAsia="Calibri" w:hAnsi="Calibri"/>
          <w:sz w:val="21"/>
          <w:szCs w:val="21"/>
        </w:rPr>
        <w:t xml:space="preserve">Estimación orientativa de la carga,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Total orientativo (sin DT-2 ni DT-3, que no aplican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116–166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58–82 horas</w:t>
            </w:r>
          </w:p>
        </w:tc>
      </w:tr>
    </w:tbl>
    <w:p>
      <w:pPr>
        <w:spacing w:after="200"/>
      </w:pP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la Intervención) y la de la preparación del expediente. </w:t>
      </w:r>
      <w:r>
        <w:rPr>
          <w:rFonts w:ascii="Calibri" w:cs="Calibri" w:eastAsia="Calibri" w:hAnsi="Calibri"/>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No existe doctrina sobre condiciones especiales de ejecución de contenido tecnológico-evolutivo, sobre interfaces de acceso para agentes de inteligencia artificial, sobre demostraciones de software ni sobre infraestructuras de registro distribuido en pliegos; no consta ninguna, a fecha de corte de 1 de septiembre de 2026, tras búsqueda en los repositorios del Tribunal Administrativo Central de Recursos Contractuales, del Tribunal Administrativo de Contratación Pública de la Comunidad de Madrid y del Órgano Administrativo de Recursos Contractuales del País Vasco.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ninguna depende de las demás, de modo que la caída de una pieza no arrastra al resto. La tabla de dependencias del apartado II.11 existe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 · Cláusulas ADM-1 a ADM-6</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Esto no es formalismo: el Tribunal Administrativo de Contratación Pública de la Comunidad de Madrid anuló los pliegos del Ayuntamiento de Parla porque la memoria justificativa del expediente no contenía «la más mínima justificación» de una exigencia de certificación, y añadió que esa justificación «debe realizarse en la memoria justificativa de la contratación, </w:t>
      </w:r>
      <w:r>
        <w:rPr>
          <w:rFonts w:ascii="Calibri" w:cs="Calibri" w:eastAsia="Calibri" w:hAnsi="Calibri"/>
          <w:b/>
          <w:bCs/>
          <w:sz w:val="21"/>
          <w:szCs w:val="21"/>
        </w:rPr>
        <w:t xml:space="preserve">sin que sea admisible la justificación realizada en sede de recurso</w:t>
      </w:r>
      <w:r>
        <w:rPr>
          <w:rFonts w:ascii="Calibri" w:cs="Calibri" w:eastAsia="Calibri" w:hAnsi="Calibri"/>
          <w:sz w:val="21"/>
          <w:szCs w:val="21"/>
        </w:rPr>
        <w:t xml:space="preserve">» (TACP de la Comunidad de Madrid, Resolución 383/2024, de 3 de octubre de 2024, expediente 383/2024, recurso de Tecnologías Viales Aplicadas TEVA, S.L.; </w:t>
      </w:r>
      <w:r>
        <w:rPr>
          <w:rFonts w:ascii="Calibri" w:cs="Calibri" w:eastAsia="Calibri" w:hAnsi="Calibri"/>
          <w:color w:val="2F5496"/>
          <w:sz w:val="21"/>
          <w:szCs w:val="21"/>
          <w:u w:val="single"/>
        </w:rPr>
        <w:t xml:space="preserve">PDF</w:t>
      </w:r>
      <w:r>
        <w:rPr>
          <w:rFonts w:ascii="Calibri" w:cs="Calibri" w:eastAsia="Calibri" w:hAnsi="Calibri"/>
          <w:sz w:val="21"/>
          <w:szCs w:val="21"/>
        </w:rPr>
        <w:t xml:space="preserve">).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Está prohibido computar la misma exigencia (a) como solvencia y como criterio de adjudicación, (b) como prescripción técnica obligatoria y como criterio de adjudicación, y (c) como criterio de adjudicación y como condición especial de ejecución.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La cláusula ADM-4·v3 cuantifica esa carga. Crear obligaciones esenciales que después nadie comprueba es peor que no crearlas: la primera vez que el Ayuntamiento intente resolver un contrato por una obligación que jamás verificó, el contratista aportará como prueba las actas que no existen.</w:t>
      </w:r>
    </w:p>
    <w:p>
      <w:pPr>
        <w:spacing w:after="140" w:line="276"/>
      </w:pPr>
      <w:r>
        <w:rPr>
          <w:rFonts w:ascii="Calibri" w:cs="Calibri" w:eastAsia="Calibri" w:hAnsi="Calibri"/>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todos los corchetes está en el Anexo XII.</w:t>
      </w:r>
    </w:p>
    <w:p>
      <w:pPr>
        <w:spacing w:after="140" w:line="276"/>
      </w:pPr>
      <w:r>
        <w:rPr>
          <w:rFonts w:ascii="Calibri" w:cs="Calibri" w:eastAsia="Calibri" w:hAnsi="Calibri"/>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Pozuelo de Alarcón entre paréntesis. Donde se lee «el órgano al que corresponda el informe jurídico preceptivo», el redactor debe sustituir por el suyo: la </w:t>
      </w:r>
      <w:r>
        <w:rPr>
          <w:rFonts w:ascii="Calibri" w:cs="Calibri" w:eastAsia="Calibri" w:hAnsi="Calibri"/>
          <w:sz w:val="21"/>
          <w:szCs w:val="21"/>
        </w:rPr>
        <w:t xml:space="preserve">Asesoría Jurídica</w:t>
      </w:r>
      <w:r>
        <w:rPr>
          <w:rFonts w:ascii="Calibri" w:cs="Calibri" w:eastAsia="Calibri" w:hAnsi="Calibri"/>
          <w:sz w:val="21"/>
          <w:szCs w:val="21"/>
        </w:rPr>
        <w:t xml:space="preserve"> en los municipios de gran población del Título X de la Ley 7/1985 (es el caso de Pozuelo de Alarcón, por la disposición adicional 3.ª.8 LCSP en relación con la disposición adicional 8.ª LBRL), y la </w:t>
      </w:r>
      <w:r>
        <w:rPr>
          <w:rFonts w:ascii="Calibri" w:cs="Calibri" w:eastAsia="Calibri" w:hAnsi="Calibri"/>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ADM-1·v3 · Solvencia técnica, sistema de gestión de la IA y certificaciones exigibles</w:t>
      </w:r>
    </w:p>
    <w:p>
      <w:pPr>
        <w:spacing w:after="140" w:line="276"/>
      </w:pPr>
      <w:r>
        <w:rPr>
          <w:rFonts w:ascii="Calibri" w:cs="Calibri" w:eastAsia="Calibri" w:hAnsi="Calibri"/>
          <w:sz w:val="21"/>
          <w:szCs w:val="21"/>
        </w:rPr>
        <w:t xml:space="preserve">(Sustituye a ADM-1 de v2. Recoge la ISO/IEC 42001, que en v2 estaba a la vez en la Parte II, en esta cláusula y en el baremo de ADM-7. A partir de v3 vive </w:t>
      </w:r>
      <w:r>
        <w:rPr>
          <w:rFonts w:ascii="Calibri" w:cs="Calibri" w:eastAsia="Calibri" w:hAnsi="Calibri"/>
          <w:sz w:val="21"/>
          <w:szCs w:val="21"/>
        </w:rPr>
        <w:t xml:space="preserve">sólo aquí</w:t>
      </w:r>
      <w:r>
        <w:rPr>
          <w:rFonts w:ascii="Calibri" w:cs="Calibri" w:eastAsia="Calibri" w:hAnsi="Calibri"/>
          <w:sz w:val="21"/>
          <w:szCs w:val="21"/>
        </w:rPr>
        <w:t xml:space="preserve">* y </w:t>
      </w:r>
      <w:r>
        <w:rPr>
          <w:rFonts w:ascii="Calibri" w:cs="Calibri" w:eastAsia="Calibri" w:hAnsi="Calibri"/>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r>
        <w:rPr>
          <w:rFonts w:ascii="Calibri" w:cs="Calibri" w:eastAsia="Calibri" w:hAnsi="Calibri"/>
          <w:sz w:val="21"/>
          <w:szCs w:val="21"/>
          <w:u w:val="single"/>
        </w:rPr>
        <w:t xml:space="preserve">PDF</w:t>
      </w:r>
      <w:r>
        <w:rPr>
          <w:rFonts w:ascii="Calibri" w:cs="Calibri" w:eastAsia="Calibri" w:hAnsi="Calibri"/>
          <w:sz w:val="21"/>
          <w:szCs w:val="21"/>
        </w:rPr>
        <w:t xml:space="preserve">). </w:t>
      </w:r>
      <w:r>
        <w:rPr>
          <w:rFonts w:ascii="Calibri" w:cs="Calibri" w:eastAsia="Calibri" w:hAnsi="Calibri"/>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temporal de la certificación exigida subsanada en [X; se recomienda 3] meses;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pérdida no subsanada (cláusula ADM-5·v3, tipos L3, G8 y M7).</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r>
        <w:rPr>
          <w:rFonts w:ascii="Calibri" w:cs="Calibri" w:eastAsia="Calibri" w:hAnsi="Calibri"/>
          <w:sz w:val="21"/>
          <w:szCs w:val="21"/>
          <w:u w:val="single"/>
        </w:rPr>
        <w:t xml:space="preserve">PDF</w:t>
      </w:r>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r>
        <w:rPr>
          <w:rFonts w:ascii="Calibri" w:cs="Calibri" w:eastAsia="Calibri" w:hAnsi="Calibri"/>
          <w:sz w:val="21"/>
          <w:szCs w:val="21"/>
          <w:u w:val="single"/>
        </w:rPr>
        <w:t xml:space="preserve">PDF</w:t>
      </w:r>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sz w:val="21"/>
          <w:szCs w:val="21"/>
        </w:rPr>
        <w:t xml:space="preserve">anula</w:t>
      </w:r>
      <w:r>
        <w:rPr>
          <w:rFonts w:ascii="Calibri" w:cs="Calibri" w:eastAsia="Calibri" w:hAnsi="Calibri"/>
          <w:sz w:val="21"/>
          <w:szCs w:val="21"/>
        </w:rPr>
        <w:t xml:space="preserve"> la anterior UNE-ISO/IEC 42001:2025 (</w:t>
      </w:r>
      <w:r>
        <w:rPr>
          <w:rFonts w:ascii="Calibri" w:cs="Calibri" w:eastAsia="Calibri" w:hAnsi="Calibri"/>
          <w:sz w:val="21"/>
          <w:szCs w:val="21"/>
          <w:u w:val="single"/>
        </w:rPr>
        <w:t xml:space="preserve">ficha en el catálogo de UNE</w:t>
      </w:r>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ADM-2·v3 · Condición especial de ejecución: Compromiso de Evolución Tecnológica Determinada</w:t>
      </w:r>
    </w:p>
    <w:p>
      <w:pPr>
        <w:spacing w:after="140" w:line="276"/>
      </w:pPr>
      <w:r>
        <w:rPr>
          <w:rFonts w:ascii="Calibri" w:cs="Calibri" w:eastAsia="Calibri" w:hAnsi="Calibri"/>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XIV.B.)</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sz w:val="21"/>
          <w:szCs w:val="21"/>
        </w:rPr>
        <w:t xml:space="preserve">Doctrina del Órgano Administrativo de Recursos Contractuales 2018-2023</w:t>
      </w:r>
      <w:r>
        <w:rPr>
          <w:rFonts w:ascii="Calibri" w:cs="Calibri" w:eastAsia="Calibri" w:hAnsi="Calibri"/>
          <w:sz w:val="21"/>
          <w:szCs w:val="21"/>
        </w:rPr>
        <w:t xml:space="preserve">, apartado 5.8.1, pág. 516; </w:t>
      </w:r>
      <w:r>
        <w:rPr>
          <w:rFonts w:ascii="Calibri" w:cs="Calibri" w:eastAsia="Calibri" w:hAnsi="Calibri"/>
          <w:sz w:val="21"/>
          <w:szCs w:val="21"/>
          <w:u w:val="single"/>
        </w:rPr>
        <w:t xml:space="preserve">PDF</w:t>
      </w:r>
      <w:r>
        <w:rPr>
          <w:rFonts w:ascii="Calibri" w:cs="Calibri" w:eastAsia="Calibri" w:hAnsi="Calibri"/>
          <w:sz w:val="21"/>
          <w:szCs w:val="21"/>
        </w:rPr>
        <w:t xml:space="preserve">). Se cita como doctrina general trasladada por analogía: versa sobre una condición especial de contenido distinto.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la fila correspondiente del cuadro de penalidades de ADM-5·v3, las letras del bloque B.2 de ADM-6·v3 que remitan al Anexo, el criterio F del baremo de ADM-7·v3 y la casilla del Anexo VI de declaración responsable. La tabla de dependencias del Anexo XII dice qué arrastra cada NO APLICA.</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r>
        <w:rPr>
          <w:rFonts w:ascii="Calibri" w:cs="Calibri" w:eastAsia="Calibri" w:hAnsi="Calibri"/>
          <w:color w:val="2F5496"/>
          <w:sz w:val="21"/>
          <w:szCs w:val="21"/>
          <w:u w:val="single"/>
        </w:rPr>
        <w:t xml:space="preserve">PDF</w:t>
      </w:r>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r>
        <w:rPr>
          <w:rFonts w:ascii="Calibri" w:cs="Calibri" w:eastAsia="Calibri" w:hAnsi="Calibri"/>
          <w:color w:val="2F5496"/>
          <w:sz w:val="21"/>
          <w:szCs w:val="21"/>
          <w:u w:val="single"/>
        </w:rPr>
        <w:t xml:space="preserve">PDF</w:t>
      </w:r>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anuló además la cláusula 24 del PCAP «dada su redacción imprecisa y falta de concreción». </w:t>
      </w:r>
      <w:r>
        <w:rPr>
          <w:rFonts w:ascii="Calibri" w:cs="Calibri" w:eastAsia="Calibri" w:hAnsi="Calibri"/>
          <w:color w:val="2F5496"/>
          <w:sz w:val="21"/>
          <w:szCs w:val="21"/>
          <w:u w:val="single"/>
        </w:rPr>
        <w:t xml:space="preserve">PDF</w:t>
      </w:r>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Junta de Comunidades de Castilla-La Mancha, Consulta 019/2022. </w:t>
      </w:r>
      <w:r>
        <w:rPr>
          <w:rFonts w:ascii="Calibri" w:cs="Calibri" w:eastAsia="Calibri" w:hAnsi="Calibri"/>
          <w:color w:val="2F5496"/>
          <w:sz w:val="21"/>
          <w:szCs w:val="21"/>
          <w:u w:val="single"/>
        </w:rPr>
        <w:t xml:space="preserve">PDF</w:t>
      </w:r>
    </w:p>
    <w:p>
      <w:pPr>
        <w:spacing w:after="140" w:line="276"/>
      </w:pPr>
      <w:r>
        <w:rPr>
          <w:rFonts w:ascii="Calibri" w:cs="Calibri" w:eastAsia="Calibri" w:hAnsi="Calibri"/>
          <w:sz w:val="21"/>
          <w:szCs w:val="21"/>
        </w:rPr>
        <w:t xml:space="preserve">Las cuatro se citan como </w:t>
      </w:r>
      <w:r>
        <w:rPr>
          <w:rFonts w:ascii="Calibri" w:cs="Calibri" w:eastAsia="Calibri" w:hAnsi="Calibri"/>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sz w:val="21"/>
          <w:szCs w:val="21"/>
        </w:rPr>
        <w:t xml:space="preserve">Acuerdo 76/2015, de 20 de julio de 2015</w:t>
      </w:r>
      <w:r>
        <w:rPr>
          <w:rFonts w:ascii="Calibri" w:cs="Calibri" w:eastAsia="Calibri" w:hAnsi="Calibri"/>
          <w:sz w:val="21"/>
          <w:szCs w:val="21"/>
        </w:rPr>
        <w:t xml:space="preserve">, FD Tercero; </w:t>
      </w:r>
      <w:r>
        <w:rPr>
          <w:rFonts w:ascii="Calibri" w:cs="Calibri" w:eastAsia="Calibri" w:hAnsi="Calibri"/>
          <w:sz w:val="21"/>
          <w:szCs w:val="21"/>
          <w:u w:val="single"/>
        </w:rPr>
        <w:t xml:space="preserve">PDF</w:t>
      </w:r>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ADM-3·v3 · Plazos de adaptación, Plan Anual y bolsa de servicios evolutivos</w:t>
      </w:r>
    </w:p>
    <w:p>
      <w:pPr>
        <w:spacing w:after="140" w:line="276"/>
      </w:pPr>
      <w:r>
        <w:rPr>
          <w:rFonts w:ascii="Calibri" w:cs="Calibri" w:eastAsia="Calibri" w:hAnsi="Calibri"/>
          <w:sz w:val="21"/>
          <w:szCs w:val="21"/>
        </w:rPr>
        <w:t xml:space="preserve">(Sustituye a ADM-3 de v2. Se suprimen «dentro del alcance razonable del contrato» y «salvo que se fije motivadamente un plazo inferior». Se añade el apartado 3, que en v2 no existía.)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Bloque 1 — Plazos y Plan Anual.</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y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Plazos.</w:t>
            </w:r>
            <w:r>
              <w:rPr>
                <w:rFonts w:ascii="Georgia" w:cs="Georgia" w:eastAsia="Georgia" w:hAnsi="Georgia"/>
                <w:sz w:val="20"/>
                <w:szCs w:val="20"/>
              </w:rPr>
              <w:t xml:space="preserve"> 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p>
            <w:pPr>
              <w:pStyle w:val="ListParagraph"/>
              <w:numPr>
                <w:ilvl w:val="0"/>
                <w:numId w:val="2"/>
              </w:numPr>
              <w:spacing w:after="60" w:line="264"/>
            </w:pPr>
            <w:r>
              <w:rPr>
                <w:rFonts w:ascii="Georgia" w:cs="Georgia" w:eastAsia="Georgia" w:hAnsi="Georgia"/>
                <w:b/>
                <w:bCs/>
                <w:sz w:val="20"/>
                <w:szCs w:val="20"/>
              </w:rPr>
              <w:t xml:space="preserve">Plan Anual de Evolución Tecnológica.</w:t>
            </w:r>
            <w:r>
              <w:rPr>
                <w:rFonts w:ascii="Georgia" w:cs="Georgia" w:eastAsia="Georgia" w:hAnsi="Georgia"/>
                <w:sz w:val="20"/>
                <w:szCs w:val="20"/>
              </w:rPr>
              <w:t xml:space="preserve"> Con periodicidad anual, y dentro de los [X; se recomienda 30] días naturales siguientes al cumplimiento de cada anualidad, el contratista presentará al responsable del contrato un Plan Anual de Evolución Tecnológica, conforme al modelo del Anexo del pliego, que contendrá:</w:t>
            </w:r>
          </w:p>
          <w:p>
            <w:pPr>
              <w:spacing w:after="100" w:line="264"/>
            </w:pPr>
            <w:r>
              <w:rPr>
                <w:rFonts w:ascii="Georgia" w:cs="Georgia" w:eastAsia="Georgia" w:hAnsi="Georgia"/>
                <w:sz w:val="20"/>
                <w:szCs w:val="20"/>
              </w:rPr>
              <w:t xml:space="preserve">a) Estado de cumplimiento de cada exigencia del Anexo de Exigencias Tecnológicas Determinadas.</w:t>
            </w:r>
          </w:p>
          <w:p>
            <w:pPr>
              <w:spacing w:after="100" w:line="264"/>
            </w:pPr>
            <w:r>
              <w:rPr>
                <w:rFonts w:ascii="Georgia" w:cs="Georgia" w:eastAsia="Georgia" w:hAnsi="Georgia"/>
                <w:sz w:val="20"/>
                <w:szCs w:val="20"/>
              </w:rPr>
              <w:t xml:space="preserve">b) Relación de las versiones sucesoras publicadas por el fabricante en el periodo y de las puestas a disposición del Ayuntamiento.</w:t>
            </w:r>
          </w:p>
          <w:p>
            <w:pPr>
              <w:spacing w:after="100" w:line="264"/>
            </w:pPr>
            <w:r>
              <w:rPr>
                <w:rFonts w:ascii="Georgia" w:cs="Georgia" w:eastAsia="Georgia" w:hAnsi="Georgia"/>
                <w:sz w:val="20"/>
                <w:szCs w:val="20"/>
              </w:rPr>
              <w:t xml:space="preserve">c) Relación de fines de soporte anunciados por el fabricante que afecten a componentes de la solución, con la fecha anunciada.</w:t>
            </w:r>
          </w:p>
          <w:p>
            <w:pPr>
              <w:spacing w:after="100" w:line="264"/>
            </w:pPr>
            <w:r>
              <w:rPr>
                <w:rFonts w:ascii="Georgia" w:cs="Georgia" w:eastAsia="Georgia" w:hAnsi="Georgia"/>
                <w:sz w:val="20"/>
                <w:szCs w:val="20"/>
              </w:rPr>
              <w:t xml:space="preserve">d) Propuesta de hitos para la anualidad siguiente, con fecha propuesta para cada uno.</w:t>
            </w:r>
          </w:p>
          <w:p>
            <w:pPr>
              <w:spacing w:after="100" w:line="264"/>
            </w:pPr>
            <w:r>
              <w:rPr>
                <w:rFonts w:ascii="Georgia" w:cs="Georgia" w:eastAsia="Georgia" w:hAnsi="Georgia"/>
                <w:sz w:val="20"/>
                <w:szCs w:val="20"/>
              </w:rPr>
              <w:t xml:space="preserve">e) Relación de peticiones de servicio ejecutadas con cargo a la bolsa del apartado 3, si se hubiera previsto, con horas consumidas por perfil.</w:t>
            </w:r>
          </w:p>
          <w:p>
            <w:pPr>
              <w:pStyle w:val="ListParagraph"/>
              <w:numPr>
                <w:ilvl w:val="0"/>
                <w:numId w:val="2"/>
              </w:numPr>
              <w:spacing w:after="60" w:line="264"/>
            </w:pPr>
            <w:r>
              <w:rPr>
                <w:rFonts w:ascii="Georgia" w:cs="Georgia" w:eastAsia="Georgia" w:hAnsi="Georgia"/>
                <w:b/>
                <w:bCs/>
                <w:sz w:val="20"/>
                <w:szCs w:val="20"/>
              </w:rPr>
              <w:t xml:space="preserve">Aprobación de hitos.</w:t>
            </w:r>
            <w:r>
              <w:rPr>
                <w:rFonts w:ascii="Georgia" w:cs="Georgia" w:eastAsia="Georgia" w:hAnsi="Georgia"/>
                <w:sz w:val="20"/>
                <w:szCs w:val="20"/>
              </w:rPr>
              <w:t xml:space="preserve"> El órgano de contratación, a propuesta del responsable del contrato y previa deliberación de la Comisión de Seguimiento, podrá </w:t>
            </w:r>
            <w:r>
              <w:rPr>
                <w:rFonts w:ascii="Georgia" w:cs="Georgia" w:eastAsia="Georgia" w:hAnsi="Georgia"/>
                <w:b/>
                <w:bCs/>
                <w:sz w:val="20"/>
                <w:szCs w:val="20"/>
              </w:rPr>
              <w:t xml:space="preserve">aprobar expresamente</w:t>
            </w:r>
            <w:r>
              <w:rPr>
                <w:rFonts w:ascii="Georgia" w:cs="Georgia" w:eastAsia="Georgia" w:hAnsi="Georgia"/>
                <w:sz w:val="20"/>
                <w:szCs w:val="20"/>
              </w:rPr>
              <w:t xml:space="preserve"> los hitos del apartado 2.d) que resulten exigibles, fijando para cada uno fecha cierta. </w:t>
            </w:r>
            <w:r>
              <w:rPr>
                <w:rFonts w:ascii="Georgia" w:cs="Georgia" w:eastAsia="Georgia" w:hAnsi="Georgia"/>
                <w:b/>
                <w:bCs/>
                <w:sz w:val="20"/>
                <w:szCs w:val="20"/>
              </w:rPr>
              <w:t xml:space="preserve">Los hitos no aprobados expresamente no generan obligación exigible.</w:t>
            </w:r>
            <w:r>
              <w:rPr>
                <w:rFonts w:ascii="Georgia" w:cs="Georgia" w:eastAsia="Georgia" w:hAnsi="Georgia"/>
                <w:sz w:val="20"/>
                <w:szCs w:val="20"/>
              </w:rPr>
              <w:t xml:space="preserve"> La aprobación se documenta en acta.</w:t>
            </w:r>
          </w:p>
        </w:tc>
      </w:tr>
    </w:tbl>
    <w:p>
      <w:pPr>
        <w:spacing w:after="220"/>
      </w:pPr>
    </w:p>
    <w:p>
      <w:pPr>
        <w:spacing w:after="140" w:line="276"/>
      </w:pPr>
      <w:r>
        <w:rPr>
          <w:rFonts w:ascii="Calibri" w:cs="Calibri" w:eastAsia="Calibri" w:hAnsi="Calibri"/>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sz w:val="21"/>
          <w:szCs w:val="21"/>
        </w:rPr>
        <w:t xml:space="preserve">Opcional.</w:t>
      </w:r>
      <w:r>
        <w:rPr>
          <w:rFonts w:ascii="Calibri" w:cs="Calibri" w:eastAsia="Calibri" w:hAnsi="Calibri"/>
          <w:sz w:val="21"/>
          <w:szCs w:val="21"/>
        </w:rPr>
        <w:t xml:space="preserve"> Se copia </w:t>
      </w:r>
      <w:r>
        <w:rPr>
          <w:rFonts w:ascii="Calibri" w:cs="Calibri" w:eastAsia="Calibri" w:hAnsi="Calibri"/>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como Pozuelo de Alarcón;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El importe máximo de esta bolsa es el consignado en el cuadro de características y forma parte del presupuesto base de licitación y del valor estimado del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sz w:val="21"/>
          <w:szCs w:val="21"/>
        </w:rPr>
        <w:t xml:space="preserve">presupuesto base de licitación</w:t>
      </w:r>
      <w:r>
        <w:rPr>
          <w:rFonts w:ascii="Calibri" w:cs="Calibri" w:eastAsia="Calibri" w:hAnsi="Calibri"/>
          <w:sz w:val="21"/>
          <w:szCs w:val="21"/>
        </w:rPr>
        <w:t xml:space="preserve">. El Cuadro de Precios Unitarios se presenta con la oferta (Anexo X).</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y que el Ayuntamiento sepa cada año en qué estado está el contrato. Segunda: que las adaptaciones menores que toda aplicación necesita —un informe nuevo, un cambio de flujo, una integración— tengan una vía contractual con precio pactado, en lugar de resolverse con presiones informales al proveedor o con contratos menores encadenados.</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Presentación del Plan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del Plan, con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suficiente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sobre las cinco letras del apartado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un hito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que aprobó el hito con fecha cierta, más acta de verificación del 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Presentación y contenido del Plan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requerimiento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 hitos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sz w:val="21"/>
          <w:szCs w:val="21"/>
        </w:rPr>
        <w:t xml:space="preserve">Carga estimada: 10 horas por contrato y año</w:t>
      </w:r>
      <w:r>
        <w:rPr>
          <w:rFonts w:ascii="Calibri" w:cs="Calibri" w:eastAsia="Calibri" w:hAnsi="Calibri"/>
          <w:sz w:val="21"/>
          <w:szCs w:val="21"/>
        </w:rPr>
        <w:t xml:space="preserve">, más </w:t>
      </w:r>
      <w:r>
        <w:rPr>
          <w:rFonts w:ascii="Calibri" w:cs="Calibri" w:eastAsia="Calibri" w:hAnsi="Calibri"/>
          <w:sz w:val="21"/>
          <w:szCs w:val="21"/>
        </w:rPr>
        <w:t xml:space="preserve">1 hora por petición de servicio</w:t>
      </w:r>
      <w:r>
        <w:rPr>
          <w:rFonts w:ascii="Calibri" w:cs="Calibri" w:eastAsia="Calibri" w:hAnsi="Calibri"/>
          <w:sz w:val="21"/>
          <w:szCs w:val="21"/>
        </w:rPr>
        <w:t xml:space="preserve">. Con [20] peticiones al año, 30 horas.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retraso de hasta 30 días en la presentación del Plan Anual (tipo L1).</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retraso superior a 30 días, o Plan presentado sin alguna de las cinco letras del apartado 2 no subsanado en [15] días (tipo G1).</w:t>
      </w:r>
    </w:p>
    <w:p>
      <w:pPr>
        <w:pStyle w:val="ListParagraph"/>
        <w:numPr>
          <w:ilvl w:val="0"/>
          <w:numId w:val="1"/>
        </w:numPr>
        <w:spacing w:after="70" w:line="268"/>
      </w:pPr>
      <w:r>
        <w:rPr>
          <w:rFonts w:ascii="Calibri" w:cs="Calibri" w:eastAsia="Calibri" w:hAnsi="Calibri"/>
          <w:b/>
          <w:bCs/>
          <w:sz w:val="21"/>
          <w:szCs w:val="21"/>
        </w:rPr>
        <w:t xml:space="preserve">Penalidad grave o muy grave</w:t>
      </w:r>
      <w:r>
        <w:rPr>
          <w:rFonts w:ascii="Calibri" w:cs="Calibri" w:eastAsia="Calibri" w:hAnsi="Calibri"/>
          <w:sz w:val="21"/>
          <w:szCs w:val="21"/>
        </w:rPr>
        <w:t xml:space="preserve">, según entidad: incumplimiento de un hito expresamente aprobado con fecha cierta.</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spacing w:after="140" w:line="276"/>
      </w:pPr>
      <w:r>
        <w:rPr>
          <w:rFonts w:ascii="Calibri" w:cs="Calibri" w:eastAsia="Calibri" w:hAnsi="Calibri"/>
          <w:sz w:val="21"/>
          <w:szCs w:val="21"/>
        </w:rPr>
        <w:t xml:space="preserve">¿Obligación contractual esencial?</w:t>
      </w:r>
      <w:r>
        <w:rPr>
          <w:rFonts w:ascii="Calibri" w:cs="Calibri" w:eastAsia="Calibri" w:hAnsi="Calibri"/>
          <w:sz w:val="21"/>
          <w:szCs w:val="21"/>
        </w:rPr>
        <w:t xml:space="preserve"> El Plan Anual, </w:t>
      </w:r>
      <w:r>
        <w:rPr>
          <w:rFonts w:ascii="Calibri" w:cs="Calibri" w:eastAsia="Calibri" w:hAnsi="Calibri"/>
          <w:sz w:val="21"/>
          <w:szCs w:val="21"/>
        </w:rPr>
        <w:t xml:space="preserve">NO</w:t>
      </w:r>
      <w:r>
        <w:rPr>
          <w:rFonts w:ascii="Calibri" w:cs="Calibri" w:eastAsia="Calibri" w:hAnsi="Calibri"/>
          <w:sz w:val="21"/>
          <w:szCs w:val="21"/>
        </w:rPr>
        <w:t xml:space="preserve">, salvo el supuesto tasado del bloque B.2 de ADM-6·v3 (falta de presentación durante </w:t>
      </w:r>
      <w:r>
        <w:rPr>
          <w:rFonts w:ascii="Calibri" w:cs="Calibri" w:eastAsia="Calibri" w:hAnsi="Calibri"/>
          <w:sz w:val="21"/>
          <w:szCs w:val="21"/>
        </w:rPr>
        <w:t xml:space="preserve">dos ejercicios consecutivos</w:t>
      </w:r>
      <w:r>
        <w:rPr>
          <w:rFonts w:ascii="Calibri" w:cs="Calibri" w:eastAsia="Calibri" w:hAnsi="Calibri"/>
          <w:sz w:val="21"/>
          <w:szCs w:val="21"/>
        </w:rPr>
        <w:t xml:space="preserve">) y el incumplimiento de hitos </w:t>
      </w:r>
      <w:r>
        <w:rPr>
          <w:rFonts w:ascii="Calibri" w:cs="Calibri" w:eastAsia="Calibri" w:hAnsi="Calibri"/>
          <w:sz w:val="21"/>
          <w:szCs w:val="21"/>
        </w:rPr>
        <w:t xml:space="preserve">expresamente aprobados y con fecha cierta en acta</w:t>
      </w:r>
      <w:r>
        <w:rPr>
          <w:rFonts w:ascii="Calibri" w:cs="Calibri" w:eastAsia="Calibri" w:hAnsi="Calibri"/>
          <w:sz w:val="21"/>
          <w:szCs w:val="21"/>
        </w:rPr>
        <w:t xml:space="preserve">. La bolsa de servicios evolutivos, </w:t>
      </w:r>
      <w:r>
        <w:rPr>
          <w:rFonts w:ascii="Calibri" w:cs="Calibri" w:eastAsia="Calibri" w:hAnsi="Calibri"/>
          <w:sz w:val="21"/>
          <w:szCs w:val="21"/>
        </w:rPr>
        <w:t xml:space="preserve">NO</w:t>
      </w:r>
      <w:r>
        <w:rPr>
          <w:rFonts w:ascii="Calibri" w:cs="Calibri" w:eastAsia="Calibri" w:hAnsi="Calibri"/>
          <w:sz w:val="21"/>
          <w:szCs w:val="21"/>
        </w:rPr>
        <w:t xml:space="preserve"> en ningún caso.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Lo incierto no es el precio: es el número de unidades que se consumirán, y ese número tiene un </w:t>
      </w:r>
      <w:r>
        <w:rPr>
          <w:rFonts w:ascii="Calibri" w:cs="Calibri" w:eastAsia="Calibri" w:hAnsi="Calibri"/>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el checklist del Anexo XII lo comprueba.</w:t>
      </w:r>
    </w:p>
    <w:p>
      <w:pPr>
        <w:spacing w:after="140" w:line="276"/>
      </w:pPr>
      <w:r>
        <w:rPr>
          <w:rFonts w:ascii="Calibri" w:cs="Calibri" w:eastAsia="Calibri" w:hAnsi="Calibri"/>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ADM-4·v3 · Seguimiento: responsable del contrato, Comisión de Seguimiento y verificación anual</w:t>
      </w:r>
    </w:p>
    <w:p>
      <w:pPr>
        <w:spacing w:after="140" w:line="276"/>
      </w:pPr>
      <w:r>
        <w:rPr>
          <w:rFonts w:ascii="Calibri" w:cs="Calibri" w:eastAsia="Calibri" w:hAnsi="Calibri"/>
          <w:sz w:val="21"/>
          <w:szCs w:val="21"/>
        </w:rPr>
        <w:t xml:space="preserve">(Reescribe ADM-4 de v2. Aquí es donde este catálogo responde al corolario más incómodo de la objeción interna: «son pocos los contratos en los que se haga un seguimiento real y este se basa exclusivamente en el control del gasto, ni eficiencia, ni eficacia».)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sz w:val="21"/>
          <w:szCs w:val="21"/>
        </w:rPr>
        <w:t xml:space="preserve">Tabla de carga anual estimada, por contrato con el catálogo aplicado en su versión completa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vencimiento del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anual del mantenimiento de las capacidades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en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66,5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98,5 h</w:t>
            </w:r>
          </w:p>
        </w:tc>
      </w:tr>
    </w:tbl>
    <w:p>
      <w:pPr>
        <w:spacing w:after="200"/>
      </w:pPr>
    </w:p>
    <w:p>
      <w:pPr>
        <w:spacing w:after="140" w:line="276"/>
      </w:pPr>
      <w:r>
        <w:rPr>
          <w:rFonts w:ascii="Calibri" w:cs="Calibri" w:eastAsia="Calibri" w:hAnsi="Calibri"/>
          <w:sz w:val="21"/>
          <w:szCs w:val="21"/>
        </w:rPr>
        <w:t xml:space="preserve">A lo anterior se añaden </w:t>
      </w:r>
      <w:r>
        <w:rPr>
          <w:rFonts w:ascii="Calibri" w:cs="Calibri" w:eastAsia="Calibri" w:hAnsi="Calibri"/>
          <w:sz w:val="21"/>
          <w:szCs w:val="21"/>
        </w:rPr>
        <w:t xml:space="preserve">8 horas</w:t>
      </w:r>
      <w:r>
        <w:rPr>
          <w:rFonts w:ascii="Calibri" w:cs="Calibri" w:eastAsia="Calibri" w:hAnsi="Calibri"/>
          <w:sz w:val="21"/>
          <w:szCs w:val="21"/>
        </w:rPr>
        <w:t xml:space="preserve"> en el año del ensayo de reversibilidad y entre </w:t>
      </w:r>
      <w:r>
        <w:rPr>
          <w:rFonts w:ascii="Calibri" w:cs="Calibri" w:eastAsia="Calibri" w:hAnsi="Calibri"/>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w:t>
      </w:r>
    </w:p>
    <w:p>
      <w:pPr>
        <w:spacing w:after="140" w:line="276"/>
      </w:pPr>
      <w:r>
        <w:rPr>
          <w:rFonts w:ascii="Calibri" w:cs="Calibri" w:eastAsia="Calibri" w:hAnsi="Calibri"/>
          <w:sz w:val="21"/>
          <w:szCs w:val="21"/>
        </w:rPr>
        <w:t xml:space="preserve">Qué significan estos números.</w:t>
      </w:r>
      <w:r>
        <w:rPr>
          <w:rFonts w:ascii="Calibri" w:cs="Calibri" w:eastAsia="Calibri" w:hAnsi="Calibri"/>
          <w:sz w:val="21"/>
          <w:szCs w:val="21"/>
        </w:rPr>
        <w:t xml:space="preserve"> Con el catálogo aplicado en su versión completa, un contrato consume del orden de </w:t>
      </w:r>
      <w:r>
        <w:rPr>
          <w:rFonts w:ascii="Calibri" w:cs="Calibri" w:eastAsia="Calibri" w:hAnsi="Calibri"/>
          <w:sz w:val="21"/>
          <w:szCs w:val="21"/>
        </w:rPr>
        <w:t xml:space="preserve">66 horas al año</w:t>
      </w:r>
      <w:r>
        <w:rPr>
          <w:rFonts w:ascii="Calibri" w:cs="Calibri" w:eastAsia="Calibri" w:hAnsi="Calibri"/>
          <w:sz w:val="21"/>
          <w:szCs w:val="21"/>
        </w:rPr>
        <w:t xml:space="preserve"> de personal municipal, y unas </w:t>
      </w:r>
      <w:r>
        <w:rPr>
          <w:rFonts w:ascii="Calibri" w:cs="Calibri" w:eastAsia="Calibri" w:hAnsi="Calibri"/>
          <w:sz w:val="21"/>
          <w:szCs w:val="21"/>
        </w:rPr>
        <w:t xml:space="preserve">98 el primer año</w:t>
      </w:r>
      <w:r>
        <w:rPr>
          <w:rFonts w:ascii="Calibri" w:cs="Calibri" w:eastAsia="Calibri" w:hAnsi="Calibri"/>
          <w:sz w:val="21"/>
          <w:szCs w:val="21"/>
        </w:rPr>
        <w:t xml:space="preserve">. Diez contratos así son </w:t>
      </w:r>
      <w:r>
        <w:rPr>
          <w:rFonts w:ascii="Calibri" w:cs="Calibri" w:eastAsia="Calibri" w:hAnsi="Calibri"/>
          <w:sz w:val="21"/>
          <w:szCs w:val="21"/>
        </w:rPr>
        <w:t xml:space="preserve">660 horas al año</w:t>
      </w:r>
      <w:r>
        <w:rPr>
          <w:rFonts w:ascii="Calibri" w:cs="Calibri" w:eastAsia="Calibri" w:hAnsi="Calibri"/>
          <w:sz w:val="21"/>
          <w:szCs w:val="21"/>
        </w:rPr>
        <w:t xml:space="preserve">, es decir </w:t>
      </w:r>
      <w:r>
        <w:rPr>
          <w:rFonts w:ascii="Calibri" w:cs="Calibri" w:eastAsia="Calibri" w:hAnsi="Calibri"/>
          <w:sz w:val="21"/>
          <w:szCs w:val="21"/>
        </w:rPr>
        <w:t xml:space="preserve">alrededor de 0,4 efectivos a jornada completa</w:t>
      </w:r>
      <w:r>
        <w:rPr>
          <w:rFonts w:ascii="Calibri" w:cs="Calibri" w:eastAsia="Calibri" w:hAnsi="Calibri"/>
          <w:sz w:val="21"/>
          <w:szCs w:val="21"/>
        </w:rPr>
        <w:t xml:space="preserve"> repartidos entre el responsable del contrato, el servicio de informática, la unidad gestora y la Intervención. No es una cifra dramática, pero </w:t>
      </w:r>
      <w:r>
        <w:rPr>
          <w:rFonts w:ascii="Calibri" w:cs="Calibri" w:eastAsia="Calibri" w:hAnsi="Calibri"/>
          <w:sz w:val="21"/>
          <w:szCs w:val="21"/>
        </w:rPr>
        <w:t xml:space="preserve">no es cero</w:t>
      </w:r>
      <w:r>
        <w:rPr>
          <w:rFonts w:ascii="Calibri" w:cs="Calibri" w:eastAsia="Calibri" w:hAnsi="Calibri"/>
          <w:sz w:val="21"/>
          <w:szCs w:val="21"/>
        </w:rPr>
        <w:t xml:space="preserve">, y hoy no está asignada a nadie.</w:t>
      </w:r>
    </w:p>
    <w:p>
      <w:pPr>
        <w:spacing w:after="140" w:line="276"/>
      </w:pPr>
      <w:r>
        <w:rPr>
          <w:rFonts w:ascii="Calibri" w:cs="Calibri" w:eastAsia="Calibri" w:hAnsi="Calibri"/>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sz w:val="21"/>
          <w:szCs w:val="21"/>
        </w:rPr>
        <w:t xml:space="preserve">núcleo mínimo verificable</w:t>
      </w:r>
      <w:r>
        <w:rPr>
          <w:rFonts w:ascii="Calibri" w:cs="Calibri" w:eastAsia="Calibri" w:hAnsi="Calibri"/>
          <w:sz w:val="21"/>
          <w:szCs w:val="21"/>
        </w:rPr>
        <w:t xml:space="preserve"> —ADM-1·v3 modalidad B, ADM-2·v3 con una sola exigencia del Anexo, ADM-4·v3 con una sesión anual, y ADM-12·v3— consume </w:t>
      </w:r>
      <w:r>
        <w:rPr>
          <w:rFonts w:ascii="Calibri" w:cs="Calibri" w:eastAsia="Calibri" w:hAnsi="Calibri"/>
          <w:sz w:val="21"/>
          <w:szCs w:val="21"/>
        </w:rPr>
        <w:t xml:space="preserve">entre 20 y 24 horas al año por contrato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ADM-5·v3 · Penalidades</w:t>
      </w:r>
    </w:p>
    <w:p>
      <w:pPr>
        <w:spacing w:after="140" w:line="276"/>
      </w:pPr>
      <w:r>
        <w:rPr>
          <w:rFonts w:ascii="Calibri" w:cs="Calibri" w:eastAsia="Calibri" w:hAnsi="Calibri"/>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[3] y el [X; se recomienda 6] por ciento del precio del contrato, IVA excluido, por cada incumplimiento, sin superar en ningún caso el 10 por ciento.</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temporal de una certificación o de un sistema de gestión exigidos,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liberar el depósito de código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o entrega incompleta del Dossier de Reversibilidad no subsanada en el plazo requerido.</w:t>
            </w:r>
          </w:p>
          <w:p>
            <w:pPr>
              <w:spacing w:after="100" w:line="264"/>
            </w:pPr>
            <w:r>
              <w:rPr>
                <w:rFonts w:ascii="Georgia" w:cs="Georgia" w:eastAsia="Georgia" w:hAnsi="Georgia"/>
                <w:sz w:val="20"/>
                <w:szCs w:val="20"/>
              </w:rPr>
              <w:t xml:space="preserve">M5. Introducción de información municipal no pública en un sistema de inteligencia artificial no autorizado.</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Pérdida no subsanada, en el plazo de la letra G8, de una certificación o sistema de gestión exigidos.</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XII indica cuáles.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r>
        <w:rPr>
          <w:rFonts w:ascii="Calibri" w:cs="Calibri" w:eastAsia="Calibri" w:hAnsi="Calibri"/>
          <w:color w:val="2F5496"/>
          <w:sz w:val="21"/>
          <w:szCs w:val="21"/>
          <w:u w:val="single"/>
        </w:rPr>
        <w:t xml:space="preserve">PDF</w:t>
      </w:r>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su único efecto posible es la puntuación que corresponda en el criterio,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ADM-6·v3 · Obligaciones contractuales esenciales y resolución</w:t>
      </w:r>
    </w:p>
    <w:p>
      <w:pPr>
        <w:spacing w:after="140" w:line="276"/>
      </w:pPr>
      <w:r>
        <w:rPr>
          <w:rFonts w:ascii="Calibri" w:cs="Calibri" w:eastAsia="Calibri" w:hAnsi="Calibri"/>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En todo contrato en el que se haya incorporado la cláusula de origen:</w:t>
            </w:r>
          </w:p>
          <w:p>
            <w:pPr>
              <w:spacing w:after="100" w:line="264"/>
            </w:pPr>
            <w:r>
              <w:rPr>
                <w:rFonts w:ascii="Georgia" w:cs="Georgia" w:eastAsia="Georgia" w:hAnsi="Georgia"/>
                <w:sz w:val="20"/>
                <w:szCs w:val="20"/>
              </w:rPr>
              <w:t xml:space="preserve">a) La negativa a entregar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La negativa a constituir el depósito de código, o la negativa a liberarlo concurriendo un supuesto tasado de liberación, o la entrega de material incompleto o no verificable no subsanada en el plazo de [1] mes desde requerimiento fehaciente.</w:t>
            </w:r>
          </w:p>
          <w:p>
            <w:pPr>
              <w:spacing w:after="100" w:line="264"/>
            </w:pPr>
            <w:r>
              <w:rPr>
                <w:rFonts w:ascii="Georgia" w:cs="Georgia" w:eastAsia="Georgia" w:hAnsi="Georgia"/>
                <w:sz w:val="20"/>
                <w:szCs w:val="20"/>
              </w:rPr>
              <w:t xml:space="preserve">c)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La introducción de información municipal no pública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transcurrido su plazo y un plazo adicional de subsanación de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[1] mes desde requerimiento fehaciente.</w:t>
            </w:r>
          </w:p>
          <w:p>
            <w:pPr>
              <w:spacing w:after="100" w:line="264"/>
            </w:pPr>
            <w:r>
              <w:rPr>
                <w:rFonts w:ascii="Georgia" w:cs="Georgia" w:eastAsia="Georgia" w:hAnsi="Georgia"/>
                <w:sz w:val="20"/>
                <w:szCs w:val="20"/>
              </w:rPr>
              <w:t xml:space="preserve">g) La falta de entrega, en el plazo establecido, de la interfaz normalizada de acceso programático prevista en el Pliego de Prescripciones Técnicas.</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Tres correcciones que no son opcionales</w:t>
      </w:r>
    </w:p>
    <w:p>
      <w:pPr>
        <w:spacing w:after="140" w:line="276"/>
      </w:pPr>
      <w:r>
        <w:rPr>
          <w:rFonts w:ascii="Calibri" w:cs="Calibri" w:eastAsia="Calibri" w:hAnsi="Calibri"/>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el checklist del Anexo XII obliga a marcarla.</w:t>
      </w:r>
    </w:p>
    <w:p>
      <w:pPr>
        <w:spacing w:after="140" w:line="276"/>
      </w:pPr>
      <w:r>
        <w:rPr>
          <w:rFonts w:ascii="Calibri" w:cs="Calibri" w:eastAsia="Calibri" w:hAnsi="Calibri"/>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sz w:val="21"/>
          <w:szCs w:val="21"/>
        </w:rPr>
        <w:t xml:space="preserve">Tercera: la esencialidad se gradúa, o es desproporcionada.</w:t>
      </w:r>
    </w:p>
    <w:p>
      <w:pPr>
        <w:spacing w:after="140" w:line="276"/>
      </w:pPr>
      <w:r>
        <w:rPr>
          <w:rFonts w:ascii="Calibri" w:cs="Calibri" w:eastAsia="Calibri" w:hAnsi="Calibri"/>
          <w:sz w:val="21"/>
          <w:szCs w:val="21"/>
        </w:rPr>
        <w:t xml:space="preserve">Aquí hay que dar la razón al letrado del licitador, y darla por escrito antes de que la pida. </w:t>
      </w:r>
      <w:r>
        <w:rPr>
          <w:rFonts w:ascii="Calibri" w:cs="Calibri" w:eastAsia="Calibri" w:hAnsi="Calibri"/>
          <w:sz w:val="21"/>
          <w:szCs w:val="21"/>
        </w:rPr>
        <w:t xml:space="preserve">Resolver un contrato de contabilidad y patrimonio municipal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llevar la contabilidad del Ayuntamiento; la interfaz es una capacidad accesoria y valiosa, pero accesoria. Resolver por ella deja al Ayuntamiento sin contabilidad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Que es, dicho sin adorno, una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no hay parche.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sz w:val="21"/>
          <w:szCs w:val="21"/>
        </w:rPr>
        <w:t xml:space="preserve">No hacen</w:t>
      </w:r>
      <w:r>
        <w:rPr>
          <w:rFonts w:ascii="Calibri" w:cs="Calibri" w:eastAsia="Calibri" w:hAnsi="Calibri"/>
          <w:sz w:val="21"/>
          <w:szCs w:val="21"/>
        </w:rPr>
        <w:t xml:space="preserve"> que ningún tribunal deje de poder anular un pliego.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 · Cláusulas ADM-7 a ADM-14</w:t>
      </w:r>
    </w:p>
    <w:p>
      <w:pPr>
        <w:spacing w:after="140" w:line="276"/>
      </w:pPr>
      <w:r>
        <w:rPr>
          <w:rFonts w:ascii="Calibri" w:cs="Calibri" w:eastAsia="Calibri" w:hAnsi="Calibri"/>
          <w:sz w:val="21"/>
          <w:szCs w:val="21"/>
        </w:rPr>
        <w:t xml:space="preserve">Las ocho cláusulas que siguen se redactan con el formato fijo de siete epígrafes. </w:t>
      </w:r>
      <w:r>
        <w:rPr>
          <w:rFonts w:ascii="Calibri" w:cs="Calibri" w:eastAsia="Calibri" w:hAnsi="Calibri"/>
          <w:sz w:val="21"/>
          <w:szCs w:val="21"/>
        </w:rPr>
        <w:t xml:space="preserve">Lo único que se copia a un pliego es el texto delimitado por los bloques `:::pliego`</w:t>
      </w:r>
      <w:r>
        <w:rPr>
          <w:rFonts w:ascii="Calibri" w:cs="Calibri" w:eastAsia="Calibri" w:hAnsi="Calibri"/>
          <w:sz w:val="21"/>
          <w:szCs w:val="21"/>
        </w:rPr>
        <w:t xml:space="preserve">; todo lo que queda fuera de esos bloques es comentario justificativo y no debe reproducirse en el PCAP. Los valores entre corchetes los fija el órgano de contratación; todos llevan valor recomendado por defecto y la indicación de en qué caso conviene moverlo.</w:t>
      </w:r>
    </w:p>
    <w:p>
      <w:pPr>
        <w:spacing w:after="140" w:line="276"/>
      </w:pPr>
      <w:r>
        <w:rPr>
          <w:rFonts w:ascii="Calibri" w:cs="Calibri" w:eastAsia="Calibri" w:hAnsi="Calibri"/>
          <w:sz w:val="21"/>
          <w:szCs w:val="21"/>
        </w:rPr>
        <w:t xml:space="preserve">Regla de lectura común a las ocho: </w:t>
      </w:r>
      <w:r>
        <w:rPr>
          <w:rFonts w:ascii="Calibri" w:cs="Calibri" w:eastAsia="Calibri" w:hAnsi="Calibri"/>
          <w:sz w:val="21"/>
          <w:szCs w:val="21"/>
        </w:rPr>
        <w:t xml:space="preserve">ninguna de ellas se incorpora a un pliego sin la ficha del Anexo II firmada y sin que su necesidad conste en la memoria justificativa del expediente concreto</w:t>
      </w:r>
      <w:r>
        <w:rPr>
          <w:rFonts w:ascii="Calibri" w:cs="Calibri" w:eastAsia="Calibri" w:hAnsi="Calibri"/>
          <w:sz w:val="21"/>
          <w:szCs w:val="21"/>
        </w:rPr>
        <w:t xml:space="preserve">. La justificación por remisión a este catálogo es justificación estereotipada, y no se admite en sede de recurso lo que no estaba en la memoria (TACP de la Comunidad de Madrid, Resolución 383/2024, de 3 de octubre de 2024, recurso 383/2024, Ayuntamiento de Parla, estimatoria, que anuló unos pliegos por exigir el ENS de Nivel Alto sin justificación: &lt;https://www.comunidad.madrid/tacp/sites/default/files/resolucion_383-2024_expediente_383-2024.pdf&gt;; se cita como doctrina general trasladada por analogía).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ADM-7·v3 — Criterios de adjudicación</w:t>
      </w:r>
    </w:p>
    <w:p>
      <w:pPr>
        <w:spacing w:after="140" w:line="276"/>
      </w:pPr>
      <w:r>
        <w:rPr>
          <w:rFonts w:ascii="Calibri" w:cs="Calibri" w:eastAsia="Calibri" w:hAnsi="Calibri"/>
          <w:sz w:val="21"/>
          <w:szCs w:val="21"/>
        </w:rPr>
        <w:t xml:space="preserve">Es la cláusula con más riesgo de todo el documento.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contabilidad sin puntuar la contabilidad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Este apartado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 mera tenencia de certificaciones que acrediten sistemas de gestión de la empresa; la experiencia previa del licitador; ni la disponibilidad, a la fecha de finalización del plazo de presentación de ofertas, de instalaciones, desarrollos, productos o infraestructuras anteriores a la licitación.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en el mismo acto el criterio de adjudicación que la valoraba y se redistribuye su puntuación conforme al apartado 5.</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Separabilidad.</w:t>
            </w:r>
            <w:r>
              <w:rPr>
                <w:rFonts w:ascii="Georgia" w:cs="Georgia" w:eastAsia="Georgia" w:hAnsi="Georgia"/>
                <w:sz w:val="20"/>
                <w:szCs w:val="20"/>
              </w:rPr>
              <w:t xml:space="preserve"> La nulidad o anulación de uno de los criterios de este baremo no afectará por sí sola a la validez de los restantes. Las ponderaciones publicadas no serán objeto de reescalado ni de redistribución una vez iniciada la licitación; los efectos de la anulación se resolverán conforme a los artículos 57 y 213 LCSP y a la resolución que en cada caso recaiga.</w:t>
            </w:r>
          </w:p>
        </w:tc>
      </w:tr>
    </w:tbl>
    <w:p>
      <w:pPr>
        <w:spacing w:after="220"/>
      </w:pPr>
    </w:p>
    <w:p>
      <w:pPr>
        <w:spacing w:after="140" w:line="276"/>
      </w:pPr>
      <w:r>
        <w:rPr>
          <w:rFonts w:ascii="Calibri" w:cs="Calibri" w:eastAsia="Calibri" w:hAnsi="Calibri"/>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de servicios de mantenimiento, evolución y soporte de la aplicación de contabilidad y patrimonio. Presupuesto base de licitación 96.000 euros (IVA excluido) para dos años; una prórroga de un año por 48.000 euros; valor estimado 144.000 euros; sin reserva de modificación. Al superar 100.000 euros de valor estimado, no cabe el procedimiento abierto simplificado y los pliegos son directamente recurribles.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del servicio.</w:t>
                  </w:r>
                  <w:r>
                    <w:rPr>
                      <w:rFonts w:ascii="Calibri" w:cs="Calibri" w:eastAsia="Calibri" w:hAnsi="Calibri"/>
                      <w:b w:val="false"/>
                      <w:bCs w:val="false"/>
                      <w:sz w:val="18"/>
                      <w:szCs w:val="18"/>
                    </w:rPr>
                    <w:t xml:space="preserve"> Fórmula de proporcionalidad inversa publicada en el apartado [ ] de este pliego, sobre el importe anual del servicio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w:t>
                  </w:r>
                  <w:r>
                    <w:rPr>
                      <w:rFonts w:ascii="Calibri" w:cs="Calibri" w:eastAsia="Calibri" w:hAnsi="Calibri"/>
                      <w:b w:val="false"/>
                      <w:bCs w:val="false"/>
                      <w:sz w:val="18"/>
                      <w:szCs w:val="18"/>
                    </w:rPr>
                    <w:t xml:space="preserve"> Precio/hora ofertado por cada uno de los [cinco] perfiles profesionales de la relación cerrada del Anexo [ ],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Cobertura funcional acreditada sobre la relación cerrada de requisitos del PPT</w:t>
                  </w:r>
                  <w:r>
                    <w:rPr>
                      <w:rFonts w:ascii="Calibri" w:cs="Calibri" w:eastAsia="Calibri" w:hAnsi="Calibri"/>
                      <w:b w:val="false"/>
                      <w:bCs w:val="false"/>
                      <w:sz w:val="18"/>
                      <w:szCs w:val="18"/>
                    </w:rPr>
                    <w:t xml:space="preserve">, contando únicamente los requisitos identificados como «valorables» en dicha relación. Los requisitos identificados como «mínimos obligatorios» no puntúan. Umbrales publicados en el apartado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la matriz de requisitos del Anexo [ ], verificable conforme a ADM-9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ofertado de migración y carga inicial de datos</w:t>
                  </w:r>
                  <w:r>
                    <w:rPr>
                      <w:rFonts w:ascii="Calibri" w:cs="Calibri" w:eastAsia="Calibri" w:hAnsi="Calibri"/>
                      <w:b w:val="false"/>
                      <w:bCs w:val="false"/>
                      <w:sz w:val="18"/>
                      <w:szCs w:val="18"/>
                    </w:rPr>
                    <w:t xml:space="preserve"> desde el sistema actual, en semanas por debajo del máximo de [12] semanas fijado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Niveles de servicio ofertados por encima del mínimo del PPT</w:t>
                  </w:r>
                  <w:r>
                    <w:rPr>
                      <w:rFonts w:ascii="Calibri" w:cs="Calibri" w:eastAsia="Calibri" w:hAnsi="Calibri"/>
                      <w:b w:val="false"/>
                      <w:bCs w:val="false"/>
                      <w:sz w:val="18"/>
                      <w:szCs w:val="18"/>
                    </w:rPr>
                    <w:t xml:space="preserve">: tiempo máximo de respuesta y tiempo máximo de resolución de incidencias críticas, en horas por debajo del mínimo exigido.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ADM-5·v3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Metodología de soporte y de formación al personal de los servicios de Intervención, Tesorería y Contabilidad</w:t>
                  </w:r>
                  <w:r>
                    <w:rPr>
                      <w:rFonts w:ascii="Calibri" w:cs="Calibri" w:eastAsia="Calibri" w:hAnsi="Calibri"/>
                      <w:b w:val="false"/>
                      <w:bCs w:val="false"/>
                      <w:sz w:val="18"/>
                      <w:szCs w:val="18"/>
                    </w:rPr>
                    <w:t xml:space="preserve">, valorada conforme a la rúbrica con descriptores por tramos publicada en el Anexo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del Anexo V, contando únicamente las funciones y conjuntos de datos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la relación numerada del Anexo V; el alcance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[12] meses fijado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PPT, contando únicamente los que excedan del mínimo obligatorio.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la relación numerada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sz w:val="20"/>
                <w:szCs w:val="20"/>
              </w:rPr>
              <w:t xml:space="preserve">Reparto resultante: criterios evaluables mediante fórmula, </w:t>
            </w:r>
            <w:r>
              <w:rPr>
                <w:rFonts w:ascii="Georgia" w:cs="Georgia" w:eastAsia="Georgia" w:hAnsi="Georgia"/>
                <w:b/>
                <w:bCs/>
                <w:sz w:val="20"/>
                <w:szCs w:val="20"/>
              </w:rPr>
              <w:t xml:space="preserve">89 puntos</w:t>
            </w:r>
            <w:r>
              <w:rPr>
                <w:rFonts w:ascii="Georgia" w:cs="Georgia" w:eastAsia="Georgia" w:hAnsi="Georgia"/>
                <w:sz w:val="20"/>
                <w:szCs w:val="20"/>
              </w:rPr>
              <w:t xml:space="preserve">; criterios sujetos a juicio de valor, </w:t>
            </w:r>
            <w:r>
              <w:rPr>
                <w:rFonts w:ascii="Georgia" w:cs="Georgia" w:eastAsia="Georgia" w:hAnsi="Georgia"/>
                <w:b/>
                <w:bCs/>
                <w:sz w:val="20"/>
                <w:szCs w:val="20"/>
              </w:rPr>
              <w:t xml:space="preserve">11 puntos</w:t>
            </w:r>
            <w:r>
              <w:rPr>
                <w:rFonts w:ascii="Georgia" w:cs="Georgia" w:eastAsia="Georgia" w:hAnsi="Georgia"/>
                <w:sz w:val="20"/>
                <w:szCs w:val="20"/>
              </w:rPr>
              <w:t xml:space="preserve">. Bloque «Innovación y tecnología» (I1 a I4): </w:t>
            </w:r>
            <w:r>
              <w:rPr>
                <w:rFonts w:ascii="Georgia" w:cs="Georgia" w:eastAsia="Georgia" w:hAnsi="Georgia"/>
                <w:b/>
                <w:bCs/>
                <w:sz w:val="20"/>
                <w:szCs w:val="20"/>
              </w:rPr>
              <w:t xml:space="preserve">25 puntos</w:t>
            </w:r>
            <w:r>
              <w:rPr>
                <w:rFonts w:ascii="Georgia" w:cs="Georgia" w:eastAsia="Georgia" w:hAnsi="Georgia"/>
                <w:sz w:val="20"/>
                <w:szCs w:val="20"/>
              </w:rPr>
              <w:t xml:space="preserve">. Criterios relacionados con la calidad (todos salvo P1 y P2): </w:t>
            </w:r>
            <w:r>
              <w:rPr>
                <w:rFonts w:ascii="Georgia" w:cs="Georgia" w:eastAsia="Georgia" w:hAnsi="Georgia"/>
                <w:b/>
                <w:bCs/>
                <w:sz w:val="20"/>
                <w:szCs w:val="20"/>
              </w:rPr>
              <w:t xml:space="preserve">55 puntos</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El límite que decide el diseño del baremo es el del artículo 159.1.b): </w:t>
      </w:r>
      <w:r>
        <w:rPr>
          <w:rFonts w:ascii="Calibri" w:cs="Calibri" w:eastAsia="Calibri" w:hAnsi="Calibri"/>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Si la aplicación de la regla anterior obliga a reducir la puntuación de los criterios sujetos a juicio de valor,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Baremo recomendado por defecto en esta variante: P1 40 · P2 5 · F1 12 · F2 8 · F3 8 · F4 5 · I1 8 · I2 5 · I3 6 · I4 3. Juicio de valor: 8 puntos (8 por ciento). Bloque de innovación: 22 puntos.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Baremo recomendado por defecto: P1 50 · P2 5 · F1 12 · F2 8 · F3 8 · I1 9 · I2 5 · I3 3. Bloque de innovación: 17 puntos.</w:t>
            </w:r>
          </w:p>
          <w:p>
            <w:pPr>
              <w:pStyle w:val="ListParagraph"/>
              <w:numPr>
                <w:ilvl w:val="0"/>
                <w:numId w:val="2"/>
              </w:numPr>
              <w:spacing w:after="60" w:line="264"/>
            </w:pPr>
            <w:r>
              <w:rPr>
                <w:rFonts w:ascii="Georgia" w:cs="Georgia" w:eastAsia="Georgia" w:hAnsi="Georgia"/>
                <w:sz w:val="20"/>
                <w:szCs w:val="20"/>
              </w:rPr>
              <w:t xml:space="preserve">Se suprimen los criterios F4 e I4 y, con ellos, toda remisión a rúbricas de juicio de valor.</w:t>
            </w:r>
          </w:p>
          <w:p>
            <w:pPr>
              <w:pStyle w:val="ListParagraph"/>
              <w:numPr>
                <w:ilvl w:val="0"/>
                <w:numId w:val="2"/>
              </w:numPr>
              <w:spacing w:after="60" w:line="264"/>
            </w:pPr>
            <w:r>
              <w:rPr>
                <w:rFonts w:ascii="Georgia" w:cs="Georgia" w:eastAsia="Georgia" w:hAnsi="Georgia"/>
                <w:sz w:val="20"/>
                <w:szCs w:val="20"/>
              </w:rPr>
              <w:t xml:space="preserve">No se aplica la cláusula ADM-9 (verificación mediante demostración funcional).</w:t>
            </w:r>
          </w:p>
        </w:tc>
      </w:tr>
    </w:tbl>
    <w:p>
      <w:pPr>
        <w:spacing w:after="220"/>
      </w:pPr>
    </w:p>
    <w:p>
      <w:pPr>
        <w:spacing w:after="140" w:line="276"/>
      </w:pPr>
      <w:r>
        <w:rPr>
          <w:rFonts w:ascii="Calibri" w:cs="Calibri" w:eastAsia="Calibri" w:hAnsi="Calibri"/>
          <w:sz w:val="21"/>
          <w:szCs w:val="21"/>
        </w:rPr>
        <w:t xml:space="preserve">ADM-7.5 · Hoja de comprobación del baremo.</w:t>
      </w:r>
      <w:r>
        <w:rPr>
          <w:rFonts w:ascii="Calibri" w:cs="Calibri" w:eastAsia="Calibri" w:hAnsi="Calibri"/>
          <w:sz w:val="21"/>
          <w:szCs w:val="21"/>
        </w:rPr>
        <w:t xml:space="preserve"> Se cumplimenta antes de aprobar el expediente y se incorpora a él. Suma el baremo entero, precio incluido.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Hoja de comprobación del baremo (se incorpora al expediente, no al pliego publicado).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si supera el 40 %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val="false"/>
                      <w:bCs w:val="false"/>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ROJO</w:t>
                  </w:r>
                  <w:r>
                    <w:rPr>
                      <w:rFonts w:ascii="Calibri" w:cs="Calibri" w:eastAsia="Calibri" w:hAnsi="Calibri"/>
                      <w:b w:val="false"/>
                      <w:bCs w:val="false"/>
                      <w:sz w:val="18"/>
                      <w:szCs w:val="18"/>
                    </w:rPr>
                    <w:t xml:space="preserve">: se suprime el criterio (art. 145.5.c LCSP)</w:t>
                  </w:r>
                </w:p>
              </w:tc>
            </w:tr>
          </w:tbl>
          <w:p>
            <w:pPr>
              <w:spacing w:after="80"/>
            </w:pP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w:t>
      </w:r>
      <w:r>
        <w:rPr>
          <w:rFonts w:ascii="Calibri" w:cs="Calibri" w:eastAsia="Calibri" w:hAnsi="Calibri"/>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 o declaración del licitador sobre una relación </w:t>
      </w:r>
      <w:r>
        <w:rPr>
          <w:rFonts w:ascii="Calibri" w:cs="Calibri" w:eastAsia="Calibri" w:hAnsi="Calibri"/>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como Pozuelo de Alarcón;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doce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del PPT.</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ADM-8·v3 — Propiedad intelectual, algoritmos y lógica de negocio</w:t>
      </w:r>
    </w:p>
    <w:p>
      <w:pPr>
        <w:spacing w:after="140" w:line="276"/>
      </w:pPr>
      <w:r>
        <w:rPr>
          <w:rFonts w:ascii="Calibri" w:cs="Calibri" w:eastAsia="Calibri" w:hAnsi="Calibri"/>
          <w:sz w:val="21"/>
          <w:szCs w:val="21"/>
        </w:rPr>
        <w:t xml:space="preserve">Incorpora las modificaciones 3 y 4 del documento de propuesta de modificaciones (las modificaciones 1 y 2, sobre la reversibilidad y su definición, se integran en DT-8·v3 y en las definiciones de la Parte I) y </w:t>
      </w:r>
      <w:r>
        <w:rPr>
          <w:rFonts w:ascii="Calibri" w:cs="Calibri" w:eastAsia="Calibri" w:hAnsi="Calibri"/>
          <w:sz w:val="21"/>
          <w:szCs w:val="21"/>
        </w:rPr>
        <w:t xml:space="preserve">corrige tres defectos que ese documento no vio</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w:t>
      </w:r>
      <w:r>
        <w:rPr>
          <w:rFonts w:ascii="Calibri" w:cs="Calibri" w:eastAsia="Calibri" w:hAnsi="Calibri"/>
          <w:sz w:val="21"/>
          <w:szCs w:val="21"/>
        </w:rPr>
        <w:t xml:space="preserve"> sobre el producto base, el Ayuntamiento no puede poner la aplicación a disposición de otra Administración que se la pida y, por tanto, no puede cumplir el art. 157.1 de la Ley 40/2015, que obliga a hacerlo respecto de las aplicaciones «de cuyos derechos de propiedad intelectual sean titulares». El art. 99 TRLPI presume la cesión de uso no exclusiva e intransferible: si el pliego calla, el Ayuntamiento no puede ceder.</w:t>
      </w:r>
    </w:p>
    <w:p>
      <w:pPr>
        <w:pStyle w:val="ListParagraph"/>
        <w:numPr>
          <w:ilvl w:val="0"/>
          <w:numId w:val="1"/>
        </w:numPr>
        <w:spacing w:after="70" w:line="268"/>
      </w:pPr>
      <w:r>
        <w:rPr>
          <w:rFonts w:ascii="Calibri" w:cs="Calibri" w:eastAsia="Calibri" w:hAnsi="Calibri"/>
          <w:sz w:val="21"/>
          <w:szCs w:val="21"/>
        </w:rPr>
        <w:t xml:space="preserve">El texto propuesto dejaba abierto un cheque en blanco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de los componentes de terceros, y </w:t>
            </w:r>
            <w:r>
              <w:rPr>
                <w:rFonts w:ascii="Georgia" w:cs="Georgia" w:eastAsia="Georgia" w:hAnsi="Georgia"/>
                <w:b/>
                <w:bCs/>
                <w:sz w:val="20"/>
                <w:szCs w:val="20"/>
              </w:rPr>
              <w:t xml:space="preserve">como mínimo, aunque este pliego no disponga otra cosa</w:t>
            </w:r>
            <w:r>
              <w:rPr>
                <w:rFonts w:ascii="Georgia" w:cs="Georgia" w:eastAsia="Georgia" w:hAnsi="Georgia"/>
                <w:sz w:val="20"/>
                <w:szCs w:val="20"/>
              </w:rPr>
              <w:t xml:space="preserve">, el Ayuntamiento ostentará una licencia de uso no exclusiva, sin límite de personas usuarias ni de instalaciones, para todos los fines propios de sus competencias, durante la vigencia del contrato, sus prórrogas y el periodo de reversión, y </w:t>
            </w:r>
            <w:r>
              <w:rPr>
                <w:rFonts w:ascii="Georgia" w:cs="Georgia" w:eastAsia="Georgia" w:hAnsi="Georgia"/>
                <w:b/>
                <w:bCs/>
                <w:sz w:val="20"/>
                <w:szCs w:val="20"/>
              </w:rPr>
              <w:t xml:space="preserve">transferible a otras entidades del sector público</w:t>
            </w:r>
            <w:r>
              <w:rPr>
                <w:rFonts w:ascii="Georgia" w:cs="Georgia" w:eastAsia="Georgia" w:hAnsi="Georgia"/>
                <w:sz w:val="20"/>
                <w:szCs w:val="20"/>
              </w:rPr>
              <w:t xml:space="preserve"> a los solos efectos de los artículos 157 y 158 de la Ley 40/2015.</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cláusula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 (b) </w:t>
      </w:r>
      <w:r>
        <w:rPr>
          <w:rFonts w:ascii="Calibri" w:cs="Calibri" w:eastAsia="Calibri" w:hAnsi="Calibri"/>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 meses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spacing w:after="140" w:line="276"/>
      </w:pPr>
      <w:r>
        <w:rPr>
          <w:rFonts w:ascii="Calibri" w:cs="Calibri" w:eastAsia="Calibri" w:hAnsi="Calibri"/>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ADM-9·v3 — Verificación mediante demostración funcional</w:t>
      </w:r>
    </w:p>
    <w:p>
      <w:pPr>
        <w:spacing w:after="140" w:line="276"/>
      </w:pPr>
      <w:r>
        <w:rPr>
          <w:rFonts w:ascii="Calibri" w:cs="Calibri" w:eastAsia="Calibri" w:hAnsi="Calibri"/>
          <w:sz w:val="21"/>
          <w:szCs w:val="21"/>
        </w:rPr>
        <w:t xml:space="preserve">Aquí se dice con todas las letras qué se hace, porque el reproche del que parte es serio y sólo hay dos salidas honestas.</w:t>
      </w:r>
    </w:p>
    <w:p>
      <w:pPr>
        <w:spacing w:after="140" w:line="276"/>
      </w:pPr>
      <w:r>
        <w:rPr>
          <w:rFonts w:ascii="Calibri" w:cs="Calibri" w:eastAsia="Calibri" w:hAnsi="Calibri"/>
          <w:sz w:val="21"/>
          <w:szCs w:val="21"/>
        </w:rPr>
        <w:t xml:space="preserve">El reproche: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Lo que se hace: se degrada la cláusula, y esa degradación es la solución.</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precio de resolverlo de verdad es que el órgano de contratación pierde la posibilidad de premiar al licitador que llega con el producto hecho. Ese premio es precisamente lo que el art. 40.b) LCSP declara anulable.</w:t>
      </w:r>
    </w:p>
    <w:p>
      <w:pPr>
        <w:spacing w:after="140" w:line="276"/>
      </w:pPr>
      <w:r>
        <w:rPr>
          <w:rFonts w:ascii="Calibri" w:cs="Calibri" w:eastAsia="Calibri" w:hAnsi="Calibri"/>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Además, y contra lo que se ha venido escribiendo, la disposición adicional 15.ª.2 </w:t>
      </w:r>
      <w:r>
        <w:rPr>
          <w:rFonts w:ascii="Calibri" w:cs="Calibri" w:eastAsia="Calibri" w:hAnsi="Calibri"/>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de modo suficiente y a través de los medios adecuados, tales como los archivos o resúmenes escritos o sonoros de los principales elementos de la comunicación». </w:t>
      </w:r>
      <w:r>
        <w:rPr>
          <w:rFonts w:ascii="Calibri" w:cs="Calibri" w:eastAsia="Calibri" w:hAnsi="Calibri"/>
          <w:sz w:val="21"/>
          <w:szCs w:val="21"/>
        </w:rPr>
        <w:t xml:space="preserve">Acta escrita detallada basta.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en la sesión se puntuarán con cero en el subcriterio correspondiente.</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al Anexo IX del PCAP.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(Servei de Salut de les Illes Balears).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Texto íntegro reproducido en &lt;https://www.acobur.es/recursos-especiales-36562-resolucion-n-622023-del-tribunal-administrativo-central-de-recursos-contractuales-de-02-de-febrero-de-2023recurso-n-16342022-c&gt;; el PDF oficial no fue localizable en el repositorio del Ministerio de Hacienda.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recogida en el compendio oficial de doctrina 2018-2023 del propio órgano, epígrafe 3.4.6 —el número de recurso no consta en esa fuente y debe completarse antes de publicar—: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(&lt;https://www.euskadi.eus/contenidos/informacion/kpecpe_oarc_memorias_doctrina/eu_def/adjuntos/Doktrina-2018-2023.pdf&gt;).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mismo compendio, epígrafe 6.5.18, con idéntica advertencia sobre el número de recurso: lo que se muestra forma parte de la oferta y no es subsanable, porque «tal subsanación supondría modificar el contenido de la proposición, lo que es inadmisible en los procedimientos abiertos por contrario al principio de igualdad de trato».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respalda la valoración técnica de muestras probadas por el personal que va a usar el producto, con el recordatorio de que la discrecionalidad técnica «no ampara cualquier decisión que pretenda fundarse en ella».</w:t>
      </w:r>
    </w:p>
    <w:p>
      <w:pPr>
        <w:spacing w:after="140" w:line="276"/>
      </w:pPr>
      <w:r>
        <w:rPr>
          <w:rFonts w:ascii="Calibri" w:cs="Calibri" w:eastAsia="Calibri" w:hAnsi="Calibri"/>
          <w:sz w:val="21"/>
          <w:szCs w:val="21"/>
        </w:rPr>
        <w:t xml:space="preserve">No consta</w:t>
      </w:r>
      <w:r>
        <w:rPr>
          <w:rFonts w:ascii="Calibri" w:cs="Calibri" w:eastAsia="Calibri" w:hAnsi="Calibri"/>
          <w:sz w:val="21"/>
          <w:szCs w:val="21"/>
        </w:rPr>
        <w:t xml:space="preserve">, a fecha de corte de 1 de septiembre de 2026 y tras búsqueda en los repositorios citados,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IX cumplimentada; y acta de la sesión, que consigna elemento por elemento «declarado / acreditado / no acreditado / evidencia observada». No se admite documentación adicional aportada durante la sesión ni con posterioridad.</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bl>
    <w:p>
      <w:pPr>
        <w:spacing w:after="200"/>
      </w:pPr>
    </w:p>
    <w:p>
      <w:pPr>
        <w:spacing w:after="140" w:line="276"/>
      </w:pPr>
      <w:r>
        <w:rPr>
          <w:rFonts w:ascii="Calibri" w:cs="Calibri" w:eastAsia="Calibri" w:hAnsi="Calibri"/>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Con cinco licitadores, entre 19 y 24 horas por expediente. </w:t>
      </w:r>
      <w:r>
        <w:rPr>
          <w:rFonts w:ascii="Calibri" w:cs="Calibri" w:eastAsia="Calibri" w:hAnsi="Calibri"/>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sz w:val="21"/>
          <w:szCs w:val="21"/>
        </w:rPr>
        <w:t xml:space="preserve">Si esta cláusula se marca NO APLICA, arrastra:</w:t>
      </w:r>
      <w:r>
        <w:rPr>
          <w:rFonts w:ascii="Calibri" w:cs="Calibri" w:eastAsia="Calibri" w:hAnsi="Calibri"/>
          <w:sz w:val="21"/>
          <w:szCs w:val="21"/>
        </w:rPr>
        <w:t xml:space="preserve"> el Anexo IX del PCAP, la columna «verificable conforme a ADM-9» del baremo de ADM-7·v3 y la mención de la demostración en el Anexo VI (declaración responsable).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ADM-10·v3 — Plan de Actualización Tecnológica</w:t>
      </w:r>
    </w:p>
    <w:p>
      <w:pPr>
        <w:spacing w:after="140" w:line="276"/>
      </w:pPr>
      <w:r>
        <w:rPr>
          <w:rFonts w:ascii="Calibri" w:cs="Calibri" w:eastAsia="Calibri" w:hAnsi="Calibri"/>
          <w:sz w:val="21"/>
          <w:szCs w:val="21"/>
        </w:rPr>
        <w:t xml:space="preserve">Cláusula </w:t>
      </w:r>
      <w:r>
        <w:rPr>
          <w:rFonts w:ascii="Calibri" w:cs="Calibri" w:eastAsia="Calibri" w:hAnsi="Calibri"/>
          <w:sz w:val="21"/>
          <w:szCs w:val="21"/>
        </w:rPr>
        <w:t xml:space="preserve">degradada</w:t>
      </w:r>
      <w:r>
        <w:rPr>
          <w:rFonts w:ascii="Calibri" w:cs="Calibri" w:eastAsia="Calibri" w:hAnsi="Calibri"/>
          <w:sz w:val="21"/>
          <w:szCs w:val="21"/>
        </w:rPr>
        <w:t xml:space="preserve">. 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de Actualización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de Actualización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obligaciones del contratista en materia de seguimiento. El modelo de Plan va al Anexo VII.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VII;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[30] días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Sobre la objeción de responsabilidad por hecho ajeno.</w:t>
      </w:r>
      <w:r>
        <w:rPr>
          <w:rFonts w:ascii="Calibri" w:cs="Calibri" w:eastAsia="Calibri" w:hAnsi="Calibri"/>
          <w:sz w:val="21"/>
          <w:szCs w:val="21"/>
        </w:rPr>
        <w:t xml:space="preserve">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[12] meses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sz w:val="21"/>
          <w:szCs w:val="21"/>
        </w:rPr>
        <w:t xml:space="preserve">Si esta cláusula se marca NO APLICA, arrastra:</w:t>
      </w:r>
      <w:r>
        <w:rPr>
          <w:rFonts w:ascii="Calibri" w:cs="Calibri" w:eastAsia="Calibri" w:hAnsi="Calibri"/>
          <w:sz w:val="21"/>
          <w:szCs w:val="21"/>
        </w:rPr>
        <w:t xml:space="preserve"> el Anexo VII, la fila correspondiente del cuadro de penalidades de ADM-5·v3, los dos guiones correspondientes del bloque B de ADM-6·v3, y el criterio I2 del baremo de ADM-7·v3 si su medición dependía del Plan.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ADM-11·v3 — Depósito de código y continuidad ante insolvencia</w:t>
      </w:r>
    </w:p>
    <w:p>
      <w:pPr>
        <w:spacing w:after="140" w:line="276"/>
      </w:pPr>
      <w:r>
        <w:rPr>
          <w:rFonts w:ascii="Calibri" w:cs="Calibri" w:eastAsia="Calibri" w:hAnsi="Calibri"/>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y de las juntas consultivas de contratación, a fecha de corte de 1 de septiembre de 2026 </w:t>
      </w:r>
      <w:r>
        <w:rPr>
          <w:rFonts w:ascii="Calibri" w:cs="Calibri" w:eastAsia="Calibri" w:hAnsi="Calibri"/>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sz w:val="21"/>
          <w:szCs w:val="21"/>
        </w:rPr>
        <w:t xml:space="preserve">no como práctica consolidada</w:t>
      </w:r>
      <w:r>
        <w:rPr>
          <w:rFonts w:ascii="Calibri" w:cs="Calibri" w:eastAsia="Calibri" w:hAnsi="Calibri"/>
          <w:sz w:val="21"/>
          <w:szCs w:val="21"/>
        </w:rPr>
        <w:t xml:space="preserve">. Un órgano de control agradece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w:t>
            </w:r>
            <w:r>
              <w:rPr>
                <w:rFonts w:ascii="Georgia" w:cs="Georgia" w:eastAsia="Georgia" w:hAnsi="Georgia"/>
                <w:sz w:val="20"/>
                <w:szCs w:val="20"/>
              </w:rPr>
              <w:t xml:space="preserve"> por incumplimiento de los acuerdos de nivel de servicio definidos en el pliego de prescripciones técnicas;</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[ADM-10].</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La constitución, la actualización y la verificación del depósito o del plan de continuidad equivalente, así como la entrega del material completo en los supuestos de liberación, se califican como obligaciones contractuales esenciales a los efectos del artículo 211.1.f) de la LCSP, en los términos de la cláusula [ADM-6], bloque B.</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sz w:val="21"/>
          <w:szCs w:val="21"/>
        </w:rPr>
        <w:t xml:space="preserve">todas</w:t>
      </w:r>
      <w:r>
        <w:rPr>
          <w:rFonts w:ascii="Calibri" w:cs="Calibri" w:eastAsia="Calibri" w:hAnsi="Calibri"/>
          <w:sz w:val="21"/>
          <w:szCs w:val="21"/>
        </w:rPr>
        <w:t xml:space="preserve"> las vías: </w:t>
      </w:r>
      <w:r>
        <w:rPr>
          <w:rFonts w:ascii="Calibri" w:cs="Calibri" w:eastAsia="Calibri" w:hAnsi="Calibri"/>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w:t>
      </w:r>
    </w:p>
    <w:p>
      <w:pPr>
        <w:pStyle w:val="ListParagraph"/>
        <w:numPr>
          <w:ilvl w:val="0"/>
          <w:numId w:val="1"/>
        </w:numPr>
        <w:spacing w:after="70" w:line="268"/>
      </w:pPr>
      <w:r>
        <w:rPr>
          <w:rFonts w:ascii="Calibri" w:cs="Calibri" w:eastAsia="Calibri" w:hAnsi="Calibri"/>
          <w:b/>
          <w:bCs/>
          <w:sz w:val="21"/>
          <w:szCs w:val="21"/>
        </w:rPr>
        <w:t xml:space="preserve">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los términos del apartado 9 y por remisión a ADM-6·v3, bloque B.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ADM-12·v3 — Acceso de los órganos de control interno a los datos de ejecución</w:t>
      </w:r>
    </w:p>
    <w:p>
      <w:pPr>
        <w:spacing w:after="140" w:line="276"/>
      </w:pPr>
      <w:r>
        <w:rPr>
          <w:rFonts w:ascii="Calibri" w:cs="Calibri" w:eastAsia="Calibri" w:hAnsi="Calibri"/>
          <w:sz w:val="21"/>
          <w:szCs w:val="21"/>
        </w:rPr>
        <w:t xml:space="preserve">Es la cláusula que nace de la </w:t>
      </w:r>
      <w:r>
        <w:rPr>
          <w:rFonts w:ascii="Calibri" w:cs="Calibri" w:eastAsia="Calibri" w:hAnsi="Calibri"/>
          <w:sz w:val="21"/>
          <w:szCs w:val="21"/>
        </w:rPr>
        <w:t xml:space="preserve">única necesidad declarada por escrito por un órgano municipal</w:t>
      </w:r>
      <w:r>
        <w:rPr>
          <w:rFonts w:ascii="Calibri" w:cs="Calibri" w:eastAsia="Calibri" w:hAnsi="Calibri"/>
          <w:sz w:val="21"/>
          <w:szCs w:val="21"/>
        </w:rPr>
        <w:t xml:space="preserve"> en todo el expediente. Por eso tiene que estar impecable, y por eso se reancla.</w:t>
      </w:r>
    </w:p>
    <w:p>
      <w:pPr>
        <w:spacing w:after="140" w:line="276"/>
      </w:pPr>
      <w:r>
        <w:rPr>
          <w:rFonts w:ascii="Calibri" w:cs="Calibri" w:eastAsia="Calibri" w:hAnsi="Calibri"/>
          <w:sz w:val="21"/>
          <w:szCs w:val="21"/>
        </w:rPr>
        <w:t xml:space="preserve">Lo que se corrige respecto del planteamiento anterior.</w:t>
      </w:r>
      <w:r>
        <w:rPr>
          <w:rFonts w:ascii="Calibri" w:cs="Calibri" w:eastAsia="Calibri" w:hAnsi="Calibri"/>
          <w:sz w:val="21"/>
          <w:szCs w:val="21"/>
        </w:rPr>
        <w:t xml:space="preserve"> El art. 33.4.d) del RD 424/2017 faculta al órgano interventor para «solicitar de los terceros relacionados con el servicio, órgano, organismo o entidad </w:t>
      </w:r>
      <w:r>
        <w:rPr>
          <w:rFonts w:ascii="Calibri" w:cs="Calibri" w:eastAsia="Calibri" w:hAnsi="Calibri"/>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w:t>
      </w:r>
      <w:r>
        <w:rPr>
          <w:rFonts w:ascii="Calibri" w:cs="Calibri" w:eastAsia="Calibri" w:hAnsi="Calibri"/>
          <w:sz w:val="21"/>
          <w:szCs w:val="21"/>
        </w:rPr>
        <w:t xml:space="preserve">se conserva</w:t>
      </w:r>
      <w:r>
        <w:rPr>
          <w:rFonts w:ascii="Calibri" w:cs="Calibri" w:eastAsia="Calibri" w:hAnsi="Calibri"/>
          <w:sz w:val="21"/>
          <w:szCs w:val="21"/>
        </w:rPr>
        <w:t xml:space="preserve">,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de carácter esencial, artículos 202.1 y 202.3 de la LCSP)</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hasta la certificación municipal de la reversión completa.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del artículo 202.1 de la LCSP, está vinculada al objeto del contrato en el sentido del artículo 145 de la LCSP —por referirse a la ejecución y a la fase de explotación de su ciclo de vida— y tiene el carácter de obligación contractual esencial a los efectos del artículo 211.1.f) de la LCSP, en los términos de la cláusula [ADM-6], bloque B.</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la declaró por escrito el propio órgano municipal competente en materia de contratación, en su comentario de 18 de junio de 2026 al clausulado de la versión 2.0. </w:t>
      </w:r>
      <w:r>
        <w:rPr>
          <w:rFonts w:ascii="Calibri" w:cs="Calibri" w:eastAsia="Calibri" w:hAnsi="Calibri"/>
          <w:sz w:val="21"/>
          <w:szCs w:val="21"/>
        </w:rPr>
        <w:t xml:space="preserve">Ese comentario no es un informe</w:t>
      </w:r>
      <w:r>
        <w:rPr>
          <w:rFonts w:ascii="Calibri" w:cs="Calibri" w:eastAsia="Calibri" w:hAnsi="Calibri"/>
          <w:sz w:val="21"/>
          <w:szCs w:val="21"/>
        </w:rPr>
        <w:t xml:space="preserve">: es un comentario incorporado al final de un documento de trabajo. Se cita como lo que es, y </w:t>
      </w:r>
      <w:r>
        <w:rPr>
          <w:rFonts w:ascii="Calibri" w:cs="Calibri" w:eastAsia="Calibri" w:hAnsi="Calibri"/>
          <w:sz w:val="21"/>
          <w:szCs w:val="21"/>
        </w:rPr>
        <w:t xml:space="preserve">entero</w:t>
      </w:r>
      <w:r>
        <w:rPr>
          <w:rFonts w:ascii="Calibri" w:cs="Calibri" w:eastAsia="Calibri" w:hAnsi="Calibri"/>
          <w:sz w:val="21"/>
          <w:szCs w:val="21"/>
        </w:rPr>
        <w:t xml:space="preserve">, incluida la parte que juega en contra: «Siendo este seguimiento parte de las obligaciones de control de la Intervención no podemos pedir que se implementen estos instrumentos; lo que sí entraría dentro de nuestro ámbito sería la explotación de los datos al mismo rango que el gestor, al objeto de cumplir con nuestras obligaciones legales». Antes de aprobar el catálogo debe recabarse un </w:t>
      </w:r>
      <w:r>
        <w:rPr>
          <w:rFonts w:ascii="Calibri" w:cs="Calibri" w:eastAsia="Calibri" w:hAnsi="Calibri"/>
          <w:sz w:val="21"/>
          <w:szCs w:val="21"/>
        </w:rPr>
        <w:t xml:space="preserve">informe firmado y fechado</w:t>
      </w:r>
      <w:r>
        <w:rPr>
          <w:rFonts w:ascii="Calibri" w:cs="Calibri" w:eastAsia="Calibri" w:hAnsi="Calibri"/>
          <w:sz w:val="21"/>
          <w:szCs w:val="21"/>
        </w:rPr>
        <w:t xml:space="preserve"> que sustituya a ese comentario; mientras no exista, la memoria no puede referirse a él como informe.</w:t>
      </w:r>
    </w:p>
    <w:p>
      <w:pPr>
        <w:spacing w:after="140" w:line="276"/>
      </w:pPr>
      <w:r>
        <w:rPr>
          <w:rFonts w:ascii="Calibri" w:cs="Calibri" w:eastAsia="Calibri" w:hAnsi="Calibri"/>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ADM-13·v3 — Uso de herramientas de inteligencia artificial sobre información municipal</w:t>
      </w:r>
    </w:p>
    <w:p>
      <w:pPr>
        <w:spacing w:after="140" w:line="276"/>
      </w:pPr>
      <w:r>
        <w:rPr>
          <w:rFonts w:ascii="Calibri" w:cs="Calibri" w:eastAsia="Calibri" w:hAnsi="Calibri"/>
          <w:sz w:val="21"/>
          <w:szCs w:val="21"/>
        </w:rPr>
        <w:t xml:space="preserve">Responde a una cuestión que hoy no está resuelta y que llegó por la vía de los hechos: si compromete la seguridad del texto de un contrato procesarlo en una cuenta de inteligencia artificial que no es licencia del Ayuntamiento.</w:t>
      </w:r>
    </w:p>
    <w:p>
      <w:pPr>
        <w:spacing w:after="140" w:line="276"/>
      </w:pPr>
      <w:r>
        <w:rPr>
          <w:rFonts w:ascii="Calibri" w:cs="Calibri" w:eastAsia="Calibri" w:hAnsi="Calibri"/>
          <w:sz w:val="21"/>
          <w:szCs w:val="21"/>
        </w:rPr>
        <w:t xml:space="preserve">El reproche que hay que desactivar, porque es certero:</w:t>
      </w:r>
      <w:r>
        <w:rPr>
          <w:rFonts w:ascii="Calibri" w:cs="Calibri" w:eastAsia="Calibri" w:hAnsi="Calibri"/>
          <w:sz w:val="21"/>
          <w:szCs w:val="21"/>
        </w:rPr>
        <w:t xml:space="preserve"> tal como estaba esbozada, la cláusula era inaplicable. Cualquier desarrollador que use un entorno de desarrollo con asistente la incumpliría, y una obligación esencial inaplicable no protege: es una trampa que un tribunal ve y que desactiva el resto del pliego por contagio. La solución es </w:t>
      </w:r>
      <w:r>
        <w:rPr>
          <w:rFonts w:ascii="Calibri" w:cs="Calibri" w:eastAsia="Calibri" w:hAnsi="Calibri"/>
          <w:sz w:val="21"/>
          <w:szCs w:val="21"/>
        </w:rPr>
        <w:t xml:space="preserve">separar el tratamiento de información municipal del uso de herramientas internas del contratista</w:t>
      </w:r>
      <w:r>
        <w:rPr>
          <w:rFonts w:ascii="Calibri" w:cs="Calibri" w:eastAsia="Calibri" w:hAnsi="Calibri"/>
          <w:sz w:val="21"/>
          <w:szCs w:val="21"/>
        </w:rPr>
        <w:t xml:space="preserve">, y graduar la consecuencia.</w:t>
      </w:r>
    </w:p>
    <w:p>
      <w:pPr>
        <w:spacing w:after="140" w:line="276"/>
      </w:pPr>
      <w:r>
        <w:rPr>
          <w:rFonts w:ascii="Calibri" w:cs="Calibri" w:eastAsia="Calibri" w:hAnsi="Calibri"/>
          <w:sz w:val="21"/>
          <w:szCs w:val="21"/>
        </w:rPr>
        <w:t xml:space="preserve">Se establecen tres niveles. </w:t>
      </w:r>
      <w:r>
        <w:rPr>
          <w:rFonts w:ascii="Calibri" w:cs="Calibri" w:eastAsia="Calibri" w:hAnsi="Calibri"/>
          <w:sz w:val="21"/>
          <w:szCs w:val="21"/>
        </w:rPr>
        <w:t xml:space="preserve">Sólo el primero es obligación esencial.</w:t>
      </w:r>
      <w:r>
        <w:rPr>
          <w:rFonts w:ascii="Calibri" w:cs="Calibri" w:eastAsia="Calibri" w:hAnsi="Calibri"/>
          <w:sz w:val="21"/>
          <w:szCs w:val="21"/>
        </w:rPr>
        <w:t xml:space="preserve"> El tercero queda expresamente fuera del ámbito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Anexo [XI.E]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y cláusula de confidencialidad y protección de datos, por la remisión del apartado 2 al art. 28 RGPD. El modelo de declaración del apartado 4 va al Anexo VI. La política interna del apartado 7 </w:t>
      </w:r>
      <w:r>
        <w:rPr>
          <w:rFonts w:ascii="Calibri" w:cs="Calibri" w:eastAsia="Calibri" w:hAnsi="Calibri"/>
          <w:sz w:val="21"/>
          <w:szCs w:val="21"/>
        </w:rPr>
        <w:t xml:space="preserve">no es cláusula del pliego</w:t>
      </w:r>
      <w:r>
        <w:rPr>
          <w:rFonts w:ascii="Calibri" w:cs="Calibri" w:eastAsia="Calibri" w:hAnsi="Calibri"/>
          <w:sz w:val="21"/>
          <w:szCs w:val="21"/>
        </w:rPr>
        <w:t xml:space="preserve">: es un acto propio del Ayuntamiento que se aprueba por resolución y se anexa.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XIV.A.</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sz w:val="21"/>
          <w:szCs w:val="21"/>
        </w:rPr>
        <w:t xml:space="preserve">No consta</w:t>
      </w:r>
      <w:r>
        <w:rPr>
          <w:rFonts w:ascii="Calibri" w:cs="Calibri" w:eastAsia="Calibri" w:hAnsi="Calibri"/>
          <w:sz w:val="21"/>
          <w:szCs w:val="21"/>
        </w:rPr>
        <w:t xml:space="preserve">, a fecha de corte de 1 de septiembre de 2026 y tras búsqueda en los repositorios citados,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sz w:val="21"/>
          <w:szCs w:val="21"/>
        </w:rPr>
        <w:t xml:space="preserve">Si esta cláusula se marca NO APLICA, arrastra:</w:t>
      </w:r>
      <w:r>
        <w:rPr>
          <w:rFonts w:ascii="Calibri" w:cs="Calibri" w:eastAsia="Calibri" w:hAnsi="Calibri"/>
          <w:sz w:val="21"/>
          <w:szCs w:val="21"/>
        </w:rPr>
        <w:t xml:space="preserve"> el apartado correspondiente del Anexo VI, dos filas del cuadro de penalidades de ADM-5·v3 y un guion del bloque B de ADM-6·v3. El compromiso recíproco del apartado 7 </w:t>
      </w:r>
      <w:r>
        <w:rPr>
          <w:rFonts w:ascii="Calibri" w:cs="Calibri" w:eastAsia="Calibri" w:hAnsi="Calibri"/>
          <w:sz w:val="21"/>
          <w:szCs w:val="21"/>
        </w:rPr>
        <w:t xml:space="preserve">no decae</w:t>
      </w:r>
      <w:r>
        <w:rPr>
          <w:rFonts w:ascii="Calibri" w:cs="Calibri" w:eastAsia="Calibri" w:hAnsi="Calibri"/>
          <w:sz w:val="21"/>
          <w:szCs w:val="21"/>
        </w:rPr>
        <w:t xml:space="preserve">: es un acto propio del Ayuntamiento, independiente de cada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Cláusula ADM-14·v3 — Modificación prevista como red de seguridad</w:t>
      </w:r>
    </w:p>
    <w:p>
      <w:pPr>
        <w:spacing w:after="140" w:line="276"/>
      </w:pPr>
      <w:r>
        <w:rPr>
          <w:rFonts w:ascii="Calibri" w:cs="Calibri" w:eastAsia="Calibri" w:hAnsi="Calibri"/>
          <w:sz w:val="21"/>
          <w:szCs w:val="21"/>
        </w:rPr>
        <w:t xml:space="preserve">Cláusula opcional. Por defecto, NO se incorpora.</w:t>
      </w:r>
      <w:r>
        <w:rPr>
          <w:rFonts w:ascii="Calibri" w:cs="Calibri" w:eastAsia="Calibri" w:hAnsi="Calibri"/>
          <w:sz w:val="21"/>
          <w:szCs w:val="21"/>
        </w:rPr>
        <w:t xml:space="preserve"> 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sz w:val="21"/>
          <w:szCs w:val="21"/>
        </w:rPr>
        <w:t xml:space="preserve">se computa en el valor estimado</w:t>
      </w:r>
      <w:r>
        <w:rPr>
          <w:rFonts w:ascii="Calibri" w:cs="Calibri" w:eastAsia="Calibri" w:hAnsi="Calibri"/>
          <w:sz w:val="21"/>
          <w:szCs w:val="21"/>
        </w:rPr>
        <w:t xml:space="preserve"> (art. 101.2.c LCSP). Tres umbrales dependen de él:</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en el caso de Pozuelo de Alarcón y de cualquier entidad local de la Comunidad de Madrid,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w:t>
      </w:r>
      <w:r>
        <w:rPr>
          <w:rFonts w:ascii="Calibri" w:cs="Calibri" w:eastAsia="Calibri" w:hAnsi="Calibri"/>
          <w:sz w:val="21"/>
          <w:szCs w:val="21"/>
        </w:rPr>
        <w:t xml:space="preserve">sí tiene norma</w:t>
      </w:r>
      <w:r>
        <w:rPr>
          <w:rFonts w:ascii="Calibri" w:cs="Calibri" w:eastAsia="Calibri" w:hAnsi="Calibri"/>
          <w:sz w:val="21"/>
          <w:szCs w:val="21"/>
        </w:rPr>
        <w:t xml:space="preserve">: el art. 308.3 LCSP permite que, en los contratos de servicios que impliquen el desarrollo o mantenimiento de aplicaciones informáticas, el objeto se defina por componentes de prestación con precio por unidades de actividad, «sin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 Dos cautelas que acompañan siempre a esa alternativa: la bolsa </w:t>
      </w:r>
      <w:r>
        <w:rPr>
          <w:rFonts w:ascii="Calibri" w:cs="Calibri" w:eastAsia="Calibri" w:hAnsi="Calibri"/>
          <w:sz w:val="21"/>
          <w:szCs w:val="21"/>
        </w:rPr>
        <w:t xml:space="preserve">sí computa en el valor estimado</w:t>
      </w:r>
      <w:r>
        <w:rPr>
          <w:rFonts w:ascii="Calibri" w:cs="Calibri" w:eastAsia="Calibri" w:hAnsi="Calibri"/>
          <w:sz w:val="21"/>
          <w:szCs w:val="21"/>
        </w:rPr>
        <w:t xml:space="preserve"> (art. 101 LCSP), y nunca se redacta como horas «dirigidas por el Ayuntamiento» —sería la fórmula literal del riesgo del art. 308.2 LCSP—, sino como </w:t>
      </w:r>
      <w:r>
        <w:rPr>
          <w:rFonts w:ascii="Calibri" w:cs="Calibri" w:eastAsia="Calibri" w:hAnsi="Calibri"/>
          <w:sz w:val="21"/>
          <w:szCs w:val="21"/>
        </w:rPr>
        <w:t xml:space="preserve">peticiones de servicio del responsable del contrato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[X]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que la acepta expresamente por el hecho de presentar su oferta.</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 206 LCSP, que declara obligatorias para el contratista únicamente las modificaciones del art. 205, de donde deriva la necesidad del apartado 7.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sz w:val="21"/>
          <w:szCs w:val="21"/>
        </w:rPr>
        <w:t xml:space="preserve">No consta</w:t>
      </w:r>
      <w:r>
        <w:rPr>
          <w:rFonts w:ascii="Calibri" w:cs="Calibri" w:eastAsia="Calibri" w:hAnsi="Calibri"/>
          <w:sz w:val="21"/>
          <w:szCs w:val="21"/>
        </w:rPr>
        <w:t xml:space="preserve">, a fecha de corte de 1 de septiembre de 2026,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tres umbrales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tres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 y, si no se emplea para otra finalidad, el Anexo X.</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19-24 h por expediente con 5 licitadores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Regla de verificabilidad municipal.</w:t>
      </w:r>
      <w:r>
        <w:rPr>
          <w:rFonts w:ascii="Calibri" w:cs="Calibri" w:eastAsia="Calibri" w:hAnsi="Calibri"/>
          <w:sz w:val="21"/>
          <w:szCs w:val="21"/>
        </w:rPr>
        <w:t xml:space="preserve"> Ninguna de estas cláusulas se incorpora a un pliego sin que la ficha del Anexo II identifique al actor municipal que la verificará y la periodicidad con que lo hará. Crear obligaciones esenciales que después nadie comprueba es peor que no crearlas: lo hará constar el órgano interventor, y lo alegará el contratista el día que se le quiera resolver el contrato por un incumplimiento que el Ayuntamiento nunca vigiló.</w:t>
      </w:r>
    </w:p>
    <w:p>
      <w:pPr>
        <w:spacing w:after="140" w:line="276"/>
      </w:pPr>
      <w:r>
        <w:rPr>
          <w:rFonts w:ascii="Calibri" w:cs="Calibri" w:eastAsia="Calibri" w:hAnsi="Calibri"/>
          <w:sz w:val="21"/>
          <w:szCs w:val="21"/>
        </w:rPr>
        <w:t xml:space="preserve">Lo que no se promete.</w:t>
      </w:r>
      <w:r>
        <w:rPr>
          <w:rFonts w:ascii="Calibri" w:cs="Calibri" w:eastAsia="Calibri" w:hAnsi="Calibri"/>
          <w:sz w:val="21"/>
          <w:szCs w:val="21"/>
        </w:rPr>
        <w:t xml:space="preserve"> Ninguna de estas ocho cláusulas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a las demás.</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pliegos anulados.</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de ochenta páginas, catorce anexos y una memoria general no ocupa el lugar de un párrafo escrito en la memoria del expediente concreto.</w:t>
      </w:r>
    </w:p>
    <w:p>
      <w:pPr>
        <w:spacing w:after="140" w:line="276"/>
      </w:pPr>
      <w:r>
        <w:rPr>
          <w:rFonts w:ascii="Calibri" w:cs="Calibri" w:eastAsia="Calibri" w:hAnsi="Calibri"/>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sz w:val="21"/>
          <w:szCs w:val="21"/>
        </w:rPr>
        <w:t xml:space="preserve">cada exigencia tenga necesidad identificada, instrumento correcto, medio de acreditación tasado, forma de verificación con actor y periodicidad, y consecuencia tipificada; y que la caída de una pieza no arrastre las demás</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El problema real, dicho sin rodeos</w:t>
      </w:r>
    </w:p>
    <w:p>
      <w:pPr>
        <w:spacing w:after="140" w:line="276"/>
      </w:pPr>
      <w:r>
        <w:rPr>
          <w:rFonts w:ascii="Calibri" w:cs="Calibri" w:eastAsia="Calibri" w:hAnsi="Calibri"/>
          <w:sz w:val="21"/>
          <w:szCs w:val="21"/>
        </w:rPr>
        <w:t xml:space="preserve">La objeción más seria que ha recibido este catálogo no viene de un licitador. Viene de dentro. En el comentario que el área de contratación municipal incorporó al final del clausulado de junio de 2026 se escribió:</w:t>
      </w:r>
    </w:p>
    <w:p>
      <w:pPr>
        <w:pBdr>
          <w:left w:val="single" w:color="BFBFBF" w:sz="12" w:space="8"/>
        </w:pBdr>
        <w:spacing w:after="140" w:line="264"/>
        <w:ind w:left="400"/>
      </w:pPr>
      <w:r>
        <w:rPr>
          <w:rFonts w:ascii="Georgia" w:cs="Georgia" w:eastAsia="Georgia" w:hAnsi="Georgia"/>
          <w:i/>
          <w:iCs/>
          <w:color w:val="595959"/>
          <w:sz w:val="20"/>
          <w:szCs w:val="20"/>
        </w:rPr>
        <w:t xml:space="preserve">«La mayor de las pegas que veo para poder aplicar estas cláusulas es que nacen a partir de unas necesidades que no se demandan por ninguno de los gestores y si no es así no dejan de ser algo artificioso al contrato. Primero siempre surge la necesidad y las cláusulas del contrato es la forma de obligar al contratista para que satisfaga esa necesidad.»</w:t>
      </w:r>
    </w:p>
    <w:p>
      <w:pPr>
        <w:spacing w:after="140" w:line="276"/>
      </w:pPr>
      <w:r>
        <w:rPr>
          <w:rFonts w:ascii="Calibri" w:cs="Calibri" w:eastAsia="Calibri" w:hAnsi="Calibri"/>
          <w:sz w:val="21"/>
          <w:szCs w:val="21"/>
        </w:rPr>
        <w:t xml:space="preserve">Esa objeción no es de oportunidad: es, traducida al lenguaje de la ley, una objeción de art. 116.4.e) LCSP, que exige que la relación entre la necesidad y el objeto del contrato sea </w:t>
      </w:r>
      <w:r>
        <w:rPr>
          <w:rFonts w:ascii="Calibri" w:cs="Calibri" w:eastAsia="Calibri" w:hAnsi="Calibri"/>
          <w:sz w:val="21"/>
          <w:szCs w:val="21"/>
        </w:rPr>
        <w:t xml:space="preserve">«directa, clara y proporcional»</w:t>
      </w:r>
      <w:r>
        <w:rPr>
          <w:rFonts w:ascii="Calibri" w:cs="Calibri" w:eastAsia="Calibri" w:hAnsi="Calibri"/>
          <w:sz w:val="21"/>
          <w:szCs w:val="21"/>
        </w:rPr>
        <w:t xml:space="preserve">. Es también, exactamente, el motivo por el que un recurrente pediría la anulación de un pliego. Por eso se responde aquí, y se responde con instrumentos, no con retórica.</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sz w:val="21"/>
          <w:szCs w:val="21"/>
        </w:rPr>
        <w:t xml:space="preserve">(b) Necesidad funcional declarada por el gestor.</w:t>
      </w:r>
      <w:r>
        <w:rPr>
          <w:rFonts w:ascii="Calibri" w:cs="Calibri" w:eastAsia="Calibri" w:hAnsi="Calibri"/>
          <w:sz w:val="21"/>
          <w:szCs w:val="21"/>
        </w:rPr>
        <w:t xml:space="preserve"> Es el caso ordinario y el que el comentario de contratación describe bien. La firma la cabeza del servicio gestor en la Ficha de Aplicabilidad.</w:t>
      </w:r>
    </w:p>
    <w:p>
      <w:pPr>
        <w:spacing w:after="140" w:line="276"/>
      </w:pPr>
      <w:r>
        <w:rPr>
          <w:rFonts w:ascii="Calibri" w:cs="Calibri" w:eastAsia="Calibri" w:hAnsi="Calibri"/>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 sistema de contabilidad exponga una interfaz de acceso programático para agentes de IA. Y el gestor de contabilidad no lo va a pedir. Si esa necesidad no está en la norma ni en el gestor, </w:t>
      </w:r>
      <w:r>
        <w:rPr>
          <w:rFonts w:ascii="Calibri" w:cs="Calibri" w:eastAsia="Calibri" w:hAnsi="Calibri"/>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Pozuelo de Alarcón, la Junta de Gobierno Local, por su régimen de municipio de gran población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Anexo XI.A.</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El comentario del área de contratación de 18 de junio de 2026: qué es y cómo se cita</w:t>
      </w:r>
    </w:p>
    <w:p>
      <w:pPr>
        <w:spacing w:after="140" w:line="276"/>
      </w:pPr>
      <w:r>
        <w:rPr>
          <w:rFonts w:ascii="Calibri" w:cs="Calibri" w:eastAsia="Calibri" w:hAnsi="Calibri"/>
          <w:sz w:val="21"/>
          <w:szCs w:val="21"/>
        </w:rPr>
        <w:t xml:space="preserve">No es un informe.</w:t>
      </w:r>
      <w:r>
        <w:rPr>
          <w:rFonts w:ascii="Calibri" w:cs="Calibri" w:eastAsia="Calibri" w:hAnsi="Calibri"/>
          <w:sz w:val="21"/>
          <w:szCs w:val="21"/>
        </w:rPr>
        <w:t xml:space="preserve"> Es un comentario incorporado al final de un documento de trabajo. Este catálogo no puede citarlo como «informe de la Intervención» ni como «informe del área de contratación», ni atribuirlo a dos órganos distintos en dos apartados distintos. Se cita como lo que es, con su naturaleza expresada, y </w:t>
      </w:r>
      <w:r>
        <w:rPr>
          <w:rFonts w:ascii="Calibri" w:cs="Calibri" w:eastAsia="Calibri" w:hAnsi="Calibri"/>
          <w:sz w:val="21"/>
          <w:szCs w:val="21"/>
        </w:rPr>
        <w:t xml:space="preserve">entero</w:t>
      </w:r>
      <w:r>
        <w:rPr>
          <w:rFonts w:ascii="Calibri" w:cs="Calibri" w:eastAsia="Calibri" w:hAnsi="Calibri"/>
          <w:sz w:val="21"/>
          <w:szCs w:val="21"/>
        </w:rPr>
        <w:t xml:space="preserve">, incluida la parte que juega en contra:</w:t>
      </w:r>
    </w:p>
    <w:p>
      <w:pPr>
        <w:pBdr>
          <w:left w:val="single" w:color="BFBFBF" w:sz="12" w:space="8"/>
        </w:pBdr>
        <w:spacing w:after="140" w:line="264"/>
        <w:ind w:left="400"/>
      </w:pPr>
      <w:r>
        <w:rPr>
          <w:rFonts w:ascii="Georgia" w:cs="Georgia" w:eastAsia="Georgia" w:hAnsi="Georgia"/>
          <w:i/>
          <w:iCs/>
          <w:color w:val="595959"/>
          <w:sz w:val="20"/>
          <w:szCs w:val="20"/>
        </w:rPr>
        <w:t xml:space="preserve">«Son pocos los contratos en los que se haga un seguimiento real y este se basa exclusivamente en el control del gasto, ni eficiencia, ni eficacia. Siendo este seguimiento parte de las obligaciones de control de la Intervención </w:t>
      </w:r>
      <w:r>
        <w:rPr>
          <w:rFonts w:ascii="Georgia" w:cs="Georgia" w:eastAsia="Georgia" w:hAnsi="Georgia"/>
          <w:b/>
          <w:bCs/>
          <w:i/>
          <w:iCs/>
          <w:color w:val="595959"/>
          <w:sz w:val="20"/>
          <w:szCs w:val="20"/>
        </w:rPr>
        <w:t xml:space="preserve">no podemos pedir que se implementen estos instrumentos</w:t>
      </w:r>
      <w:r>
        <w:rPr>
          <w:rFonts w:ascii="Georgia" w:cs="Georgia" w:eastAsia="Georgia" w:hAnsi="Georgia"/>
          <w:i/>
          <w:iCs/>
          <w:color w:val="595959"/>
          <w:sz w:val="20"/>
          <w:szCs w:val="20"/>
        </w:rPr>
        <w:t xml:space="preserve">; lo que sí entraría dentro de nuestro ámbito sería la explotación de los datos al mismo rango que el gestor, al objeto de cumplir con nuestras obligaciones legales.»</w:t>
      </w:r>
    </w:p>
    <w:p>
      <w:pPr>
        <w:spacing w:after="140" w:line="276"/>
      </w:pPr>
      <w:r>
        <w:rPr>
          <w:rFonts w:ascii="Calibri" w:cs="Calibri" w:eastAsia="Calibri" w:hAnsi="Calibri"/>
          <w:sz w:val="21"/>
          <w:szCs w:val="21"/>
        </w:rPr>
        <w:t xml:space="preserve">Leído entero dice dos cosas, y las dos se han incorporado: que hay una necesidad real de explotación de datos por el órgano de control (de ahí ADM-12·v3) y que el propio comentarista duda de que corresponda al Ayuntamiento imponer al contratista los instrumentos de seguimiento (de ahí la regla de verificabilidad municipal del §M4.4 y la degradación de ADM-10·v3, que deja de ser fuente autónoma de obligaciones esenciales).</w:t>
      </w:r>
    </w:p>
    <w:p>
      <w:pPr>
        <w:spacing w:after="140" w:line="276"/>
      </w:pPr>
      <w:r>
        <w:rPr>
          <w:rFonts w:ascii="Calibri" w:cs="Calibri" w:eastAsia="Calibri" w:hAnsi="Calibri"/>
          <w:sz w:val="21"/>
          <w:szCs w:val="21"/>
        </w:rPr>
        <w:t xml:space="preserve">Recomendación vinculante para el expediente de aprobación:</w:t>
      </w:r>
      <w:r>
        <w:rPr>
          <w:rFonts w:ascii="Calibri" w:cs="Calibri" w:eastAsia="Calibri" w:hAnsi="Calibri"/>
          <w:sz w:val="21"/>
          <w:szCs w:val="21"/>
        </w:rPr>
        <w:t xml:space="preserve"> antes de publicar este catálogo, solicítese al área de contratación y a la Intervención un </w:t>
      </w:r>
      <w:r>
        <w:rPr>
          <w:rFonts w:ascii="Calibri" w:cs="Calibri" w:eastAsia="Calibri" w:hAnsi="Calibri"/>
          <w:sz w:val="21"/>
          <w:szCs w:val="21"/>
        </w:rPr>
        <w:t xml:space="preserve">informe firmado y fechado</w:t>
      </w:r>
      <w:r>
        <w:rPr>
          <w:rFonts w:ascii="Calibri" w:cs="Calibri" w:eastAsia="Calibri" w:hAnsi="Calibri"/>
          <w:sz w:val="21"/>
          <w:szCs w:val="21"/>
        </w:rPr>
        <w:t xml:space="preserve">, y sustitúyase en esta memoria la cita del comentario por la cita del informe. Mientras no exista, la necesidad declarada por el órgano de control se apoya en un comentario de trabajo, y así debe constar.</w:t>
      </w:r>
    </w:p>
    <w:p>
      <w:pPr>
        <w:pStyle w:val="Heading3"/>
        <w:keepNext/>
        <w:spacing w:after="140" w:before="320"/>
      </w:pPr>
      <w:r>
        <w:rPr>
          <w:rFonts w:ascii="Georgia" w:cs="Georgia" w:eastAsia="Georgia" w:hAnsi="Georgia"/>
          <w:b/>
          <w:bCs/>
          <w:color w:val="2F5496"/>
          <w:sz w:val="22"/>
          <w:szCs w:val="22"/>
        </w:rPr>
        <w:t xml:space="preserve">M1.6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XIV.A);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val="false"/>
                <w:bCs w:val="false"/>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CNMC G-2023-01 sobre captura tecnológica)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val="false"/>
                <w:bCs w:val="false"/>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val="false"/>
                <w:bCs w:val="false"/>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val="false"/>
                <w:bCs w:val="false"/>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val="false"/>
                <w:bCs w:val="false"/>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identificados en el Anexo V (art. 116.4.e). No se puntúa la tenencia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val="false"/>
                <w:bCs w:val="false"/>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val="false"/>
                <w:bCs w:val="false"/>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 Las peticiones se cursan como </w:t>
            </w:r>
            <w:r>
              <w:rPr>
                <w:rFonts w:ascii="Calibri" w:cs="Calibri" w:eastAsia="Calibri" w:hAnsi="Calibri"/>
                <w:b w:val="false"/>
                <w:bCs w:val="false"/>
                <w:sz w:val="18"/>
                <w:szCs w:val="18"/>
              </w:rPr>
              <w:t xml:space="preserve">peticiones de servicio del responsable del contrato</w:t>
            </w:r>
            <w:r>
              <w:rPr>
                <w:rFonts w:ascii="Calibri" w:cs="Calibri" w:eastAsia="Calibri" w:hAnsi="Calibri"/>
                <w:b w:val="false"/>
                <w:bCs w:val="false"/>
                <w:sz w:val="18"/>
                <w:szCs w:val="18"/>
              </w:rPr>
              <w:t xml:space="preserve">, nunca como dirección de personal.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val="false"/>
                <w:bCs w:val="false"/>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val="false"/>
                <w:bCs w:val="false"/>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val="false"/>
                <w:bCs w:val="false"/>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Trámite de valoración de criterios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val="false"/>
                <w:bCs w:val="false"/>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rúbrica publicada; momento procedimental imperativo; </w:t>
            </w:r>
            <w:r>
              <w:rPr>
                <w:rFonts w:ascii="Calibri" w:cs="Calibri" w:eastAsia="Calibri" w:hAnsi="Calibri"/>
                <w:b w:val="false"/>
                <w:bCs w:val="false"/>
                <w:sz w:val="18"/>
                <w:szCs w:val="18"/>
              </w:rPr>
              <w:t xml:space="preserve">verifica lo ya declarado por escrito en la oferta y nada más</w:t>
            </w:r>
            <w:r>
              <w:rPr>
                <w:rFonts w:ascii="Calibri" w:cs="Calibri" w:eastAsia="Calibri" w:hAnsi="Calibri"/>
                <w:b w:val="false"/>
                <w:bCs w:val="false"/>
                <w:sz w:val="18"/>
                <w:szCs w:val="18"/>
              </w:rPr>
              <w:t xml:space="preserve">;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r>
              <w:rPr>
                <w:rFonts w:ascii="Calibri" w:cs="Calibri" w:eastAsia="Calibri" w:hAnsi="Calibri"/>
                <w:b w:val="false"/>
                <w:bCs w:val="false"/>
                <w:sz w:val="18"/>
                <w:szCs w:val="18"/>
              </w:rPr>
              <w:t xml:space="preserve"> Plan de Evolución Tecnológica y compromisos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val="false"/>
                <w:bCs w:val="false"/>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val="false"/>
                <w:bCs w:val="false"/>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val="false"/>
                <w:bCs w:val="false"/>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val="false"/>
                <w:bCs w:val="false"/>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val="false"/>
                <w:bCs w:val="false"/>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val="false"/>
                <w:bCs w:val="false"/>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sz w:val="21"/>
          <w:szCs w:val="21"/>
        </w:rPr>
        <w:t xml:space="preserve">(c) Documento de apoyo.</w:t>
      </w:r>
      <w:r>
        <w:rPr>
          <w:rFonts w:ascii="Calibri" w:cs="Calibri" w:eastAsia="Calibri" w:hAnsi="Calibri"/>
          <w:sz w:val="21"/>
          <w:szCs w:val="21"/>
        </w:rPr>
        <w:t xml:space="preserve"> La Guía de la CNMC sobre planificación y diseño de las licitaciones públicas (ref. G-2023-01, publicada en 2025) incluye orientaciones sobre cómo evitar la captura tecnológica en compras estratégicas.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área de contratación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sz w:val="21"/>
          <w:szCs w:val="21"/>
        </w:rPr>
        <w:t xml:space="preserve">Los valores que siguen son </w:t>
      </w:r>
      <w:r>
        <w:rPr>
          <w:rFonts w:ascii="Calibri" w:cs="Calibri" w:eastAsia="Calibri" w:hAnsi="Calibri"/>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r>
              <w:rPr>
                <w:rFonts w:ascii="Calibri" w:cs="Calibri" w:eastAsia="Calibri" w:hAnsi="Calibri"/>
                <w:b w:val="false"/>
                <w:bCs w:val="false"/>
                <w:sz w:val="18"/>
                <w:szCs w:val="18"/>
              </w:rPr>
              <w:t xml:space="preserve"> salvo datos con conservación superior a [X; se recomienda 10]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val="false"/>
                <w:bCs w:val="false"/>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[100.000] € </w:t>
            </w:r>
            <w:r>
              <w:rPr>
                <w:rFonts w:ascii="Calibri" w:cs="Calibri" w:eastAsia="Calibri" w:hAnsi="Calibri"/>
                <w:b w:val="false"/>
                <w:bCs w:val="false"/>
                <w:sz w:val="18"/>
                <w:szCs w:val="18"/>
              </w:rPr>
              <w:t xml:space="preserve">y</w:t>
            </w:r>
            <w:r>
              <w:rPr>
                <w:rFonts w:ascii="Calibri" w:cs="Calibri" w:eastAsia="Calibri" w:hAnsi="Calibri"/>
                <w:b w:val="false"/>
                <w:bCs w:val="false"/>
                <w:sz w:val="18"/>
                <w:szCs w:val="18"/>
              </w:rPr>
              <w:t xml:space="preserve"> duración ≥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val="false"/>
                <w:bCs w:val="false"/>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si VE ≥ [216.000]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ADM-3.3·v3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val="false"/>
                <w:bCs w:val="false"/>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[100.000] €; bolsa ≤ [X; se recomienda 10] % del precio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[100.000] €; [X; se recomienda 2] sesiones/año,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val="false"/>
                <w:bCs w:val="false"/>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 [X; se recomienda 40] % del total de criterios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reforzada por encima del 40 %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216.000]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[100.000] € y duración ≥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w:t>
            </w:r>
            <w:r>
              <w:rPr>
                <w:rFonts w:ascii="Calibri" w:cs="Calibri" w:eastAsia="Calibri" w:hAnsi="Calibri"/>
                <w:b w:val="false"/>
                <w:bCs w:val="false"/>
                <w:sz w:val="18"/>
                <w:szCs w:val="18"/>
              </w:rPr>
              <w:t xml:space="preserve">ALTA</w:t>
            </w:r>
            <w:r>
              <w:rPr>
                <w:rFonts w:ascii="Calibri" w:cs="Calibri" w:eastAsia="Calibri" w:hAnsi="Calibri"/>
                <w:b w:val="false"/>
                <w:bCs w:val="false"/>
                <w:sz w:val="18"/>
                <w:szCs w:val="18"/>
              </w:rPr>
              <w:t xml:space="preserve"> o servicio de la lista tasada (padrón, tributos, recaudación, contabilidad, gestión de expedientes, sede) </w:t>
            </w:r>
            <w:r>
              <w:rPr>
                <w:rFonts w:ascii="Calibri" w:cs="Calibri" w:eastAsia="Calibri" w:hAnsi="Calibri"/>
                <w:b w:val="false"/>
                <w:bCs w:val="false"/>
                <w:sz w:val="18"/>
                <w:szCs w:val="18"/>
              </w:rPr>
              <w:t xml:space="preserve">y</w:t>
            </w:r>
            <w:r>
              <w:rPr>
                <w:rFonts w:ascii="Calibri" w:cs="Calibri" w:eastAsia="Calibri" w:hAnsi="Calibri"/>
                <w:b w:val="false"/>
                <w:bCs w:val="false"/>
                <w:sz w:val="18"/>
                <w:szCs w:val="18"/>
              </w:rPr>
              <w:t xml:space="preserve"> umbral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servicio es crítico y no hay alternativa de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[500.000] € </w:t>
            </w:r>
            <w:r>
              <w:rPr>
                <w:rFonts w:ascii="Calibri" w:cs="Calibri" w:eastAsia="Calibri" w:hAnsi="Calibri"/>
                <w:b w:val="false"/>
                <w:bCs w:val="false"/>
                <w:sz w:val="18"/>
                <w:szCs w:val="18"/>
              </w:rPr>
              <w:t xml:space="preserve">o</w:t>
            </w:r>
            <w:r>
              <w:rPr>
                <w:rFonts w:ascii="Calibri" w:cs="Calibri" w:eastAsia="Calibri" w:hAnsi="Calibri"/>
                <w:b w:val="false"/>
                <w:bCs w:val="false"/>
                <w:sz w:val="18"/>
                <w:szCs w:val="18"/>
              </w:rPr>
              <w:t xml:space="preserve"> duración total &gt;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DT-0·v3 (equivalencia), DT-6·v3 en su modalidad de declaración de conformidad, la reversibilidad mínima de DT-8·v3 (entrega de datos en formato abierto) y ADM-13·v3. Nada más: no hay expediente donde motivar el resto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basado en acuerdo marco o adhesión a central de compras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val="false"/>
                <w:bCs w:val="false"/>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 de contrato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Es una regla del propio catálogo y opera como condición de incorporación: </w:t>
      </w:r>
      <w:r>
        <w:rPr>
          <w:rFonts w:ascii="Calibri" w:cs="Calibri" w:eastAsia="Calibri" w:hAnsi="Calibri"/>
          <w:sz w:val="21"/>
          <w:szCs w:val="21"/>
        </w:rPr>
        <w:t xml:space="preserve">no se incorpora a un pliego ninguna cláusula cuya verificación no tenga actor municipal designado, periodicidad y carga estimada.</w:t>
      </w:r>
      <w:r>
        <w:rPr>
          <w:rFonts w:ascii="Calibri" w:cs="Calibri" w:eastAsia="Calibri" w:hAnsi="Calibri"/>
          <w:sz w:val="21"/>
          <w:szCs w:val="21"/>
        </w:rPr>
        <w:t xml:space="preserve"> Cada cláusula de las Partes II y III consigna esos tres datos en su epígrafe «Cómo se verifica». La suma de esas cargas, para un contrato con el catálogo aplicado en su intensidad máxima, está dimensionada en el §M6.3.</w:t>
      </w:r>
    </w:p>
    <w:p>
      <w:pPr>
        <w:spacing w:after="140" w:line="276"/>
      </w:pPr>
      <w:r>
        <w:rPr>
          <w:rFonts w:ascii="Calibri" w:cs="Calibri" w:eastAsia="Calibri" w:hAnsi="Calibri"/>
          <w:sz w:val="21"/>
          <w:szCs w:val="21"/>
        </w:rPr>
        <w:t xml:space="preserve">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213.2 LCSP. </w:t>
      </w:r>
      <w:r>
        <w:rPr>
          <w:rFonts w:ascii="Calibri" w:cs="Calibri" w:eastAsia="Calibri" w:hAnsi="Calibri"/>
          <w:sz w:val="21"/>
          <w:szCs w:val="21"/>
        </w:rPr>
        <w:t xml:space="preserve">Se cita como doctrina general trasladada por analogía</w:t>
      </w:r>
      <w:r>
        <w:rPr>
          <w:rFonts w:ascii="Calibri" w:cs="Calibri" w:eastAsia="Calibri" w:hAnsi="Calibri"/>
          <w:sz w:val="21"/>
          <w:szCs w:val="21"/>
        </w:rPr>
        <w:t xml:space="preserve">: la resolución versa sobre una condición especial de ejecución de contenido laboral en un contrato de conservación de carreteras, no sobre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 este catálogo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Garantía definitiva: advertencia de redacción</w:t>
      </w:r>
    </w:p>
    <w:p>
      <w:pPr>
        <w:spacing w:after="140" w:line="276"/>
      </w:pPr>
      <w:r>
        <w:rPr>
          <w:rFonts w:ascii="Calibri" w:cs="Calibri" w:eastAsia="Calibri" w:hAnsi="Calibri"/>
          <w:sz w:val="21"/>
          <w:szCs w:val="21"/>
        </w:rPr>
        <w:t xml:space="preserve">La vinculación del plazo de garantía a la certificación de la reversión (DT-8·v3) es la palanca que convierte la reversibilidad en obligación con dinero detrás. Pero un plazo de garantía cuyo término dependa de un acto discrecional del Ayuntamiento </w:t>
      </w:r>
      <w:r>
        <w:rPr>
          <w:rFonts w:ascii="Calibri" w:cs="Calibri" w:eastAsia="Calibri" w:hAnsi="Calibri"/>
          <w:sz w:val="21"/>
          <w:szCs w:val="21"/>
        </w:rPr>
        <w:t xml:space="preserve">no es un plazo</w:t>
      </w:r>
      <w:r>
        <w:rPr>
          <w:rFonts w:ascii="Calibri" w:cs="Calibri" w:eastAsia="Calibri" w:hAnsi="Calibri"/>
          <w:sz w:val="21"/>
          <w:szCs w:val="21"/>
        </w:rPr>
        <w:t xml:space="preserve"> y puede ser impugnado. La redacción correcta fija un plazo de garantía cierto en el PCAP y configura la certificación de la reversión como requisito de la </w:t>
      </w:r>
      <w:r>
        <w:rPr>
          <w:rFonts w:ascii="Calibri" w:cs="Calibri" w:eastAsia="Calibri" w:hAnsi="Calibri"/>
          <w:sz w:val="21"/>
          <w:szCs w:val="21"/>
        </w:rPr>
        <w:t xml:space="preserve">recepción</w:t>
      </w:r>
      <w:r>
        <w:rPr>
          <w:rFonts w:ascii="Calibri" w:cs="Calibri" w:eastAsia="Calibri" w:hAnsi="Calibri"/>
          <w:sz w:val="21"/>
          <w:szCs w:val="21"/>
        </w:rPr>
        <w:t xml:space="preserve">, no como prórroga indefinida de la garantía; y respeta en todo caso el régimen del art. 111 LCSP sobre devolución. El órgano que informe jurídicamente debe verificar este punto expresamente.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val="false"/>
                <w:bCs w:val="false"/>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 [10] % del precio anual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val="false"/>
                <w:bCs w:val="false"/>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w:t>
            </w:r>
          </w:p>
        </w:tc>
      </w:tr>
    </w:tbl>
    <w:p>
      <w:pPr>
        <w:spacing w:after="200"/>
      </w:pPr>
    </w:p>
    <w:p>
      <w:pPr>
        <w:spacing w:after="140" w:line="276"/>
      </w:pPr>
      <w:r>
        <w:rPr>
          <w:rFonts w:ascii="Calibri" w:cs="Calibri" w:eastAsia="Calibri" w:hAnsi="Calibri"/>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sz w:val="21"/>
          <w:szCs w:val="21"/>
        </w:rPr>
        <w:t xml:space="preserve">si el conjunto de las exigencias de este catálogo supera el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del área de contratación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sz w:val="21"/>
          <w:szCs w:val="21"/>
        </w:rPr>
        <w:t xml:space="preserve">Por expediente, una sola vez (fase de preparación):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Actividad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estimadas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 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y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si se aplica: preparación del caso de uso + sesiones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Comité /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[1,5 h × n.º de licitadores × n.º de evaluadores]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Total de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40–60 h</w:t>
            </w:r>
            <w:r>
              <w:rPr>
                <w:rFonts w:ascii="Calibri" w:cs="Calibri" w:eastAsia="Calibri" w:hAnsi="Calibri"/>
                <w:b w:val="false"/>
                <w:bCs w:val="false"/>
                <w:sz w:val="18"/>
                <w:szCs w:val="18"/>
              </w:rPr>
              <w:t xml:space="preserve">, más las sesiones de demostración</w:t>
            </w:r>
          </w:p>
        </w:tc>
      </w:tr>
    </w:tbl>
    <w:p>
      <w:pPr>
        <w:spacing w:after="200"/>
      </w:pPr>
    </w:p>
    <w:p>
      <w:pPr>
        <w:spacing w:after="140" w:line="276"/>
      </w:pPr>
      <w:r>
        <w:rPr>
          <w:rFonts w:ascii="Calibri" w:cs="Calibri" w:eastAsia="Calibri" w:hAnsi="Calibri"/>
          <w:sz w:val="21"/>
          <w:szCs w:val="21"/>
        </w:rPr>
        <w:t xml:space="preserve">Por contrato y año (fase de ejecución), con el catálogo en intensidad máxima: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Actividad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preparación, sesiones y actas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[3] miembros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y aceptación de las exigencias del Anexo V en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del depósito de código (revisión del certificado del depositario)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 (contratos ≥ 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gestor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documentado de reversibilidad (una vez en la vigencia, prorrateado)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Total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95–100 h/año por contrato</w:t>
            </w:r>
          </w:p>
        </w:tc>
      </w:tr>
    </w:tbl>
    <w:p>
      <w:pPr>
        <w:spacing w:after="200"/>
      </w:pPr>
    </w:p>
    <w:p>
      <w:pPr>
        <w:spacing w:after="140" w:line="276"/>
      </w:pPr>
      <w:r>
        <w:rPr>
          <w:rFonts w:ascii="Calibri" w:cs="Calibri" w:eastAsia="Calibri" w:hAnsi="Calibri"/>
          <w:sz w:val="21"/>
          <w:szCs w:val="21"/>
        </w:rPr>
        <w:t xml:space="preserve">Traducido a coste interno con un coste horario de personal técnico municipal del orden de las decenas de euros, la carga recurrente equivale a una magnitud de </w:t>
      </w:r>
      <w:r>
        <w:rPr>
          <w:rFonts w:ascii="Calibri" w:cs="Calibri" w:eastAsia="Calibri" w:hAnsi="Calibri"/>
          <w:sz w:val="21"/>
          <w:szCs w:val="21"/>
        </w:rPr>
        <w:t xml:space="preserve">cuatro cifras al año por contrato</w:t>
      </w:r>
      <w:r>
        <w:rPr>
          <w:rFonts w:ascii="Calibri" w:cs="Calibri" w:eastAsia="Calibri" w:hAnsi="Calibri"/>
          <w:sz w:val="21"/>
          <w:szCs w:val="21"/>
        </w:rPr>
        <w:t xml:space="preserve">. No consume crédito nuevo, pero sí capacidad. </w:t>
      </w:r>
      <w:r>
        <w:rPr>
          <w:rFonts w:ascii="Calibri" w:cs="Calibri" w:eastAsia="Calibri" w:hAnsi="Calibri"/>
          <w:sz w:val="21"/>
          <w:szCs w:val="21"/>
        </w:rPr>
        <w:t xml:space="preserve">Si el Ayuntamiento no puede asignar esas horas, la respuesta correcta no es aprobar el catálogo y no verificarlo: es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Un servicio de 90.000 € con 12.000 € de reserva pasa a 102.000 € de valor estimado, cruza el umbral del recurso especial del art. 44.1.a) LCSP y pierde el procedimiento abierto simplificado.</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XI.C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XI.C,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XI.C</w:t>
            </w:r>
          </w:p>
        </w:tc>
      </w:tr>
    </w:tbl>
    <w:p>
      <w:pPr>
        <w:spacing w:after="200"/>
      </w:pPr>
    </w:p>
    <w:p>
      <w:pPr>
        <w:spacing w:after="140" w:line="276"/>
      </w:pPr>
      <w:r>
        <w:rPr>
          <w:rFonts w:ascii="Calibri" w:cs="Calibri" w:eastAsia="Calibri" w:hAnsi="Calibri"/>
          <w:sz w:val="21"/>
          <w:szCs w:val="21"/>
        </w:rPr>
        <w:t xml:space="preserve">Constancia expresa:</w:t>
      </w:r>
      <w:r>
        <w:rPr>
          <w:rFonts w:ascii="Calibri" w:cs="Calibri" w:eastAsia="Calibri" w:hAnsi="Calibri"/>
          <w:sz w:val="21"/>
          <w:szCs w:val="21"/>
        </w:rPr>
        <w:t xml:space="preserve"> a la fecha de esta memoria, las declaraciones del Anexo XI.C </w:t>
      </w:r>
      <w:r>
        <w:rPr>
          <w:rFonts w:ascii="Calibri" w:cs="Calibri" w:eastAsia="Calibri" w:hAnsi="Calibri"/>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y normas técnicas concretas viven fuera del articulado, como referencias ilustrativas del estado del arte sin efectos obligacionales.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Autolimitación recomendada.</w:t>
      </w:r>
      <w:r>
        <w:rPr>
          <w:rFonts w:ascii="Calibri" w:cs="Calibri" w:eastAsia="Calibri" w:hAnsi="Calibri"/>
          <w:sz w:val="21"/>
          <w:szCs w:val="21"/>
        </w:rPr>
        <w:t xml:space="preserve"> Se recomienda al órgano de contratación acordar que los asesores externos y las entidades en que participen se abstengan de licitar, por sí o en unión temporal, en los expedientes que apliquen este catálogo durante [X; se recomienda 12] meses desde su aprobación. Es una medida voluntaria y desproporcionada en sentido estricto —la ley no la exige—, pero es la única que elimina el riesgo en lugar de gestionarlo.</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Toda resolución citada en este catálogo lo es </w:t>
      </w:r>
      <w:r>
        <w:rPr>
          <w:rFonts w:ascii="Calibri" w:cs="Calibri" w:eastAsia="Calibri" w:hAnsi="Calibri"/>
          <w:sz w:val="21"/>
          <w:szCs w:val="21"/>
        </w:rPr>
        <w:t xml:space="preserve">como doctrina general trasladada por analogía</w:t>
      </w:r>
      <w:r>
        <w:rPr>
          <w:rFonts w:ascii="Calibri" w:cs="Calibri" w:eastAsia="Calibri" w:hAnsi="Calibri"/>
          <w:sz w:val="21"/>
          <w:szCs w:val="21"/>
        </w:rPr>
        <w:t xml:space="preserve">, y así se dice en cada cita. Ninguna versa sobre cláusulas de inteligencia artificial. El catálogo no se ampara en precedente favorable, porque no lo hay; y tampoco tiene precedente contrario que temer.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TACP Madrid 383/2024</w:t>
            </w:r>
            <w:r>
              <w:rPr>
                <w:rFonts w:ascii="Calibri" w:cs="Calibri" w:eastAsia="Calibri" w:hAnsi="Calibri"/>
                <w:b w:val="false"/>
                <w:bCs w:val="false"/>
                <w:sz w:val="18"/>
                <w:szCs w:val="18"/>
              </w:rPr>
              <w:t xml:space="preserve">, de 03/10/2024, expte. 383/2024 (Parla; </w:t>
            </w:r>
            <w:r>
              <w:rPr>
                <w:rFonts w:ascii="Calibri" w:cs="Calibri" w:eastAsia="Calibri" w:hAnsi="Calibri"/>
                <w:b w:val="false"/>
                <w:bCs w:val="false"/>
                <w:sz w:val="18"/>
                <w:szCs w:val="18"/>
              </w:rPr>
              <w:t xml:space="preserve">estimatoria, anula los pliegos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TACP Madrid 535/2025</w:t>
            </w:r>
            <w:r>
              <w:rPr>
                <w:rFonts w:ascii="Calibri" w:cs="Calibri" w:eastAsia="Calibri" w:hAnsi="Calibri"/>
                <w:b w:val="false"/>
                <w:bCs w:val="false"/>
                <w:sz w:val="18"/>
                <w:szCs w:val="18"/>
              </w:rPr>
              <w:t xml:space="preserve">, de 18/12/2025, rec. 526/2025 (</w:t>
            </w:r>
            <w:r>
              <w:rPr>
                <w:rFonts w:ascii="Calibri" w:cs="Calibri" w:eastAsia="Calibri" w:hAnsi="Calibri"/>
                <w:b w:val="false"/>
                <w:bCs w:val="false"/>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val="false"/>
                <w:bCs w:val="false"/>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TACP Madrid 007/2024</w:t>
            </w:r>
            <w:r>
              <w:rPr>
                <w:rFonts w:ascii="Calibri" w:cs="Calibri" w:eastAsia="Calibri" w:hAnsi="Calibri"/>
                <w:b w:val="false"/>
                <w:bCs w:val="false"/>
                <w:sz w:val="18"/>
                <w:szCs w:val="18"/>
              </w:rPr>
              <w:t xml:space="preserve">, de 11/01/2024 (expte. 451/2023)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menor apertura a la competencia no es infracción cuando se funda en las necesidades a satisfacer </w:t>
            </w:r>
            <w:r>
              <w:rPr>
                <w:rFonts w:ascii="Calibri" w:cs="Calibri" w:eastAsia="Calibri" w:hAnsi="Calibri"/>
                <w:b w:val="false"/>
                <w:bCs w:val="false"/>
                <w:sz w:val="18"/>
                <w:szCs w:val="18"/>
              </w:rPr>
              <w:t xml:space="preserve">y éstas están justificadas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(CEE de contenido laboral)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TACRC 1113/2022</w:t>
            </w:r>
            <w:r>
              <w:rPr>
                <w:rFonts w:ascii="Calibri" w:cs="Calibri" w:eastAsia="Calibri" w:hAnsi="Calibri"/>
                <w:b w:val="false"/>
                <w:bCs w:val="false"/>
                <w:sz w:val="18"/>
                <w:szCs w:val="18"/>
              </w:rPr>
              <w:t xml:space="preserve">, de 27/09/2022, rec. 998/2022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val="false"/>
                <w:bCs w:val="false"/>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JCCA Castilla-La Mancha, Consulta 019/2022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val="false"/>
                <w:bCs w:val="false"/>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bl>
    <w:p>
      <w:pPr>
        <w:spacing w:after="200"/>
      </w:pP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El Anexo XIV.A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XIV.B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sz w:val="21"/>
          <w:szCs w:val="21"/>
        </w:rPr>
        <w:t xml:space="preserve">Secretaría</w:t>
      </w:r>
      <w:r>
        <w:rPr>
          <w:rFonts w:ascii="Calibri" w:cs="Calibri" w:eastAsia="Calibri" w:hAnsi="Calibri"/>
          <w:sz w:val="21"/>
          <w:szCs w:val="21"/>
        </w:rPr>
        <w:t xml:space="preserve">. Pozuelo de Alarcón se rige por el Título X de la Ley 7/1985 y le corresponde, por tanto, la Asesoría Jurídica.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ninguna exigencia figura simultáneamente como solvencia y como criterio,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 este catálogo».</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Anexo XII).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la Intervención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 XI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XI.C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sz w:val="21"/>
          <w:szCs w:val="21"/>
        </w:rPr>
        <w:t xml:space="preserve">condiciones suspensivas</w:t>
      </w:r>
      <w:r>
        <w:rPr>
          <w:rFonts w:ascii="Calibri" w:cs="Calibri" w:eastAsia="Calibri" w:hAnsi="Calibri"/>
          <w:sz w:val="21"/>
          <w:szCs w:val="21"/>
        </w:rPr>
        <w:t xml:space="preserve">: mientras no se cumplan, el catálogo no debe publicarse como modelo ni aplicarse en un expediente que supere el umbral del recurso especial.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para que el Anexo V sea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firmado y fechado</w:t>
            </w:r>
            <w:r>
              <w:rPr>
                <w:rFonts w:ascii="Calibri" w:cs="Calibri" w:eastAsia="Calibri" w:hAnsi="Calibri"/>
                <w:b w:val="false"/>
                <w:bCs w:val="false"/>
                <w:sz w:val="18"/>
                <w:szCs w:val="18"/>
              </w:rPr>
              <w:t xml:space="preserve"> del área de contratación y de la Intervención que sustituya al comentario de trabajo de 18/06/2026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expediente piloto</w:t>
            </w:r>
            <w:r>
              <w:rPr>
                <w:rFonts w:ascii="Calibri" w:cs="Calibri" w:eastAsia="Calibri" w:hAnsi="Calibri"/>
                <w:b w:val="false"/>
                <w:bCs w:val="false"/>
                <w:sz w:val="18"/>
                <w:szCs w:val="18"/>
              </w:rPr>
              <w:t xml:space="preserve"> redactado con el clausulado anterior: si está aprobado, procede rectificación previa a licitar, no simple revisión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Designación exacta de las normas técnicas citadas</w:t>
            </w:r>
            <w:r>
              <w:rPr>
                <w:rFonts w:ascii="Calibri" w:cs="Calibri" w:eastAsia="Calibri" w:hAnsi="Calibri"/>
                <w:b w:val="false"/>
                <w:bCs w:val="false"/>
                <w:sz w:val="18"/>
                <w:szCs w:val="18"/>
              </w:rPr>
              <w:t xml:space="preserve"> (año de edición y equivalencias), y verificación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bl>
    <w:p>
      <w:pPr>
        <w:spacing w:after="200"/>
      </w:pPr>
    </w:p>
    <w:p>
      <w:pPr>
        <w:spacing w:after="140" w:line="276"/>
      </w:pPr>
      <w:r>
        <w:rPr>
          <w:rFonts w:ascii="Calibri" w:cs="Calibri" w:eastAsia="Calibri" w:hAnsi="Calibri"/>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(informe de necesidad, memoria, informe jurídico, informe de fiscalización) van en bloques rotulados </w:t>
      </w:r>
      <w:r>
        <w:rPr>
          <w:rFonts w:ascii="Calibri" w:cs="Calibri" w:eastAsia="Calibri" w:hAnsi="Calibri"/>
          <w:b/>
          <w:bCs/>
          <w:sz w:val="21"/>
          <w:szCs w:val="21"/>
        </w:rPr>
        <w:t xml:space="preserve">«Modelo»</w:t>
      </w:r>
      <w:r>
        <w:rPr>
          <w:rFonts w:ascii="Calibri" w:cs="Calibri" w:eastAsia="Calibri" w:hAnsi="Calibri"/>
          <w:sz w:val="21"/>
          <w:szCs w:val="21"/>
        </w:rPr>
        <w:t xml:space="preserve">, y no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Pozuelo aparece entre paréntesis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Pozuelo de Alarcón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val="false"/>
                <w:bCs w:val="false"/>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val="false"/>
                <w:bCs w:val="false"/>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Pozuelo,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Es la regla de verificabilidad municipal de la Parte I, §7. Crear obligaciones esenciales que después nadie comprueba es peor que no crearlas: el primer incumplimiento tolerado desactiva la cláusula para el resto del contrato.</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sz w:val="21"/>
          <w:szCs w:val="21"/>
        </w:rPr>
        <w:t xml:space="preserve">cómo</w:t>
      </w:r>
      <w:r>
        <w:rPr>
          <w:rFonts w:ascii="Calibri" w:cs="Calibri" w:eastAsia="Calibri" w:hAnsi="Calibri"/>
          <w:sz w:val="21"/>
          <w:szCs w:val="21"/>
        </w:rPr>
        <w:t xml:space="preserve">; el tercero </w:t>
      </w:r>
      <w:r>
        <w:rPr>
          <w:rFonts w:ascii="Calibri" w:cs="Calibri" w:eastAsia="Calibri" w:hAnsi="Calibri"/>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val="false"/>
                <w:bCs w:val="false"/>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 Asesoría Jurídica (Título X) o de la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sz w:val="21"/>
          <w:szCs w:val="21"/>
        </w:rPr>
        <w:t xml:space="preserve">diecisiete documentos</w:t>
      </w:r>
      <w:r>
        <w:rPr>
          <w:rFonts w:ascii="Calibri" w:cs="Calibri" w:eastAsia="Calibri" w:hAnsi="Calibri"/>
          <w:sz w:val="21"/>
          <w:szCs w:val="21"/>
        </w:rPr>
        <w:t xml:space="preserve">, no doce. Cuatro de ellos son condicionales: A-2 sólo si el objeto comprende adquisición, desarrollo o mantenimiento de una aplicación; A-5 sólo si hay consulta; B-2 sólo si el procedimiento no es abierto ni restringido, a efectos de publicidad; B-4 sólo en contratos de servicios.</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Esta es una corrección expresa al orden de los diez pasos de la Parte 0: </w:t>
      </w:r>
      <w:r>
        <w:rPr>
          <w:rFonts w:ascii="Calibri" w:cs="Calibri" w:eastAsia="Calibri" w:hAnsi="Calibri"/>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Anexo I).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val="false"/>
                <w:bCs w:val="false"/>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val="false"/>
                <w:bCs w:val="false"/>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val="false"/>
                <w:bCs w:val="false"/>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val="false"/>
                <w:bCs w:val="false"/>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pBdr>
          <w:left w:val="single" w:color="BFBFBF" w:sz="12" w:space="8"/>
        </w:pBdr>
        <w:spacing w:after="140" w:line="264"/>
        <w:ind w:left="400"/>
      </w:pPr>
      <w:r>
        <w:rPr>
          <w:rFonts w:ascii="Georgia" w:cs="Georgia" w:eastAsia="Georgia" w:hAnsi="Georgia"/>
          <w:b/>
          <w:bCs/>
          <w:i/>
          <w:iCs/>
          <w:color w:val="595959"/>
          <w:sz w:val="20"/>
          <w:szCs w:val="20"/>
        </w:rPr>
        <w:t xml:space="preserve">Modelo — párrafo de cierre del informe de necesidad. No es texto de pliego.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necesidad descrita se relaciona con el objeto de este contrato en los términos exigidos por el artículo 116.4.e) de la Ley 9/2017: es </w:t>
      </w:r>
      <w:r>
        <w:rPr>
          <w:rFonts w:ascii="Georgia" w:cs="Georgia" w:eastAsia="Georgia" w:hAnsi="Georgia"/>
          <w:b/>
          <w:bCs/>
          <w:i/>
          <w:iCs/>
          <w:color w:val="595959"/>
          <w:sz w:val="20"/>
          <w:szCs w:val="20"/>
        </w:rPr>
        <w:t xml:space="preserve">directa</w:t>
      </w:r>
      <w:r>
        <w:rPr>
          <w:rFonts w:ascii="Georgia" w:cs="Georgia" w:eastAsia="Georgia" w:hAnsi="Georgia"/>
          <w:i/>
          <w:iCs/>
          <w:color w:val="595959"/>
          <w:sz w:val="20"/>
          <w:szCs w:val="20"/>
        </w:rPr>
        <w:t xml:space="preserve">, porque [los datos, funciones o sistemas afectados son los generados o soportados por la propia prestación contratada]; es </w:t>
      </w:r>
      <w:r>
        <w:rPr>
          <w:rFonts w:ascii="Georgia" w:cs="Georgia" w:eastAsia="Georgia" w:hAnsi="Georgia"/>
          <w:b/>
          <w:bCs/>
          <w:i/>
          <w:iCs/>
          <w:color w:val="595959"/>
          <w:sz w:val="20"/>
          <w:szCs w:val="20"/>
        </w:rPr>
        <w:t xml:space="preserve">clara</w:t>
      </w:r>
      <w:r>
        <w:rPr>
          <w:rFonts w:ascii="Georgia" w:cs="Georgia" w:eastAsia="Georgia" w:hAnsi="Georgia"/>
          <w:i/>
          <w:iCs/>
          <w:color w:val="595959"/>
          <w:sz w:val="20"/>
          <w:szCs w:val="20"/>
        </w:rPr>
        <w:t xml:space="preserve">, porque su contenido queda determinado en las cláusulas [códigos] del pliego, con criterios de comprobación tasados; y es </w:t>
      </w:r>
      <w:r>
        <w:rPr>
          <w:rFonts w:ascii="Georgia" w:cs="Georgia" w:eastAsia="Georgia" w:hAnsi="Georgia"/>
          <w:b/>
          <w:bCs/>
          <w:i/>
          <w:iCs/>
          <w:color w:val="595959"/>
          <w:sz w:val="20"/>
          <w:szCs w:val="20"/>
        </w:rPr>
        <w:t xml:space="preserve">proporcional</w:t>
      </w:r>
      <w:r>
        <w:rPr>
          <w:rFonts w:ascii="Georgia" w:cs="Georgia" w:eastAsia="Georgia" w:hAnsi="Georgia"/>
          <w:i/>
          <w:iCs/>
          <w:color w:val="595959"/>
          <w:sz w:val="20"/>
          <w:szCs w:val="20"/>
        </w:rPr>
        <w:t xml:space="preserve">, porque [no exige al contratista prestación distinta de la que ya realiza para ejecutar el contrato / el coste incremental estimado es de [importe] euros sobre un valor estimado de [importe] euros].»</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Anexo XI.A. Su parte dispositiva mínima:</w:t>
      </w:r>
    </w:p>
    <w:p>
      <w:pPr>
        <w:pBdr>
          <w:left w:val="single" w:color="BFBFBF" w:sz="12" w:space="8"/>
        </w:pBdr>
        <w:spacing w:after="140" w:line="264"/>
        <w:ind w:left="400"/>
      </w:pPr>
      <w:r>
        <w:rPr>
          <w:rFonts w:ascii="Georgia" w:cs="Georgia" w:eastAsia="Georgia" w:hAnsi="Georgia"/>
          <w:b/>
          <w:bCs/>
          <w:i/>
          <w:iCs/>
          <w:color w:val="595959"/>
          <w:sz w:val="20"/>
          <w:szCs w:val="20"/>
        </w:rPr>
        <w:t xml:space="preserve">Modelo — parte dispositiva del acuerdo que crea la necesidad institucional. No es texto de pliego.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«Primero. Aprobar el Plan municipal de [denominación] para el periodo [ejercicio o periodo], con los objetivos y el calendario que figuran en el anexo.</w:t>
      </w:r>
    </w:p>
    <w:p>
      <w:pPr>
        <w:pBdr>
          <w:left w:val="single" w:color="BFBFBF" w:sz="12" w:space="8"/>
        </w:pBdr>
        <w:spacing w:after="140" w:line="264"/>
        <w:ind w:left="400"/>
      </w:pPr>
      <w:r>
        <w:rPr>
          <w:rFonts w:ascii="Georgia" w:cs="Georgia" w:eastAsia="Georgia" w:hAnsi="Georgia"/>
          <w:i/>
          <w:iCs/>
          <w:color w:val="595959"/>
          <w:sz w:val="20"/>
          <w:szCs w:val="20"/>
        </w:rPr>
        <w:t xml:space="preserve">Segundo. Aprobar el Catálogo de exigencias tecnológicas determinadas del ejercicio [año], que constituye el Anexo V del clausulado, en su versión [n.º], de fecha [dd/mm/aaaa].</w:t>
      </w:r>
    </w:p>
    <w:p>
      <w:pPr>
        <w:pBdr>
          <w:left w:val="single" w:color="BFBFBF" w:sz="12" w:space="8"/>
        </w:pBdr>
        <w:spacing w:after="140" w:line="264"/>
        <w:ind w:left="400"/>
      </w:pPr>
      <w:r>
        <w:rPr>
          <w:rFonts w:ascii="Georgia" w:cs="Georgia" w:eastAsia="Georgia" w:hAnsi="Georgia"/>
          <w:i/>
          <w:iCs/>
          <w:color w:val="595959"/>
          <w:sz w:val="20"/>
          <w:szCs w:val="20"/>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pBdr>
          <w:left w:val="single" w:color="BFBFBF" w:sz="12" w:space="8"/>
        </w:pBdr>
        <w:spacing w:after="140" w:line="264"/>
        <w:ind w:left="400"/>
      </w:pPr>
      <w:r>
        <w:rPr>
          <w:rFonts w:ascii="Georgia" w:cs="Georgia" w:eastAsia="Georgia" w:hAnsi="Georgia"/>
          <w:i/>
          <w:iCs/>
          <w:color w:val="595959"/>
          <w:sz w:val="20"/>
          <w:szCs w:val="20"/>
        </w:rPr>
        <w:t xml:space="preserve">Cuarto. Ordenar la publicación del acuerdo y de sus anexos en [sede electrónica y perfil de contratante], y su revisión antes del [fecha; se recomienda el 30 de noviembre de cada año].»</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sz w:val="21"/>
          <w:szCs w:val="21"/>
        </w:rPr>
        <w:t xml:space="preserve">comprobación de las menciones que arrastra</w:t>
      </w:r>
      <w:r>
        <w:rPr>
          <w:rFonts w:ascii="Calibri" w:cs="Calibri" w:eastAsia="Calibri" w:hAnsi="Calibri"/>
          <w:sz w:val="21"/>
          <w:szCs w:val="21"/>
        </w:rPr>
        <w:t xml:space="preserve"> según la tabla de dependencias del Anexo I.</w:t>
      </w:r>
    </w:p>
    <w:p>
      <w:pPr>
        <w:spacing w:after="140" w:line="276"/>
      </w:pPr>
      <w:r>
        <w:rPr>
          <w:rFonts w:ascii="Calibri" w:cs="Calibri" w:eastAsia="Calibri" w:hAnsi="Calibri"/>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val="false"/>
                <w:bCs w:val="false"/>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val="false"/>
                <w:bCs w:val="false"/>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inferior a las cuantías de los arts. 21.1.a) y 22.1.a) en suministros y servicios;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el Anexo IV entrega </w:t>
      </w:r>
      <w:r>
        <w:rPr>
          <w:rFonts w:ascii="Calibri" w:cs="Calibri" w:eastAsia="Calibri" w:hAnsi="Calibri"/>
          <w:sz w:val="21"/>
          <w:szCs w:val="21"/>
        </w:rPr>
        <w:t xml:space="preserve">tres variantes de baremo</w:t>
      </w:r>
      <w:r>
        <w:rPr>
          <w:rFonts w:ascii="Calibri" w:cs="Calibri" w:eastAsia="Calibri" w:hAnsi="Calibri"/>
          <w:sz w:val="21"/>
          <w:szCs w:val="21"/>
        </w:rPr>
        <w:t xml:space="preserve"> —abierto, simplificado y abreviado— y no una.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ninguna exigencia se computa a la vez como solvencia y como criterio de adjudicación, como prescripción obligatoria del PPT y como criterio de adjudicación, o como criterio de adjudicación y como condición especial de ejecución.</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val="false"/>
                <w:bCs w:val="false"/>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 y techo del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plazos; techo del art. 159.1.a)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w:t>
            </w:r>
          </w:p>
        </w:tc>
      </w:tr>
    </w:tbl>
    <w:p>
      <w:pPr>
        <w:spacing w:after="200"/>
      </w:pPr>
    </w:p>
    <w:p>
      <w:pPr>
        <w:spacing w:after="140" w:line="276"/>
      </w:pPr>
      <w:r>
        <w:rPr>
          <w:rFonts w:ascii="Calibri" w:cs="Calibri" w:eastAsia="Calibri" w:hAnsi="Calibri"/>
          <w:sz w:val="21"/>
          <w:szCs w:val="21"/>
        </w:rPr>
        <w:t xml:space="preserve">El ejemplo trabajado que hay que leer antes de reservar una modificación.</w:t>
      </w:r>
      <w:r>
        <w:rPr>
          <w:rFonts w:ascii="Calibri" w:cs="Calibri" w:eastAsia="Calibri" w:hAnsi="Calibri"/>
          <w:sz w:val="21"/>
          <w:szCs w:val="21"/>
        </w:rPr>
        <w:t xml:space="preserve"> Un contrato de servicios con presupuesto de 90.000 € de valor estimado está por debajo del umbral del recurso especial: sus pliegos no son directamente recurribles ante el tribunal administrativo. Si se le añade una reserva de modificación de 12.000 €, el valor estimado pasa a 102.000 € (art. 101.2.c) y </w:t>
      </w:r>
      <w:r>
        <w:rPr>
          <w:rFonts w:ascii="Calibri" w:cs="Calibri" w:eastAsia="Calibri" w:hAnsi="Calibri"/>
          <w:sz w:val="21"/>
          <w:szCs w:val="21"/>
        </w:rPr>
        <w:t xml:space="preserve">se abre el recurso especial contra los pliegos</w:t>
      </w:r>
      <w:r>
        <w:rPr>
          <w:rFonts w:ascii="Calibri" w:cs="Calibri" w:eastAsia="Calibri" w:hAnsi="Calibri"/>
          <w:sz w:val="21"/>
          <w:szCs w:val="21"/>
        </w:rPr>
        <w:t xml:space="preserve">. Se ha pagado con una vía de impugnación una flexibilidad que probablemente no se use. Regla por defecto de este catálogo: </w:t>
      </w:r>
      <w:r>
        <w:rPr>
          <w:rFonts w:ascii="Calibri" w:cs="Calibri" w:eastAsia="Calibri" w:hAnsi="Calibri"/>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Las medidas adoptadas se consignan en los informes específicos previstos en el art. 336 LCSP.</w:t>
      </w:r>
    </w:p>
    <w:p>
      <w:pPr>
        <w:spacing w:after="140" w:line="276"/>
      </w:pPr>
      <w:r>
        <w:rPr>
          <w:rFonts w:ascii="Calibri" w:cs="Calibri" w:eastAsia="Calibri" w:hAnsi="Calibri"/>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pBdr>
          <w:left w:val="single" w:color="BFBFBF" w:sz="12" w:space="8"/>
        </w:pBdr>
        <w:spacing w:after="140" w:line="264"/>
        <w:ind w:left="400"/>
      </w:pPr>
      <w:r>
        <w:rPr>
          <w:rFonts w:ascii="Georgia" w:cs="Georgia" w:eastAsia="Georgia" w:hAnsi="Georgia"/>
          <w:b/>
          <w:bCs/>
          <w:i/>
          <w:iCs/>
          <w:color w:val="595959"/>
          <w:sz w:val="20"/>
          <w:szCs w:val="20"/>
        </w:rPr>
        <w:t xml:space="preserve">Modelo — declaración individual. No es texto de pliego.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«D./D.ª [nombre], [cargo], que interviene en el expediente [número] en calidad de [redactor del PPT / miembro de la mesa / técnico evaluador / asesor externo], declara bajo su responsabilidad:</w:t>
      </w:r>
    </w:p>
    <w:p>
      <w:pPr>
        <w:pBdr>
          <w:left w:val="single" w:color="BFBFBF" w:sz="12" w:space="8"/>
        </w:pBdr>
        <w:spacing w:after="140" w:line="264"/>
        <w:ind w:left="400"/>
      </w:pPr>
      <w:r>
        <w:rPr>
          <w:rFonts w:ascii="Georgia" w:cs="Georgia" w:eastAsia="Georgia" w:hAnsi="Georgia"/>
          <w:i/>
          <w:iCs/>
          <w:color w:val="595959"/>
          <w:sz w:val="20"/>
          <w:szCs w:val="20"/>
        </w:rPr>
        <w:t xml:space="preserve">1.º Que conoce el concepto de conflicto de intereses del artículo 64.2 de la Ley 9/2017.</w:t>
      </w:r>
    </w:p>
    <w:p>
      <w:pPr>
        <w:pBdr>
          <w:left w:val="single" w:color="BFBFBF" w:sz="12" w:space="8"/>
        </w:pBdr>
        <w:spacing w:after="140" w:line="264"/>
        <w:ind w:left="400"/>
      </w:pPr>
      <w:r>
        <w:rPr>
          <w:rFonts w:ascii="Georgia" w:cs="Georgia" w:eastAsia="Georgia" w:hAnsi="Georgia"/>
          <w:i/>
          <w:iCs/>
          <w:color w:val="595959"/>
          <w:sz w:val="20"/>
          <w:szCs w:val="20"/>
        </w:rPr>
        <w:t xml:space="preserve">2.º Que [no concurre / concurre] en su persona interés financiero, económico o personal, directo o indirecto, que pudiera parecer que compromete su imparcialidad e independencia en este procedimiento.</w:t>
      </w:r>
    </w:p>
    <w:p>
      <w:pPr>
        <w:pBdr>
          <w:left w:val="single" w:color="BFBFBF" w:sz="12" w:space="8"/>
        </w:pBdr>
        <w:spacing w:after="140" w:line="264"/>
        <w:ind w:left="400"/>
      </w:pPr>
      <w:r>
        <w:rPr>
          <w:rFonts w:ascii="Georgia" w:cs="Georgia" w:eastAsia="Georgia" w:hAnsi="Georgia"/>
          <w:i/>
          <w:iCs/>
          <w:color w:val="595959"/>
          <w:sz w:val="20"/>
          <w:szCs w:val="20"/>
        </w:rPr>
        <w:t xml:space="preserve">3.º En caso afirmativo, que dicho interés consiste en [descripción] y que se abstiene de [actuaciones].</w:t>
      </w:r>
    </w:p>
    <w:p>
      <w:pPr>
        <w:pBdr>
          <w:left w:val="single" w:color="BFBFBF" w:sz="12" w:space="8"/>
        </w:pBdr>
        <w:spacing w:after="140" w:line="264"/>
        <w:ind w:left="400"/>
      </w:pPr>
      <w:r>
        <w:rPr>
          <w:rFonts w:ascii="Georgia" w:cs="Georgia" w:eastAsia="Georgia" w:hAnsi="Georgia"/>
          <w:i/>
          <w:iCs/>
          <w:color w:val="595959"/>
          <w:sz w:val="20"/>
          <w:szCs w:val="20"/>
        </w:rPr>
        <w:t xml:space="preserve">4.º Que se compromete a comunicar inmediatamente al órgano de contratación cualquier circunstancia sobrevenida que altere lo declarado.</w:t>
      </w:r>
    </w:p>
    <w:p>
      <w:pPr>
        <w:pBdr>
          <w:left w:val="single" w:color="BFBFBF" w:sz="12" w:space="8"/>
        </w:pBdr>
        <w:spacing w:after="140" w:line="264"/>
        <w:ind w:left="400"/>
      </w:pPr>
      <w:r>
        <w:rPr>
          <w:rFonts w:ascii="Georgia" w:cs="Georgia" w:eastAsia="Georgia" w:hAnsi="Georgia"/>
          <w:i/>
          <w:iCs/>
          <w:color w:val="595959"/>
          <w:sz w:val="20"/>
          <w:szCs w:val="20"/>
        </w:rPr>
        <w:t xml:space="preserve">[Lugar, fecha y firma]»</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un área de contratación y, además, nadie de contratación puede hacer por su cuenta un estudio de mercado de tecnologías emergentes. Se hacen </w:t>
      </w:r>
      <w:r>
        <w:rPr>
          <w:rFonts w:ascii="Calibri" w:cs="Calibri" w:eastAsia="Calibri" w:hAnsi="Calibri"/>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sz w:val="21"/>
          <w:szCs w:val="21"/>
        </w:rPr>
        <w:t xml:space="preserve">Umbral.</w:t>
      </w:r>
      <w:r>
        <w:rPr>
          <w:rFonts w:ascii="Calibri" w:cs="Calibri" w:eastAsia="Calibri" w:hAnsi="Calibri"/>
          <w:sz w:val="21"/>
          <w:szCs w:val="21"/>
        </w:rPr>
        <w:t xml:space="preserve"> Contratos de </w:t>
      </w:r>
      <w:r>
        <w:rPr>
          <w:rFonts w:ascii="Calibri" w:cs="Calibri" w:eastAsia="Calibri" w:hAnsi="Calibri"/>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de los incisos de ese apartado fueron declarados no conformes con el orden constitucional de competencias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(BOE-A-2021-6614).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sz w:val="21"/>
          <w:szCs w:val="21"/>
        </w:rPr>
        <w:t xml:space="preserve">En el caso de Pozuelo de Alarcón</w:t>
      </w:r>
      <w:r>
        <w:rPr>
          <w:rFonts w:ascii="Calibri" w:cs="Calibri" w:eastAsia="Calibri" w:hAnsi="Calibri"/>
          <w:sz w:val="21"/>
          <w:szCs w:val="21"/>
        </w:rPr>
        <w:t xml:space="preserve">, y salvo que el Ayuntamiento hubiera creado el órgano especializado del párrafo tercero, resolvería el </w:t>
      </w:r>
      <w:r>
        <w:rPr>
          <w:rFonts w:ascii="Calibri" w:cs="Calibri" w:eastAsia="Calibri" w:hAnsi="Calibri"/>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val="false"/>
                <w:bCs w:val="false"/>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Y explica por qué la regla de no duplicidad de instrumentos es una regla de supervivencia y no de estética.</w:t>
      </w:r>
    </w:p>
    <w:p>
      <w:pPr>
        <w:spacing w:after="140" w:line="276"/>
      </w:pPr>
      <w:r>
        <w:rPr>
          <w:rFonts w:ascii="Calibri" w:cs="Calibri" w:eastAsia="Calibri" w:hAnsi="Calibri"/>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en los términos interpretativos de la Sentencia del Tribunal Constitucional 68/2021, de 18 de marzo). No es una defensa: es un dato del contexto.</w:t>
      </w:r>
    </w:p>
    <w:p>
      <w:pPr>
        <w:spacing w:after="140" w:line="276"/>
      </w:pPr>
      <w:r>
        <w:rPr>
          <w:rFonts w:ascii="Calibri" w:cs="Calibri" w:eastAsia="Calibri" w:hAnsi="Calibri"/>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sz w:val="21"/>
          <w:szCs w:val="21"/>
        </w:rPr>
        <w:t xml:space="preserve">estimatoria</w:t>
      </w:r>
      <w:r>
        <w:rPr>
          <w:rFonts w:ascii="Calibri" w:cs="Calibri" w:eastAsia="Calibri" w:hAnsi="Calibri"/>
          <w:sz w:val="21"/>
          <w:szCs w:val="21"/>
        </w:rPr>
        <w:t xml:space="preserve">, con anulación de los pliegos. Disponible en https://www.comunidad.madrid/tacp/resolucion/3832024</w:t>
      </w:r>
    </w:p>
    <w:p>
      <w:pPr>
        <w:spacing w:after="140" w:line="276"/>
      </w:pPr>
      <w:r>
        <w:rPr>
          <w:rFonts w:ascii="Calibri" w:cs="Calibri" w:eastAsia="Calibri" w:hAnsi="Calibri"/>
          <w:sz w:val="21"/>
          <w:szCs w:val="21"/>
        </w:rPr>
        <w:t xml:space="preserve">Se cita como </w:t>
      </w:r>
      <w:r>
        <w:rPr>
          <w:rFonts w:ascii="Calibri" w:cs="Calibri" w:eastAsia="Calibri" w:hAnsi="Calibri"/>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por su brevedad y porque son obligaciones legales del contratista con independencia del catálogo: el sometimiento a la normativa de protección de datos, la ubicación de los servidores cuando haya tratamiento por cuenta del Ayuntamiento, y la conformidad con el ENS que corresponda a la categoría del sistema.</w:t>
      </w:r>
    </w:p>
    <w:p>
      <w:pPr>
        <w:pStyle w:val="ListParagraph"/>
        <w:numPr>
          <w:ilvl w:val="0"/>
          <w:numId w:val="1"/>
        </w:numPr>
        <w:spacing w:after="70" w:line="268"/>
      </w:pPr>
      <w:r>
        <w:rPr>
          <w:rFonts w:ascii="Calibri" w:cs="Calibri" w:eastAsia="Calibri" w:hAnsi="Calibri"/>
          <w:b/>
          <w:bCs/>
          <w:sz w:val="21"/>
          <w:szCs w:val="21"/>
        </w:rPr>
        <w:t xml:space="preserve">La consulta al directorio general de aplicaciones se hace igualmente</w:t>
      </w:r>
      <w:r>
        <w:rPr>
          <w:rFonts w:ascii="Calibri" w:cs="Calibri" w:eastAsia="Calibri" w:hAnsi="Calibri"/>
          <w:sz w:val="21"/>
          <w:szCs w:val="21"/>
        </w:rPr>
        <w:t xml:space="preserve"> si el objeto es una aplicación: el art. 157.3 de la Ley 40/2015 no tiene umbral.</w:t>
      </w:r>
    </w:p>
    <w:p>
      <w:pPr>
        <w:spacing w:after="140" w:line="276"/>
      </w:pPr>
      <w:r>
        <w:rPr>
          <w:rFonts w:ascii="Calibri" w:cs="Calibri" w:eastAsia="Calibri" w:hAnsi="Calibri"/>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 y tabla de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 Toda exigencia adicional que resulte necesaria durante la ejecución se tramitará, en su caso, por el cauce de los artículos 203 a 205 de la Ley 9/2017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el </w:t>
      </w:r>
      <w:r>
        <w:rPr>
          <w:rFonts w:ascii="Calibri" w:cs="Calibri" w:eastAsia="Calibri" w:hAnsi="Calibri"/>
          <w:b/>
          <w:bCs/>
          <w:sz w:val="21"/>
          <w:szCs w:val="21"/>
        </w:rPr>
        <w:t xml:space="preserve">anexo de vigencia normativa con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trabajo del circuito</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sz w:val="21"/>
          <w:szCs w:val="21"/>
        </w:rPr>
        <w:t xml:space="preserve">Estimación de partida por expediente que use el catálogo.</w:t>
      </w:r>
      <w:r>
        <w:rPr>
          <w:rFonts w:ascii="Calibri" w:cs="Calibri" w:eastAsia="Calibri" w:hAnsi="Calibri"/>
          <w:sz w:val="21"/>
          <w:szCs w:val="21"/>
        </w:rPr>
        <w:t xml:space="preserve"> Son horas de trabajo municipal, no de consultoría, y son una </w:t>
      </w:r>
      <w:r>
        <w:rPr>
          <w:rFonts w:ascii="Calibri" w:cs="Calibri" w:eastAsia="Calibri" w:hAnsi="Calibri"/>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Total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 h</w:t>
            </w:r>
          </w:p>
        </w:tc>
      </w:tr>
    </w:tbl>
    <w:p>
      <w:pPr>
        <w:spacing w:after="200"/>
      </w:pPr>
    </w:p>
    <w:p>
      <w:pPr>
        <w:spacing w:after="140" w:line="276"/>
      </w:pPr>
      <w:r>
        <w:rPr>
          <w:rFonts w:ascii="Calibri" w:cs="Calibri" w:eastAsia="Calibri" w:hAnsi="Calibri"/>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de vigencia normativa y de la tabla de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y se suma en la ficha del expediente. La regla es la de V.1.3: </w:t>
      </w:r>
      <w:r>
        <w:rPr>
          <w:rFonts w:ascii="Calibri" w:cs="Calibri" w:eastAsia="Calibri" w:hAnsi="Calibri"/>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spacing w:after="140" w:line="276"/>
      </w:pPr>
      <w:r>
        <w:rPr>
          <w:rFonts w:ascii="Calibri" w:cs="Calibri" w:eastAsia="Calibri" w:hAnsi="Calibri"/>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 21.1.b), 22.1.b), 28.1, 29.2, 44, 46.4, 48, 50, 51, 52, 53, 56, 57, 58, 59, 62, 63, 64, 70, 101, 115, 116, 117, 118, 121.2, 122, 132.2 y 132.3, 146.2, 159.1.b) y 159.6, 192, 193, 202.1, 203 a 205, 211.1.f).2.º,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en cuanto declara inconstitucional y nulo el párrafo segundo del art. 46.4 LCSP y se pronuncia sobre los arts. 52.3 y 58.2 → BOE-A-2021-6614</w:t>
      </w:r>
    </w:p>
    <w:p>
      <w:pPr>
        <w:spacing w:after="140" w:line="276"/>
      </w:pPr>
      <w:r>
        <w:rPr>
          <w:rFonts w:ascii="Calibri" w:cs="Calibri" w:eastAsia="Calibri" w:hAnsi="Calibri"/>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anulación de los pliegos por falta de justificación en la memoria de la exigencia de certificaciones de conformidad con el Esquema Nacional de Seguridad. → https://www.comunidad.madrid/tacp/resolucion/3832024</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APLICACIÓN PILOTO: EL CONTRATO DE CONTABILIDAD Y PATRIMONIO</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El área de contratación del Ayuntamiento formuló, junto a la objeción principal sobre el origen de la necesidad, una petición concreta:</w:t>
      </w:r>
    </w:p>
    <w:p>
      <w:pPr>
        <w:pBdr>
          <w:left w:val="single" w:color="BFBFBF" w:sz="12" w:space="8"/>
        </w:pBdr>
        <w:spacing w:after="140" w:line="264"/>
        <w:ind w:left="400"/>
      </w:pPr>
      <w:r>
        <w:rPr>
          <w:rFonts w:ascii="Georgia" w:cs="Georgia" w:eastAsia="Georgia" w:hAnsi="Georgia"/>
          <w:i/>
          <w:iCs/>
          <w:color w:val="595959"/>
          <w:sz w:val="20"/>
          <w:szCs w:val="20"/>
        </w:rPr>
        <w:t xml:space="preserve">«Me gustaría ponerlo a funcionar en algún contrato municipal a modo de experimento piloto, ya que el grado de abstracción lo veo muy elevado.»</w:t>
      </w:r>
    </w:p>
    <w:p>
      <w:pPr>
        <w:spacing w:after="140" w:line="276"/>
      </w:pPr>
      <w:r>
        <w:rPr>
          <w:rFonts w:ascii="Calibri" w:cs="Calibri" w:eastAsia="Calibri" w:hAnsi="Calibri"/>
          <w:sz w:val="21"/>
          <w:szCs w:val="21"/>
        </w:rPr>
        <w:t xml:space="preserve">Esta parte es la respuesta. No describe cómo se aplicaría el catálogo: lo aplica a un expediente real, con las casillas marcadas, las cláusulas descartadas con su motivo, la categoría de seguridad razonada, el baremo completo —con el precio dentro— y la lista de documentos que el expediente debe contener. Y termina con lo que ningún documento de este tipo suele incluir: la tabla de lo que hay que rectificar en unos pliegos que ya están escritos.</w:t>
      </w:r>
    </w:p>
    <w:p>
      <w:pPr>
        <w:spacing w:after="140" w:line="276"/>
      </w:pPr>
      <w:r>
        <w:rPr>
          <w:rFonts w:ascii="Calibri" w:cs="Calibri" w:eastAsia="Calibri" w:hAnsi="Calibri"/>
          <w:sz w:val="21"/>
          <w:szCs w:val="21"/>
        </w:rPr>
        <w:t xml:space="preserve">Regla de lectura para otra administración que reutilice el documento (R-5): lo que sigue es un caso, no una plantilla. Lo reutilizable es </w:t>
      </w:r>
      <w:r>
        <w:rPr>
          <w:rFonts w:ascii="Calibri" w:cs="Calibri" w:eastAsia="Calibri" w:hAnsi="Calibri"/>
          <w:sz w:val="21"/>
          <w:szCs w:val="21"/>
        </w:rPr>
        <w:t xml:space="preserve">el orden de las decisiones</w:t>
      </w:r>
      <w:r>
        <w:rPr>
          <w:rFonts w:ascii="Calibri" w:cs="Calibri" w:eastAsia="Calibri" w:hAnsi="Calibri"/>
          <w:sz w:val="21"/>
          <w:szCs w:val="21"/>
        </w:rPr>
        <w:t xml:space="preserve"> —origen de la necesidad, aplicabilidad, categoría de seguridad, instrumento, baremo, valor estimado, documentos—, no las conclusiones concretas de este contrato, que dependen de sus datos.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Estado real del expediente a la fecha de corte (01/09/2026) y regla de tramitación</w:t>
      </w:r>
    </w:p>
    <w:p>
      <w:pPr>
        <w:spacing w:after="140" w:line="276"/>
      </w:pPr>
      <w:r>
        <w:rPr>
          <w:rFonts w:ascii="Calibri" w:cs="Calibri" w:eastAsia="Calibri" w:hAnsi="Calibri"/>
          <w:sz w:val="21"/>
          <w:szCs w:val="21"/>
        </w:rPr>
        <w:t xml:space="preserve">Hecho que condiciona todo lo demás: </w:t>
      </w:r>
      <w:r>
        <w:rPr>
          <w:rFonts w:ascii="Calibri" w:cs="Calibri" w:eastAsia="Calibri" w:hAnsi="Calibri"/>
          <w:sz w:val="21"/>
          <w:szCs w:val="21"/>
        </w:rPr>
        <w:t xml:space="preserve">las cláusulas de inteligencia artificial del PPT y del PCAP de este contrato se redactaron el 24 de agosto de 2026 con el texto de la versión 2</w:t>
      </w:r>
      <w:r>
        <w:rPr>
          <w:rFonts w:ascii="Calibri" w:cs="Calibri" w:eastAsia="Calibri" w:hAnsi="Calibri"/>
          <w:sz w:val="21"/>
          <w:szCs w:val="21"/>
        </w:rPr>
        <w:t xml:space="preserve">, es decir, con los defectos que la versión 3 corrige. Así consta en la documentación de preparación del proyecto.</w:t>
      </w:r>
    </w:p>
    <w:p>
      <w:pPr>
        <w:spacing w:after="140" w:line="276"/>
      </w:pPr>
      <w:r>
        <w:rPr>
          <w:rFonts w:ascii="Calibri" w:cs="Calibri" w:eastAsia="Calibri" w:hAnsi="Calibri"/>
          <w:sz w:val="21"/>
          <w:szCs w:val="21"/>
        </w:rPr>
        <w:t xml:space="preserve">Antes de continuar, el órgano de contratación debe consignar en el expediente en cuál de estas tres situaciones se encuentra, porque de ella depende el cauce de la corrección: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consta en la preparación del expediente que el pliego se elaboró tomando como referencia el de otro ayuntamiento que tiene implantada una solución determinada. Si eso se confirma, obliga a un barrido específico antes de aprobar: </w:t>
      </w:r>
      <w:r>
        <w:rPr>
          <w:rFonts w:ascii="Calibri" w:cs="Calibri" w:eastAsia="Calibri" w:hAnsi="Calibri"/>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Por qué este contrato es el piloto adecuado</w:t>
      </w:r>
    </w:p>
    <w:p>
      <w:pPr>
        <w:spacing w:after="140" w:line="276"/>
      </w:pPr>
      <w:r>
        <w:rPr>
          <w:rFonts w:ascii="Calibri" w:cs="Calibri" w:eastAsia="Calibri" w:hAnsi="Calibri"/>
          <w:sz w:val="21"/>
          <w:szCs w:val="21"/>
        </w:rPr>
        <w:t xml:space="preserve">Cuatro razones, y ninguna es que sea el contrato más grande:</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del objetor.</w:t>
      </w:r>
      <w:r>
        <w:rPr>
          <w:rFonts w:ascii="Calibri" w:cs="Calibri" w:eastAsia="Calibri" w:hAnsi="Calibri"/>
          <w:sz w:val="21"/>
          <w:szCs w:val="21"/>
        </w:rPr>
        <w:t xml:space="preserve"> La necesidad de acceso de los órganos de control a los datos de ejecución (ADM-12·v3) es la única necesidad de todo este proyecto declarada por escrito por un órgano municipal, y la contabilidad y el patrimonio son exactamente la materia sobre la que ese órgano ejerce sus funciones de control (art. 214 TRLRHL; arts. 4.3, 6.3, 6.7, 20 y 30 del RD 424/2017). El piloto empieza dando, no pidiendo.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Todo lo que el catálogo exige —interfaz de consulta, registro de auditoría, exportación en formato abierto, diccionario de datos— se comprueba aquí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 obliga a usar las dos vías de firma de la ficha de aplicabilidad (Anexo II) y, por tanto, el que prueba si el circuito funciona.</w:t>
      </w:r>
    </w:p>
    <w:p>
      <w:pPr>
        <w:pStyle w:val="ListParagraph"/>
        <w:numPr>
          <w:ilvl w:val="0"/>
          <w:numId w:val="2"/>
        </w:numPr>
        <w:spacing w:after="70" w:line="268"/>
      </w:pPr>
      <w:r>
        <w:rPr>
          <w:rFonts w:ascii="Calibri" w:cs="Calibri" w:eastAsia="Calibri" w:hAnsi="Calibri"/>
          <w:b/>
          <w:bCs/>
          <w:sz w:val="21"/>
          <w:szCs w:val="21"/>
        </w:rPr>
        <w:t xml:space="preserve">Ya está escrito con la versión anterior.</w:t>
      </w:r>
      <w:r>
        <w:rPr>
          <w:rFonts w:ascii="Calibri" w:cs="Calibri" w:eastAsia="Calibri" w:hAnsi="Calibri"/>
          <w:sz w:val="21"/>
          <w:szCs w:val="21"/>
        </w:rPr>
        <w:t xml:space="preserve"> Es un piloto y a la vez un caso de rectificación: enseña las dos cosas que hay que saber hacer.</w:t>
      </w:r>
    </w:p>
    <w:p>
      <w:pPr>
        <w:spacing w:after="140" w:line="276"/>
      </w:pPr>
      <w:r>
        <w:rPr>
          <w:rFonts w:ascii="Calibri" w:cs="Calibri" w:eastAsia="Calibri" w:hAnsi="Calibri"/>
          <w:sz w:val="21"/>
          <w:szCs w:val="21"/>
        </w:rPr>
        <w:t xml:space="preserve">Lo que el piloto </w:t>
      </w:r>
      <w:r>
        <w:rPr>
          <w:rFonts w:ascii="Calibri" w:cs="Calibri" w:eastAsia="Calibri" w:hAnsi="Calibri"/>
          <w:sz w:val="21"/>
          <w:szCs w:val="21"/>
        </w:rPr>
        <w:t xml:space="preserve">no</w:t>
      </w:r>
      <w:r>
        <w:rPr>
          <w:rFonts w:ascii="Calibri" w:cs="Calibri" w:eastAsia="Calibri" w:hAnsi="Calibri"/>
          <w:sz w:val="21"/>
          <w:szCs w:val="21"/>
        </w:rPr>
        <w:t xml:space="preserve"> demuestra: no demuestra que el catálogo funcione en contratos menores, en contratos basados en acuerdo marco o en adhesiones a centrales de compra, ni en prórrogas de contratos vivos. Para esos tres supuestos rigen las reglas específicas de la Parte I y no hay experiencia todavía.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(ADM-3·v3.3)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contabilidad y patrimonio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 la licencia mínima supletoria y la delimitación del código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Llevanza de la contabilidad municipal y del inventario de bienes y derechos conforme a la normativa presupuestaria y contable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 y del órgano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val="false"/>
                <w:bCs w:val="false"/>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sz w:val="21"/>
          <w:szCs w:val="21"/>
        </w:rPr>
        <w:t xml:space="preserve">Lo que hay que decir en voz alta sobre la fila 9</w:t>
      </w:r>
      <w:r>
        <w:rPr>
          <w:rFonts w:ascii="Calibri" w:cs="Calibri" w:eastAsia="Calibri" w:hAnsi="Calibri"/>
          <w:sz w:val="21"/>
          <w:szCs w:val="21"/>
        </w:rPr>
        <w:t xml:space="preserve">, porque es el punto que el área de contratación señaló y el que un recurrente atacará: la necesidad de agentización </w:t>
      </w:r>
      <w:r>
        <w:rPr>
          <w:rFonts w:ascii="Calibri" w:cs="Calibri" w:eastAsia="Calibri" w:hAnsi="Calibri"/>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sz w:val="21"/>
          <w:szCs w:val="21"/>
        </w:rPr>
        <w:t xml:space="preserve">S</w:t>
      </w:r>
      <w:r>
        <w:rPr>
          <w:rFonts w:ascii="Calibri" w:cs="Calibri" w:eastAsia="Calibri" w:hAnsi="Calibri"/>
          <w:sz w:val="21"/>
          <w:szCs w:val="21"/>
        </w:rPr>
        <w:t xml:space="preserve"> solvencia · </w:t>
      </w:r>
      <w:r>
        <w:rPr>
          <w:rFonts w:ascii="Calibri" w:cs="Calibri" w:eastAsia="Calibri" w:hAnsi="Calibri"/>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contabilidad no es hoy actuación administrativa automatizada,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val="false"/>
                <w:bCs w:val="false"/>
                <w:sz w:val="18"/>
                <w:szCs w:val="18"/>
              </w:rPr>
              <w:t xml:space="preserve">Arrastra: se suprime el criterio de adjudicación sobre infraestructuras de servicios de confianza</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r>
              <w:rPr>
                <w:rFonts w:ascii="Calibri" w:cs="Calibri" w:eastAsia="Calibri" w:hAnsi="Calibri"/>
                <w:b w:val="false"/>
                <w:bCs w:val="false"/>
                <w:sz w:val="18"/>
                <w:szCs w:val="18"/>
              </w:rPr>
              <w:t xml:space="preserve"> Automatización de procesos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val="false"/>
                <w:bCs w:val="false"/>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los adicionales de la misma lista cerrada puntúan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val="false"/>
                <w:bCs w:val="false"/>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val="false"/>
                <w:bCs w:val="false"/>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val="false"/>
                <w:bCs w:val="false"/>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r>
              <w:rPr>
                <w:rFonts w:ascii="Calibri" w:cs="Calibri" w:eastAsia="Calibri" w:hAnsi="Calibri"/>
                <w:b w:val="false"/>
                <w:bCs w:val="false"/>
                <w:sz w:val="18"/>
                <w:szCs w:val="18"/>
              </w:rPr>
              <w:t xml:space="preserve"> Solvencia técnica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La gobernanza de IA (UNE-EN ISO/IEC 42001 o equivalente) </w:t>
            </w:r>
            <w:r>
              <w:rPr>
                <w:rFonts w:ascii="Calibri" w:cs="Calibri" w:eastAsia="Calibri" w:hAnsi="Calibri"/>
                <w:b w:val="false"/>
                <w:bCs w:val="false"/>
                <w:sz w:val="18"/>
                <w:szCs w:val="18"/>
              </w:rPr>
              <w:t xml:space="preserve">no se exige como solvencia</w:t>
            </w:r>
            <w:r>
              <w:rPr>
                <w:rFonts w:ascii="Calibri" w:cs="Calibri" w:eastAsia="Calibri" w:hAnsi="Calibri"/>
                <w:b w:val="false"/>
                <w:bCs w:val="false"/>
                <w:sz w:val="18"/>
                <w:szCs w:val="18"/>
              </w:rPr>
              <w:t xml:space="preserve"> en este contrato: se configura como condición especial de ejecución con compromiso de obtención, porque exigirla como solvencia en un contrato no armonizado restringiría sin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r>
              <w:rPr>
                <w:rFonts w:ascii="Calibri" w:cs="Calibri" w:eastAsia="Calibri" w:hAnsi="Calibri"/>
                <w:b w:val="false"/>
                <w:bCs w:val="false"/>
                <w:sz w:val="18"/>
                <w:szCs w:val="18"/>
              </w:rPr>
              <w:t xml:space="preserve"> CEE esencial: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val="false"/>
                <w:bCs w:val="false"/>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Bloque A </w:t>
            </w:r>
            <w:r>
              <w:rPr>
                <w:rFonts w:ascii="Calibri" w:cs="Calibri" w:eastAsia="Calibri" w:hAnsi="Calibri"/>
                <w:b w:val="false"/>
                <w:bCs w:val="false"/>
                <w:sz w:val="18"/>
                <w:szCs w:val="18"/>
              </w:rPr>
              <w:t xml:space="preserve">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val="false"/>
                <w:bCs w:val="false"/>
                <w:sz w:val="18"/>
                <w:szCs w:val="18"/>
              </w:rPr>
              <w:t xml:space="preserve">sólo</w:t>
            </w:r>
            <w:r>
              <w:rPr>
                <w:rFonts w:ascii="Calibri" w:cs="Calibri" w:eastAsia="Calibri" w:hAnsi="Calibri"/>
                <w:b w:val="false"/>
                <w:bCs w:val="false"/>
                <w:sz w:val="18"/>
                <w:szCs w:val="18"/>
              </w:rPr>
              <w:t xml:space="preserve"> si el baremo mantiene el criterio D. Momento procedimental fijado en el PCAP y rúbrica publicada (VI.4.7)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r>
              <w:rPr>
                <w:rFonts w:ascii="Calibri" w:cs="Calibri" w:eastAsia="Calibri" w:hAnsi="Calibri"/>
                <w:b w:val="false"/>
                <w:bCs w:val="false"/>
                <w:sz w:val="18"/>
                <w:szCs w:val="18"/>
              </w:rPr>
              <w:t xml:space="preserve"> Plan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contabilidad está en la lista tasada de servicios críticos. Coste al presupuesto base de licitación. Si el contrato es de suscripción de producto estándar de un fabricante que no es el adjudicatario, se tramita por acuerdo con el titular de los derechos o </w:t>
            </w:r>
            <w:r>
              <w:rPr>
                <w:rFonts w:ascii="Calibri" w:cs="Calibri" w:eastAsia="Calibri" w:hAnsi="Calibri"/>
                <w:b w:val="false"/>
                <w:bCs w:val="false"/>
                <w:sz w:val="18"/>
                <w:szCs w:val="18"/>
              </w:rPr>
              <w:t xml:space="preserve">se marca NA y se motiva</w:t>
            </w:r>
            <w:r>
              <w:rPr>
                <w:rFonts w:ascii="Calibri" w:cs="Calibri" w:eastAsia="Calibri" w:hAnsi="Calibri"/>
                <w:b w:val="false"/>
                <w:bCs w:val="false"/>
                <w:sz w:val="18"/>
                <w:szCs w:val="18"/>
              </w:rPr>
              <w:t xml:space="preserve">, en lugar de exigir un compromiso que ningún integrador puede obtener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val="false"/>
                <w:bCs w:val="false"/>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sz w:val="21"/>
          <w:szCs w:val="21"/>
        </w:rPr>
        <w:t xml:space="preserve">Recuento del piloto: </w:t>
      </w:r>
      <w:r>
        <w:rPr>
          <w:rFonts w:ascii="Calibri" w:cs="Calibri" w:eastAsia="Calibri" w:hAnsi="Calibri"/>
          <w:sz w:val="21"/>
          <w:szCs w:val="21"/>
        </w:rPr>
        <w:t xml:space="preserve">19 cláusulas aplicadas, 3 marcadas NO APLICA</w:t>
      </w:r>
      <w:r>
        <w:rPr>
          <w:rFonts w:ascii="Calibri" w:cs="Calibri" w:eastAsia="Calibri" w:hAnsi="Calibri"/>
          <w:sz w:val="21"/>
          <w:szCs w:val="21"/>
        </w:rPr>
        <w:t xml:space="preserve"> (DT-2·v3, DT-3·v3, ADM-14·v3) y </w:t>
      </w:r>
      <w:r>
        <w:rPr>
          <w:rFonts w:ascii="Calibri" w:cs="Calibri" w:eastAsia="Calibri" w:hAnsi="Calibri"/>
          <w:sz w:val="21"/>
          <w:szCs w:val="21"/>
        </w:rPr>
        <w:t xml:space="preserve">2 condicionadas</w:t>
      </w:r>
      <w:r>
        <w:rPr>
          <w:rFonts w:ascii="Calibri" w:cs="Calibri" w:eastAsia="Calibri" w:hAnsi="Calibri"/>
          <w:sz w:val="21"/>
          <w:szCs w:val="21"/>
        </w:rPr>
        <w:t xml:space="preserve"> al acuerdo del órgano de gobierno (DT-7·v3 y DT-9·v3, y con ellas ADM-2·v3).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w:t>
      </w:r>
      <w:r>
        <w:rPr>
          <w:rFonts w:ascii="Calibri" w:cs="Calibri" w:eastAsia="Calibri" w:hAnsi="Calibri"/>
          <w:sz w:val="21"/>
          <w:szCs w:val="21"/>
        </w:rPr>
        <w:t xml:space="preserve">Tribunal Administrativo de Contratación Pública de la Comunidad de Madrid, Resolución 383/2024, de 3 de octubre de 2024, expediente 383/2024</w:t>
      </w:r>
      <w:r>
        <w:rPr>
          <w:rFonts w:ascii="Calibri" w:cs="Calibri" w:eastAsia="Calibri" w:hAnsi="Calibri"/>
          <w:sz w:val="21"/>
          <w:szCs w:val="21"/>
        </w:rPr>
        <w:t xml:space="preserve">, recurso de Tecnologías Viales Aplicadas TEVA, S.L. contra los pliegos del </w:t>
      </w:r>
      <w:r>
        <w:rPr>
          <w:rFonts w:ascii="Calibri" w:cs="Calibri" w:eastAsia="Calibri" w:hAnsi="Calibri"/>
          <w:sz w:val="21"/>
          <w:szCs w:val="21"/>
        </w:rPr>
        <w:t xml:space="preserve">Ayuntamiento de Parla</w:t>
      </w:r>
      <w:r>
        <w:rPr>
          <w:rFonts w:ascii="Calibri" w:cs="Calibri" w:eastAsia="Calibri" w:hAnsi="Calibri"/>
          <w:sz w:val="21"/>
          <w:szCs w:val="21"/>
        </w:rPr>
        <w:t xml:space="preserve"> (</w:t>
      </w:r>
      <w:r>
        <w:rPr>
          <w:rFonts w:ascii="Calibri" w:cs="Calibri" w:eastAsia="Calibri" w:hAnsi="Calibri"/>
          <w:sz w:val="21"/>
          <w:szCs w:val="21"/>
          <w:u w:val="single"/>
        </w:rPr>
        <w:t xml:space="preserve">PDF</w:t>
      </w:r>
      <w:r>
        <w:rPr>
          <w:rFonts w:ascii="Calibri" w:cs="Calibri" w:eastAsia="Calibri" w:hAnsi="Calibri"/>
          <w:sz w:val="21"/>
          <w:szCs w:val="21"/>
        </w:rPr>
        <w:t xml:space="preserve">). El Tribunal </w:t>
      </w:r>
      <w:r>
        <w:rPr>
          <w:rFonts w:ascii="Calibri" w:cs="Calibri" w:eastAsia="Calibri" w:hAnsi="Calibri"/>
          <w:sz w:val="21"/>
          <w:szCs w:val="21"/>
        </w:rPr>
        <w:t xml:space="preserve">estimó el recurso y anuló los pliegos</w:t>
      </w:r>
      <w:r>
        <w:rPr>
          <w:rFonts w:ascii="Calibri" w:cs="Calibri" w:eastAsia="Calibri" w:hAnsi="Calibri"/>
          <w:sz w:val="21"/>
          <w:szCs w:val="21"/>
        </w:rPr>
        <w:t xml:space="preserve"> por exigir certificación de conformidad con el ENS de Nivel Alto sin justificación, y razonó, en lo que aquí importa:</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r>
        <w:rPr>
          <w:rFonts w:ascii="Calibri" w:cs="Calibri" w:eastAsia="Calibri" w:hAnsi="Calibri"/>
          <w:sz w:val="21"/>
          <w:szCs w:val="21"/>
        </w:rPr>
        <w:t xml:space="preserve">Se cita como doctrina general trasladada por analogía —resuelve sobre otro objeto contractual—, pero es el tribunal que resolvería un recurso contra un ayuntamiento de la Comunidad de Madrid y el supuesto es el mismo. La consecuencia operativa es literal: </w:t>
      </w:r>
      <w:r>
        <w:rPr>
          <w:rFonts w:ascii="Calibri" w:cs="Calibri" w:eastAsia="Calibri" w:hAnsi="Calibri"/>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entre otros supuestos, a la categoría ALTA: si el análisis concluye MEDIA, el depósito se activa por la vía de la lista tasada de servicios críticos —en la que la contabilidad figura—, y así debe decirlo la ficha.</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V.2) se </w:t>
      </w:r>
      <w:r>
        <w:rPr>
          <w:rFonts w:ascii="Calibri" w:cs="Calibri" w:eastAsia="Calibri" w:hAnsi="Calibri"/>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TÉCNICO [N]. EXIGENCIAS TECNOLÓGICAS DETERMINADAS APLICABLES A ESTE CONTRATO</w:t>
            </w:r>
          </w:p>
          <w:p>
            <w:pPr>
              <w:spacing w:after="100" w:line="264"/>
            </w:pPr>
            <w:r>
              <w:rPr>
                <w:rFonts w:ascii="Georgia" w:cs="Georgia" w:eastAsia="Georgia" w:hAnsi="Georgia"/>
                <w:sz w:val="20"/>
                <w:szCs w:val="20"/>
              </w:rPr>
              <w:t xml:space="preserve">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Módulos alcanzados por la exigencia ET-1: (i) contabilidad presupuestaria y financiera; (ii) gestión patrimonial e inventario de bienes y derechos; (iii) terceros y endosos. Quedan excluidos los módulos [relación de módulos excluidos].</w:t>
            </w:r>
          </w:p>
          <w:p>
            <w:pPr>
              <w:spacing w:after="100" w:line="264"/>
            </w:pPr>
            <w:r>
              <w:rPr>
                <w:rFonts w:ascii="Georgia" w:cs="Georgia" w:eastAsia="Georgia" w:hAnsi="Georgia"/>
                <w:sz w:val="20"/>
                <w:szCs w:val="20"/>
              </w:rPr>
              <w:t xml:space="preserve">Funciones mínimas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Plazo de entrega: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sz w:val="21"/>
          <w:szCs w:val="21"/>
        </w:rPr>
        <w:t xml:space="preserve">Variante A — procedimiento abierto ordinario (recomendada para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fórmula publicada y tratamiento de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acreditada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 la lista cerrada «deseables» del PPT que la solución cubre sin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«obligatorios» del PPT, que no puntúan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val="false"/>
                <w:bCs w:val="false"/>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(gestor contable, patrimonio,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 la </w:t>
            </w:r>
            <w:r>
              <w:rPr>
                <w:rFonts w:ascii="Calibri" w:cs="Calibri" w:eastAsia="Calibri" w:hAnsi="Calibri"/>
                <w:b w:val="false"/>
                <w:bCs w:val="false"/>
                <w:sz w:val="18"/>
                <w:szCs w:val="18"/>
              </w:rPr>
              <w:t xml:space="preserve">lista cerrada publicada en el PPT</w:t>
            </w:r>
            <w:r>
              <w:rPr>
                <w:rFonts w:ascii="Calibri" w:cs="Calibri" w:eastAsia="Calibri" w:hAnsi="Calibri"/>
                <w:b w:val="false"/>
                <w:bCs w:val="false"/>
                <w:sz w:val="18"/>
                <w:szCs w:val="18"/>
              </w:rPr>
              <w:t xml:space="preserve"> que el licitador se compromete a exponer </w:t>
            </w:r>
            <w:r>
              <w:rPr>
                <w:rFonts w:ascii="Calibri" w:cs="Calibri" w:eastAsia="Calibri" w:hAnsi="Calibri"/>
                <w:b w:val="false"/>
                <w:bCs w:val="false"/>
                <w:sz w:val="18"/>
                <w:szCs w:val="18"/>
              </w:rPr>
              <w:t xml:space="preserve">por encima</w:t>
            </w:r>
            <w:r>
              <w:rPr>
                <w:rFonts w:ascii="Calibri" w:cs="Calibri" w:eastAsia="Calibri" w:hAnsi="Calibri"/>
                <w:b w:val="false"/>
                <w:bCs w:val="false"/>
                <w:sz w:val="18"/>
                <w:szCs w:val="18"/>
              </w:rPr>
              <w:t xml:space="preserve"> de las cinco funciones mínimas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 ET-1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 Resolución del caso de uso municipal predefinido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resuelve el licitador el caso único publicado en el PCAP, idéntico para todos, sobre datos ficticios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val="false"/>
                <w:bCs w:val="false"/>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cualitativos: 60 puntos (60 %).</w:t>
      </w:r>
      <w:r>
        <w:rPr>
          <w:rFonts w:ascii="Calibri" w:cs="Calibri" w:eastAsia="Calibri" w:hAnsi="Calibri"/>
          <w:sz w:val="21"/>
          <w:szCs w:val="21"/>
        </w:rPr>
        <w:t xml:space="preserve">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interoperabilidad con infraestructuras de servicios de confianza, porque DT-2·v3 está marcada NO APLICA. Puntuar una capacidad cuya cláusula técnica se ha declarado innecesaria no se motiva: se anula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ya disponibles a fecha de licitación.</w:t>
      </w:r>
    </w:p>
    <w:p>
      <w:pPr>
        <w:spacing w:after="140" w:line="276"/>
      </w:pPr>
      <w:r>
        <w:rPr>
          <w:rFonts w:ascii="Calibri" w:cs="Calibri" w:eastAsia="Calibri" w:hAnsi="Calibri"/>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w:t>
      </w:r>
    </w:p>
    <w:p>
      <w:pPr>
        <w:spacing w:after="140" w:line="276"/>
      </w:pPr>
      <w:r>
        <w:rPr>
          <w:rFonts w:ascii="Calibri" w:cs="Calibri" w:eastAsia="Calibri" w:hAnsi="Calibri"/>
          <w:sz w:val="21"/>
          <w:szCs w:val="21"/>
        </w:rPr>
        <w:t xml:space="preserve">Variante C — procedimiento abreviado (art. 159.6 LCSP)</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acreditada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w:t>
      </w:r>
    </w:p>
    <w:p>
      <w:pPr>
        <w:spacing w:after="140" w:line="276"/>
      </w:pPr>
      <w:r>
        <w:rPr>
          <w:rFonts w:ascii="Calibri" w:cs="Calibri" w:eastAsia="Calibri" w:hAnsi="Calibri"/>
          <w:sz w:val="21"/>
          <w:szCs w:val="21"/>
        </w:rPr>
        <w:t xml:space="preserve">Regla común a las tres variantes:</w:t>
      </w:r>
      <w:r>
        <w:rPr>
          <w:rFonts w:ascii="Calibri" w:cs="Calibri" w:eastAsia="Calibri" w:hAnsi="Calibri"/>
          <w:sz w:val="21"/>
          <w:szCs w:val="21"/>
        </w:rPr>
        <w:t xml:space="preserve"> el baremo se publica con la ponderación exacta de cada criterio y no se reescala después de conocidas las ofertas. La cláusula de separabilidad de la Parte I opera sobre cláusulas y obligaciones; sobre las ponderaciones de los criterios sólo puede operar antes de publicar y con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(importe anual sin IVA × años de duración inicial)</w:t>
      </w:r>
    </w:p>
    <w:p>
      <w:pPr>
        <w:spacing w:after="140" w:line="276"/>
      </w:pPr>
      <w:r>
        <w:rPr>
          <w:rFonts w:ascii="Calibri" w:cs="Calibri" w:eastAsia="Calibri" w:hAnsi="Calibri"/>
          <w:sz w:val="21"/>
          <w:szCs w:val="21"/>
        </w:rPr>
        <w:t xml:space="preserve">+ (importe anual sin IVA × años de prórrogas previstas)</w:t>
      </w:r>
    </w:p>
    <w:p>
      <w:pPr>
        <w:spacing w:after="140" w:line="276"/>
      </w:pPr>
      <w:r>
        <w:rPr>
          <w:rFonts w:ascii="Calibri" w:cs="Calibri" w:eastAsia="Calibri" w:hAnsi="Calibri"/>
          <w:sz w:val="21"/>
          <w:szCs w:val="21"/>
        </w:rPr>
        <w:t xml:space="preserve">+ importe máximo de la bolsa de servicios evolutivos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w:t>
      </w:r>
      <w:r>
        <w:rPr>
          <w:rFonts w:ascii="Calibri" w:cs="Calibri" w:eastAsia="Calibri" w:hAnsi="Calibri"/>
          <w:sz w:val="21"/>
          <w:szCs w:val="21"/>
        </w:rPr>
        <w:t xml:space="preserve"> Está en el presupuesto base de licitación, luego está en el valor estimado. Escribir que no lo infla es un error de cálculo del valor estimado, y el valor estimado determina la publicidad armonizada y el acceso al recurso especial.</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—cifras hipotéticas, sustitúyanse por las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 anual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 2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[5] % del importe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504.000 €</w:t>
            </w:r>
          </w:p>
        </w:tc>
      </w:tr>
    </w:tbl>
    <w:p>
      <w:pPr>
        <w:spacing w:after="200"/>
      </w:pPr>
    </w:p>
    <w:p>
      <w:pPr>
        <w:spacing w:after="140" w:line="276"/>
      </w:pPr>
      <w:r>
        <w:rPr>
          <w:rFonts w:ascii="Calibri" w:cs="Calibri" w:eastAsia="Calibri" w:hAnsi="Calibri"/>
          <w:sz w:val="21"/>
          <w:szCs w:val="21"/>
        </w:rPr>
        <w:t xml:space="preserve">Comprobación de los tres umbrales con ese resultado: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servicios y suministros vigente para 2026-2027: 216.000 € (Reglamento Delegado (UE) 2025/2152, vigente hasta 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Procede</w:t>
            </w:r>
            <w:r>
              <w:rPr>
                <w:rFonts w:ascii="Calibri" w:cs="Calibri" w:eastAsia="Calibri" w:hAnsi="Calibri"/>
                <w:b w:val="false"/>
                <w:bCs w:val="false"/>
                <w:sz w:val="18"/>
                <w:szCs w:val="18"/>
              </w:rPr>
              <w:t xml:space="preserve">. Publicidad en el DOUE y plazos armonizados</w:t>
            </w:r>
          </w:p>
        </w:tc>
      </w:tr>
    </w:tbl>
    <w:p>
      <w:pPr>
        <w:spacing w:after="200"/>
      </w:pPr>
    </w:p>
    <w:p>
      <w:pPr>
        <w:spacing w:after="140" w:line="276"/>
      </w:pPr>
      <w:r>
        <w:rPr>
          <w:rFonts w:ascii="Calibri" w:cs="Calibri" w:eastAsia="Calibri" w:hAnsi="Calibri"/>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En un expediente de menor cuantía la decisión sería aún más clara: 12.000 € de reserva pueden llevar un contrato de 90.000 € por encima de los 100.000 € y regalar al recurrente una ventana que no tenía.</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El área de contratación advirtió que «son pocos los contratos en los que se haga un seguimiento real y este se basa exclusivamente en el control del gasto, ni eficiencia, ni eficacia». La respuesta no es prometer más seguimiento: es dimensionarlo y decir quién lo hace. </w:t>
      </w:r>
      <w:r>
        <w:rPr>
          <w:rFonts w:ascii="Calibri" w:cs="Calibri" w:eastAsia="Calibri" w:hAnsi="Calibri"/>
          <w:sz w:val="21"/>
          <w:szCs w:val="21"/>
        </w:rPr>
        <w:t xml:space="preserve">Ninguna cláusula se incorpora si su verificación no tiene actor municipal designado y periodicidad.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estimada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ET-1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vencer el plazo de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 h, una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 una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18-24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inicial y actualización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constitución, actualización y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cada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16-24 h por ensayo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h de verificación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Total estimado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55-75 h/año</w:t>
            </w:r>
            <w:r>
              <w:rPr>
                <w:rFonts w:ascii="Calibri" w:cs="Calibri" w:eastAsia="Calibri" w:hAnsi="Calibri"/>
                <w:b w:val="false"/>
                <w:bCs w:val="false"/>
                <w:sz w:val="18"/>
                <w:szCs w:val="18"/>
              </w:rPr>
              <w:t xml:space="preserve"> más ≈ 20 h de aceptación inicial</w:t>
            </w:r>
          </w:p>
        </w:tc>
      </w:tr>
    </w:tbl>
    <w:p>
      <w:pPr>
        <w:spacing w:after="200"/>
      </w:pPr>
    </w:p>
    <w:p>
      <w:pPr>
        <w:spacing w:after="140" w:line="276"/>
      </w:pPr>
      <w:r>
        <w:rPr>
          <w:rFonts w:ascii="Calibri" w:cs="Calibri" w:eastAsia="Calibri" w:hAnsi="Calibri"/>
          <w:sz w:val="21"/>
          <w:szCs w:val="21"/>
        </w:rPr>
        <w:t xml:space="preserve">Lectura honesta de esa cifra: con [10] contratos activos bajo este catálogo, la carga anual se acerca a </w:t>
      </w:r>
      <w:r>
        <w:rPr>
          <w:rFonts w:ascii="Calibri" w:cs="Calibri" w:eastAsia="Calibri" w:hAnsi="Calibri"/>
          <w:sz w:val="21"/>
          <w:szCs w:val="21"/>
        </w:rPr>
        <w:t xml:space="preserve">0,4 efectivos a jornada completa</w:t>
      </w:r>
      <w:r>
        <w:rPr>
          <w:rFonts w:ascii="Calibri" w:cs="Calibri" w:eastAsia="Calibri" w:hAnsi="Calibri"/>
          <w:sz w:val="21"/>
          <w:szCs w:val="21"/>
        </w:rPr>
        <w:t xml:space="preserve">. Es asumible si se planifica y es inasumible si se descubre a posteriori. Crear obligaciones esenciales que después nadie verifica es peor que no crearlas: convierte cada penalidad en una discusión sobre por qué no se detectó antes.</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[3] accesos de consulta incluidos en el precio</w:t>
      </w:r>
      <w:r>
        <w:rPr>
          <w:rFonts w:ascii="Calibri" w:cs="Calibri" w:eastAsia="Calibri" w:hAnsi="Calibri"/>
          <w:sz w:val="21"/>
          <w:szCs w:val="21"/>
        </w:rPr>
        <w:t xml:space="preserve">, de alcance funcional no inferior al del órgano gestor, sin coste adicional, durante toda la vigencia y las prórrogas.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Se hace constar expresamente lo que </w:t>
      </w:r>
      <w:r>
        <w:rPr>
          <w:rFonts w:ascii="Calibri" w:cs="Calibri" w:eastAsia="Calibri" w:hAnsi="Calibri"/>
          <w:sz w:val="21"/>
          <w:szCs w:val="21"/>
        </w:rPr>
        <w:t xml:space="preserve">no</w:t>
      </w:r>
      <w:r>
        <w:rPr>
          <w:rFonts w:ascii="Calibri" w:cs="Calibri" w:eastAsia="Calibri" w:hAnsi="Calibri"/>
          <w:sz w:val="21"/>
          <w:szCs w:val="21"/>
        </w:rPr>
        <w:t xml:space="preserve"> es su fundamento: el art. 33.4.d) del RD 424/2017 habilita a solicitar de terceros información sobre operaciones, saldos contables y costes cuando el contrato lo prevea —circularización en auditoría pública—, y no es título para exigir acceso funcional permanente a la aplicación. Se cita, por tanto, como refuerzo de la previsión contractual, no como su fundamento principal.</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Ninguno es nuevo salvo tres. La columna «estado» es la que hay que rellenar antes de aprobar.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val="false"/>
                <w:bCs w:val="false"/>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w:t>
      </w:r>
    </w:p>
    <w:p>
      <w:pPr>
        <w:spacing w:after="140" w:line="276"/>
      </w:pPr>
      <w:r>
        <w:rPr>
          <w:rFonts w:ascii="Calibri" w:cs="Calibri" w:eastAsia="Calibri" w:hAnsi="Calibri"/>
          <w:sz w:val="21"/>
          <w:szCs w:val="21"/>
        </w:rPr>
        <w:t xml:space="preserve">Carpeta de defensa.</w:t>
      </w:r>
      <w:r>
        <w:rPr>
          <w:rFonts w:ascii="Calibri" w:cs="Calibri" w:eastAsia="Calibri" w:hAnsi="Calibri"/>
          <w:sz w:val="21"/>
          <w:szCs w:val="21"/>
        </w:rPr>
        <w:t xml:space="preserve"> Antes de publicar el anuncio, se deja preparado un índice con los dieciséis documentos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Sólo si el baremo mantiene el criterio D. Se recoge aquí, y no en un anexo, porque el caso de uso es específico de este contrato.</w:t>
      </w:r>
    </w:p>
    <w:p>
      <w:pPr>
        <w:spacing w:after="140" w:line="276"/>
      </w:pPr>
      <w:r>
        <w:rPr>
          <w:rFonts w:ascii="Calibri" w:cs="Calibri" w:eastAsia="Calibri" w:hAnsi="Calibri"/>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[90] minutos; orden por sorteo; mismo guion y mismo tiempo para todos; incidencias técnicas documentadas y reanudación por una sola vez.</w:t>
      </w:r>
    </w:p>
    <w:p>
      <w:pPr>
        <w:spacing w:after="140" w:line="276"/>
      </w:pPr>
      <w:r>
        <w:rPr>
          <w:rFonts w:ascii="Calibri" w:cs="Calibri" w:eastAsia="Calibri" w:hAnsi="Calibri"/>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sz w:val="21"/>
          <w:szCs w:val="21"/>
        </w:rPr>
        <w:t xml:space="preserve">Documentación de la sesión:</w:t>
      </w:r>
      <w:r>
        <w:rPr>
          <w:rFonts w:ascii="Calibri" w:cs="Calibri" w:eastAsia="Calibri" w:hAnsi="Calibri"/>
          <w:sz w:val="21"/>
          <w:szCs w:val="21"/>
        </w:rPr>
        <w:t xml:space="preserve"> acta escrita detallada suscrita por quienes asistan, con el resultado de cada uno de los cinco puntos y las incidencias.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sz w:val="21"/>
          <w:szCs w:val="21"/>
        </w:rPr>
        <w:t xml:space="preserve">Rúbrica del criterio D (7 puntos), publicada en 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observable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cinco puntos se completan en tiempo; toda operación queda registrada con usuario, momento y datos afectados; la exportación se obtiene en formato abierto sin intervención del proveedor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con apoyo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cinco puntos se completan, pero alguno requiere una intervención manual del proveedor no prevista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completan tres o cuatro puntos; el registro de auditoría no reconstruye alguna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completan uno o dos puntos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demostrado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completa ninguno, o lo mostrado no se corresponde con lo descrito en la memoria técnica</w:t>
            </w:r>
          </w:p>
        </w:tc>
      </w:tr>
    </w:tbl>
    <w:p>
      <w:pPr>
        <w:spacing w:after="200"/>
      </w:pPr>
    </w:p>
    <w:p>
      <w:pPr>
        <w:spacing w:after="140" w:line="276"/>
      </w:pPr>
      <w:r>
        <w:rPr>
          <w:rFonts w:ascii="Calibri" w:cs="Calibri" w:eastAsia="Calibri" w:hAnsi="Calibri"/>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sz w:val="21"/>
          <w:szCs w:val="21"/>
        </w:rPr>
        <w:t xml:space="preserve">no puede fundar por sí solo la exclusión</w:t>
      </w:r>
      <w:r>
        <w:rPr>
          <w:rFonts w:ascii="Calibri" w:cs="Calibri" w:eastAsia="Calibri" w:hAnsi="Calibri"/>
          <w:sz w:val="21"/>
          <w:szCs w:val="21"/>
        </w:rPr>
        <w:t xml:space="preserve"> del licitador. Y una cautela de diseño: exigir una sesión de resolución de un caso favorece a quien ya tiene producto operativo. Se compensa manteniendo su peso bajo (7 de 100) y permitiendo la demostración sobre un entorno de pruebas o preproducción del licitador, sin exigir instalación en 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Revisión de lo ya redactado el 24/08/2026</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en los pliegos del 24/08/2026 (texto 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val="false"/>
                <w:bCs w:val="false"/>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val="false"/>
                <w:bCs w:val="false"/>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val="false"/>
                <w:bCs w:val="false"/>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val="false"/>
                <w:bCs w:val="false"/>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val="false"/>
                <w:bCs w:val="false"/>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val="false"/>
                <w:bCs w:val="false"/>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val="false"/>
                <w:bCs w:val="false"/>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val="false"/>
                <w:bCs w:val="false"/>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contabilidad en el contrato de contabilidad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val="false"/>
                <w:bCs w:val="false"/>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val="false"/>
                <w:bCs w:val="false"/>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 este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val="false"/>
                <w:bCs w:val="false"/>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val="false"/>
                <w:bCs w:val="false"/>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el Ayuntamiento no puede ceder la aplicación a otra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val="false"/>
                <w:bCs w:val="false"/>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y delimitación de lo que </w:t>
            </w: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se cede (el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val="false"/>
                <w:bCs w:val="false"/>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val="false"/>
                <w:bCs w:val="false"/>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val="false"/>
                <w:bCs w:val="false"/>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val="false"/>
                <w:bCs w:val="false"/>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r>
              <w:rPr>
                <w:rFonts w:ascii="Calibri" w:cs="Calibri" w:eastAsia="Calibri" w:hAnsi="Calibri"/>
                <w:b w:val="false"/>
                <w:bCs w:val="false"/>
                <w:sz w:val="18"/>
                <w:szCs w:val="18"/>
              </w:rPr>
              <w:t xml:space="preserve"> con la excepción expresa de DT-0·v3.6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val="false"/>
                <w:bCs w:val="false"/>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val="false"/>
                <w:bCs w:val="false"/>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val="false"/>
                <w:bCs w:val="false"/>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val="false"/>
                <w:bCs w:val="false"/>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P2</w:t>
            </w:r>
          </w:p>
        </w:tc>
      </w:tr>
    </w:tbl>
    <w:p>
      <w:pPr>
        <w:spacing w:after="200"/>
      </w:pPr>
    </w:p>
    <w:p>
      <w:pPr>
        <w:spacing w:after="140" w:line="276"/>
      </w:pPr>
      <w:r>
        <w:rPr>
          <w:rFonts w:ascii="Calibri" w:cs="Calibri" w:eastAsia="Calibri" w:hAnsi="Calibri"/>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El riesgo de publicar el modelo antes de rectificar el piloto</w:t>
      </w:r>
    </w:p>
    <w:p>
      <w:pPr>
        <w:spacing w:after="140" w:line="276"/>
      </w:pPr>
      <w:r>
        <w:rPr>
          <w:rFonts w:ascii="Calibri" w:cs="Calibri" w:eastAsia="Calibri" w:hAnsi="Calibri"/>
          <w:sz w:val="21"/>
          <w:szCs w:val="21"/>
        </w:rPr>
        <w:t xml:space="preserve">Hay que decirlo sin rodeos, porque es la decisión más importante que este documento plantea a quien lo firma.</w:t>
      </w:r>
    </w:p>
    <w:p>
      <w:pPr>
        <w:spacing w:after="140" w:line="276"/>
      </w:pPr>
      <w:r>
        <w:rPr>
          <w:rFonts w:ascii="Calibri" w:cs="Calibri" w:eastAsia="Calibri" w:hAnsi="Calibri"/>
          <w:sz w:val="21"/>
          <w:szCs w:val="21"/>
        </w:rPr>
        <w:t xml:space="preserve">Este documento se publica en abierto para que cualquier administración lo reutilice. Enumera, con nombres y apellidos técnicos, los defectos de su propia versión anterior. Y esa versión anterior es la que está hoy en los pliegos del primer contrato al que se aplicó.</w:t>
      </w:r>
    </w:p>
    <w:p>
      <w:pPr>
        <w:spacing w:after="140" w:line="276"/>
      </w:pPr>
      <w:r>
        <w:rPr>
          <w:rFonts w:ascii="Calibri" w:cs="Calibri" w:eastAsia="Calibri" w:hAnsi="Calibri"/>
          <w:sz w:val="21"/>
          <w:szCs w:val="21"/>
        </w:rPr>
        <w:t xml:space="preserve">Consecuencia concreta: </w:t>
      </w:r>
      <w:r>
        <w:rPr>
          <w:rFonts w:ascii="Calibri" w:cs="Calibri" w:eastAsia="Calibri" w:hAnsi="Calibri"/>
          <w:sz w:val="21"/>
          <w:szCs w:val="21"/>
        </w:rPr>
        <w:t xml:space="preserve">un licitador que quiera recurrir esos pliegos no necesita recurrir el modelo.</w:t>
      </w:r>
      <w:r>
        <w:rPr>
          <w:rFonts w:ascii="Calibri" w:cs="Calibri" w:eastAsia="Calibri" w:hAnsi="Calibri"/>
          <w:sz w:val="21"/>
          <w:szCs w:val="21"/>
        </w:rPr>
        <w:t xml:space="preserve"> Le basta con recurrir el pliego y aportar el modelo publicado por el propio Ayuntamiento como prueba de que la exigencia que impugna era, según su autor, indefendible. Cada advertencia honesta de este documento —«esta redacción no supera el art. 204.1», «esta figura no es de uso habitual y no consta doctrina», «la copia literal sin ficha de necesidad reproduce el vicio»— es exacta, es necesaria y, publicada antes de rectificar el piloto, es también munición.</w:t>
      </w:r>
    </w:p>
    <w:p>
      <w:pPr>
        <w:spacing w:after="140" w:line="276"/>
      </w:pPr>
      <w:r>
        <w:rPr>
          <w:rFonts w:ascii="Calibri" w:cs="Calibri" w:eastAsia="Calibri" w:hAnsi="Calibri"/>
          <w:sz w:val="21"/>
          <w:szCs w:val="21"/>
        </w:rPr>
        <w:t xml:space="preserve">Las tres opciones, con su coste: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Opción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implica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Rectificar primero, publicar después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(recomendada)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Ejecutar las correcciones P1 de VI.6, obtener el informe jurídico preceptivo sobre los pliegos rectificados y publicar el modelo a continuación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Retrasa la publicación del modelo lo que tarde el circuito del expediente. No hay ningún otro 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Publicar simultáneamente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Publicar el modelo y aprobar los pliegos rectificados en el mismo acto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coordinación real entre el área promotora y el área de contratación. Viable si el expediente está en la situación A o B de VI.2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Publicar el modelo con el piloto sin rectificar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Publicar y corregir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asume el riesgo descrito. Si el piloto se recurre y se anula, el modelo nace con el titular de «el ayuntamiento que publicó un modelo que su propio pliego incumplía»</w:t>
            </w:r>
          </w:p>
        </w:tc>
      </w:tr>
    </w:tbl>
    <w:p>
      <w:pPr>
        <w:spacing w:after="200"/>
      </w:pPr>
    </w:p>
    <w:p>
      <w:pPr>
        <w:spacing w:after="140" w:line="276"/>
      </w:pPr>
      <w:r>
        <w:rPr>
          <w:rFonts w:ascii="Calibri" w:cs="Calibri" w:eastAsia="Calibri" w:hAnsi="Calibri"/>
          <w:sz w:val="21"/>
          <w:szCs w:val="21"/>
        </w:rPr>
        <w:t xml:space="preserve">La recomendación de este documento es la opción 1, y la razón no es prudencia procesal: es que </w:t>
      </w:r>
      <w:r>
        <w:rPr>
          <w:rFonts w:ascii="Calibri" w:cs="Calibri" w:eastAsia="Calibri" w:hAnsi="Calibri"/>
          <w:sz w:val="21"/>
          <w:szCs w:val="21"/>
        </w:rPr>
        <w:t xml:space="preserve">la credibilidad del modelo depende de que su primera aplicación lo cumpla</w:t>
      </w:r>
      <w:r>
        <w:rPr>
          <w:rFonts w:ascii="Calibri" w:cs="Calibri" w:eastAsia="Calibri" w:hAnsi="Calibri"/>
          <w:sz w:val="21"/>
          <w:szCs w:val="21"/>
        </w:rPr>
        <w:t xml:space="preserve">. Un catálogo de cláusulas cuyo primer expediente arrastra los defectos que el catálogo corrige no es un catálogo defectuoso: es un catálogo que nadie va a copiar.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lo que el área de contratación pidió —un experimento— tiene que producir datos. El servicio promotor emitirá dos informes, dirigidos al órgano de contratación y al órgano de control interno:</w:t>
      </w:r>
    </w:p>
    <w:p>
      <w:pPr>
        <w:spacing w:after="140" w:line="276"/>
      </w:pPr>
      <w:r>
        <w:rPr>
          <w:rFonts w:ascii="Calibri" w:cs="Calibri" w:eastAsia="Calibri" w:hAnsi="Calibri"/>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sz w:val="21"/>
          <w:szCs w:val="21"/>
        </w:rPr>
        <w:t xml:space="preserve">los anexos I, II, III, IV, VI y X son instrumentos de trabajo del expediente y no se copian al pliego.</w:t>
      </w:r>
      <w:r>
        <w:rPr>
          <w:rFonts w:ascii="Calibri" w:cs="Calibri" w:eastAsia="Calibri" w:hAnsi="Calibri"/>
          <w:sz w:val="21"/>
          <w:szCs w:val="21"/>
        </w:rPr>
        <w:t xml:space="preserve"> Los anexos V, VII y IX contienen texto que sí se incorpora a un pliego o a la documentación de la licitación, y por eso su texto literal va en bloque delimitado. El anexo VIII es un modelo de acuerdo del órgano de gobierno.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val="false"/>
                <w:bCs w:val="false"/>
                <w:sz w:val="18"/>
                <w:szCs w:val="18"/>
              </w:rPr>
              <w:t xml:space="preserve">funciones mínimas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val="false"/>
                <w:bCs w:val="false"/>
                <w:sz w:val="18"/>
                <w:szCs w:val="18"/>
              </w:rPr>
              <w:t xml:space="preserve">funciones adicionales de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val="false"/>
                <w:bCs w:val="false"/>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val="false"/>
                <w:bCs w:val="false"/>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val="false"/>
                <w:bCs w:val="false"/>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val="false"/>
                <w:bCs w:val="false"/>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las tres casillas de motivación. (3) La casilla «origen» determina quién firma. (4) </w:t>
      </w:r>
      <w:r>
        <w:rPr>
          <w:rFonts w:ascii="Calibri" w:cs="Calibri" w:eastAsia="Calibri" w:hAnsi="Calibri"/>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w:t>
      </w:r>
    </w:p>
    <w:p>
      <w:pPr>
        <w:spacing w:after="140" w:line="276"/>
      </w:pPr>
      <w:r>
        <w:rPr>
          <w:rFonts w:ascii="Calibri" w:cs="Calibri" w:eastAsia="Calibri" w:hAnsi="Calibri"/>
          <w:sz w:val="21"/>
          <w:szCs w:val="21"/>
        </w:rPr>
        <w:t xml:space="preserve">Orígenes de necesidad.</w:t>
      </w:r>
      <w:r>
        <w:rPr>
          <w:rFonts w:ascii="Calibri" w:cs="Calibri" w:eastAsia="Calibri" w:hAnsi="Calibri"/>
          <w:sz w:val="21"/>
          <w:szCs w:val="21"/>
        </w:rPr>
        <w:t xml:space="preserve"> </w:t>
      </w:r>
      <w:r>
        <w:rPr>
          <w:rFonts w:ascii="Calibri" w:cs="Calibri" w:eastAsia="Calibri" w:hAnsi="Calibri"/>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de cierre</w:t>
      </w:r>
      <w:r>
        <w:rPr>
          <w:rFonts w:ascii="Calibri" w:cs="Calibri" w:eastAsia="Calibri" w:hAnsi="Calibri"/>
          <w:sz w:val="21"/>
          <w:szCs w:val="21"/>
        </w:rPr>
        <w:t xml:space="preserve"> (se marcan las cuatro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w:t>
      </w:r>
      <w:r>
        <w:rPr>
          <w:rFonts w:ascii="Calibri" w:cs="Calibri" w:eastAsia="Calibri" w:hAnsi="Calibri"/>
          <w:b/>
          <w:bCs/>
          <w:sz w:val="21"/>
          <w:szCs w:val="21"/>
        </w:rPr>
        <w:t xml:space="preserve">verificador municipal designado y periodicidad</w:t>
      </w:r>
      <w:r>
        <w:rPr>
          <w:rFonts w:ascii="Calibri" w:cs="Calibri" w:eastAsia="Calibri" w:hAnsi="Calibri"/>
          <w:sz w:val="21"/>
          <w:szCs w:val="21"/>
        </w:rPr>
        <w:t xml:space="preserve">, y la carga anual resultante se ha estimado y consta en el expediente.</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val="false"/>
                <w:bCs w:val="false"/>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val="false"/>
                <w:bCs w:val="false"/>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val="false"/>
                <w:bCs w:val="false"/>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INFORME DE NECESIDAD E IDONEIDAD DEL CONTRATO</w:t>
      </w:r>
    </w:p>
    <w:p>
      <w:pPr>
        <w:spacing w:after="140" w:line="276"/>
      </w:pPr>
      <w:r>
        <w:rPr>
          <w:rFonts w:ascii="Calibri" w:cs="Calibri" w:eastAsia="Calibri" w:hAnsi="Calibri"/>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w:t>
            </w:r>
          </w:p>
        </w:tc>
      </w:tr>
    </w:tbl>
    <w:p>
      <w:pPr>
        <w:spacing w:after="200"/>
      </w:pPr>
    </w:p>
    <w:p>
      <w:pPr>
        <w:spacing w:after="140" w:line="276"/>
      </w:pPr>
      <w:r>
        <w:rPr>
          <w:rFonts w:ascii="Calibri" w:cs="Calibri" w:eastAsia="Calibri" w:hAnsi="Calibri"/>
          <w:sz w:val="21"/>
          <w:szCs w:val="21"/>
        </w:rPr>
        <w:t xml:space="preserve">Avisos automáticos.</w:t>
      </w:r>
      <w:r>
        <w:rPr>
          <w:rFonts w:ascii="Calibri" w:cs="Calibri" w:eastAsia="Calibri" w:hAnsi="Calibri"/>
          <w:sz w:val="21"/>
          <w:szCs w:val="21"/>
        </w:rPr>
        <w:t xml:space="preserve"> Se comprueban los siete.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es mayor 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sí → </w:t>
            </w:r>
            <w:r>
              <w:rPr>
                <w:rFonts w:ascii="Calibri" w:cs="Calibri" w:eastAsia="Calibri" w:hAnsi="Calibri"/>
                <w:b w:val="false"/>
                <w:bCs w:val="false"/>
                <w:sz w:val="18"/>
                <w:szCs w:val="18"/>
              </w:rPr>
              <w:t xml:space="preserve">comité de expertos preceptivo</w:t>
            </w:r>
            <w:r>
              <w:rPr>
                <w:rFonts w:ascii="Calibri" w:cs="Calibri" w:eastAsia="Calibri" w:hAnsi="Calibri"/>
                <w:b w:val="false"/>
                <w:bCs w:val="false"/>
                <w:sz w:val="18"/>
                <w:szCs w:val="18"/>
              </w:rPr>
              <w:t xml:space="preserve"> (art. 146.2.a), con un mínimo de tres miembros no adscritos al órgano proponente, </w:t>
            </w:r>
            <w:r>
              <w:rPr>
                <w:rFonts w:ascii="Calibri" w:cs="Calibri" w:eastAsia="Calibri" w:hAnsi="Calibri"/>
                <w:b w:val="false"/>
                <w:bCs w:val="false"/>
                <w:sz w:val="18"/>
                <w:szCs w:val="18"/>
              </w:rPr>
              <w:t xml:space="preserve">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simplificado: ¿(B) supera el 25 % del 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159.1.b): 25 % general, 45 %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abreviado: ¿hay algún punto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no caben.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¿los criterios cualitativos alcanzan el 51 %?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 ¿superan el 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¿Algún criterio puntúa lo que el PPT ya impone, o una certificación, o experiencia previa, o medios ya disponibles a fecha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Prohibido. Arts. 40.b) y 145 LCSP; separación entre solvencia y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¿Algún criterio puntúa una capacidad cuya cláusula técnica de soporte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Prohibido. Se suprime el criterio y se reescala </w:t>
            </w:r>
            <w:r>
              <w:rPr>
                <w:rFonts w:ascii="Calibri" w:cs="Calibri" w:eastAsia="Calibri" w:hAnsi="Calibri"/>
                <w:b w:val="false"/>
                <w:bCs w:val="false"/>
                <w:sz w:val="18"/>
                <w:szCs w:val="18"/>
              </w:rPr>
              <w:t xml:space="preserve">antes</w:t>
            </w:r>
            <w:r>
              <w:rPr>
                <w:rFonts w:ascii="Calibri" w:cs="Calibri" w:eastAsia="Calibri" w:hAnsi="Calibri"/>
                <w:b w:val="false"/>
                <w:bCs w:val="false"/>
                <w:sz w:val="18"/>
                <w:szCs w:val="18"/>
              </w:rPr>
              <w:t xml:space="preserve">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Regla de cierre del anexo:</w:t>
      </w:r>
      <w:r>
        <w:rPr>
          <w:rFonts w:ascii="Calibri" w:cs="Calibri" w:eastAsia="Calibri" w:hAnsi="Calibri"/>
          <w:sz w:val="21"/>
          <w:szCs w:val="21"/>
        </w:rPr>
        <w:t xml:space="preserve"> las ponderaciones publicadas no se modifican después. Si un criterio decae, el baremo se recompone antes de la publicación del anuncio, nunca después de conocidas las ofertas.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Heading3"/>
        <w:keepNext/>
        <w:spacing w:after="140" w:before="320"/>
      </w:pPr>
      <w:r>
        <w:rPr>
          <w:rFonts w:ascii="Georgia" w:cs="Georgia" w:eastAsia="Georgia" w:hAnsi="Georgia"/>
          <w:b/>
          <w:bCs/>
          <w:color w:val="2F5496"/>
          <w:sz w:val="22"/>
          <w:szCs w:val="22"/>
        </w:rPr>
        <w:t xml:space="preserve">V.2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en el anexo técnico de este pliego, sobre los módulos allí identificados.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[SEIS (6)] meses.</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val="false"/>
                <w:bCs w:val="false"/>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val="false"/>
                <w:bCs w:val="false"/>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val="false"/>
                <w:bCs w:val="false"/>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y de funciones mínimas se publica en el anexo técnico del pliego, cerrada</w:t>
            </w:r>
          </w:p>
        </w:tc>
      </w:tr>
    </w:tbl>
    <w:p>
      <w:pPr>
        <w:spacing w:after="200"/>
      </w:pPr>
    </w:p>
    <w:p>
      <w:pPr>
        <w:pStyle w:val="Heading3"/>
        <w:keepNext/>
        <w:spacing w:after="140" w:before="320"/>
      </w:pPr>
      <w:r>
        <w:rPr>
          <w:rFonts w:ascii="Georgia" w:cs="Georgia" w:eastAsia="Georgia" w:hAnsi="Georgia"/>
          <w:b/>
          <w:bCs/>
          <w:color w:val="2F5496"/>
          <w:sz w:val="22"/>
          <w:szCs w:val="22"/>
        </w:rPr>
        <w:t xml:space="preserve">V.4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Este contraste puede realizarse mediante consulta preliminar del mercado publicada (art. 115 LCSP), y en tal caso su documentación sirve a la vez para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recompone antes de publicar el anuncio.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del baremo sobre interoperabilidad con infraestructuras de servicios de confianza</w:t>
            </w:r>
            <w:r>
              <w:rPr>
                <w:rFonts w:ascii="Calibri" w:cs="Calibri" w:eastAsia="Calibri" w:hAnsi="Calibri"/>
                <w:b w:val="false"/>
                <w:bCs w:val="false"/>
                <w:sz w:val="18"/>
                <w:szCs w:val="18"/>
              </w:rPr>
              <w:t xml:space="preserve"> (y reescalado del baremo) · fila del cuadro maestro · fila de penalidades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H del baremo</w:t>
            </w:r>
            <w:r>
              <w:rPr>
                <w:rFonts w:ascii="Calibri" w:cs="Calibri" w:eastAsia="Calibri" w:hAnsi="Calibri"/>
                <w:b w:val="false"/>
                <w:bCs w:val="false"/>
                <w:sz w:val="18"/>
                <w:szCs w:val="18"/>
              </w:rPr>
              <w:t xml:space="preserve"> (automatización sobre lista cerrada) y reescalado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 servicios comunes de DT-0·v3.6 (queda sin objeto)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por categoría ALTA de ADM-11·v3 (queda sólo la vía de la lista tasada de servicios)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val="false"/>
                <w:bCs w:val="false"/>
                <w:sz w:val="18"/>
                <w:szCs w:val="18"/>
              </w:rPr>
              <w:t xml:space="preserve">criterios A y B del baremo</w:t>
            </w:r>
            <w:r>
              <w:rPr>
                <w:rFonts w:ascii="Calibri" w:cs="Calibri" w:eastAsia="Calibri" w:hAnsi="Calibri"/>
                <w:b w:val="false"/>
                <w:bCs w:val="false"/>
                <w:sz w:val="18"/>
                <w:szCs w:val="18"/>
              </w:rPr>
              <w:t xml:space="preserve"> y reescalado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 la certificación de la reversión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Anexo V y su transcripción</w:t>
            </w:r>
            <w:r>
              <w:rPr>
                <w:rFonts w:ascii="Calibri" w:cs="Calibri" w:eastAsia="Calibri" w:hAnsi="Calibri"/>
                <w:b w:val="false"/>
                <w:bCs w:val="false"/>
                <w:sz w:val="18"/>
                <w:szCs w:val="18"/>
              </w:rPr>
              <w:t xml:space="preserve"> · ADM-2·v3 completa (queda sin alcance) · ADM-3·v3 en lo referido a plazos del catálogo · </w:t>
            </w:r>
            <w:r>
              <w:rPr>
                <w:rFonts w:ascii="Calibri" w:cs="Calibri" w:eastAsia="Calibri" w:hAnsi="Calibri"/>
                <w:b w:val="false"/>
                <w:bCs w:val="false"/>
                <w:sz w:val="18"/>
                <w:szCs w:val="18"/>
              </w:rPr>
              <w:t xml:space="preserve">criterio B del baremo</w:t>
            </w:r>
            <w:r>
              <w:rPr>
                <w:rFonts w:ascii="Calibri" w:cs="Calibri" w:eastAsia="Calibri" w:hAnsi="Calibri"/>
                <w:b w:val="false"/>
                <w:bCs w:val="false"/>
                <w:sz w:val="18"/>
                <w:szCs w:val="18"/>
              </w:rPr>
              <w:t xml:space="preserve"> · filas de penalidades · lista de esenciales · ADM-14·v3, que sólo opera sobre capacidades no determinadas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w:t>
            </w:r>
            <w:r>
              <w:rPr>
                <w:rFonts w:ascii="Calibri" w:cs="Calibri" w:eastAsia="Calibri" w:hAnsi="Calibri"/>
                <w:b w:val="false"/>
                <w:bCs w:val="false"/>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ADM-3·v3.3</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F del baremo</w:t>
            </w:r>
            <w:r>
              <w:rPr>
                <w:rFonts w:ascii="Calibri" w:cs="Calibri" w:eastAsia="Calibri" w:hAnsi="Calibri"/>
                <w:b w:val="false"/>
                <w:bCs w:val="false"/>
                <w:sz w:val="18"/>
                <w:szCs w:val="18"/>
              </w:rPr>
              <w:t xml:space="preserve"> (precio unitario ponderado) y reescalado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D del baremo</w:t>
            </w:r>
            <w:r>
              <w:rPr>
                <w:rFonts w:ascii="Calibri" w:cs="Calibri" w:eastAsia="Calibri" w:hAnsi="Calibri"/>
                <w:b w:val="false"/>
                <w:bCs w:val="false"/>
                <w:sz w:val="18"/>
                <w:szCs w:val="18"/>
              </w:rPr>
              <w:t xml:space="preserve"> y reescalado · rúbrica y guion del caso de uso · reglas de momento procedimental del PCAP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 fila de penalidades por falta de presentación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val="false"/>
                <w:bCs w:val="false"/>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val="false"/>
                <w:bCs w:val="false"/>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fila de penalidades · referencia a la política municipal de uso de 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ADM-3·v3.3 · apartado de la declaración responsable · anuncio de licitación</w:t>
            </w:r>
          </w:p>
        </w:tc>
      </w:tr>
    </w:tbl>
    <w:p>
      <w:pPr>
        <w:spacing w:after="200"/>
      </w:pPr>
    </w:p>
    <w:p>
      <w:pPr>
        <w:spacing w:after="140" w:line="276"/>
      </w:pPr>
      <w:r>
        <w:rPr>
          <w:rFonts w:ascii="Calibri" w:cs="Calibri" w:eastAsia="Calibri" w:hAnsi="Calibri"/>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al que sirve, con su rúbrica publicada,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a la que la sustituya o a una equivalente, aportando en este último caso las pruebas de las medidas equivalentes; o, en su defecto, que se compromete a obtener dicha certificación en el plazo máximo de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no pública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sz w:val="21"/>
          <w:szCs w:val="21"/>
        </w:rPr>
        <w:t xml:space="preserve">ANTECEDENTES</w:t>
      </w:r>
    </w:p>
    <w:p>
      <w:pPr>
        <w:spacing w:after="140" w:line="276"/>
      </w:pPr>
      <w:r>
        <w:rPr>
          <w:rFonts w:ascii="Calibri" w:cs="Calibri" w:eastAsia="Calibri" w:hAnsi="Calibri"/>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sz w:val="21"/>
          <w:szCs w:val="21"/>
        </w:rPr>
        <w:t xml:space="preserve">ACUERDA</w:t>
      </w:r>
    </w:p>
    <w:p>
      <w:pPr>
        <w:spacing w:after="140" w:line="276"/>
      </w:pPr>
      <w:r>
        <w:rPr>
          <w:rFonts w:ascii="Calibri" w:cs="Calibri" w:eastAsia="Calibri" w:hAnsi="Calibri"/>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Cuadro C · Medidas adoptadas para que la participación previa no falsee la competencia.</w:t>
      </w:r>
      <w:r>
        <w:rPr>
          <w:rFonts w:ascii="Calibri" w:cs="Calibri" w:eastAsia="Calibri" w:hAnsi="Calibri"/>
          <w:sz w:val="21"/>
          <w:szCs w:val="21"/>
        </w:rPr>
        <w:t xml:space="preserve"> Se deja constancia de ellas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a disposición de todos los licitadores de la información técnica facilitada por quienes participaron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nominativa por redes, infraestructuras, protocolos o productos, y reformulación en términos funcionales con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consorcio determinado, la tenencia de certificaciones o la disponibilidad previa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Anexo IV, aviso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 la consulta preliminar del mercado, con acceso de todos los operadores en las mismas condiciones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Todo parámetro del documento aparece aquí </w:t>
      </w:r>
      <w:r>
        <w:rPr>
          <w:rFonts w:ascii="Calibri" w:cs="Calibri" w:eastAsia="Calibri" w:hAnsi="Calibri"/>
          <w:sz w:val="21"/>
          <w:szCs w:val="21"/>
        </w:rPr>
        <w:t xml:space="preserve">con valor recomendado por defecto</w:t>
      </w:r>
      <w:r>
        <w:rPr>
          <w:rFonts w:ascii="Calibri" w:cs="Calibri" w:eastAsia="Calibri" w:hAnsi="Calibri"/>
          <w:sz w:val="21"/>
          <w:szCs w:val="21"/>
        </w:rPr>
        <w:t xml:space="preserve">, con quién lo fija y con el caso en que debe moverse. Un catálogo de decisiones sin valores por defecto es un catálogo de retrasos.</w:t>
      </w:r>
    </w:p>
    <w:p>
      <w:pPr>
        <w:spacing w:after="140" w:line="276"/>
      </w:pPr>
      <w:r>
        <w:rPr>
          <w:rFonts w:ascii="Calibri" w:cs="Calibri" w:eastAsia="Calibri" w:hAnsi="Calibri"/>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No pasar de 18: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o 24 meses cuando el sistema sostenga funciones de control interno o lo exija la política municipal de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val="false"/>
                <w:bCs w:val="false"/>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r>
              <w:rPr>
                <w:rFonts w:ascii="Calibri" w:cs="Calibri" w:eastAsia="Calibri" w:hAnsi="Calibri"/>
                <w:b w:val="false"/>
                <w:bCs w:val="false"/>
                <w:sz w:val="18"/>
                <w:szCs w:val="18"/>
              </w:rPr>
              <w:t xml:space="preserve"> desde la extinción o hasta la certificación de la reversión,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w:t>
            </w:r>
            <w:r>
              <w:rPr>
                <w:rFonts w:ascii="Calibri" w:cs="Calibri" w:eastAsia="Calibri" w:hAnsi="Calibri"/>
                <w:b w:val="false"/>
                <w:bCs w:val="false"/>
                <w:sz w:val="18"/>
                <w:szCs w:val="18"/>
              </w:rPr>
              <w:t xml:space="preserve"> desde la formalización; actualización </w:t>
            </w: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trimestral en contratos con desarrollo específico intenso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r>
              <w:rPr>
                <w:rFonts w:ascii="Calibri" w:cs="Calibri" w:eastAsia="Calibri" w:hAnsi="Calibri"/>
                <w:b w:val="false"/>
                <w:bCs w:val="false"/>
                <w:sz w:val="18"/>
                <w:szCs w:val="18"/>
              </w:rPr>
              <w:t xml:space="preserve">, prorrogables por </w:t>
            </w: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 meses cuando haya migración de datos históricos de varios ejercicios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 del precio del contrato por cada mes o fracción</w:t>
            </w:r>
            <w:r>
              <w:rPr>
                <w:rFonts w:ascii="Calibri" w:cs="Calibri" w:eastAsia="Calibri" w:hAnsi="Calibri"/>
                <w:b w:val="false"/>
                <w:bCs w:val="false"/>
                <w:sz w:val="18"/>
                <w:szCs w:val="18"/>
              </w:rPr>
              <w:t xml:space="preserve">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 del total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Superar el 40 % exige motivación expresa en la memoria de criterios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 del importe del contrato</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Sólo en contratos de desarrollo o mantenimiento de aplicaciones (art. 308.3 LCSP). Computa en el presupuesto base y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w:t>
            </w:r>
            <w:r>
              <w:rPr>
                <w:rFonts w:ascii="Calibri" w:cs="Calibri" w:eastAsia="Calibri" w:hAnsi="Calibri"/>
                <w:b w:val="false"/>
                <w:bCs w:val="false"/>
                <w:sz w:val="18"/>
                <w:szCs w:val="18"/>
              </w:rPr>
              <w:t xml:space="preserve">ALTA</w:t>
            </w:r>
            <w:r>
              <w:rPr>
                <w:rFonts w:ascii="Calibri" w:cs="Calibri" w:eastAsia="Calibri" w:hAnsi="Calibri"/>
                <w:b w:val="false"/>
                <w:bCs w:val="false"/>
                <w:sz w:val="18"/>
                <w:szCs w:val="18"/>
              </w:rPr>
              <w:t xml:space="preserve"> o servicio de la lista tasada (padrón, tributos, recaudación, contabilidad, gestión de expedientes, sede), </w:t>
            </w:r>
            <w:r>
              <w:rPr>
                <w:rFonts w:ascii="Calibri" w:cs="Calibri" w:eastAsia="Calibri" w:hAnsi="Calibri"/>
                <w:b w:val="false"/>
                <w:bCs w:val="false"/>
                <w:sz w:val="18"/>
                <w:szCs w:val="18"/>
              </w:rPr>
              <w:t xml:space="preserve">y</w:t>
            </w:r>
            <w:r>
              <w:rPr>
                <w:rFonts w:ascii="Calibri" w:cs="Calibri" w:eastAsia="Calibri" w:hAnsi="Calibri"/>
                <w:b w:val="false"/>
                <w:bCs w:val="false"/>
                <w:sz w:val="18"/>
                <w:szCs w:val="18"/>
              </w:rPr>
              <w:t xml:space="preserve"> valor estimado igual o superior a </w:t>
            </w:r>
            <w:r>
              <w:rPr>
                <w:rFonts w:ascii="Calibri" w:cs="Calibri" w:eastAsia="Calibri" w:hAnsi="Calibri"/>
                <w:b w:val="false"/>
                <w:bCs w:val="false"/>
                <w:sz w:val="18"/>
                <w:szCs w:val="18"/>
              </w:rPr>
              <w:t xml:space="preserve">500.000 €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Rebajar el umbral económico sólo con motivación: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val="false"/>
                <w:bCs w:val="false"/>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val="false"/>
                <w:bCs w:val="false"/>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pStyle w:val="Heading3"/>
        <w:keepNext/>
        <w:spacing w:after="140" w:before="320"/>
      </w:pPr>
      <w:r>
        <w:rPr>
          <w:rFonts w:ascii="Georgia" w:cs="Georgia" w:eastAsia="Georgia" w:hAnsi="Georgia"/>
          <w:b/>
          <w:bCs/>
          <w:color w:val="2F5496"/>
          <w:sz w:val="22"/>
          <w:szCs w:val="22"/>
        </w:rPr>
        <w:t xml:space="preserve">X.2 Umbrales legales que condicionan el expediente</w:t>
      </w:r>
    </w:p>
    <w:p>
      <w:pPr>
        <w:spacing w:after="140" w:line="276"/>
      </w:pPr>
      <w:r>
        <w:rPr>
          <w:rFonts w:ascii="Calibri" w:cs="Calibri" w:eastAsia="Calibri" w:hAnsi="Calibri"/>
          <w:sz w:val="21"/>
          <w:szCs w:val="21"/>
        </w:rPr>
        <w:t xml:space="preserve">Se recogen con su precepto. </w:t>
      </w:r>
      <w:r>
        <w:rPr>
          <w:rFonts w:ascii="Calibri" w:cs="Calibri" w:eastAsia="Calibri" w:hAnsi="Calibri"/>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que fije la ley para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Además, tope de juicio de valor del art. 159.1.b): 25 % general, 45 % en prestaciones de carácter intelectual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 (art. 44.2.a)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Vigente hasta el 31/12/2027.</w:t>
            </w:r>
            <w:r>
              <w:rPr>
                <w:rFonts w:ascii="Calibri" w:cs="Calibri" w:eastAsia="Calibri" w:hAnsi="Calibri"/>
                <w:b w:val="false"/>
                <w:bCs w:val="false"/>
                <w:sz w:val="18"/>
                <w:szCs w:val="18"/>
              </w:rPr>
              <w:t xml:space="preserve"> Revísese al aprobar el catálogo del ejercicio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sz w:val="21"/>
          <w:szCs w:val="21"/>
        </w:rPr>
        <w:t xml:space="preserve">con la oferta</w:t>
      </w:r>
      <w:r>
        <w:rPr>
          <w:rFonts w:ascii="Calibri" w:cs="Calibri" w:eastAsia="Calibri" w:hAnsi="Calibri"/>
          <w:sz w:val="21"/>
          <w:szCs w:val="21"/>
        </w:rPr>
        <w:t xml:space="preserve"> y sirve a dos cosas a la vez: fija el precio de la bolsa de servicios evolutivos (ADM-3·v3.3,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desde el 02/02/2025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desde el 02/08/2025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Exigibles el 02/12/2027 (art. 6.2 y anexo III) y el 02/08/2028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val="false"/>
                <w:bCs w:val="false"/>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val="false"/>
                <w:bCs w:val="false"/>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val="false"/>
                <w:bCs w:val="false"/>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200"/>
      </w:pP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w:t>
      </w:r>
    </w:p>
    <w:p>
      <w:pPr>
        <w:pStyle w:val="ListParagraph"/>
        <w:numPr>
          <w:ilvl w:val="0"/>
          <w:numId w:val="2"/>
        </w:numPr>
        <w:spacing w:after="70" w:line="268"/>
      </w:pPr>
      <w:r>
        <w:rPr>
          <w:rFonts w:ascii="Calibri" w:cs="Calibri" w:eastAsia="Calibri" w:hAnsi="Calibri"/>
          <w:b/>
          <w:bCs/>
          <w:sz w:val="21"/>
          <w:szCs w:val="21"/>
        </w:rPr>
        <w:t xml:space="preserve">Texto consolidado</w:t>
      </w:r>
      <w:r>
        <w:rPr>
          <w:rFonts w:ascii="Calibri" w:cs="Calibri" w:eastAsia="Calibri" w:hAnsi="Calibri"/>
          <w:sz w:val="21"/>
          <w:szCs w:val="21"/>
        </w:rPr>
        <w:t xml:space="preserve"> del Reglamento (UE) 2024/1689 tras el Reglamento (UE) 2026/1744, para confirmar el calendario completo y, en particular, si el artículo 49 (registro de sistemas de alto riesgo) resulta o no afectado por el aplazamiento, y el alcance exacto del régimen transitorio del artículo 111.</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Designación exacta y vigente de la norma de gobernanza de sistemas de gestión de IA</w:t>
      </w:r>
      <w:r>
        <w:rPr>
          <w:rFonts w:ascii="Calibri" w:cs="Calibri" w:eastAsia="Calibri" w:hAnsi="Calibri"/>
          <w:sz w:val="21"/>
          <w:szCs w:val="21"/>
        </w:rPr>
        <w:t xml:space="preserve"> que se cite en el pliego, con la fórmula «o norma que la sustituya, o equivalente» y con la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val="false"/>
                <w:bCs w:val="false"/>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val="false"/>
                <w:bCs w:val="false"/>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val="false"/>
                <w:bCs w:val="false"/>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val="false"/>
                <w:bCs w:val="false"/>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val="false"/>
                <w:bCs w:val="false"/>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val="false"/>
                <w:bCs w:val="false"/>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val="false"/>
                <w:bCs w:val="false"/>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val="false"/>
                <w:bCs w:val="false"/>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val="false"/>
                <w:bCs w:val="false"/>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val="false"/>
                <w:bCs w:val="false"/>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val="false"/>
                <w:bCs w:val="false"/>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val="false"/>
                <w:bCs w:val="false"/>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val="false"/>
                <w:bCs w:val="false"/>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val="false"/>
                <w:bCs w:val="false"/>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val="false"/>
                <w:bCs w:val="false"/>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val="false"/>
                <w:bCs w:val="false"/>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val="false"/>
                <w:bCs w:val="false"/>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val="false"/>
                <w:bCs w:val="false"/>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val="false"/>
                <w:bCs w:val="false"/>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val="false"/>
                <w:bCs w:val="false"/>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val="false"/>
                <w:bCs w:val="false"/>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val="false"/>
                <w:bCs w:val="false"/>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val="false"/>
                <w:bCs w:val="false"/>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 este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val="false"/>
                <w:bCs w:val="false"/>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val="false"/>
                <w:bCs w:val="false"/>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val="false"/>
                <w:bCs w:val="false"/>
                <w:sz w:val="18"/>
                <w:szCs w:val="18"/>
              </w:rPr>
              <w:t xml:space="preserve">y objeto</w:t>
            </w:r>
            <w:r>
              <w:rPr>
                <w:rFonts w:ascii="Calibri" w:cs="Calibri" w:eastAsia="Calibri" w:hAnsi="Calibri"/>
                <w:b w:val="false"/>
                <w:bCs w:val="false"/>
                <w:sz w:val="18"/>
                <w:szCs w:val="18"/>
              </w:rPr>
              <w:t xml:space="preserve">; reserva de derechos morales; licencia mínima supletoria;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el Ayuntamiento no puede ceder la aplicación a otra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de «enséñeme lo que tiene» a «resuelva este caso». Momento procedimental imperativo, rúbrica publicada, acta detallada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rúbrica y fijar el momento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val="false"/>
                <w:bCs w:val="false"/>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ajustado en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val="false"/>
                <w:bCs w:val="false"/>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en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con año, «o norma que la sustituya, o equivalente», y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val="false"/>
                <w:bCs w:val="false"/>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val="false"/>
                <w:bCs w:val="false"/>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val="false"/>
                <w:bCs w:val="false"/>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piloto resuelto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spacing w:after="140" w:line="276"/>
      </w:pPr>
      <w:r>
        <w:rPr>
          <w:rFonts w:ascii="Calibri" w:cs="Calibri" w:eastAsia="Calibri" w:hAnsi="Calibri"/>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sz w:val="21"/>
          <w:szCs w:val="21"/>
        </w:rPr>
        <w:t xml:space="preserve">*</w:t>
      </w:r>
      <w:r>
        <w:rPr>
          <w:rFonts w:ascii="Calibri" w:cs="Calibri" w:eastAsia="Calibri" w:hAnsi="Calibri"/>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2026-09-01T09:08:30.324Z</dcterms:created>
  <dcterms:modified xsi:type="dcterms:W3CDTF">2026-09-01T09:08:30.325Z</dcterms:modified>
</cp:coreProperties>
</file>

<file path=docProps/custom.xml><?xml version="1.0" encoding="utf-8"?>
<Properties xmlns="http://schemas.openxmlformats.org/officeDocument/2006/custom-properties" xmlns:vt="http://schemas.openxmlformats.org/officeDocument/2006/docPropsVTypes"/>
</file>