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GuideTitle"/>
      </w:pPr>
      <w:r>
        <w:rPr>
          <w:rFonts w:ascii="Georgia" w:cs="Georgia" w:eastAsia="Georgia" w:hAnsi="Georgia"/>
          <w:b/>
          <w:bCs/>
          <w:color w:val="1F3864"/>
        </w:rPr>
        <w:t xml:space="preserve">AI Clauses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Guía municipal de decisión y aplicación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Cómo elegir, motivar, copiar y verificar cláusulas de inteligencia artificial y deep tech en contratación pública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Versión 3.0 · Fecha de corte normativa y doctrinal: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1 de septiembre de 2026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Autoría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Delfina Lafuente Veira · Dr. José Antonio Ondiviela García · Miguel Ángel Domínguez Castellano · Enrique Jiménez · Roberto García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Autores y supervisores técnicos: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Enrique Jiménez, responsable de los contratos de innovación, y Roberto García, jefe de informática, ambos del Ayuntamiento de Pozuelo de Alarcón.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Estado del documento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Este catálogo nace de un problema real de gestión municipal, pero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es un documento oficial del Ayuntamiento de Pozuelo de Alarcón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ha sido aprobado por ningún órgano municipal y no expresa la posición de la Corporación; ningún órgano de contratación, intervención o asesoría jurídica se ha pronunciado sobre él. Es una propuesta técnica publicada para el debate y la reutilización. El caso trabajado de la Parte VI es un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expediente simulado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no corresponde a ninguna licitación real, en curso ni en preparación, y sus cifras están construidas para el ejemplo.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Antes de incorporar cualquiera de sus cláusulas a un expediente deben cumplirse tres condiciones que, a la fecha de corte, siguen pendientes: acuerdo del órgano de gobierno que apruebe el plan y el catálogo anual; consulta preliminar del mercado y contraste documentado; y declaraciones de conflicto de interés firmadas. Son condiciones de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aplicación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de publicación.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Ruta rápida por perfil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Concejalía y órgano de contratación: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2 a 8,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Quien redacta pliegos, asesoría jurídica o secretaría: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 a 13 y 16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Control interno: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3, 5 a 8, 12,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Servicios técnicos y TI: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5, 8 a 16, 18 y 19.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Fuentes completas: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autoría y condiciones de uso; Parte 0, apertura y §§0.1–0.3; Parte IV, §M11; README, «Estado de este documento».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problema: el contrato dura más que la tecnología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ayuntamiento contrata un sistema de contabilidad, padrón, tributos, patrimonio o atención ciudadana por varios años. El día de la firma puede estar actualizado. Durante la ejecución aparecen capacidades que no existían o no podían describirse al redactar el pliego. Si el contrato no las prevé de forma exigible, quedan tres salidas: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Pagar dos veces: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contratar aparte la modernización de lo ya adquirido.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Aguantar: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prestar el servicio con una herramienta que envejece durante el contrato.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Quedar cautivo: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cambiar de proveedor porque migrar datos, configuraciones y desarrollos resulta demasiado costoso.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Pedir simplemente que la solución «se mantenga actualizada» no resuelve nada. La empresa no puede poner precio a una obligación cuyo contenido futuro desconoce; el Ayuntamiento no puede comprobarla con un criterio objetivo; y una obligación indeterminada no se vuelve válida por añadirle una penalidad.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respuesta del catálogo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vez de comprar una evolución futura indefinida, el pliego compra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capacidades concretas, fechadas, presupuestables y verificables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Cada capacidad tiene plazo, criterio de aceptación, medio de acreditación, actor municipal que la comprueba y consecuencia tasada si se incumple. El Anexo V se revisa para las licitaciones siguientes, pero la versión incorporada a un contrato permanece invariable durante toda su vigencia.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segunda mitad de la solución no habla de IA, sino de competencia: titularidad de los datos y desarrollos específicos, interoperabilidad, inventario de componentes, reversibilidad, acceso de los órganos de control y salida ordenada. El objetivo es que la licitación siguiente no esté decidida de hecho por la dependencia del proveedor anterior.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decisión municipal no es «adoptar todas las cláusulas». Es construir un circuito que permita incorporar sólo las necesarias y dejar fuera las demás.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resumen en dos páginas; Parte 0, §0.2; Parte IV, §§M1.1 y M3; Parte I, §7.4.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es, qué no es y qué puede prometer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Es un catálogo de aplicación motivada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cláusula entrega siete piezas en el mismo orden: texto para el pliego; ubicación; necesidad y fundamento; acreditación; verificación; consecuencia; y supuestos en los que no se aplica. El expediente toma únicamente las piezas que su necesidad concreta justifica.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No es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norma: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obliga por figurar en este documento.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pliego ni un pliego-tipo: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decisión y la adaptación pertenecen a cada expediente.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instrucción transversal: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ninguna cláusula entra «por si acaso» o porque la llevara el contrato anterior.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La memoria justificativa del contrato: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motivación debe escribirse en el expediente antes de publicar; no puede completarse cuando llega un recurso.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contrato de resultados tecnológicos: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garantiza la evolución del mercado ni promete incorporar cualquier novedad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sí está diseñado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exigencia debe tener un origen de necesidad identificado; un único instrumento contractual; prueba y verificación con actor y periodicidad; consecuencia tasada; y dependencias conocidas. Si una pieza cae, las demás se conservan salvo que aquélla sea presupuesto necesario de otra.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no se promete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promete que ningún tribunal pueda anular un pliego. A la fecha de corte no consta doctrina específica sobre varias de estas figuras. El primer recurso sobre ellas creará precedente. La defensa reside en la motivación y en el expediente, no en una garantía editorial.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puede publicarse para el debate, pero no debe aplicarse mientras sigan pendientes el acuerdo institucional, la consulta preliminar del mercado y las declaraciones de conflicto de interés. Publicar no es aplicar.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§§0.1 y 0.3; Parte I, §§1.2–1.4 y 7.8; Parte IV, §§M8 y M11;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Primera decisión: ¿este contrato admite el catálogo?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Use este recorrido antes de abrir una ficha.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sistema de información municipal o tratamiento de información municipal?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no lo hay, el catálogo no se aplica. En obras y concesiones sólo alcanza al componente de sistemas de información.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pliegos propios?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es un contrato menor, no existe el documento contractual en el que incorporar condiciones especiales, penalidades, obligaciones esenciales o criterios. Sólo cabe la lista cerrada de exigencias normativas de la Parte V, §V.7.1.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contrato basado en acuerdo marco o una adhesión a una central?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pueden añadirse obligaciones que el instrumento de origen no permita. Cabe elegir opciones ya previstas, utilizar extremos expresamente abiertos o trasladar la necesidad a la siguiente licitación del acuerdo marco.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una prórroga?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prórroga continúa el contrato en las mismas condiciones. No introduce un Anexo V posterior ni obligaciones nuevas. Sí debe comprobarse lo ya exigible y preparar con tiempo la contratación sucesora.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procedimiento con pliego propio y componente tecnológico?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Puede iniciarse la selección motivada, sin que el tipo o la cuantía activen por sí solos ninguna cláusula.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 común cuando la respuesta es «ahora no»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se documenta aunque el instrumento no permita atenderla. Un informe breve que identifique la necesidad, explique la limitación y la traslade a la contratación siguiente permite justificar la decisión presente y preparar la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prohibido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fracciona un objeto para llevarlo a contrato menor; no se añaden obligaciones nuevas a una prórroga; y no se convierte una aceptación informal del proveedor en obligación contractual. Lo que no está en el instrumento aplicable no es exigible ni penalizable.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§§2.1–2.4; Parte 0, §0.6; Parte V, §V.7; Anexo XXIV.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 la necesidad a una cláusula defendible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no nace de marcar una casilla. Primero se identifica y documenta; después la Ficha de Aplicabilidad la traduce en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orígenes, sin una cuarta vía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Origen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Cuándo existe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Quién lo acredita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 · Normativo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Una norma impone un deber municipal que requiere colaboración del contratista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Servicio competente por la materia, con cita del precepto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F ·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 servicio gestor necesita la capacidad para prestar su servicio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Gestor del contrato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I · Institucional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No la impone una norma ni la pide el gestor; deriva de una política municipal aprobada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Acuerdo del órgano de gobierno e informe del servicio promotor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institucional no se sostiene con una frase genérica sobre transformación digital. Requiere un acto aprobado, publicado, fechado y aplicable al contrato. Sin él, la exigencia se marca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test del expediente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Para cada exigencia, la memoria debe mostrar una relación con el objeto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directa, clara y proporcional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La Ficha del Anexo II recoge seis extremos: necesidad; norma o acuerdo de origen; proporcionalidad; puesto que verifica; momento o periodicidad; y documento que deja evidencia. Una casilla vacía invalida la selección.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firma cambia según el origen. Una persona no puede declarar por sí sola necesidades normativas, funcionales e institucionales. Tampoco basta remitir a este catálogo: el catálogo explica; la memoria del contrato motiva.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Orden de trabajo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Informe de necesidad → origen y firma → Ficha de Aplicabilidad → memoria justificativa → pliegos.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Invertirlo produce una motivación construida hacia atrás y reconocible como texto estereotipado.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§§3.1–3.8; Parte V, §§V.2.2 y V.4.1–V.4.4; Anexos II, III y 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que debe existir antes de abrir expedientes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separa la gobernanza anual del trabajo de cada contrato. La primera evita que todos los expedientes repitan el mismo análisis y que una ambición tecnológica sin respaldo se disfrace de necesidad.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Ciclo anual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plan y el catálogo.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órgano de gobierno identifica objetivos, responsables y periodo de vigencia. El Anexo VIII ofrece el modelo de acuerdo.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Contrastar el mercado.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consulta preliminar se anuncia y documenta conforme al artículo 115 LCSP. No legitima especificaciones dirigidas y sus conclusiones no pueden dar ventaja a quienes participaron.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Anexo V del ejercicio.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entran capacidades concretas que el contraste permita formular con plazo y criterio de aceptación. El valor recomendado es que puedan cumplirlas al menos tres operadores; si hay menos, se aplazan.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Declarar conflictos y participación previa.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Cada interviniente firma su declaración antes de aprobar. Las medidas para evitar distorsiones se documentan y publican cuando proceda.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Revisar vigencia y parámetros.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actualizan calendario normativo, umbrales, equivalencias, valores recomendados y registro de versiones.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condiciones pendientes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 1 de septiembre de 2026 siguen pendientes: el acuerdo del órgano de gobierno; la consulta preliminar y el contraste documentado del Anexo V; y las declaraciones de conflicto de interés firmadas. Mientras falten, el catálogo puede difundirse y debatirse, pero sus cláusulas no deben incorporarse a un expediente.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revisión anual no cambia contratos vivos. Cada PPT transcribe físicamente la versión del Anexo V que le corresponde; esa versión queda cerrada durante el contrato y sus prórrogas.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§0.4, paso previo; Parte IV, §§M3, M7 y M11; Parte V, §V.8; Anexos VIII, IX, XI, XV y XXII.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circuito: 20 pasos y 21 documentos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expediente tiene tres tramos. Los pasos de un tramo pueden solaparse; los tramos no.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Tramo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Pasos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Resultado principal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 · Qué se necesita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A‑1 a A‑6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Necesidad, consulta de reutilización, ficha, categorización ENS, consulta de mercado y, si procede, conformidad del servicio verificador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B · Cómo se contrata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B‑1 a B‑8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Valor estimado, procedimiento, lotes, medios, criterios, conflictos, PPT, PCAP y memoria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C · Validación y publicación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C‑1 a C‑6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Informe jurídico, crédito, fiscalización, aprobación, anuncio y carpeta de defensa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Son veinte pasos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veintiún documentos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porque B‑7 produce dos pliegos. Dieciocho documentos los exige la normativa con independencia del catálogo. Éste añade tres: Ficha de Aplicabilidad, conformidad del servicio verificador cuando se supera el umbral de carga y carpeta de defensa.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Reglas que mantienen unido el expediente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Primero se redacta la necesidad y después se seleccionan cláusulas.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lo prepara el área gestora y el PCAP contratación; se designa una persona responsable de su coherencia.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SÍ aparece una vez y en el pliego correcto.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NO APLICA desaparece también de penalidades, esenciales, criterios, declaraciones y anexos relacionados.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carpeta de defensa se cierra antes de publicar. Si llega un recurso especial, el expediente y el informe del artículo 56.2 LCSP deben remitirse en dos días hábiles.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Los documentos que nacen públicos se redactan pensando en el párrafo que citará quien recurra.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V, §§V.1–V.3, especialmente V.2.1; Parte 0, §§0.4 y 0.5;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seleccionar las cláusulas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cuadro de intensidad ofrece un punto de partida; nunca sustituye a la Ficha de Aplicabilidad.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niveles orientativos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 · Mínimo: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obligaciones impuestas por norma y las que respondan al objeto. El contrato menor queda fuera del cuadro porque no tiene pliegos.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B · Estándar: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con sistema de información municipal, con equivalencia, interoperabilidad, seguridad, reversibilidad, seguimiento, penalidades, propiedad y acceso de control según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 · Reforzado: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armonizados, sistemas ENS MEDIA o ALTA o servicios especialmente críticos. Añade instrumentos de evolución, baremo reforzado e interfaz, siempre bajo sus condiciones propias.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DT‑2 y DT‑3 son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 por defecto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ADM‑9, ADM‑11 y ADM‑14 sólo entran si cumplen sus umbrales y presupuestos específicos. Subir de nivel se motiva; bajar no requiere justificar por qué se renuncia a una carga que el catálogo no impone.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Secuencia de selección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las necesidades ya escritas.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Asignar a cada una un único instrumento mediante el Anexo I.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Aplicar el nivel como orientación y comprobar las condiciones particulares.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Rellenar las seis casillas del Anexo II y estimar la carga por puesto.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Confirmar que el Ayuntamiento puede verificar lo elegido. A partir de 20 horas anuales se revisa o agrupa la carga; por encima de 40 se exige conformidad expresa del servicio verificador.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 para retirar todas las menciones dependientes de lo descartado.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Resultado correcto no significa «más cláusulas». Cuatro obligaciones comprobadas valen más que doce declaradas y toleradas. Si no hay actor, periodicidad o documento, la cláusula no entra.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§§1.3, 2.2 y 7.9; Parte V, §V.4.4; Anexos I, II y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de cláusulas técnicas: PPT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dice qué debe hacer la solución; el texto que obliga está en la Parte II.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Equivalencia y acreditación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Siempre que se cite producto, norma, red, protocolo o metodología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IA, IA generativa y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la solución incorpora o incorporará IA; calendario vigente en Anexo XIX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Evidencias e identidad verificable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necesidad expresa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Criptoagilidad poscuántica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riesgo y conservación lo justifican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Automatización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y numerada de procesos; mínimos no puntúan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Interoperabilidad y soberanía del dato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estándar; servicios comunes obligatorios no admiten equivalente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ENS y protección desde el diseño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Categoría resultante del análisis, nunca elegida de antemano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Interfaz para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reforzado y necesidad motivada; formulación funcional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Reversibilidad e inventario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Sistema municipal con datos o dependencia de salida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Exigencias del ejercicio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Anexo V transcrito, fechado y cerrado para el contrato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Todas siguen siete epígrafes. Una DT no impone por sí sola penalidades: el hecho debe figurar en ADM‑5. Al descartarla se ejecuta el Anexo VI. DT‑0 permanece si quedan referencias técnicas; excluir DT‑6 en un contrato con sistema de información exige motivación compatible con el artículo 2.3 del RD 311/2022.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§0.0, «Índice de las cláusulas»; Parte II, §§II.0–II.14; Anexos I, VI, XIX, XXI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I: ADM‑1 a ADM‑7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PCAP fija instrumentos, consecuencias y reglas de valoración.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Solvencia, medios y gobernanza de 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Elegir modalidad según objeto; no puntuar lo exigido como solvencia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Evolución tecnológica determinada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DT‑9 y Anexo V; nunca «lo necesario o conveniente»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Plazos y bolsa de servicios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Bolsa sólo en desarrollo o mantenimiento de aplicaciones, con precios unitarios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Responsable, comisión y seguimiento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Actor, periodicidad, acta y carga dimensionada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Penalidades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de hechos verificables; borrar filas de cláusulas no aplicadas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Esenciales y resolución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tasada; bloque legal sólo cuando concurre su presupuesto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Criterios de adjudicación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Baremo entero, precio incluido; mínimo obligatorio no puntúa</w:t>
            </w:r>
          </w:p>
        </w:tc>
      </w:tr>
    </w:tbl>
    <w:p>
      <w:pPr>
        <w:pStyle w:val="GuideTight"/>
      </w:pP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fronteras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Solvencia no es valoración.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capacidad mínima para licitar no recibe puntos.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Penalidad no es resolución.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ADM‑5 gradúa incumplimientos; ADM‑6 reserva la resolución a obligaciones enumeradas y exige ponderar sus efectos.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Plan no es ampliación.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Ordena hitos ya contratados; no añade prestaciones ajenas al Anexo V.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condición especial de ejecución incorporada debe aparecer una por una en el anuncio de licitación, además de en el PCAP. La omisión no se arregla después y puede afectar a la esencialidad declarada.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§§III.1–III.7; Parte I, §§7.3–7.6; Parte IV, §§M5 y M10.1; Anexos I, IV y XVII.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II: ADM‑8 a ADM‑14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Propiedad intelectual y licencia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Separa producto base, terceros y desarrollos municipales; dimensionar el uso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Demostración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Medio de comprobación, no criterio; recomendada desde 200.000 €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Plan Anual de Evolución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existe DT‑9 y Anexo V; no amplía el objeto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Depósito de código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 salvo cuatro circunstancias acumulativas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Acceso de órganos de control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adjudicatario opera el sistema o sus datos de ejecución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 sobre información municipal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contratista trata información municipal no pública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Modificación prevista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0 %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red de seguridad, nunca evolución ordinaria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ADM‑11 exige a la vez: disponibilidad ALTA, valor estimado superior a 300.000 €, servicio de su lista y ausencia acreditada de alternativa sustituible en menos de seis meses. Falta una, se marca NO APLICA.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ADM‑9 separa dos comprobaciones. La sesión, anterior al sobre de fórmulas, sólo confirma o retira D. C1, A y H se comprueban documentalmente para todas las ofertas admitidas antes de clasificarlas. Ninguna prueba añade puntos ni completa la oferta.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cero. Si entra, se formula con precisión y computa en el valor estimado: límite legal 20 % del precio inicial; recomendación 10 %. No sustituye una nueva licitación.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§§III.8–III.14 y cuadro de cierre; Parte IV, §§M5–M6; Anexos X, XIV,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Construir el baremo y comprobar las ofertas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baremo tecnológico es un bloque dentro del baremo del contrato. Debe sumar con el precio y con los criterios de la prestación principal hasta 100 puntos.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controles antes de publicar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mínimo no puntúa.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se valora el exceso sobre el PPT: más cobertura, mejor nivel de servicio, funciones o procesos adicionales, o un plazo inferior al máximo.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contenido, un instrumento.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Nada aparece a la vez como prescripción, solvencia, criterio y condición especial sobre el mismo nivel de exigencia.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Fórmula y juicio de valor viajan separados.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valora primero el juicio de valor y después se abre el sobre de fórmulas.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procedimiento admite el reparto.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el abierto simplificado, el juicio de valor no supera el 25 % con carácter general ni el 45 % en prestaciones intelectuales. Si la prestación es intelectual, los criterios cualitativos alcanzan al menos el 51 %.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Anexo IV revisa el baremo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no sólo el bloque de 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criterios que exigen cuidado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C1: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requisitos valorables del bloque B del Apéndice técnico 0.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Cmín = 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Ctecho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es el número de filas publicadas. Si el bloque está vacío, C1 se elimina.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funciones adicionales del bloque B del apéndice de interfaz, nunca las mínimas.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H: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procesos adicionales de la lista cerrada, no los mínimos de DT‑4.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valora lo descrito en la memoria técnica mediante rúbrica. La demostración sólo comprueba su exactitud.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de ADM‑9 no acredita solvencia ni excluye por sí sola. Lo declarado y no demostrado pierde los puntos correspondientes; lo mostrado pero no declarado no suma. C1, A y H conservan siempre su medio documental respecto de todas las ofertas admitidas.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ADM‑7 y ADM‑9; Parte I, §§7.3 y 7.8; Anexos IV, XVII, XX y XXV; Parte VI, §§VI.4.6 y VI.5.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Comprar evolución sin comprar incertidumbre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pieza central es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Anexo V del ejercicio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una relación de capacidades concretas, con plazo y criterio de aceptación. Se contrasta con el mercado, se aprueba para un periodo y se recorta al objeto de cada licitación.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entra en un contrato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Se transcribe físicamente dentro del PPT, con versión, fecha y órgano aprobante. Una remisión a un documento municipal revisable dejaría el objeto abierto.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versión transcrita permanece invariable durante el contrato y sus prórrogas. La revisión anual sólo rige licitaciones posteriores.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ADM‑2 convierte esas capacidades en compromiso de ejecución. Fuera de esa lista no existe evolución exigible al amparo del catálogo.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ADM‑10 ordena el seguimiento mediante un plan anual, pero sólo puede calendarizar obligaciones ya contratadas.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bolsa de servicios evolutivos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ADM‑3 ofrece una vía flexible para contratos de desarrollo o mantenimiento de aplicaciones. El objeto se descompone en unidades de actividad con precios unitarios ofertados en el Anexo X.3. Valor recomendado: 5 % del presupuesto base de la duración inicial, sin IVA; techo interno: 10 %.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horas no consumidas no se pagan. Cada petición la cursa el responsable del contrato con alcance, unidades, plazo, entregable y aceptación; nunca mediante dirección del personal del proveedor. La bolsa forma parte del presupuesto base y computa en el valor estimado.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última red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0 %. Sólo se incorpora cuando existe una necesidad identificada que el catálogo y la bolsa no cubren, hay precios unitarios y el expediente asume su coste y el efecto sobre los umbrales. No sirve para recuperar una obligación que se dejó indeterminada.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DT‑9; ADM‑2, ADM‑3, ADM‑10 y ADM‑14; Parte I, §7.4; Parte IV, §M6.5; Parte V, §V.8.5; Anexos V, X.3, XIV y 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Datos, propiedad, salida y acceso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dependencia del proveedor se evita antes de contratar. El pliego debe separar qué pertenece al Ayuntamiento, qué licencia recibe y qué conserva el fabricante.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capas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Datos y exportación.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exige interoperabilidad, documentación de interfaces y exportación en formato abierto. Los servicios comunes de uso obligatorio no se sustituyen por equivalentes privados.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Producto base.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ADM‑8 no convierte una licencia o suscripción estándar en propiedad municipal. La licencia se dimensiona por módulos, usuarios, instalaciones, territorio, plazo y entorno realmente contratados, incluida la reversión. Una transferencia del producto base requiere pacto expreso con quien pueda concederla.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Desarrollos específicos.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Código, configuraciones, parametrizaciones, lógica de negocio y documentación creados específicamente para el Ayuntamiento se delimitan con modalidades, territorio y plazo. La reutilización pública alcanza sólo a elementos de titularidad municipal.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Terceros.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adjudicatario no puede ceder derechos que no tiene. Debe mantener para el ámbito municipal las licencias de componentes de terceros necesarias durante la vigencia y la salida.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Reversibilidad comprobada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DT‑8 exige Inventario de Componentes, Plan y Dossier de Reversibilidad, entregas fechadas, exportación y ensayo real. La garantía empieza con el acta de reversión o con el vencimiento del plazo para levantarla, no con una fecha indeterminada.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ADM‑12 garantiza al control interno accesos incluidos en el precio —valor recomendado: tres—, diccionario de datos y exportación abierta. El acceso se mantiene durante prórrogas y, como referencia, tres meses tras la extinción o hasta el acta de reversión, lo que ocurra después.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depósito de código de ADM‑11 sólo entra bajo sus cuatro condiciones acumulativas; no reemplaza la reversibilidad ordinaria.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y DT‑8; ADM‑8, ADM‑11 y ADM‑12; Parte IV, §M5.4; Anexos X y XVIII.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IA, automatización y seguridad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Sistemas de IA y responsabilidad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DT‑1 obliga a inventariar y clasificar los sistemas, respetar prácticas prohibidas, aportar medios para la supervisión humana y aceptar cada funcionalidad antes de producción. El Ayuntamiento sigue siendo responsable del despliegue cuando así lo establece el Reglamento: el proveedor aporta instrucciones, registros, información técnica, suspensión y formación, pero no absorbe obligaciones indelegables.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decisiones con efecto jurídico o equivalente no se ejecutan únicamente de forma automatizada salvo habilitación aplicable. Cuando exista actuación administrativa automatizada, se identifican los órganos responsables y se facilita auditoría de los componentes desarrollados específicamente para el Ayuntamiento.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Automatización concreta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DT‑4 trabaja sobre una lista cerrada y numerada de procesos. Los mínimos son prescripciones y no puntúan; sólo los procesos adicionales de esa misma lista pueden alimentar el criterio H. «Avanzado» o «hiperautomatizado» no describen una obligación comprobable.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Seguridad determinada, no elegida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DT‑6 exige la categoría ENS que resulte del análisis conforme al RD 311/2022. BÁSICA se acredita mediante declaración basada en autoevaluación; MEDIA y ALTA, mediante certificación. Escribir «Nivel Alto» antes de analizar y motivar reproduce el defecto tratado en la Resolución 383/2024 del TACP Madrid.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Información municipal y herramientas externas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ADM‑13 distingue tres niveles: información municipal restringida, que sólo entra en sistemas autorizados y constituye obligación esencial; artefactos técnicos sin contenido restringido, sujetos a condiciones acreditables; e información propia del contratista, que queda fuera. El Anexo XVI aporta la política municipal recíproca.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DT‑7 define la interfaz por lo que debe hacer, no por un protocolo o fabricante. Su incorporación exige necesidad motivada y límites de operación, trazabilidad y suspensión.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DT‑1, DT‑4, DT‑6 y DT‑7; ADM‑13; Anexos XI, XVI, XIX y XXI.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Copiar al PPT y al PCAP sin romper el sistema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frontera física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catálogo, sólo el contenido situado entre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:::pliego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su cierre es texto contractual. Lo exterior explica, justifica o guía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debe acabar en un 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Los modelos de documentos del expediente usan otra marca: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INICIO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FIN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va a cada documento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PPT: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DT‑0 a DT‑9, referencias técnicas no normativas, definiciones aplicables y extracto vigente del Anexo XIX.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PCAP: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ADM‑1 a ADM‑14, baremo, consecuencias y el bloque obligatorio de interpretación e integración del §7.10.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Expediente: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necesidad, fichas, memoria, categorización, cálculo, declaraciones e informes. No se copian como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operaciones obligatorias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Copiar sólo la cláusula marcada SÍ y sustituir cada corchete. Todo parámetro lleva valor recomendado, pero la decisión es del órgano de contratación.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Mantener el código con versión: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DT‑7·v3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ADM‑2·v3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recortado, no incorporarlo por enlace o remisión variable.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VI: al borrar una cláusula se eliminan también penalidades, esenciales, criterios, declaración responsable y anexos que dependan de ella.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Componer los apéndices conforme al Anexo XXV: matriz funcional para C1; lista de procesos; e interfaz y exigencias del ejercicio en la sede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Antes del informe jurídico, una persona responsable de la coherencia PPT‑PCAP confirma que cada obligación tiene consecuencia correcta, que no queda ninguna penalidad sin obligación y que no se valora un mínimo técnico.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§7.10; Parte II, §II.0; Parte III, «Cómo se lee esta parte»; Parte V, §§V.1.1 y V.2.3; Anexos VI, X, XIX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Coste, capacidad y puertas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genera coste real: interfaz, entorno de pruebas, reversibilidad, bolsa, posible depósito y horas municipales. Las cifras orientativas sirven para dimensionar, no para fijar el presupuesto de un expediente; éste obtiene precios propios y desglosa el PBL conforme al artículo 100.2 LCSP.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que debe asumirse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preparación se estima en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21,5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primera vez y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10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expedientes siguientes del mismo tipo. La consulta de mercado y la revisión del Anexo V son tareas anuales separadas. Durante la ejecución, cada cláusula tiene actor, momento y documento. Si la carga supera 20 horas anuales se revisa la intensidad; por encima de 40 se necesita conformidad expresa del servicio verificador.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mirada del control interno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Crédito suficiente para todos los conceptos incorporados.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Estabilidad presupuestaria, sostenibilidad y compromisos plurianuales.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Valor estimado con prórrogas, bolsa y modificaciones.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Consulta al directorio general de aplicaciones cuando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Bolsa con precios unitarios, sin pago de horas no consumidas ni dirección de personal.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Actor y periodicidad para toda obligación esencial.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Acceso de control dimensionado e incluido en el precio.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Motivos para detener la elevación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eleva si falta motivación propia; la categoría ENS está elegida sin análisis; una exigencia carece de contraste cuando lo necesita; se duplica como dos instrumentos; no hay verificador; una condición especial falta en el anuncio; quedan menciones de una cláusula descartada; los umbrales están caducados; faltan declaraciones de conflicto; o la carpeta de defensa no está cerrada.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regla no es «justificar más» una carga inasumible. Es reducir el número de cláusulas hasta lo que pueda ejecutarse y comprobarse.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ADM‑4, epígrafe 5; Parte IV, §§M6 y M10; Parte V, §§V.6, V.9 y V.10; Anexo 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piloto: cómo elegirlo y por dónde empezar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Parte VI responde a la tercera dificultad del §M1.1: que el grado de abstracción es demasiado alto mientras no se vea el catálogo funcionando sobre un caso. Lo hace en dos piezas: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método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para elegir el contrato piloto, aplicable por cualquier administración, y un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ejemplo completo trabajado sobre un expediente simulado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—municipio, objeto, cifras y fechas construidos para el ejemplo, que no corresponden a ninguna licitación real, en curso ni en preparación—.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contrato sirve de piloto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Cinco condiciones, y si falla alguna conviene esperar al siguiente: hay un usuario del dato distinto del gestor con obligación legal propia de controlarlo; la prestación produce dato estructurado y verificable; el objeto no es crítico en disponibilidad; existe mercado plural para ese objeto; y está en preparación, no en licitación. Lo desaconsejan los contratos menores, los basados en acuerdo marco, las adhesiones a central de compra y las prórrogas.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subconjunto mínimo: seis cláusulas, no veinticuatro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primer expediente no incorpora el catálogo entero. Incorpora seis cláusulas que se sostienen solas y producen resultado verificable en el primer año: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ADM‑12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(acceso de los órganos de control al dato: empezar dando, no pidiendo),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(equivalencia y prueba: quita barreras, no las pone),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DT‑6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(ENS en la categoría que corresponda: obligación ya existente, bien redactada),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ADM‑8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(propiedad intelectual y licencia mínima: lo que no se pone no se recupera),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ADM‑2 con su Anexo 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(el núcleo, y sólo si el Anexo V está aprobado y publicado antes)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ADM‑5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lo que corresponda a las anteriores. Todo lo demás espera al informe de evaluación.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Decisiones previas del ejemplo trabajado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si el borrador está sin aprobar, aprobado pero no anunciado, o ya publicado. Cada situación tiene un cauce distinto de rectificación.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Calificar la prestación principal. El catálogo recomienda, para el perfil descrito, servicios con licencias o suscripción accesorias, pero la decisión debe motivarse con los datos reales.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once necesidades y su origen normativo, funcional o institucional.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la categoría ENS. La propuesta del caso es MEDIA, elevable sólo si el análisis firmado sitúa integridad o trazabilidad en ALTA.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 a los módulos alcanzados y a funciones concretas de interfaz.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Resultado de la ficha trabajada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 24 cláusulas,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 se aplican sin condición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 quedan condicionadas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al acuerdo del órgano de gobierno —DT‑7, DT‑9 y, con ellas, ADM‑2—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4 se marcan 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DT‑2, DT‑3, ADM‑11 y ADM‑14.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interfaz para agentes no se presenta como necesidad normativa ni pedida por el gestor. Es institucional y cae si no existe el acuerdo previo. ADM‑11 queda fuera porque la disponibilidad propuesta es MEDIA y sus cuatro condiciones son acumulativas. ADM‑14 queda fuera porque el Anexo V y la bolsa ya cubren la evolución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ejemplo enseña el orden de decisiones; sus conclusiones concretas no son una plantilla para otro contrato, y sus cifras no son un dato.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§§VI.1–VI.4.5; Anexos II, V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Piloto: baremo, prueba y aprendizaje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Baremo de 100 puntos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Bloque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Criterios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Puntos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Precio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 y precio unitario F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Calidad por fórmula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C1, C3, A, B y H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31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Juicio de valor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C2, C4, D y 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Total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/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100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variante abierta tiene 76 % automático y 24 % sujeto a juicio de valor. Los criterios de calidad suman 55 puntos. Nada puntúa por estar disponible el día de la oferta: C1 y A valoran compromisos dentro del plazo; B tiene suelo recomendado de seis meses.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funcional verifica sólo D, antes de abrir fórmulas. C1, A y H se comprueban documentalmente para todas las ofertas admitidas antes de clasificarlas. La sesión no añade puntos, no completa la oferta y no excluye por sí sola.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y realidad operativa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caso trabajado, la licitación requiere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33 y 53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municipales. La ejecución exige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177,5 y 217,5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primer año y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117,5 y 141,5 horas/año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después. Al superar 40 horas, la conformidad expresa del servicio verificador es obligatoria.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Rectificar y aprender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tabla VI.6 sirve a cualquier administración con pliegos ya redactados con la versión 2: identifica defectos P1 que se corrigen conjuntamente antes de aprobar, o por el cauce de rectificación que corresponda. No son una fe de erratas.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piloto se evalúa con dos informes: a los seis meses de publicar, concurrencia, consultas, recursos, exclusiones y tiempo de tramitación; a los doce meses de formalizar, cumplimiento, pruebas, incidencias, horas reales y uso del acceso de control. El resultado ajusta catálogo, Anexo V y parámetros.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§§VI.4.6–VI.4.10 y VI.5–VI.8; Anexos IV, XVII,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Los 25 anexos: caja de herramientas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decidir y motivar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Cuadro Maestro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de Aplicabilidad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Informe de necesidad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por criterio y comprobación del baremo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Acuerdo del órgano de gobierno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Conflicto de interés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Consulta preliminar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Prestaciones intelectuales.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redactar la licitación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Exigencias del ejercicio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Declaración del licitador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Plan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Fórmulas y ofertas anormales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transcribible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Demostración funcional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Apéndices técnicos.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verificar y gobernar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Dependencias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Parámetros, umbrales y precios unitarios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normativa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Aprobación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Actas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Certificaciones y equivalencias.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entender, adaptar y migrar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Correspondencia v2→v3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Glosario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Política municipal de IA generativa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formalizados con v2.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Siguiente acción para un expediente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Escriba el informe de necesidad sin abrir aún el catálogo de cláusulas.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Rellene el Anexo II y marque NO APLICA donde no haya origen, proporcionalidad o verificación.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Redacte PPT y PCAP copiando sólo los bloques de pliego y ejecute dependencias.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Complete coste, baremo, declaraciones y carpeta de defensa.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Pase íntegramente la lista V.10 antes del informe jurídico y la fiscalización.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documento completo es la fuente jurídica y técnica. Esta guía explica cómo navegarlo; no sustituye sus cláusulas, sus anexos ni los informes preceptivos. Se publica bajo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CC BY 4.0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con cita de autoría y sin garantía. Antes de reutilizarlo, compruebe versión, fecha de corte, umbrales y estado de las tres condiciones de aplicación.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§0.0; Parte V, §§V.8–V.10; Parte VII, Anexos I–XXV; autoría y condiciones de uso.</w:t>
      </w:r>
    </w:p>
    <w:sectPr>
      <w:headerReference w:type="default" r:id="rId7"/>
      <w:footerReference w:type="default" r:id="rId8"/>
      <w:pgSz w:w="11906" w:h="16838" w:orient="portrait"/>
      <w:pgMar w:top="900" w:right="900" w:bottom="900" w:left="90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Página </w:t>
    </w:r>
    <w:r>
      <w:rPr>
        <w:rFonts w:ascii="Calibri" w:cs="Calibri" w:eastAsia="Calibri" w:hAnsi="Calibri"/>
        <w:color w:val="5D657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6573"/>
        <w:sz w:val="15"/>
        <w:szCs w:val="15"/>
      </w:rPr>
      <w:t xml:space="preserve"> de 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8" w:sz="4" w:space="3"/>
      </w:pBdr>
      <w:spacing w:after="80"/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AI Clauses · Guía municipal de decisión y aplicación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4"/>
    <w:lvlOverride w:ilvl="0">
      <w:startOverride w:val="1"/>
    </w:lvlOverride>
  </w:num>
  <w:num w:numId="7">
    <w:abstractNumId w:val="16"/>
    <w:lvlOverride w:ilvl="0">
      <w:startOverride w:val="1"/>
    </w:lvlOverride>
  </w:num>
  <w:num w:numId="8">
    <w:abstractNumId w:val="18"/>
    <w:lvlOverride w:ilvl="0">
      <w:startOverride w:val="1"/>
    </w:lvlOverride>
  </w:num>
  <w:num w:numId="9">
    <w:abstractNumId w:val="2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D"/>
        <w:sz w:val="20"/>
        <w:szCs w:val="20"/>
      </w:rPr>
    </w:rPrDefault>
    <w:pPrDefault>
      <w:pPr>
        <w:spacing w:after="80" w:line="259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GuideTitle">
    <w:name w:val="Guide Title"/>
    <w:basedOn w:val="Normal"/>
    <w:next w:val="GuideCoverText"/>
    <w:pPr>
      <w:keepNext/>
      <w:spacing w:after="260" w:before="500" w:line="250"/>
      <w:jc w:val="left"/>
    </w:pPr>
    <w:rPr>
      <w:rFonts w:ascii="Georgia" w:cs="Georgia" w:eastAsia="Georgia" w:hAnsi="Georgia"/>
      <w:b/>
      <w:bCs/>
      <w:color w:val="1F3864"/>
      <w:sz w:val="52"/>
      <w:szCs w:val="52"/>
    </w:rPr>
  </w:style>
  <w:style w:type="paragraph" w:styleId="GuideH1">
    <w:name w:val="Guide Heading 1"/>
    <w:basedOn w:val="Normal"/>
    <w:next w:val="GuideBody"/>
    <w:pPr>
      <w:keepNext/>
      <w:spacing w:after="150" w:before="80" w:line="240"/>
      <w:outlineLvl w:val="0"/>
    </w:pPr>
    <w:rPr>
      <w:rFonts w:ascii="Georgia" w:cs="Georgia" w:eastAsia="Georgia" w:hAnsi="Georgia"/>
      <w:b/>
      <w:bCs/>
      <w:color w:val="1F3864"/>
      <w:sz w:val="34"/>
      <w:szCs w:val="34"/>
    </w:rPr>
  </w:style>
  <w:style w:type="paragraph" w:styleId="GuideH2">
    <w:name w:val="Guide Heading 2"/>
    <w:basedOn w:val="Normal"/>
    <w:next w:val="GuideBody"/>
    <w:pPr>
      <w:keepNext/>
      <w:spacing w:after="70" w:before="130" w:line="240"/>
      <w:outlineLvl w:val="1"/>
    </w:pPr>
    <w:rPr>
      <w:rFonts w:ascii="Calibri" w:cs="Calibri" w:eastAsia="Calibri" w:hAnsi="Calibri"/>
      <w:b/>
      <w:bCs/>
      <w:color w:val="2F5597"/>
      <w:sz w:val="23"/>
      <w:szCs w:val="23"/>
    </w:rPr>
  </w:style>
  <w:style w:type="paragraph" w:styleId="GuideBody">
    <w:name w:val="Guide Body"/>
    <w:basedOn w:val="Normal"/>
    <w:next w:val="GuideBody"/>
    <w:pPr>
      <w:spacing w:after="80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CoverText">
    <w:name w:val="Guide Cover Text"/>
    <w:basedOn w:val="GuideBody"/>
    <w:next w:val="GuideCoverText"/>
    <w:pPr>
      <w:spacing w:after="105" w:before="0" w:line="268"/>
    </w:pPr>
    <w:rPr>
      <w:rFonts w:ascii="Calibri" w:cs="Calibri" w:eastAsia="Calibri" w:hAnsi="Calibri"/>
      <w:color w:val="22201D"/>
      <w:sz w:val="21"/>
      <w:szCs w:val="21"/>
    </w:rPr>
  </w:style>
  <w:style w:type="paragraph" w:styleId="GuideList">
    <w:name w:val="Guide List"/>
    <w:basedOn w:val="GuideBody"/>
    <w:next w:val="GuideList"/>
    <w:pPr>
      <w:spacing w:after="65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Quote">
    <w:name w:val="Guide Quote"/>
    <w:basedOn w:val="GuideBody"/>
    <w:next w:val="GuideBody"/>
    <w:pPr>
      <w:spacing w:after="100" w:before="80" w:line="259"/>
      <w:ind w:left="260" w:right="120"/>
    </w:pPr>
    <w:rPr>
      <w:rFonts w:ascii="Calibri" w:cs="Calibri" w:eastAsia="Calibri" w:hAnsi="Calibri"/>
      <w:i/>
      <w:iCs/>
      <w:color w:val="323A46"/>
      <w:sz w:val="20"/>
      <w:szCs w:val="20"/>
    </w:rPr>
  </w:style>
  <w:style w:type="paragraph" w:styleId="GuideTable">
    <w:name w:val="Guide Table"/>
    <w:basedOn w:val="Normal"/>
    <w:next w:val="GuideTable"/>
    <w:pPr>
      <w:spacing w:after="0" w:before="0" w:line="230"/>
    </w:pPr>
    <w:rPr>
      <w:rFonts w:ascii="Calibri" w:cs="Calibri" w:eastAsia="Calibri" w:hAnsi="Calibri"/>
      <w:color w:val="22201D"/>
      <w:sz w:val="16"/>
      <w:szCs w:val="16"/>
    </w:rPr>
  </w:style>
  <w:style w:type="paragraph" w:styleId="GuideTight">
    <w:name w:val="Guide Tight"/>
    <w:basedOn w:val="Normal"/>
    <w:next w:val="GuideBody"/>
    <w:pPr>
      <w:spacing w:after="45" w:before="0" w:line="120"/>
    </w:pPr>
    <w:rPr>
      <w:rFonts w:ascii="Calibri" w:cs="Calibri" w:eastAsia="Calibri" w:hAnsi="Calibri"/>
      <w:sz w:val="4"/>
      <w:szCs w:val="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Clauses · Guía municipal de decisión y aplicación</dc:title>
  <dc:creator>Delfina Lafuente Veira; José Antonio Ondiviela García; Miguel Ángel Domínguez Castellano; Enrique Jiménez; Roberto García</dc:creator>
  <dc:description>Guía ejecutiva de 20 páginas para revisar el catálogo de cláusulas de IA y deep tech</dc:description>
  <cp:lastModifiedBy>Un-named</cp:lastModifiedBy>
  <cp:revision>1</cp:revision>
  <dcterms:created xsi:type="dcterms:W3CDTF">2026-09-03T12:37:09.260Z</dcterms:created>
  <dcterms:modified xsi:type="dcterms:W3CDTF">2026-09-03T12:37:09.260Z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