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tres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xl4jql_ej4g23xwhm5gnq">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llevarlo a los</w:t>
      </w:r>
    </w:p>
    <w:p>
      <w:pPr>
        <w:spacing w:after="140" w:line="276"/>
      </w:pPr>
      <w:r>
        <w:rPr>
          <w:rFonts w:ascii="Calibri" w:cs="Calibri" w:eastAsia="Calibri" w:hAnsi="Calibri"/>
          <w:sz w:val="21"/>
          <w:szCs w:val="21"/>
        </w:rPr>
        <w:t xml:space="preserve">servicios de contratación y jurídicos de su propio ayuntamiento, aguantar sus objeciones sin</w:t>
      </w:r>
    </w:p>
    <w:p>
      <w:pPr>
        <w:spacing w:after="140" w:line="276"/>
      </w:pPr>
      <w:r>
        <w:rPr>
          <w:rFonts w:ascii="Calibri" w:cs="Calibri" w:eastAsia="Calibri" w:hAnsi="Calibri"/>
          <w:sz w:val="21"/>
          <w:szCs w:val="21"/>
        </w:rPr>
        <w:t xml:space="preserve">defenderse, y traerlas de vuelta enteras. La versión que se publica existe porque ella hizo eso.</w:t>
      </w:r>
    </w:p>
    <w:p>
      <w:pPr>
        <w:spacing w:after="140" w:line="276"/>
      </w:pPr>
      <w:hyperlink w:history="1" r:id="rIdxgzpa_jk97eri5ef_fdyc">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hgerdugn5sczlqjnchyby">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El área de contratación del Ayuntamiento de Pozuelo de Alarcón</w:t>
      </w:r>
      <w:r>
        <w:rPr>
          <w:rFonts w:ascii="Calibri" w:cs="Calibri" w:eastAsia="Calibri" w:hAnsi="Calibri"/>
          <w:sz w:val="21"/>
          <w:szCs w:val="21"/>
        </w:rPr>
        <w:t xml:space="preserve"> no figura como autora y sin</w:t>
      </w:r>
    </w:p>
    <w:p>
      <w:pPr>
        <w:spacing w:after="140" w:line="276"/>
      </w:pPr>
      <w:r>
        <w:rPr>
          <w:rFonts w:ascii="Calibri" w:cs="Calibri" w:eastAsia="Calibri" w:hAnsi="Calibri"/>
          <w:sz w:val="21"/>
          <w:szCs w:val="21"/>
        </w:rPr>
        <w:t xml:space="preserve">embargo ha determinado la forma del documento más que ninguna otra aportación. Sus tres objeciones</w:t>
      </w:r>
    </w:p>
    <w:p>
      <w:pPr>
        <w:spacing w:after="140" w:line="276"/>
      </w:pPr>
      <w:r>
        <w:rPr>
          <w:rFonts w:ascii="Calibri" w:cs="Calibri" w:eastAsia="Calibri" w:hAnsi="Calibri"/>
          <w:sz w:val="21"/>
          <w:szCs w:val="21"/>
        </w:rPr>
        <w:t xml:space="preserve">—que unas cláusulas que no nacen de una necesidad demandada son artificiosas al contrato, que el</w:t>
      </w:r>
    </w:p>
    <w:p>
      <w:pPr>
        <w:spacing w:after="140" w:line="276"/>
      </w:pPr>
      <w:r>
        <w:rPr>
          <w:rFonts w:ascii="Calibri" w:cs="Calibri" w:eastAsia="Calibri" w:hAnsi="Calibri"/>
          <w:sz w:val="21"/>
          <w:szCs w:val="21"/>
        </w:rPr>
        <w:t xml:space="preserve">grado de abstracción era demasiado alto, y que había que probarlo en un contrato real antes de</w:t>
      </w:r>
    </w:p>
    <w:p>
      <w:pPr>
        <w:spacing w:after="140" w:line="276"/>
      </w:pPr>
      <w:r>
        <w:rPr>
          <w:rFonts w:ascii="Calibri" w:cs="Calibri" w:eastAsia="Calibri" w:hAnsi="Calibri"/>
          <w:sz w:val="21"/>
          <w:szCs w:val="21"/>
        </w:rPr>
        <w:t xml:space="preserve">generalizarlo— están respondidas en el cuerpo del texto y son la razón de ser de esta versión.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 la objeción del área de contratación, que estaba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del abogado de un licitador excluido, de un interventor, de un técnico de contratación,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prisa, que empiece por la Parte 0, que está escrita para leerse en veinte minutos y para</w:t>
      </w:r>
    </w:p>
    <w:p>
      <w:pPr>
        <w:spacing w:after="140" w:line="276"/>
      </w:pPr>
      <w:r>
        <w:rPr>
          <w:rFonts w:ascii="Calibri" w:cs="Calibri" w:eastAsia="Calibri" w:hAnsi="Calibri"/>
          <w:sz w:val="21"/>
          <w:szCs w:val="21"/>
        </w:rPr>
        <w:t xml:space="preserve">entenderse sin conocimientos previos de contratación ni de tecnología. Quien vaya a redactar un</w:t>
      </w:r>
    </w:p>
    <w:p>
      <w:pPr>
        <w:spacing w:after="140" w:line="276"/>
      </w:pPr>
      <w:r>
        <w:rPr>
          <w:rFonts w:ascii="Calibri" w:cs="Calibri" w:eastAsia="Calibri" w:hAnsi="Calibri"/>
          <w:sz w:val="21"/>
          <w:szCs w:val="21"/>
        </w:rPr>
        <w:t xml:space="preserve">pliego, que lea además la Parte V y rellene la ficha de aplicabilidad 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tres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spacing w:after="140" w:line="276"/>
      </w:pPr>
      <w:r>
        <w:rPr>
          <w:rFonts w:ascii="Calibri" w:cs="Calibri" w:eastAsia="Calibri" w:hAnsi="Calibri"/>
          <w:sz w:val="21"/>
          <w:szCs w:val="21"/>
        </w:rPr>
        <w:t xml:space="preserve">En toda esta Parte 0 no hay ni un solo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Nada de lo que aquí se escribe se copia a un pliego: es la explicación del catálogo, no el catálogo. El texto copiable empieza en la Parte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cinco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el área de contratación municipal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Ley 9/2017, de 8 de noviembre, de Contratos del Sector Público (en adelante,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más importante que puede leer un habilitado nacional en la primera página,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su </w:t>
      </w:r>
      <w:r>
        <w:rPr>
          <w:rFonts w:ascii="Georgia" w:cs="Georgia" w:eastAsia="Georgia" w:hAnsi="Georgia"/>
          <w:b/>
          <w:bCs/>
          <w:i/>
          <w:iCs/>
          <w:color w:val="595959"/>
          <w:sz w:val="20"/>
          <w:szCs w:val="20"/>
        </w:rPr>
        <w:t xml:space="preserve">Resolución 383/2024, de 3 de octubre de 2024 (recurso 383/2024)</w:t>
      </w:r>
      <w:r>
        <w:rPr>
          <w:rFonts w:ascii="Georgia" w:cs="Georgia" w:eastAsia="Georgia" w:hAnsi="Georgia"/>
          <w:i/>
          <w:iCs/>
          <w:color w:val="595959"/>
          <w:sz w:val="20"/>
          <w:szCs w:val="20"/>
        </w:rPr>
        <w:t xml:space="preserve">, estimó el recurso de TECNOLOGÍAS VIALES APLICADAS TEVA, S.L. y </w:t>
      </w:r>
      <w:r>
        <w:rPr>
          <w:rFonts w:ascii="Georgia" w:cs="Georgia" w:eastAsia="Georgia" w:hAnsi="Georgia"/>
          <w:b/>
          <w:bCs/>
          <w:i/>
          <w:iCs/>
          <w:color w:val="595959"/>
          <w:sz w:val="20"/>
          <w:szCs w:val="20"/>
        </w:rPr>
        <w:t xml:space="preserve">anuló los pliegos</w:t>
      </w:r>
      <w:r>
        <w:rPr>
          <w:rFonts w:ascii="Georgia" w:cs="Georgia" w:eastAsia="Georgia" w:hAnsi="Georgia"/>
          <w:i/>
          <w:iCs/>
          <w:color w:val="595959"/>
          <w:sz w:val="20"/>
          <w:szCs w:val="20"/>
        </w:rPr>
        <w:t xml:space="preserve">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(Resolución accesible en el repositorio de resoluciones del Tribunal, en www.comunidad.madrid/tacp. Se cita como doctrina general trasladada por analogía; su texto íntegro debe incorporarse al expediente que la invoque.)</w:t>
      </w:r>
    </w:p>
    <w:p>
      <w:pPr>
        <w:spacing w:after="140" w:line="276"/>
      </w:pPr>
      <w:r>
        <w:rPr>
          <w:rFonts w:ascii="Calibri" w:cs="Calibri" w:eastAsia="Calibri" w:hAnsi="Calibri"/>
          <w:sz w:val="21"/>
          <w:szCs w:val="21"/>
        </w:rPr>
        <w:t xml:space="preserve">Léase despacio la última línea: </w:t>
      </w: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bloque delimitado; todo lo demás queda fuera y no debe acabar nunca en un pliego. Esa separación física es la respuesta a la segunda queja del área de contratación municipal: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Anexo XIV.B.</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w:t>
      </w:r>
    </w:p>
    <w:p>
      <w:pPr>
        <w:spacing w:after="140" w:line="276"/>
      </w:pPr>
      <w:r>
        <w:rPr>
          <w:rFonts w:ascii="Calibri" w:cs="Calibri" w:eastAsia="Calibri" w:hAnsi="Calibri"/>
          <w:sz w:val="21"/>
          <w:szCs w:val="21"/>
        </w:rPr>
        <w:t xml:space="preserve">Contrato de servicios de mantenimiento y evolución de la aplicación municipal de contabilidad y patrimonio: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—144.000 € sobre este contrato— habría computado en el valor estimado desde el primer día, elevándolo a </w:t>
      </w:r>
      <w:r>
        <w:rPr>
          <w:rFonts w:ascii="Calibri" w:cs="Calibri" w:eastAsia="Calibri" w:hAnsi="Calibri"/>
          <w:b/>
          <w:bCs/>
          <w:sz w:val="21"/>
          <w:szCs w:val="21"/>
        </w:rPr>
        <w:t xml:space="preserve">864.000 €</w:t>
      </w:r>
      <w:r>
        <w:rPr>
          <w:rFonts w:ascii="Calibri" w:cs="Calibri" w:eastAsia="Calibri" w:hAnsi="Calibri"/>
          <w:sz w:val="21"/>
          <w:szCs w:val="21"/>
        </w:rPr>
        <w:t xml:space="preserve">, con las consecuencias de umbral que se explican abajo.</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recurso especial (artículo 44.1.a) y 2.a) LCSP). Puede además expulsarlo del procedimiento abierto simplificado (artículo 159.1 LCSP; cuantías vigentes en el Anexo XII).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Exigir ALTA sin que ese análisis conste en el expediente es una restricción desproporcionada, y es literalmente el motivo por el que se anularon los pliegos de Parla (Res. TACP Madrid 383/2024, citada arriba).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contempla como causa de anulabilidad la actuación que confiera ventaja indebida.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(DOUE de 24 de julio de 2026; referencia BOE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Anexo XIV.A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El área de contratación municipal advirtió que «son pocos los contratos en los que se haga un seguimiento real y este se basa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(Anexo I), y la regla de separación prohíbe expresamente las tres combinaciones que producen doble cómputo: solvencia y adjudicación, prescripción obligatoria y adjudicación, y criterio de adjudicación y condición especial de ejecución.</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La Parte I incorpora una cláusula de separabilidad: la nulidad o anulación de una cláusula o de un criterio no afecta a la validez de los restantes.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en diez pasos</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sz w:val="21"/>
          <w:szCs w:val="21"/>
        </w:rPr>
        <w:t xml:space="preserve">Antes de los diez pasos hay un </w:t>
      </w:r>
      <w:r>
        <w:rPr>
          <w:rFonts w:ascii="Calibri" w:cs="Calibri" w:eastAsia="Calibri" w:hAnsi="Calibri"/>
          <w:b/>
          <w:bCs/>
          <w:sz w:val="21"/>
          <w:szCs w:val="21"/>
        </w:rPr>
        <w:t xml:space="preserve">paso 0 que no es del expediente</w:t>
      </w:r>
      <w:r>
        <w:rPr>
          <w:rFonts w:ascii="Calibri" w:cs="Calibri" w:eastAsia="Calibri" w:hAnsi="Calibri"/>
          <w:sz w:val="21"/>
          <w:szCs w:val="21"/>
        </w:rPr>
        <w:t xml:space="preserve">, sino anual y del Ayuntamiento entero.</w:t>
      </w:r>
    </w:p>
    <w:p>
      <w:pPr>
        <w:pStyle w:val="Heading3"/>
        <w:keepNext/>
        <w:spacing w:after="140" w:before="320"/>
      </w:pPr>
      <w:r>
        <w:rPr>
          <w:rFonts w:ascii="Georgia" w:cs="Georgia" w:eastAsia="Georgia" w:hAnsi="Georgia"/>
          <w:b/>
          <w:bCs/>
          <w:color w:val="2F5496"/>
          <w:sz w:val="22"/>
          <w:szCs w:val="22"/>
        </w:rPr>
        <w:t xml:space="preserve">Paso 0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Modelos en el Anexo XI.A y XI.B;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w:t>
      </w:r>
    </w:p>
    <w:p>
      <w:pPr>
        <w:pStyle w:val="Heading3"/>
        <w:keepNext/>
        <w:spacing w:after="140" w:before="320"/>
      </w:pPr>
      <w:r>
        <w:rPr>
          <w:rFonts w:ascii="Georgia" w:cs="Georgia" w:eastAsia="Georgia" w:hAnsi="Georgia"/>
          <w:b/>
          <w:bCs/>
          <w:color w:val="2F5496"/>
          <w:sz w:val="22"/>
          <w:szCs w:val="22"/>
        </w:rPr>
        <w:t xml:space="preserve">Los diez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Memoria de criterios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VE y del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 + informes</w:t>
            </w:r>
          </w:p>
        </w:tc>
      </w:tr>
    </w:tbl>
    <w:p>
      <w:pPr>
        <w:spacing w:after="200"/>
      </w:pP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0—.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0. El gestor de contabilidad no puede firmar la ficha de la seguridad ni la de la Intervención,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XIV.B):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el Anexo VI,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bloque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Memoria de criterios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w:t>
      </w:r>
    </w:p>
    <w:p>
      <w:pPr>
        <w:spacing w:after="140" w:line="276"/>
      </w:pPr>
      <w:r>
        <w:rPr>
          <w:rFonts w:ascii="Calibri" w:cs="Calibri" w:eastAsia="Calibri" w:hAnsi="Calibri"/>
          <w:b/>
          <w:bCs/>
          <w:sz w:val="21"/>
          <w:szCs w:val="21"/>
        </w:rPr>
        <w:t xml:space="preserve">8. Valor estimado y los tres umbrales.</w:t>
      </w:r>
      <w:r>
        <w:rPr>
          <w:rFonts w:ascii="Calibri" w:cs="Calibri" w:eastAsia="Calibri" w:hAnsi="Calibri"/>
          <w:sz w:val="21"/>
          <w:szCs w:val="21"/>
        </w:rPr>
        <w:t xml:space="preserve"> Se calcula el valor estimado incluyendo prórrogas y cualquier reserva de modificación prevista (art. 101 LCSP) y se comprueba contra los tres umbrales que cambian el procedimiento: el del abierto simplificado y su variante abreviada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a partir de los cuales los pliegos de un contrato de servicios o suministros son recurribles (art. 44.1.a) LCSP) y el de los contratos sujetos a regulación armonizada. </w:t>
      </w:r>
      <w:r>
        <w:rPr>
          <w:rFonts w:ascii="Calibri" w:cs="Calibri" w:eastAsia="Calibri" w:hAnsi="Calibri"/>
          <w:b/>
          <w:bCs/>
          <w:sz w:val="21"/>
          <w:szCs w:val="21"/>
        </w:rPr>
        <w:t xml:space="preserve">Las cuantías vigentes se consultan en el Anexo XII y se comprueban antes de cada expediente</w:t>
      </w:r>
      <w:r>
        <w:rPr>
          <w:rFonts w:ascii="Calibri" w:cs="Calibri" w:eastAsia="Calibri" w:hAnsi="Calibri"/>
          <w:sz w:val="21"/>
          <w:szCs w:val="21"/>
        </w:rPr>
        <w:t xml:space="preserve">: se actualizan periódicamente.</w:t>
      </w:r>
    </w:p>
    <w:p>
      <w:pPr>
        <w:spacing w:after="140" w:line="276"/>
      </w:pPr>
      <w:r>
        <w:rPr>
          <w:rFonts w:ascii="Calibri" w:cs="Calibri" w:eastAsia="Calibri" w:hAnsi="Calibri"/>
          <w:b/>
          <w:bCs/>
          <w:sz w:val="21"/>
          <w:szCs w:val="21"/>
        </w:rPr>
        <w:t xml:space="preserve">9. Conflicto de interés y participación previa.</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lista de comprobación del Anexo XII.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Y un paso 10 bis que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Cuadro de un vistazo: los documentos del expediente</w:t>
      </w:r>
    </w:p>
    <w:p>
      <w:pPr>
        <w:spacing w:after="140" w:line="276"/>
      </w:pPr>
      <w:r>
        <w:rPr>
          <w:rFonts w:ascii="Calibri" w:cs="Calibri" w:eastAsia="Calibri" w:hAnsi="Calibri"/>
          <w:sz w:val="21"/>
          <w:szCs w:val="21"/>
        </w:rPr>
        <w:t xml:space="preserve">Dos bloques. El primero son documentos que la norma exige en cualquier expediente y que este catálogo no inventa: lo que hace es decir qué debe decir cada uno cuando hay componente tecnológico. El segundo son los documentos que añade este catálogo, que no son preceptivos por sí mismos pero que son el soporte de la justificación que sí lo es.</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y 101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anexo I; forma de acreditación en su art. 38.1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3.ª.3 LCSP y RD 424/2017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en el perfil de contratante de la motivación de la necesidad y del resto de documentación preparatoria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116.1 y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XI.A y XI.B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los tres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y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V.12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qué se puede hacer y qué no.</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sz w:val="21"/>
          <w:szCs w:val="21"/>
        </w:rPr>
        <w:t xml:space="preserve">Incorporar al </w:t>
      </w:r>
      <w:r>
        <w:rPr>
          <w:rFonts w:ascii="Calibri" w:cs="Calibri" w:eastAsia="Calibri" w:hAnsi="Calibri"/>
          <w:b/>
          <w:bCs/>
          <w:sz w:val="21"/>
          <w:szCs w:val="21"/>
        </w:rPr>
        <w:t xml:space="preserve">encargo o a la solicitud de oferta</w:t>
      </w:r>
      <w:r>
        <w:rPr>
          <w:rFonts w:ascii="Calibri" w:cs="Calibri" w:eastAsia="Calibri" w:hAnsi="Calibri"/>
          <w:sz w:val="21"/>
          <w:szCs w:val="21"/>
        </w:rPr>
        <w:t xml:space="preserve"> requisitos funcionales sencillos y comprobables en la propia entrega: formato abierto de los datos, entrega de los datos y de su diccionario al finalizar, ausencia de coste por la extracción, y respeto de la protección de datos si hay tratamiento por cuenta del Ayuntamiento (art. 28 RGPD).</w:t>
      </w:r>
    </w:p>
    <w:p>
      <w:pPr>
        <w:pStyle w:val="ListParagraph"/>
        <w:numPr>
          <w:ilvl w:val="0"/>
          <w:numId w:val="1"/>
        </w:numPr>
        <w:spacing w:after="70" w:line="268"/>
      </w:pPr>
      <w:r>
        <w:rPr>
          <w:rFonts w:ascii="Calibri" w:cs="Calibri" w:eastAsia="Calibri" w:hAnsi="Calibri"/>
          <w:sz w:val="21"/>
          <w:szCs w:val="21"/>
        </w:rPr>
        <w:t xml:space="preserve">Comprobar antes de contratar si existe ya una aplicación reutilizable (art. 157.3 de la Ley 40/2015).</w:t>
      </w:r>
    </w:p>
    <w:p>
      <w:pPr>
        <w:pStyle w:val="ListParagraph"/>
        <w:numPr>
          <w:ilvl w:val="0"/>
          <w:numId w:val="1"/>
        </w:numPr>
        <w:spacing w:after="70" w:line="268"/>
      </w:pPr>
      <w:r>
        <w:rPr>
          <w:rFonts w:ascii="Calibri" w:cs="Calibri" w:eastAsia="Calibri" w:hAnsi="Calibri"/>
          <w:sz w:val="21"/>
          <w:szCs w:val="21"/>
        </w:rPr>
        <w:t xml:space="preserve">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0.</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Para evitarlo:</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ejemplar maestro</w:t>
      </w:r>
      <w:r>
        <w:rPr>
          <w:rFonts w:ascii="Calibri" w:cs="Calibri" w:eastAsia="Calibri" w:hAnsi="Calibri"/>
          <w:sz w:val="21"/>
          <w:szCs w:val="21"/>
        </w:rPr>
        <w:t xml:space="preserve"> vive en un único lugar publicado por el Ayuntamiento, con número de versión y fecha en la portada y en el pie de cada página.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articulado</w:t>
      </w:r>
      <w:r>
        <w:rPr>
          <w:rFonts w:ascii="Calibri" w:cs="Calibri" w:eastAsia="Calibri" w:hAnsi="Calibri"/>
          <w:sz w:val="21"/>
          <w:szCs w:val="21"/>
        </w:rPr>
        <w:t xml:space="preserve"> (Partes I a III) se aprueba una vez y sólo se toca por acuerdo expreso. El </w:t>
      </w:r>
      <w:r>
        <w:rPr>
          <w:rFonts w:ascii="Calibri" w:cs="Calibri" w:eastAsia="Calibri" w:hAnsi="Calibri"/>
          <w:b/>
          <w:bCs/>
          <w:sz w:val="21"/>
          <w:szCs w:val="21"/>
        </w:rPr>
        <w:t xml:space="preserve">Anexo V</w:t>
      </w:r>
      <w:r>
        <w:rPr>
          <w:rFonts w:ascii="Calibri" w:cs="Calibri" w:eastAsia="Calibri" w:hAnsi="Calibri"/>
          <w:sz w:val="21"/>
          <w:szCs w:val="21"/>
        </w:rPr>
        <w:t xml:space="preserve"> se aprueba cada año por resolución del órgano competente, sin reabrir el articulado.</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Con esos dos datos, cualquiera puede reconstruir años después qué se exigió y por qué.</w:t>
      </w:r>
    </w:p>
    <w:p>
      <w:pPr>
        <w:pStyle w:val="ListParagraph"/>
        <w:numPr>
          <w:ilvl w:val="0"/>
          <w:numId w:val="1"/>
        </w:numPr>
        <w:spacing w:after="70" w:line="268"/>
      </w:pPr>
      <w:r>
        <w:rPr>
          <w:rFonts w:ascii="Calibri" w:cs="Calibri" w:eastAsia="Calibri" w:hAnsi="Calibri"/>
          <w:sz w:val="21"/>
          <w:szCs w:val="21"/>
        </w:rPr>
        <w:t xml:space="preserve">Los códigos de cláusula se escriben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es un pliego que no se sabe a qué texto remite.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y, en particular,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XIV.A (Anexo de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tjfoffhrfrrjyamhp40fu">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o 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ADM-4·v3, ADM-5·v3, ADM-6·v3, ADM-8·v3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9z_ksspkb4s4uedrotjz5">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el Anexo 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ADM-7·v3, ADM-9·v3 y ADM-11·v3;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ynwetpt376p8aylteu6u8">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con dos excepciones que no derivan del catálogo sino de la norma: los requisitos necesarios para asegurar la conformidad con el ENS, que el artículo 2.3 del Real Decreto 311/2022 ordena contemplar en los pliegos de los contratos del sector público, y el encargo de tratamiento del artículo 28 del RGPD cuando el contratista vaya a tratar datos personales por cuenta del Ayuntamiento. Ambos se incorporan al documento contractual o al pedido.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i/>
          <w:iCs/>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 contabilidad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uiupdseywdsdc3t3owhbn">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de confirmación</w:t>
            </w:r>
            <w:r>
              <w:rPr>
                <w:rFonts w:ascii="Calibri" w:cs="Calibri" w:eastAsia="Calibri" w:hAnsi="Calibri"/>
                <w:b w:val="false"/>
                <w:bCs w:val="false"/>
                <w:sz w:val="18"/>
                <w:szCs w:val="18"/>
              </w:rPr>
              <w:t xml:space="preserve"> en el texto consolidado antes de publicar: el precepto está en la sección 5 del capítulo III y no consta entre los aplazados, extremo que debe verificarse y consignarse en el Anexo XIV.A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XIV.A</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XIV.A, con fecha de corte. La versión 2.0 de este clausulado y el resumen ejecutivo de la versión 1 describen el calendario original y han quedado desactualizados; así se hace constar en la tabla de correspondencias del Anexo XIV.B.</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contabilidad no puede firmar la ficha del ENS ni la del acceso de la Intervención: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 y anuló los pliegos</w:t>
      </w:r>
      <w:r>
        <w:rPr>
          <w:rFonts w:ascii="Calibri" w:cs="Calibri" w:eastAsia="Calibri" w:hAnsi="Calibri"/>
          <w:sz w:val="21"/>
          <w:szCs w:val="21"/>
        </w:rPr>
        <w:t xml:space="preserve"> por exigir certificaciones de conformidad con el Esquema Nacional de Seguridad de nivel ALTO sin justificación.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q885rfnhbdnv47plhgwqi">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fgmrwt05hn2w9n4-ovzsj">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XIV.A.</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sz w:val="21"/>
          <w:szCs w:val="21"/>
        </w:rPr>
        <w:t xml:space="preserve">La norma de sistemas de gestión de la inteligencia artificial de la familia ISO/IEC 42001, </w:t>
      </w:r>
      <w:r>
        <w:rPr>
          <w:rFonts w:ascii="Calibri" w:cs="Calibri" w:eastAsia="Calibri" w:hAnsi="Calibri"/>
          <w:b/>
          <w:bCs/>
          <w:sz w:val="21"/>
          <w:szCs w:val="21"/>
        </w:rPr>
        <w:t xml:space="preserve">con designación y año expresos, que deben fijarse antes de publicar</w:t>
      </w:r>
      <w:r>
        <w:rPr>
          <w:rFonts w:ascii="Calibri" w:cs="Calibri" w:eastAsia="Calibri" w:hAnsi="Calibri"/>
          <w:sz w:val="21"/>
          <w:szCs w:val="21"/>
        </w:rPr>
        <w:t xml:space="preserve"> —coexisten en el catálogo una traducción española de 2025 y una adopción europea posterior—, o norma que la sustituya, o equivalente. Su tratamiento contractual está en ADM-1·v3.</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609q6jxzkpusrawl4dp-j">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lista de especificaciones técnicas del ámbito TIC identificadas por la Comisión Europea para poder ser referenciadas en contratación pública, conforme a los artículos 13 y 14 del Reglamento (UE) n.º 1025/2012, no incluye ningún protocolo de agentes.</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XIV.A, Anexo de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XIV.A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XIV.C,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y que comprende: la entrega ordenada, sin coste adicional y en formato abierto, reutilizable y documentado, de los datos, de los desarrollos específicos, de las configuraciones, parametrizaciones y modelos, del Inventario de Componentes y de la documentación técnica y funcional; la entrega del diccionario de datos; la asistencia al Ayuntamiento o al nuevo contratista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w:t>
            </w:r>
            <w:r>
              <w:rPr>
                <w:rFonts w:ascii="Georgia" w:cs="Georgia" w:eastAsia="Georgia" w:hAnsi="Georgia"/>
                <w:b/>
                <w:bCs/>
                <w:sz w:val="20"/>
                <w:szCs w:val="20"/>
              </w:rPr>
              <w:t xml:space="preserve">La reversibilidad no comprende la entrega del código fuente del producto base ni el de terceros licenciantes</w:t>
            </w:r>
            <w:r>
              <w:rPr>
                <w:rFonts w:ascii="Georgia" w:cs="Georgia" w:eastAsia="Georgia" w:hAnsi="Georgia"/>
                <w:sz w:val="20"/>
                <w:szCs w:val="20"/>
              </w:rPr>
              <w:t xml:space="preserve">, cuyos derechos de propiedad intelectual quedan expresamente salvaguardados.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Dicho anexo se incorpora físicamente a este pliego, con número de versión y fecha, y permanece invariable durante toda la vigencia del contrato y de sus prórrogas; las revisiones posteriores del catálogo municipal no afectan a este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y añade tres piezas que aquélla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3yylwcv1s95jc-snimtja">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anuló las cláusulas afectadas y ordenó retroacción). Se cita como doctrina general sobre condiciones especiales de ejecución, trasladada por analogía: no consta doctrina sobre cláusulas de contenido tecnológico-evolutivo.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m4wprcruwtw6sjdi3gsoc">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4-yvlti1eb_pvn3zjj2ya">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m6bn2zkxnibhu-jusgede">
        <w:r>
          <w:rPr>
            <w:rFonts w:ascii="Calibri" w:cs="Calibri" w:eastAsia="Calibri" w:hAnsi="Calibri"/>
            <w:color w:val="2F5496"/>
            <w:sz w:val="21"/>
            <w:szCs w:val="21"/>
            <w:u w:val="single"/>
          </w:rPr>
          <w:t xml:space="preserve">asunto C-14/17</w:t>
        </w:r>
      </w:hyperlink>
      <w:r>
        <w:rPr>
          <w:rFonts w:ascii="Calibri" w:cs="Calibri" w:eastAsia="Calibri" w:hAnsi="Calibri"/>
          <w:sz w:val="21"/>
          <w:szCs w:val="21"/>
        </w:rPr>
        <w:t xml:space="preserve">).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wjc1thtsgnbihqmzzhydi">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e_dkugrwqiqef-gdtt0gs">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XII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relación cerrada figura en DT-0.6·v3.</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XII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la memoria de criterios (Anexo IV),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tres casillas obligatorias: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y las definiciones del §5.2 que resulten aplicables a las cláusulas incorporadas.</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[DT-0.6·v3]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[DT-0.6·v3],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XII. Todos son decisión del órgano de contratación; el valor recomendado es el punto de partida, no una decisión ajena.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33.4.d) regula la circularización en auditoría pública, no el acceso funcional permanente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XII.</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XIV.B.</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th-rr3kut3cvq0vgan5g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en tramitación (expediente 121/000096, BOCG Serie A núm. 97-1, de 12 de junio de 2026) tipifica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El riesgo sancionador por mal despliegue apunta al Ayuntamiento,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Si el expediente no puede designar un actor municipal para esta verificación y consignar su periodicidad, la cláusula no se incorpora. Crear obligaciones que nadie comprueba es peor que no crearlas: la primera vez que haya que exigirlas, no habrá acta que lo sostenga.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se aplica únicamente el apartado 3 (prácticas prohibidas) y, cuando haya tratamiento de datos personales, la obligación de aportar las instrucciones de uso. El resto es desproporcionado a la cuantía.</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con la Infraestructura Europea de Servicios Blockchain (EBSI) o con infraestructuras que acrediten interoperabilidad equivalente, sobre los casos de uso identificados en este pliego.</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ha fijado el Tribunal Administrativo de Contratación Pública de la Comunidad de Madrid en su Resolución 92/2024, de 7 de marzo de 2024, recurso 70/2024, </w:t>
      </w:r>
      <w:hyperlink w:history="1" r:id="rIdti4gqfksjxta0laafsr_v">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trasladable por analogía—, pero eso no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EBSI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correlativo de ADM-7·v3 y la mención correspondiente del Anexo VI. Puntuar una capacidad cuya cláusula técnica el propio pliego ha declarado innecesaria es un defecto que no se motiva. Véase la tabla de dependencias del apartado II.11.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 (declaración responsable). DT-3·v3 no tiene criterio de adjudicación asociado en v3: salió del baremo.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XIV.C,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(automatización sobre listado cerrado) y la mención del Anexo VI.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la Intervención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se conservan los apartados 4 (exportación y diccionario) y 5; el resto es desproporcionado.</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 y anuló los pliegos</w:t>
      </w:r>
      <w:r>
        <w:rPr>
          <w:rFonts w:ascii="Georgia" w:cs="Georgia" w:eastAsia="Georgia" w:hAnsi="Georgia"/>
          <w:i/>
          <w:iCs/>
          <w:color w:val="595959"/>
          <w:sz w:val="20"/>
          <w:szCs w:val="20"/>
        </w:rPr>
        <w:t xml:space="preserve"> por exigir certificaciones de conformidad con el Esquema Nacional de Seguridad de Nivel ALTO sin justificación.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kqbpmty_a7kgzowy25psf">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una restricción desproporcionada, y además un sobrecoste inútil: MEDIA y ALTA arrastran auditoría de certificación y BÁSICA no.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se conservan los apartados 1, 2, 5 y 6; la exigencia de certificación se sustituye por declaración responsable de aplicación de las medidas correspondientes a la categoría.</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atendiendo a la relación directa, clara y proporcional con el objeto del contrato exigida por el artículo 116.4.e) LCSP. No se extiende a otras aplicaciones municipales, ni a prestaciones ajenas al objeto de este contrato.</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las funciones de consulta correspondientes a los módulos del Apéndice [núm.] y, cuando el Apéndice lo indique, las funciones de escritura que en él se relacionen.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Disponible para el Ayuntamiento, con datos ficticios o anonimizados, que permita verificar las letras a) a h) de este apartado. Estará operativo,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2, con esta estructura mínima: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Apéndice del apartado 2 se transcribe físicamente dentro del PPT.</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XI.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y exigir la acreditación al licitador propuesto como adjudicatario en el trámite del artículo 150.2 LCSP.</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contabilidad,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de contabilidad, y resolver el contrato por su falta, es el tipo de desproporción que un tribunal aprecia sin necesidad de entrar en el fondo.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y plazo ofertado), la fila correspondiente del cuadro de penalidades de ADM-5·v3, el punto correspondiente de la lista de ADM-6·v3.B, la mención de ADM-10·v3 y la del Anexo VI. Véase la tabla del apartado II.11.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actualizado.</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cuya propiedad intelectual queda expresamente salvaguardada, salvo que dicho producto haya sido desarrollado a medida para el Ayuntamiento o esté sujeto a licencia de fuentes abiertas.</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Desde el inicio de la ejecución, y actualizado con cada versión puesta en producción,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por dos vías simultáneas: el período de reversión se computa </w:t>
      </w:r>
      <w:r>
        <w:rPr>
          <w:rFonts w:ascii="Calibri" w:cs="Calibri" w:eastAsia="Calibri" w:hAnsi="Calibri"/>
          <w:b/>
          <w:bCs/>
          <w:sz w:val="21"/>
          <w:szCs w:val="21"/>
        </w:rPr>
        <w:t xml:space="preserve">dentro</w:t>
      </w:r>
      <w:r>
        <w:rPr>
          <w:rFonts w:ascii="Calibri" w:cs="Calibri" w:eastAsia="Calibri" w:hAnsi="Calibri"/>
          <w:sz w:val="21"/>
          <w:szCs w:val="21"/>
        </w:rPr>
        <w:t xml:space="preserve"> del plazo de ejecución (apartado 4), y el coste de la licencia se computa en el presupuesto base de licitación conforme al artículo 100.2 LCSP. Deja de ser gratuita: está pagada.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se conservan los apartados 1.a), 2 en forma simplificada, 7 y 8.</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 considerará versión sucesora aquella que presente continuidad funcional con el producto contratado, lo sustituya en el catálogo del fabricante o cuente con una ruta de migración ofrecida por el propio fabricante.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Las actuaciones ejecutadas son reversibles mediante función de la propia solución o, cuando ello no sea técnicamente posible, existe procedimiento documentado de reversión que identifica los pasos, el tiempo estimado y el puesto responsable de ejecutarlo. Se acredita ejecutando una reversión sobre el entorno de pruebas y documentándola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el área de contratación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lo aplican, en materia de condiciones especiales de ejecución, las Resoluciones del Tribunal Administrativo Central de Recursos Contractuales </w:t>
      </w:r>
      <w:r>
        <w:rPr>
          <w:rFonts w:ascii="Calibri" w:cs="Calibri" w:eastAsia="Calibri" w:hAnsi="Calibri"/>
          <w:b/>
          <w:bCs/>
          <w:sz w:val="21"/>
          <w:szCs w:val="21"/>
        </w:rPr>
        <w:t xml:space="preserve">1071/2018</w:t>
      </w:r>
      <w:r>
        <w:rPr>
          <w:rFonts w:ascii="Calibri" w:cs="Calibri" w:eastAsia="Calibri" w:hAnsi="Calibri"/>
          <w:sz w:val="21"/>
          <w:szCs w:val="21"/>
        </w:rPr>
        <w:t xml:space="preserve">, </w:t>
      </w:r>
      <w:r>
        <w:rPr>
          <w:rFonts w:ascii="Calibri" w:cs="Calibri" w:eastAsia="Calibri" w:hAnsi="Calibri"/>
          <w:b/>
          <w:bCs/>
          <w:sz w:val="21"/>
          <w:szCs w:val="21"/>
        </w:rPr>
        <w:t xml:space="preserve">1111/2022</w:t>
      </w:r>
      <w:r>
        <w:rPr>
          <w:rFonts w:ascii="Calibri" w:cs="Calibri" w:eastAsia="Calibri" w:hAnsi="Calibri"/>
          <w:sz w:val="21"/>
          <w:szCs w:val="21"/>
        </w:rPr>
        <w:t xml:space="preserve"> (Pleno, recurso 842/2022, de 27 de septiembre de 2022), </w:t>
      </w:r>
      <w:r>
        <w:rPr>
          <w:rFonts w:ascii="Calibri" w:cs="Calibri" w:eastAsia="Calibri" w:hAnsi="Calibri"/>
          <w:b/>
          <w:bCs/>
          <w:sz w:val="21"/>
          <w:szCs w:val="21"/>
        </w:rPr>
        <w:t xml:space="preserve">1113/2022</w:t>
      </w:r>
      <w:r>
        <w:rPr>
          <w:rFonts w:ascii="Calibri" w:cs="Calibri" w:eastAsia="Calibri" w:hAnsi="Calibri"/>
          <w:sz w:val="21"/>
          <w:szCs w:val="21"/>
        </w:rPr>
        <w:t xml:space="preserve"> (recurso 998/2022, de 27 de septiembre de 2022) y </w:t>
      </w:r>
      <w:r>
        <w:rPr>
          <w:rFonts w:ascii="Calibri" w:cs="Calibri" w:eastAsia="Calibri" w:hAnsi="Calibri"/>
          <w:b/>
          <w:bCs/>
          <w:sz w:val="21"/>
          <w:szCs w:val="21"/>
        </w:rPr>
        <w:t xml:space="preserve">1287/2022</w:t>
      </w:r>
      <w:r>
        <w:rPr>
          <w:rFonts w:ascii="Calibri" w:cs="Calibri" w:eastAsia="Calibri" w:hAnsi="Calibri"/>
          <w:sz w:val="21"/>
          <w:szCs w:val="21"/>
        </w:rPr>
        <w:t xml:space="preserve"> (recurso 846/2022, de 20 de octubre de 2022). La primera declara que una redacción «demasiado amplia y genérica» equivale a no haber establecido condición especial alguna; la segunda y la cuarta anulan cláusulas por imprecisión; la tercera afirma que «las obligaciones genéricas o imprecisas no pueden configurarse como propias de un contrato […] menos aún pueden elevarse a categoría de obligaciones esenciales».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la alternativa documental subsiste, pero debe identificar pasos, tiempo y responsable, y se prueba en el entorno de pruebas</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Tabla de dependencias: qué arrastra cada cláusula si se marca NO APLICA</w:t>
      </w:r>
    </w:p>
    <w:p>
      <w:pPr>
        <w:spacing w:after="140" w:line="276"/>
      </w:pPr>
      <w:r>
        <w:rPr>
          <w:rFonts w:ascii="Calibri" w:cs="Calibri" w:eastAsia="Calibri" w:hAnsi="Calibri"/>
          <w:sz w:val="21"/>
          <w:szCs w:val="21"/>
        </w:rPr>
        <w:t xml:space="preserve">Ésta es la tabla que evita el defecto más frecuente al ensamblar un pliego a partir de un catálogo: descartar una cláusula técnica y dejar vivas, en el pliego administrativo y en los anexos, las menciones que la citan. El resultado es un pliego contradictorio, y la contradicción entre PPT y PCAP es un motivo de recurso barato.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además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si el PPT cita algún estándar, red, protocolo o producto, DT-0·v3 no puede excluirse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DT-1 del cuadro de penalidades de ADM-5·v3 · declaración de sistemas de IA del Anexo VI · referencias a supervisión humana de IA en DT-4·v3.3.e) y DT-7·v3.3.f) si tampoco se aplican · criterio de gobernanza de IA de ADM-7·v3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de interoperabilidad con infraestructuras de servicios de confianza de ADM-7·v3 · mención correlativa del Anexo VI · fila de DT-2 en ADM-5·v3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Mención correlativa del Anexo VI · fila de DT-3 en ADM-5·v3 (DT-3·v3 no tiene criterio de adjudicación asociado)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de procesos automatizables · criterio de automatización sobre listado cerrado de ADM-7·v3 · mención del Anexo VI · fila de DT-4 en ADM-5·v3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entorno de pruebas en DT-7·v3.3.e) y DT-9·v3.5, que deberán reubicarse · apartado de ubicación de servidores de ADM-6·v3.A · exportación en formato abierto de ADM-12·v3, que quedaría sin soporte técnico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 a la categoría ENS en DT-7·v3.3.g) y en DT-3·v3.5 · exigencias de certificación de ADM-1·v3 relativas al ENS · fila de DT-6 en ADM-5·v3. </w:t>
            </w:r>
            <w:r>
              <w:rPr>
                <w:rFonts w:ascii="Calibri" w:cs="Calibri" w:eastAsia="Calibri" w:hAnsi="Calibri"/>
                <w:b/>
                <w:bCs/>
                <w:sz w:val="18"/>
                <w:szCs w:val="18"/>
              </w:rPr>
              <w:t xml:space="preserve">Advertencia: descartar DT-6·v3 en un contrato con sistema de información contradice el artículo 2.3 del RD 311/2022; requiere motivación expresa en la memoria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de módulos · criterios de alcance funcional y de plazo ofertado de ADM-7·v3 · punto correspondiente de la lista cerrada de ADM-6·v3.B · filas de DT-7 en ADM-5·v3 · mención en ADM-10·v3 · mención del Anexo VI · remisión de DT-1·v3.6.d) al mecanismo de suspensión, que deberá redactarse de forma autónoma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correspondiente de la lista cerrada de ADM-6·v3.B · filas de DT-8 en ADM-5·v3 · referencia al Dossier de Reversibilidad en ADM-8·v3 · cláusula de plazo de garantía del PCAP, que deberá redactarse con otro día inicial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de exigencias · </w:t>
            </w:r>
            <w:r>
              <w:rPr>
                <w:rFonts w:ascii="Calibri" w:cs="Calibri" w:eastAsia="Calibri" w:hAnsi="Calibri"/>
                <w:b/>
                <w:bCs/>
                <w:sz w:val="18"/>
                <w:szCs w:val="18"/>
              </w:rPr>
              <w:t xml:space="preserve">toda la cláusula ADM-2·v3, que carece de objeto sin Anexo V</w:t>
            </w:r>
            <w:r>
              <w:rPr>
                <w:rFonts w:ascii="Calibri" w:cs="Calibri" w:eastAsia="Calibri" w:hAnsi="Calibri"/>
                <w:b w:val="false"/>
                <w:bCs w:val="false"/>
                <w:sz w:val="18"/>
                <w:szCs w:val="18"/>
              </w:rPr>
              <w:t xml:space="preserve"> · punto correspondiente de ADM-6·v3.B · criterio de compromisos de evolución y versión sucesora de ADM-7·v3 · menciones de ADM-3·v3 y ADM-10·v3 · mención del Anexo VI</w:t>
            </w:r>
          </w:p>
        </w:tc>
      </w:tr>
    </w:tbl>
    <w:p>
      <w:pPr>
        <w:spacing w:after="200"/>
      </w:pP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de verificación de la Parte II</w:t>
      </w:r>
    </w:p>
    <w:p>
      <w:pPr>
        <w:spacing w:after="140" w:line="276"/>
      </w:pPr>
      <w:r>
        <w:rPr>
          <w:rFonts w:ascii="Calibri" w:cs="Calibri" w:eastAsia="Calibri" w:hAnsi="Calibri"/>
          <w:sz w:val="21"/>
          <w:szCs w:val="21"/>
        </w:rPr>
        <w:t xml:space="preserve">La regla es previa a toda la Parte: </w:t>
      </w:r>
      <w:r>
        <w:rPr>
          <w:rFonts w:ascii="Calibri" w:cs="Calibri" w:eastAsia="Calibri" w:hAnsi="Calibri"/>
          <w:b/>
          <w:bCs/>
          <w:sz w:val="21"/>
          <w:szCs w:val="21"/>
        </w:rPr>
        <w:t xml:space="preserve">no se incorpora ninguna cláusula cuya verificación no tenga actor municipal designado y periodicidad.</w:t>
      </w:r>
      <w:r>
        <w:rPr>
          <w:rFonts w:ascii="Calibri" w:cs="Calibri" w:eastAsia="Calibri" w:hAnsi="Calibri"/>
          <w:sz w:val="21"/>
          <w:szCs w:val="21"/>
        </w:rPr>
        <w:t xml:space="preserve"> Crear obligaciones —y más aún obligaciones esenciales— que después nadie comprueba es peor que no crearlas: el día en que haya que exigirlas no habrá acta que lo sostenga, y la Intervención lo hará constar.</w:t>
      </w:r>
    </w:p>
    <w:p>
      <w:pPr>
        <w:spacing w:after="140" w:line="276"/>
      </w:pPr>
      <w:r>
        <w:rPr>
          <w:rFonts w:ascii="Calibri" w:cs="Calibri" w:eastAsia="Calibri" w:hAnsi="Calibri"/>
          <w:sz w:val="21"/>
          <w:szCs w:val="21"/>
        </w:rPr>
        <w:t xml:space="preserve">Estimación orientativa de la carga,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116–166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la Intervención)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No existe doctrina sobre condiciones especiales de ejecución de contenido tecnológico-evolutivo, sobre interfaces de acceso para agentes de inteligencia artificial, sobre demostraciones de software ni sobre infraestructuras de registro distribuido en pliegos; no consta ninguna, a fecha de corte de 1 de septiembre de 2026, tras búsqueda en los repositorios del Tribunal Administrativo Central de Recursos Contractuales, del Tribunal Administrativo de Contratación Pública de la Comunidad de Madrid y del Órgano Administrativo de Recursos Contractuales del País Vasco.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ninguna depende de las demás, de modo que la caída de una pieza no arrastra al resto. La tabla de dependencias del apartado II.11 existe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 · Cláusulas ADM-1 a ADM-6</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Esto no es formalismo: el Tribunal Administrativo de Contratación Pública de la Comunidad de Madrid anuló los pliegos del Ayuntamiento de Parla porque la memoria justificativa del expediente no contenía «la más mínima justificación» de una exigencia de certificación, y añadió que esa justificación «debe realizarse en la memoria justificativa de la contratación, </w:t>
      </w:r>
      <w:r>
        <w:rPr>
          <w:rFonts w:ascii="Calibri" w:cs="Calibri" w:eastAsia="Calibri" w:hAnsi="Calibri"/>
          <w:b/>
          <w:bCs/>
          <w:sz w:val="21"/>
          <w:szCs w:val="21"/>
        </w:rPr>
        <w:t xml:space="preserve">sin que sea admisible la justificación realizada en sede de recurso</w:t>
      </w:r>
      <w:r>
        <w:rPr>
          <w:rFonts w:ascii="Calibri" w:cs="Calibri" w:eastAsia="Calibri" w:hAnsi="Calibri"/>
          <w:sz w:val="21"/>
          <w:szCs w:val="21"/>
        </w:rPr>
        <w:t xml:space="preserve">» (TACP de la Comunidad de Madrid, Resolución 383/2024, de 3 de octubre de 2024, expediente 383/2024, recurso de Tecnologías Viales Aplicadas TEVA, S.L.; </w:t>
      </w:r>
      <w:hyperlink w:history="1" r:id="rId-hkcloylces8xiiqeue8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Está prohibido computar la misma exigencia (a) como solvencia y como criterio de adjudicación, (b) como prescripción técnica obligatoria y como criterio de adjudicación, y (c) como criterio de adjudicación y como condición especial de ejecución.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La cláusula ADM-4·v3 cuantifica esa carga. Crear obligaciones esenciales que después nadie comprueba es peor que no crearlas: la primera vez que el Ayuntamiento intente resolver un contrato por una obligación que jamás verificó, el contratista aportará como prueba las actas que no existen.</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todos los corchetes está en el Anexo XII.</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c7jecruugfi8zivxotmvp">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temporal de la certificación exigida subsanada en [X; se recomienda 3] meses;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pérdida no subsanada (cláusula ADM-5·v3, tipos L3, G8 y M7).</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c2k84quzlnkwqmii-b7n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loianru4nlsc6owkkdskz">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yybp3atw56ixfx1renjwe">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XIV.B.)</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 516; </w:t>
      </w:r>
      <w:hyperlink w:history="1" r:id="rIdzjtjsiduk6vkifanyooky">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distinto.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la fila correspondiente del cuadro de penalidades de ADM-5·v3, las letras del bloque B.2 de ADM-6·v3 que remitan al Anexo, el criterio F del baremo de ADM-7·v3 y la casilla del Anexo VI de declaración responsable. La tabla de dependencias del Anexo XII dice qué arrastra cada NO APLICA.</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pqz5jktngv3lljtod9-8">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d5jloof3i7zi4luxj4a3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anuló además la cláusula 24 del PCAP «dada su redacción imprecisa y falta de concreción». </w:t>
      </w:r>
      <w:hyperlink w:history="1" r:id="rIdnlabfi2rijqlsu1a7gcuv">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Junta de Comunidades de Castilla-La Mancha, Consulta 019/2022. </w:t>
      </w:r>
      <w:hyperlink w:history="1" r:id="rIdwp-el_dttpvde8aojn_ja">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kohxvza6lp_d-acfibnkp">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ADM-3·v3 · Plazos de adaptación, Plan Anual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Se añade el apartado 3, que en v2 no existía.)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y Plan Anual.</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y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Plazos.</w:t>
            </w:r>
            <w:r>
              <w:rPr>
                <w:rFonts w:ascii="Georgia" w:cs="Georgia" w:eastAsia="Georgia" w:hAnsi="Georgia"/>
                <w:sz w:val="20"/>
                <w:szCs w:val="20"/>
              </w:rPr>
              <w:t xml:space="preserve"> 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p>
            <w:pPr>
              <w:pStyle w:val="ListParagraph"/>
              <w:numPr>
                <w:ilvl w:val="0"/>
                <w:numId w:val="2"/>
              </w:numPr>
              <w:spacing w:after="60" w:line="264"/>
            </w:pPr>
            <w:r>
              <w:rPr>
                <w:rFonts w:ascii="Georgia" w:cs="Georgia" w:eastAsia="Georgia" w:hAnsi="Georgia"/>
                <w:b/>
                <w:bCs/>
                <w:sz w:val="20"/>
                <w:szCs w:val="20"/>
              </w:rPr>
              <w:t xml:space="preserve">Plan Anual de Evolución Tecnológica.</w:t>
            </w:r>
            <w:r>
              <w:rPr>
                <w:rFonts w:ascii="Georgia" w:cs="Georgia" w:eastAsia="Georgia" w:hAnsi="Georgia"/>
                <w:sz w:val="20"/>
                <w:szCs w:val="20"/>
              </w:rPr>
              <w:t xml:space="preserve"> Con periodicidad anual, y dentro de los [X; se recomienda 30] días naturales siguientes al cumplimiento de cada anualidad, el contratista presentará al responsable del contrato un Plan Anual de Evolución Tecnológica, conforme al modelo del Anexo del pliego, que contendrá:</w:t>
            </w:r>
          </w:p>
          <w:p>
            <w:pPr>
              <w:spacing w:after="100" w:line="264"/>
            </w:pPr>
            <w:r>
              <w:rPr>
                <w:rFonts w:ascii="Georgia" w:cs="Georgia" w:eastAsia="Georgia" w:hAnsi="Georgia"/>
                <w:sz w:val="20"/>
                <w:szCs w:val="20"/>
              </w:rPr>
              <w:t xml:space="preserve">a) Estado de cumplimiento de cada exigencia del Anexo de Exigencias Tecnológicas Determinadas.</w:t>
            </w:r>
          </w:p>
          <w:p>
            <w:pPr>
              <w:spacing w:after="100" w:line="264"/>
            </w:pPr>
            <w:r>
              <w:rPr>
                <w:rFonts w:ascii="Georgia" w:cs="Georgia" w:eastAsia="Georgia" w:hAnsi="Georgia"/>
                <w:sz w:val="20"/>
                <w:szCs w:val="20"/>
              </w:rPr>
              <w:t xml:space="preserve">b) Relación de las versiones sucesoras publicadas por el fabricante en el periodo y de las puestas a disposición del Ayuntamiento.</w:t>
            </w:r>
          </w:p>
          <w:p>
            <w:pPr>
              <w:spacing w:after="100" w:line="264"/>
            </w:pPr>
            <w:r>
              <w:rPr>
                <w:rFonts w:ascii="Georgia" w:cs="Georgia" w:eastAsia="Georgia" w:hAnsi="Georgia"/>
                <w:sz w:val="20"/>
                <w:szCs w:val="20"/>
              </w:rPr>
              <w:t xml:space="preserve">c) Relación de fines de soporte anunciados por el fabricante que afecten a componentes de la solución, con la fecha anunciada.</w:t>
            </w:r>
          </w:p>
          <w:p>
            <w:pPr>
              <w:spacing w:after="100" w:line="264"/>
            </w:pPr>
            <w:r>
              <w:rPr>
                <w:rFonts w:ascii="Georgia" w:cs="Georgia" w:eastAsia="Georgia" w:hAnsi="Georgia"/>
                <w:sz w:val="20"/>
                <w:szCs w:val="20"/>
              </w:rPr>
              <w:t xml:space="preserve">d) Propuesta de hitos para la anualidad siguiente, con fecha propuesta para cada uno.</w:t>
            </w:r>
          </w:p>
          <w:p>
            <w:pPr>
              <w:spacing w:after="100" w:line="264"/>
            </w:pPr>
            <w:r>
              <w:rPr>
                <w:rFonts w:ascii="Georgia" w:cs="Georgia" w:eastAsia="Georgia" w:hAnsi="Georgia"/>
                <w:sz w:val="20"/>
                <w:szCs w:val="20"/>
              </w:rPr>
              <w:t xml:space="preserve">e) Relación de peticiones de servicio ejecutadas con cargo a la bolsa del apartado 3, si se hubiera previsto, con horas consumidas por perfil.</w:t>
            </w:r>
          </w:p>
          <w:p>
            <w:pPr>
              <w:pStyle w:val="ListParagraph"/>
              <w:numPr>
                <w:ilvl w:val="0"/>
                <w:numId w:val="2"/>
              </w:numPr>
              <w:spacing w:after="60" w:line="264"/>
            </w:pPr>
            <w:r>
              <w:rPr>
                <w:rFonts w:ascii="Georgia" w:cs="Georgia" w:eastAsia="Georgia" w:hAnsi="Georgia"/>
                <w:b/>
                <w:bCs/>
                <w:sz w:val="20"/>
                <w:szCs w:val="20"/>
              </w:rPr>
              <w:t xml:space="preserve">Aprobación de hitos.</w:t>
            </w:r>
            <w:r>
              <w:rPr>
                <w:rFonts w:ascii="Georgia" w:cs="Georgia" w:eastAsia="Georgia" w:hAnsi="Georgia"/>
                <w:sz w:val="20"/>
                <w:szCs w:val="20"/>
              </w:rPr>
              <w:t xml:space="preserve"> El órgano de contratación, a propuesta del responsable del contrato y previa deliberación de la Comisión de Seguimiento, podrá </w:t>
            </w:r>
            <w:r>
              <w:rPr>
                <w:rFonts w:ascii="Georgia" w:cs="Georgia" w:eastAsia="Georgia" w:hAnsi="Georgia"/>
                <w:b/>
                <w:bCs/>
                <w:sz w:val="20"/>
                <w:szCs w:val="20"/>
              </w:rPr>
              <w:t xml:space="preserve">aprobar expresamente</w:t>
            </w:r>
            <w:r>
              <w:rPr>
                <w:rFonts w:ascii="Georgia" w:cs="Georgia" w:eastAsia="Georgia" w:hAnsi="Georgia"/>
                <w:sz w:val="20"/>
                <w:szCs w:val="20"/>
              </w:rPr>
              <w:t xml:space="preserve"> los hitos del apartado 2.d) que resulten exigibles, fijando para cada uno fecha cierta. </w:t>
            </w:r>
            <w:r>
              <w:rPr>
                <w:rFonts w:ascii="Georgia" w:cs="Georgia" w:eastAsia="Georgia" w:hAnsi="Georgia"/>
                <w:b/>
                <w:bCs/>
                <w:sz w:val="20"/>
                <w:szCs w:val="20"/>
              </w:rPr>
              <w:t xml:space="preserve">Los hitos no aprobados expresamente no generan obligación exigible.</w:t>
            </w:r>
            <w:r>
              <w:rPr>
                <w:rFonts w:ascii="Georgia" w:cs="Georgia" w:eastAsia="Georgia" w:hAnsi="Georgia"/>
                <w:sz w:val="20"/>
                <w:szCs w:val="20"/>
              </w:rPr>
              <w:t xml:space="preserve"> La aprobación se documenta en acta.</w:t>
            </w:r>
          </w:p>
        </w:tc>
      </w:tr>
    </w:tbl>
    <w:p>
      <w:pPr>
        <w:spacing w:after="220"/>
      </w:pP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El importe máximo de esta bolsa es el consignado en el cuadro de características y forma parte del presupuesto base de licitación y del valor estimado del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y que el Ayuntamiento sepa cada año en qué estado está el contrato. Segunda: que las adaptaciones menores que toda aplicación necesita —un informe nuevo, un cambio de flujo, una integración— tengan una vía contractual con precio pactado, en lugar de resolverse con presiones informales al proveedor o con contratos menores encadenados.</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Presentación del Plan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del Plan, con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suficiente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sobre las cinco letras del apartado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un hito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que aprobó el hito con fecha cierta, más acta de verificación del 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Presentación y contenido del Plan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requerimiento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 hitos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10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[20] peticiones al año, 30 horas.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retraso de hasta 30 días en la presentación del Plan Anual (tipo L1).</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retraso superior a 30 días, o Plan presentado sin alguna de las cinco letras del apartado 2 no subsanado en [15] días (tipo G1).</w:t>
      </w:r>
    </w:p>
    <w:p>
      <w:pPr>
        <w:pStyle w:val="ListParagraph"/>
        <w:numPr>
          <w:ilvl w:val="0"/>
          <w:numId w:val="1"/>
        </w:numPr>
        <w:spacing w:after="70" w:line="268"/>
      </w:pPr>
      <w:r>
        <w:rPr>
          <w:rFonts w:ascii="Calibri" w:cs="Calibri" w:eastAsia="Calibri" w:hAnsi="Calibri"/>
          <w:b/>
          <w:bCs/>
          <w:sz w:val="21"/>
          <w:szCs w:val="21"/>
        </w:rPr>
        <w:t xml:space="preserve">Penalidad grave o muy grave</w:t>
      </w:r>
      <w:r>
        <w:rPr>
          <w:rFonts w:ascii="Calibri" w:cs="Calibri" w:eastAsia="Calibri" w:hAnsi="Calibri"/>
          <w:sz w:val="21"/>
          <w:szCs w:val="21"/>
        </w:rPr>
        <w:t xml:space="preserve">, según entidad: incumplimiento de un hito expresamente aprobado con fecha cierta.</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Plan Anual, </w:t>
      </w:r>
      <w:r>
        <w:rPr>
          <w:rFonts w:ascii="Calibri" w:cs="Calibri" w:eastAsia="Calibri" w:hAnsi="Calibri"/>
          <w:b/>
          <w:bCs/>
          <w:sz w:val="21"/>
          <w:szCs w:val="21"/>
        </w:rPr>
        <w:t xml:space="preserve">NO</w:t>
      </w:r>
      <w:r>
        <w:rPr>
          <w:rFonts w:ascii="Calibri" w:cs="Calibri" w:eastAsia="Calibri" w:hAnsi="Calibri"/>
          <w:sz w:val="21"/>
          <w:szCs w:val="21"/>
        </w:rPr>
        <w:t xml:space="preserve">, salvo el supuesto tasado del bloque B.2 de ADM-6·v3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y el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el checklist del Anexo XII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Tabla de carga anual estimada, por contrato con el catálogo aplicado en su versión completa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vencimiento del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anual del mantenimiento de las capacidades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en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66,5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98,5 h</w:t>
            </w:r>
          </w:p>
        </w:tc>
      </w:tr>
    </w:tbl>
    <w:p>
      <w:pPr>
        <w:spacing w:after="200"/>
      </w:pPr>
    </w:p>
    <w:p>
      <w:pPr>
        <w:spacing w:after="140" w:line="276"/>
      </w:pPr>
      <w:r>
        <w:rPr>
          <w:rFonts w:ascii="Calibri" w:cs="Calibri" w:eastAsia="Calibri" w:hAnsi="Calibri"/>
          <w:sz w:val="21"/>
          <w:szCs w:val="21"/>
        </w:rPr>
        <w:t xml:space="preserve">A lo anterior se añaden </w:t>
      </w:r>
      <w:r>
        <w:rPr>
          <w:rFonts w:ascii="Calibri" w:cs="Calibri" w:eastAsia="Calibri" w:hAnsi="Calibri"/>
          <w:b/>
          <w:bCs/>
          <w:sz w:val="21"/>
          <w:szCs w:val="21"/>
        </w:rPr>
        <w:t xml:space="preserve">8 horas</w:t>
      </w:r>
      <w:r>
        <w:rPr>
          <w:rFonts w:ascii="Calibri" w:cs="Calibri" w:eastAsia="Calibri" w:hAnsi="Calibri"/>
          <w:sz w:val="21"/>
          <w:szCs w:val="21"/>
        </w:rPr>
        <w:t xml:space="preserve"> en el año del ensayo de reversibilidad y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un contrato consume del orden de </w:t>
      </w:r>
      <w:r>
        <w:rPr>
          <w:rFonts w:ascii="Calibri" w:cs="Calibri" w:eastAsia="Calibri" w:hAnsi="Calibri"/>
          <w:b/>
          <w:bCs/>
          <w:sz w:val="21"/>
          <w:szCs w:val="21"/>
        </w:rPr>
        <w:t xml:space="preserve">66 horas al año</w:t>
      </w:r>
      <w:r>
        <w:rPr>
          <w:rFonts w:ascii="Calibri" w:cs="Calibri" w:eastAsia="Calibri" w:hAnsi="Calibri"/>
          <w:sz w:val="21"/>
          <w:szCs w:val="21"/>
        </w:rPr>
        <w:t xml:space="preserve"> de personal municipal, y unas </w:t>
      </w:r>
      <w:r>
        <w:rPr>
          <w:rFonts w:ascii="Calibri" w:cs="Calibri" w:eastAsia="Calibri" w:hAnsi="Calibri"/>
          <w:b/>
          <w:bCs/>
          <w:sz w:val="21"/>
          <w:szCs w:val="21"/>
        </w:rPr>
        <w:t xml:space="preserve">98 el primer año</w:t>
      </w:r>
      <w:r>
        <w:rPr>
          <w:rFonts w:ascii="Calibri" w:cs="Calibri" w:eastAsia="Calibri" w:hAnsi="Calibri"/>
          <w:sz w:val="21"/>
          <w:szCs w:val="21"/>
        </w:rPr>
        <w:t xml:space="preserve">. Diez contratos así son </w:t>
      </w:r>
      <w:r>
        <w:rPr>
          <w:rFonts w:ascii="Calibri" w:cs="Calibri" w:eastAsia="Calibri" w:hAnsi="Calibri"/>
          <w:b/>
          <w:bCs/>
          <w:sz w:val="21"/>
          <w:szCs w:val="21"/>
        </w:rPr>
        <w:t xml:space="preserve">660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alrededor de 0,4 efectivos a jornada completa</w:t>
      </w:r>
      <w:r>
        <w:rPr>
          <w:rFonts w:ascii="Calibri" w:cs="Calibri" w:eastAsia="Calibri" w:hAnsi="Calibri"/>
          <w:sz w:val="21"/>
          <w:szCs w:val="21"/>
        </w:rPr>
        <w:t xml:space="preserve"> repartidos entre el responsable del contrato, el servicio de informática, la unidad gestora y la Intervención. No es una cifra dramática, pero </w:t>
      </w:r>
      <w:r>
        <w:rPr>
          <w:rFonts w:ascii="Calibri" w:cs="Calibri" w:eastAsia="Calibri" w:hAnsi="Calibri"/>
          <w:b/>
          <w:bCs/>
          <w:sz w:val="21"/>
          <w:szCs w:val="21"/>
        </w:rPr>
        <w:t xml:space="preserve">no es cero</w:t>
      </w:r>
      <w:r>
        <w:rPr>
          <w:rFonts w:ascii="Calibri" w:cs="Calibri" w:eastAsia="Calibri" w:hAnsi="Calibri"/>
          <w:sz w:val="21"/>
          <w:szCs w:val="21"/>
        </w:rPr>
        <w:t xml:space="preserve">, y hoy no está asignada a nadie.</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ADM-2·v3 con una sola exigencia del Anexo, ADM-4·v3 con una sesión anual, y ADM-12·v3— consume </w:t>
      </w:r>
      <w:r>
        <w:rPr>
          <w:rFonts w:ascii="Calibri" w:cs="Calibri" w:eastAsia="Calibri" w:hAnsi="Calibri"/>
          <w:b/>
          <w:bCs/>
          <w:sz w:val="21"/>
          <w:szCs w:val="21"/>
        </w:rPr>
        <w:t xml:space="preserve">entre 20 y 24 horas al año por contrato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[3] y el [X; se recomienda 6] por ciento del precio del contrato, IVA excluido, por cada incumplimiento, sin superar en ningún caso el 10 por ciento.</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temporal de una certificación o de un sistema de gestión exigidos,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liberar el depósito de código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o entrega incompleta del Dossier de Reversibilidad no subsanada en el plazo requerido.</w:t>
            </w:r>
          </w:p>
          <w:p>
            <w:pPr>
              <w:spacing w:after="100" w:line="264"/>
            </w:pPr>
            <w:r>
              <w:rPr>
                <w:rFonts w:ascii="Georgia" w:cs="Georgia" w:eastAsia="Georgia" w:hAnsi="Georgia"/>
                <w:sz w:val="20"/>
                <w:szCs w:val="20"/>
              </w:rPr>
              <w:t xml:space="preserve">M5. Introducción de información municipal no pública en un sistema de inteligencia artificial no autorizado.</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Pérdida no subsanada, en el plazo de la letra G8, de una certificación o sistema de gestión exigidos.</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XII indica cuáles.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bum440stbxiyo9cwjdqod">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su único efecto posible es la puntuación que corresponda en el criterio,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En todo contrato en el que se haya incorporado la cláusula de origen:</w:t>
            </w:r>
          </w:p>
          <w:p>
            <w:pPr>
              <w:spacing w:after="100" w:line="264"/>
            </w:pPr>
            <w:r>
              <w:rPr>
                <w:rFonts w:ascii="Georgia" w:cs="Georgia" w:eastAsia="Georgia" w:hAnsi="Georgia"/>
                <w:sz w:val="20"/>
                <w:szCs w:val="20"/>
              </w:rPr>
              <w:t xml:space="preserve">a) La negativa a entregar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La negativa a constituir el depósito de código, o la negativa a liberarlo concurriendo un supuesto tasado de liberación, o la entrega de material incompleto o no verificable no subsanada en el plazo de [1] mes desde requerimiento fehaciente.</w:t>
            </w:r>
          </w:p>
          <w:p>
            <w:pPr>
              <w:spacing w:after="100" w:line="264"/>
            </w:pPr>
            <w:r>
              <w:rPr>
                <w:rFonts w:ascii="Georgia" w:cs="Georgia" w:eastAsia="Georgia" w:hAnsi="Georgia"/>
                <w:sz w:val="20"/>
                <w:szCs w:val="20"/>
              </w:rPr>
              <w:t xml:space="preserve">c)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La introducción de información municipal no pública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transcurrido su plazo y un plazo adicional de subsanación de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[1] mes desde requerimiento fehaciente.</w:t>
            </w:r>
          </w:p>
          <w:p>
            <w:pPr>
              <w:spacing w:after="100" w:line="264"/>
            </w:pPr>
            <w:r>
              <w:rPr>
                <w:rFonts w:ascii="Georgia" w:cs="Georgia" w:eastAsia="Georgia" w:hAnsi="Georgia"/>
                <w:sz w:val="20"/>
                <w:szCs w:val="20"/>
              </w:rPr>
              <w:t xml:space="preserve">g) La falta de entrega, en el plazo establecido, de la interfaz normalizada de acceso programático prevista en el Pliego de Prescripciones Técnicas.</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Tres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el checklist del Anexo XII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Aquí hay que dar la razón al letrado del licitador, y darla por escrito antes de que la pida. </w:t>
      </w:r>
      <w:r>
        <w:rPr>
          <w:rFonts w:ascii="Calibri" w:cs="Calibri" w:eastAsia="Calibri" w:hAnsi="Calibri"/>
          <w:b/>
          <w:bCs/>
          <w:sz w:val="21"/>
          <w:szCs w:val="21"/>
        </w:rPr>
        <w:t xml:space="preserve">Resolver un contrato de contabilidad y patrimonio municipal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llevar la contabilidad del Ayuntamiento; la interfaz es una capacidad accesoria y valiosa, pero accesoria. Resolver por ella deja al Ayuntamiento sin contabilidad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Que es, dicho sin adorno, una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no hay parche.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 · Cláusulas ADM-7 a ADM-14</w:t>
      </w:r>
    </w:p>
    <w:p>
      <w:pPr>
        <w:spacing w:after="140" w:line="276"/>
      </w:pPr>
      <w:r>
        <w:rPr>
          <w:rFonts w:ascii="Calibri" w:cs="Calibri" w:eastAsia="Calibri" w:hAnsi="Calibri"/>
          <w:sz w:val="21"/>
          <w:szCs w:val="21"/>
        </w:rPr>
        <w:t xml:space="preserve">Las ocho cláusulas que siguen se redactan con el formato fijo de siete epígrafes. </w:t>
      </w:r>
      <w:r>
        <w:rPr>
          <w:rFonts w:ascii="Calibri" w:cs="Calibri" w:eastAsia="Calibri" w:hAnsi="Calibri"/>
          <w:b/>
          <w:bCs/>
          <w:sz w:val="21"/>
          <w:szCs w:val="21"/>
        </w:rPr>
        <w:t xml:space="preserve">Lo único que se copia a un pliego es el texto delimitado por los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todo lo que queda fuera de esos bloques es comentario justificativo y no debe reproducirse en el PCAP. Los valores entre corchetes los fija el órgano de contratación; todos llevan valor recomendado por defecto y la indicación de en qué caso conviene moverlo.</w:t>
      </w:r>
    </w:p>
    <w:p>
      <w:pPr>
        <w:spacing w:after="140" w:line="276"/>
      </w:pPr>
      <w:r>
        <w:rPr>
          <w:rFonts w:ascii="Calibri" w:cs="Calibri" w:eastAsia="Calibri" w:hAnsi="Calibri"/>
          <w:sz w:val="21"/>
          <w:szCs w:val="21"/>
        </w:rPr>
        <w:t xml:space="preserve">Regla de lectura común a las ocho: </w:t>
      </w:r>
      <w:r>
        <w:rPr>
          <w:rFonts w:ascii="Calibri" w:cs="Calibri" w:eastAsia="Calibri" w:hAnsi="Calibri"/>
          <w:b/>
          <w:bCs/>
          <w:sz w:val="21"/>
          <w:szCs w:val="21"/>
        </w:rPr>
        <w:t xml:space="preserve">ninguna de ellas se incorpora a un pliego sin la ficha del Anexo II firmada y sin que su necesidad conste en la memoria justificativa del expediente concreto</w:t>
      </w:r>
      <w:r>
        <w:rPr>
          <w:rFonts w:ascii="Calibri" w:cs="Calibri" w:eastAsia="Calibri" w:hAnsi="Calibri"/>
          <w:sz w:val="21"/>
          <w:szCs w:val="21"/>
        </w:rPr>
        <w:t xml:space="preserve">. La justificación por remisión a este catálogo es justificación estereotipada, y no se admite en sede de recurso lo que no estaba en la memoria (TACP de la Comunidad de Madrid, Resolución 383/2024, de 3 de octubre de 2024, recurso 383/2024, Ayuntamiento de Parla, estimatoria, que anuló unos pliegos por exigir el ENS de Nivel Alto sin justificación: &lt;https://www.comunidad.madrid/tacp/sites/default/files/resolucion_383-2024_expediente_383-2024.pdf&gt;; se cita como doctrina general trasladada por analogía).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ADM-7·v3 — Criterios de adjudicación</w:t>
      </w:r>
    </w:p>
    <w:p>
      <w:pPr>
        <w:spacing w:after="140" w:line="276"/>
      </w:pPr>
      <w:r>
        <w:rPr>
          <w:rFonts w:ascii="Calibri" w:cs="Calibri" w:eastAsia="Calibri" w:hAnsi="Calibri"/>
          <w:sz w:val="21"/>
          <w:szCs w:val="21"/>
        </w:rPr>
        <w:t xml:space="preserve">Es la cláusula con más riesgo de todo el documento.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contabilidad sin puntuar la contabilidad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Este apartado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 mera tenencia de certificaciones que acrediten sistemas de gestión de la empresa; la experiencia previa del licitador; ni la disponibilidad, a la fecha de finalización del plazo de presentación de ofertas, de instalaciones, desarrollos, productos o infraestructuras anteriores a la licitación.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en el mismo acto el criterio de adjudicación que la valoraba y se redistribuye su puntuación conforme al apartado 5.</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Separabilidad.</w:t>
            </w:r>
            <w:r>
              <w:rPr>
                <w:rFonts w:ascii="Georgia" w:cs="Georgia" w:eastAsia="Georgia" w:hAnsi="Georgia"/>
                <w:sz w:val="20"/>
                <w:szCs w:val="20"/>
              </w:rPr>
              <w:t xml:space="preserve"> La nulidad o anulación de uno de los criterios de este baremo no afectará por sí sola a la validez de los restantes. Las ponderaciones publicadas no serán objeto de reescalado ni de redistribución una vez iniciada la licitación; los efectos de la anulación se resolverán conforme a los artículos 57 y 213 LCSP y a la resolución que en cada caso recaiga.</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de servicios de mantenimiento, evolución y soporte de la aplicación de contabilidad y patrimonio. Presupuesto base de licitación 96.000 euros (IVA excluido) para dos años; una prórroga de un año por 48.000 euros; valor estimado 144.000 euros; sin reserva de modificación. Al superar 100.000 euros de valor estimado, no cabe el procedimiento abierto simplificado y los pliegos son directamente recurribles.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Fórmula de proporcionalidad inversa publicada en el apartado [ ] de este pliego, sobre el importe anual del servicio ordinario.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Cuadro de Precios Unitarios.</w:t>
                  </w:r>
                  <w:r>
                    <w:rPr>
                      <w:rFonts w:ascii="Calibri" w:cs="Calibri" w:eastAsia="Calibri" w:hAnsi="Calibri"/>
                      <w:b w:val="false"/>
                      <w:bCs w:val="false"/>
                      <w:sz w:val="18"/>
                      <w:szCs w:val="18"/>
                    </w:rPr>
                    <w:t xml:space="preserve"> Precio/hora ofertado por cada uno de los [cinco] perfiles profesionales de la relación cerrada del Anexo [ ],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acreditada sobre la relación cerrada de requisitos del PPT</w:t>
                  </w:r>
                  <w:r>
                    <w:rPr>
                      <w:rFonts w:ascii="Calibri" w:cs="Calibri" w:eastAsia="Calibri" w:hAnsi="Calibri"/>
                      <w:b w:val="false"/>
                      <w:bCs w:val="false"/>
                      <w:sz w:val="18"/>
                      <w:szCs w:val="18"/>
                    </w:rPr>
                    <w:t xml:space="preserve">, contando únicamente los requisitos identificados como «valorables» en dicha relación. Los requisitos identificados como «mínimos obligatorios» no puntúan. Umbrales publicados en 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matriz de requisitos del Anexo [ ], verificable conforme 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migración y carga inicial de datos</w:t>
                  </w:r>
                  <w:r>
                    <w:rPr>
                      <w:rFonts w:ascii="Calibri" w:cs="Calibri" w:eastAsia="Calibri" w:hAnsi="Calibri"/>
                      <w:b w:val="false"/>
                      <w:bCs w:val="false"/>
                      <w:sz w:val="18"/>
                      <w:szCs w:val="18"/>
                    </w:rPr>
                    <w:t xml:space="preserve"> desde el sistema actual, en semanas por debajo del máximo de [12] semanas fijado en el PPT.</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PPT</w:t>
                  </w:r>
                  <w:r>
                    <w:rPr>
                      <w:rFonts w:ascii="Calibri" w:cs="Calibri" w:eastAsia="Calibri" w:hAnsi="Calibri"/>
                      <w:b w:val="false"/>
                      <w:bCs w:val="false"/>
                      <w:sz w:val="18"/>
                      <w:szCs w:val="18"/>
                    </w:rPr>
                    <w:t xml:space="preserve">: tiempo máximo de respuesta y tiempo máximo de resolución de incidencias críticas, en horas por debajo del mínimo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ADM-5·v3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Metodología de soporte y de formación al personal de los servicios de Intervención, Tesorería y Contabilidad</w:t>
                  </w:r>
                  <w:r>
                    <w:rPr>
                      <w:rFonts w:ascii="Calibri" w:cs="Calibri" w:eastAsia="Calibri" w:hAnsi="Calibri"/>
                      <w:b w:val="false"/>
                      <w:bCs w:val="false"/>
                      <w:sz w:val="18"/>
                      <w:szCs w:val="18"/>
                    </w:rPr>
                    <w:t xml:space="preserve">, valorada conforme a la rúbrica con descriptores por tramos publicada en el Anexo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del Anexo V, contando únicamente las funciones y conjuntos de datos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relación numerada del Anexo V; el alcance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[12] meses fijado en el PPT.</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PPT, contando únicamente los que excedan del mínimo obligatorio.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relación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PPT.</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sz w:val="20"/>
                <w:szCs w:val="20"/>
              </w:rPr>
              <w:t xml:space="preserve">Reparto resultante: criterios evaluables mediante fórmula, </w:t>
            </w:r>
            <w:r>
              <w:rPr>
                <w:rFonts w:ascii="Georgia" w:cs="Georgia" w:eastAsia="Georgia" w:hAnsi="Georgia"/>
                <w:b/>
                <w:bCs/>
                <w:sz w:val="20"/>
                <w:szCs w:val="20"/>
              </w:rPr>
              <w:t xml:space="preserve">89 puntos</w:t>
            </w:r>
            <w:r>
              <w:rPr>
                <w:rFonts w:ascii="Georgia" w:cs="Georgia" w:eastAsia="Georgia" w:hAnsi="Georgia"/>
                <w:sz w:val="20"/>
                <w:szCs w:val="20"/>
              </w:rPr>
              <w:t xml:space="preserve">; criterios sujetos a juicio de valor, </w:t>
            </w:r>
            <w:r>
              <w:rPr>
                <w:rFonts w:ascii="Georgia" w:cs="Georgia" w:eastAsia="Georgia" w:hAnsi="Georgia"/>
                <w:b/>
                <w:bCs/>
                <w:sz w:val="20"/>
                <w:szCs w:val="20"/>
              </w:rPr>
              <w:t xml:space="preserve">11 puntos</w:t>
            </w:r>
            <w:r>
              <w:rPr>
                <w:rFonts w:ascii="Georgia" w:cs="Georgia" w:eastAsia="Georgia" w:hAnsi="Georgia"/>
                <w:sz w:val="20"/>
                <w:szCs w:val="20"/>
              </w:rPr>
              <w:t xml:space="preserve">. Bloque «Innovación y tecnología» (I1 a I4): </w:t>
            </w:r>
            <w:r>
              <w:rPr>
                <w:rFonts w:ascii="Georgia" w:cs="Georgia" w:eastAsia="Georgia" w:hAnsi="Georgia"/>
                <w:b/>
                <w:bCs/>
                <w:sz w:val="20"/>
                <w:szCs w:val="20"/>
              </w:rPr>
              <w:t xml:space="preserve">25 puntos</w:t>
            </w:r>
            <w:r>
              <w:rPr>
                <w:rFonts w:ascii="Georgia" w:cs="Georgia" w:eastAsia="Georgia" w:hAnsi="Georgia"/>
                <w:sz w:val="20"/>
                <w:szCs w:val="20"/>
              </w:rPr>
              <w:t xml:space="preserve">. Criterios relacionados con la calidad (todos salvo P1 y P2): </w:t>
            </w:r>
            <w:r>
              <w:rPr>
                <w:rFonts w:ascii="Georgia" w:cs="Georgia" w:eastAsia="Georgia" w:hAnsi="Georgia"/>
                <w:b/>
                <w:bCs/>
                <w:sz w:val="20"/>
                <w:szCs w:val="20"/>
              </w:rPr>
              <w:t xml:space="preserve">55 puntos</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Si la aplicación de la regla anterior obliga a reducir la puntuación de los criterios sujetos a juicio de valor,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Baremo recomendado por defecto en esta variante: P1 40 · P2 5 · F1 12 · F2 8 · F3 8 · F4 5 · I1 8 · I2 5 · I3 6 · I4 3. Juicio de valor: 8 puntos (8 por ciento). Bloque de innovación: 22 puntos.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Baremo recomendado por defecto: P1 50 · P2 5 · F1 12 · F2 8 · F3 8 · I1 9 · I2 5 · I3 3. Bloque de innovación: 17 puntos.</w:t>
            </w:r>
          </w:p>
          <w:p>
            <w:pPr>
              <w:pStyle w:val="ListParagraph"/>
              <w:numPr>
                <w:ilvl w:val="0"/>
                <w:numId w:val="2"/>
              </w:numPr>
              <w:spacing w:after="60" w:line="264"/>
            </w:pPr>
            <w:r>
              <w:rPr>
                <w:rFonts w:ascii="Georgia" w:cs="Georgia" w:eastAsia="Georgia" w:hAnsi="Georgia"/>
                <w:sz w:val="20"/>
                <w:szCs w:val="20"/>
              </w:rPr>
              <w:t xml:space="preserve">Se suprimen los criterios F4 e I4 y, con ellos, toda remisión a rúbricas de juicio de valor.</w:t>
            </w:r>
          </w:p>
          <w:p>
            <w:pPr>
              <w:pStyle w:val="ListParagraph"/>
              <w:numPr>
                <w:ilvl w:val="0"/>
                <w:numId w:val="2"/>
              </w:numPr>
              <w:spacing w:after="60" w:line="264"/>
            </w:pPr>
            <w:r>
              <w:rPr>
                <w:rFonts w:ascii="Georgia" w:cs="Georgia" w:eastAsia="Georgia" w:hAnsi="Georgia"/>
                <w:sz w:val="20"/>
                <w:szCs w:val="20"/>
              </w:rPr>
              <w:t xml:space="preserve">No se aplica la cláusula ADM-9 (verificación mediante demostración funcional).</w:t>
            </w:r>
          </w:p>
        </w:tc>
      </w:tr>
    </w:tbl>
    <w:p>
      <w:pPr>
        <w:spacing w:after="220"/>
      </w:pP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Se cumplimenta antes de aprobar el expediente y se incorpora a él. Suma el baremo entero, precio incluido.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Hoja de comprobación del baremo (se incorpora al expediente, no al pliego publicado).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bl>
          <w:p>
            <w:pPr>
              <w:spacing w:after="80"/>
            </w:pP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doce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del PPT.</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ADM-8·v3 — Propiedad intelectual, algoritmos y lógica de negocio</w:t>
      </w:r>
    </w:p>
    <w:p>
      <w:pPr>
        <w:spacing w:after="140" w:line="276"/>
      </w:pPr>
      <w:r>
        <w:rPr>
          <w:rFonts w:ascii="Calibri" w:cs="Calibri" w:eastAsia="Calibri" w:hAnsi="Calibri"/>
          <w:sz w:val="21"/>
          <w:szCs w:val="21"/>
        </w:rPr>
        <w:t xml:space="preserve">Incorpora las modificaciones 3 y 4 del documento de propuesta de modificaciones (las modificaciones 1 y 2, sobre la reversibilidad y su definición, se integran en DT-8·v3 y en las definiciones de la Parte I) y </w:t>
      </w:r>
      <w:r>
        <w:rPr>
          <w:rFonts w:ascii="Calibri" w:cs="Calibri" w:eastAsia="Calibri" w:hAnsi="Calibri"/>
          <w:b/>
          <w:bCs/>
          <w:sz w:val="21"/>
          <w:szCs w:val="21"/>
        </w:rPr>
        <w:t xml:space="preserve">corrige tres defectos que ese documento no vio</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w:t>
      </w:r>
      <w:r>
        <w:rPr>
          <w:rFonts w:ascii="Calibri" w:cs="Calibri" w:eastAsia="Calibri" w:hAnsi="Calibri"/>
          <w:sz w:val="21"/>
          <w:szCs w:val="21"/>
        </w:rPr>
        <w:t xml:space="preserve"> sobre el producto base, el Ayuntamiento no puede poner la aplicación a disposición de otra Administración que se la pida y, por tanto, no puede cumplir el art. 157.1 de la Ley 40/2015, que obliga a hacerlo respecto de las aplicaciones «de cuyos derechos de propiedad intelectual sean titulares». El art. 99 TRLPI presume la cesión de uso no exclusiva e intransferible: si el pliego calla, el Ayuntamiento no puede ceder.</w:t>
      </w:r>
    </w:p>
    <w:p>
      <w:pPr>
        <w:pStyle w:val="ListParagraph"/>
        <w:numPr>
          <w:ilvl w:val="0"/>
          <w:numId w:val="1"/>
        </w:numPr>
        <w:spacing w:after="70" w:line="268"/>
      </w:pPr>
      <w:r>
        <w:rPr>
          <w:rFonts w:ascii="Calibri" w:cs="Calibri" w:eastAsia="Calibri" w:hAnsi="Calibri"/>
          <w:sz w:val="21"/>
          <w:szCs w:val="21"/>
        </w:rPr>
        <w:t xml:space="preserve">El texto propuesto dejaba abierto un cheque en blanco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de los componentes de terceros, y </w:t>
            </w:r>
            <w:r>
              <w:rPr>
                <w:rFonts w:ascii="Georgia" w:cs="Georgia" w:eastAsia="Georgia" w:hAnsi="Georgia"/>
                <w:b/>
                <w:bCs/>
                <w:sz w:val="20"/>
                <w:szCs w:val="20"/>
              </w:rPr>
              <w:t xml:space="preserve">como mínimo, aunque este pliego no disponga otra cosa</w:t>
            </w:r>
            <w:r>
              <w:rPr>
                <w:rFonts w:ascii="Georgia" w:cs="Georgia" w:eastAsia="Georgia" w:hAnsi="Georgia"/>
                <w:sz w:val="20"/>
                <w:szCs w:val="20"/>
              </w:rPr>
              <w:t xml:space="preserve">, el Ayuntamiento ostentará una licencia de uso no exclusiva, sin límite de personas usuarias ni de instalaciones, para todos los fines propios de sus competencias, durante la vigencia del contrato, sus prórrogas y el periodo de reversión, y </w:t>
            </w:r>
            <w:r>
              <w:rPr>
                <w:rFonts w:ascii="Georgia" w:cs="Georgia" w:eastAsia="Georgia" w:hAnsi="Georgia"/>
                <w:b/>
                <w:bCs/>
                <w:sz w:val="20"/>
                <w:szCs w:val="20"/>
              </w:rPr>
              <w:t xml:space="preserve">transferible a otras entidades del sector público</w:t>
            </w:r>
            <w:r>
              <w:rPr>
                <w:rFonts w:ascii="Georgia" w:cs="Georgia" w:eastAsia="Georgia" w:hAnsi="Georgia"/>
                <w:sz w:val="20"/>
                <w:szCs w:val="20"/>
              </w:rPr>
              <w:t xml:space="preserve"> a los solos efectos de los artículos 157 y 158 de la Ley 40/2015.</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cláusula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 meses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ADM-9·v3 — Verificación mediante demostración funcional</w:t>
      </w:r>
    </w:p>
    <w:p>
      <w:pPr>
        <w:spacing w:after="140" w:line="276"/>
      </w:pPr>
      <w:r>
        <w:rPr>
          <w:rFonts w:ascii="Calibri" w:cs="Calibri" w:eastAsia="Calibri" w:hAnsi="Calibri"/>
          <w:b/>
          <w:bCs/>
          <w:sz w:val="21"/>
          <w:szCs w:val="21"/>
        </w:rPr>
        <w:t xml:space="preserve">Aquí se dice con todas las letras qué se hace, porque el reproche del que parte es serio y sólo hay dos salidas honestas.</w:t>
      </w:r>
    </w:p>
    <w:p>
      <w:pPr>
        <w:spacing w:after="140" w:line="276"/>
      </w:pPr>
      <w:r>
        <w:rPr>
          <w:rFonts w:ascii="Calibri" w:cs="Calibri" w:eastAsia="Calibri" w:hAnsi="Calibri"/>
          <w:sz w:val="21"/>
          <w:szCs w:val="21"/>
        </w:rPr>
        <w:t xml:space="preserve">El reproche: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b/>
          <w:bCs/>
          <w:sz w:val="21"/>
          <w:szCs w:val="21"/>
        </w:rPr>
        <w:t xml:space="preserve">Lo que se hace: se degrada la cláusula, y esa degradación es la solución.</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precio de resolverlo de verdad es que el órgano de contratación pierde la posibilidad de premiar al licitador que llega con el producto hecho. Ese premio es precisamente lo que el art. 40.b) LCSP declara anulable.</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Además, y contra lo que se ha venido escribiendo,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de modo suficiente y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en la sesión se puntuarán con cero en el subcriterio correspondiente.</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al Anexo IX del PCAP.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(Servei de Salut de les Illes Balears).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Texto íntegro reproducido en &lt;https://www.acobur.es/recursos-especiales-36562-resolucion-n-622023-del-tribunal-administrativo-central-de-recursos-contractuales-de-02-de-febrero-de-2023recurso-n-16342022-c&gt;; el PDF oficial no fue localizable en el repositorio del Ministerio de Hacienda.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recogida en el compendio oficial de doctrina 2018-2023 del propio órgano, epígrafe 3.4.6 —el número de recurso no consta en esa fuente y debe completarse antes de publicar—: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(&lt;https://www.euskadi.eus/contenidos/informacion/kpecpe_oarc_memorias_doctrina/eu_def/adjuntos/Doktrina-2018-2023.pdf&gt;).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mismo compendio, epígrafe 6.5.18, con idéntica advertencia sobre el número de recurso: lo que se muestra forma parte de la oferta y no es subsanable, porque «tal subsanación supondría modificar el contenido de la proposición, lo que es inadmisible en los procedimientos abiertos por contrario al principio de igualdad de trato».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respalda la valoración técnica de muestras probadas por el personal que va a usar el producto, con el recordatorio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citados,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IX cumplimentada; y acta de la sesión, que consigna elemento por elemento «declarado / acreditado / no acreditado / evidencia observada». No se admite documentación adicional aportada durante la sesión ni con posterioridad.</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Con cinco licitadores, entre 19 y 24 horas por expediente.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IX del PCAP, la columna «verificable conforme a ADM-9» del baremo de ADM-7·v3 y la mención de la demostración en el Anexo VI (declaración responsable).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ADM-10·v3 — Plan de Actualización Tecnológica</w:t>
      </w:r>
    </w:p>
    <w:p>
      <w:pPr>
        <w:spacing w:after="140" w:line="276"/>
      </w:pPr>
      <w:r>
        <w:rPr>
          <w:rFonts w:ascii="Calibri" w:cs="Calibri" w:eastAsia="Calibri" w:hAnsi="Calibri"/>
          <w:sz w:val="21"/>
          <w:szCs w:val="21"/>
        </w:rPr>
        <w:t xml:space="preserve">Cláusula </w:t>
      </w:r>
      <w:r>
        <w:rPr>
          <w:rFonts w:ascii="Calibri" w:cs="Calibri" w:eastAsia="Calibri" w:hAnsi="Calibri"/>
          <w:b/>
          <w:bCs/>
          <w:sz w:val="21"/>
          <w:szCs w:val="21"/>
        </w:rPr>
        <w:t xml:space="preserve">degradada</w:t>
      </w:r>
      <w:r>
        <w:rPr>
          <w:rFonts w:ascii="Calibri" w:cs="Calibri" w:eastAsia="Calibri" w:hAnsi="Calibri"/>
          <w:sz w:val="21"/>
          <w:szCs w:val="21"/>
        </w:rPr>
        <w:t xml:space="preserve">. 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de Actualización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de Actualización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obligaciones del contratista en materia de seguimiento. El modelo de Plan va al Anexo VII.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VII;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[30] días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[12] meses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VII, la fila correspondiente del cuadro de penalidades de ADM-5·v3, los dos guiones correspondientes del bloque B de ADM-6·v3, y el criterio I2 del baremo de ADM-7·v3 si su medición dependía del Plan.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ADM-11·v3 — Depósito de código y continuidad ante insolvencia</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agradece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w:t>
            </w:r>
            <w:r>
              <w:rPr>
                <w:rFonts w:ascii="Georgia" w:cs="Georgia" w:eastAsia="Georgia" w:hAnsi="Georgia"/>
                <w:sz w:val="20"/>
                <w:szCs w:val="20"/>
              </w:rPr>
              <w:t xml:space="preserve"> por incumplimiento de los acuerdos de nivel de servicio definidos en el pliego de prescripciones técnicas;</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[ADM-10].</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La constitución, la actualización y la verificación del depósito o del plan de continuidad equivalente, así como la entrega del material completo en los supuestos de liberación, se califican como obligaciones contractuales esenciales a los efectos del artículo 211.1.f) de la LCSP, en los términos de la cláusula [ADM-6], bloque B.</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w:t>
      </w:r>
    </w:p>
    <w:p>
      <w:pPr>
        <w:pStyle w:val="ListParagraph"/>
        <w:numPr>
          <w:ilvl w:val="0"/>
          <w:numId w:val="1"/>
        </w:numPr>
        <w:spacing w:after="70" w:line="268"/>
      </w:pPr>
      <w:r>
        <w:rPr>
          <w:rFonts w:ascii="Calibri" w:cs="Calibri" w:eastAsia="Calibri" w:hAnsi="Calibri"/>
          <w:b/>
          <w:bCs/>
          <w:sz w:val="21"/>
          <w:szCs w:val="21"/>
        </w:rPr>
        <w:t xml:space="preserve">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los términos del apartado 9 y por remisión a ADM-6·v3, bloque B.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ADM-12·v3 — Acceso de los órganos de control interno a los datos de ejecución</w:t>
      </w:r>
    </w:p>
    <w:p>
      <w:pPr>
        <w:spacing w:after="140" w:line="276"/>
      </w:pPr>
      <w:r>
        <w:rPr>
          <w:rFonts w:ascii="Calibri" w:cs="Calibri" w:eastAsia="Calibri" w:hAnsi="Calibri"/>
          <w:sz w:val="21"/>
          <w:szCs w:val="21"/>
        </w:rPr>
        <w:t xml:space="preserve">Es la cláusula que nace de la </w:t>
      </w:r>
      <w:r>
        <w:rPr>
          <w:rFonts w:ascii="Calibri" w:cs="Calibri" w:eastAsia="Calibri" w:hAnsi="Calibri"/>
          <w:b/>
          <w:bCs/>
          <w:sz w:val="21"/>
          <w:szCs w:val="21"/>
        </w:rPr>
        <w:t xml:space="preserve">única necesidad declarada por escrito por un órgano municipal</w:t>
      </w:r>
      <w:r>
        <w:rPr>
          <w:rFonts w:ascii="Calibri" w:cs="Calibri" w:eastAsia="Calibri" w:hAnsi="Calibri"/>
          <w:sz w:val="21"/>
          <w:szCs w:val="21"/>
        </w:rPr>
        <w:t xml:space="preserve"> en todo el expediente. Por eso tiene que estar impecable, y por eso se reancla.</w:t>
      </w:r>
    </w:p>
    <w:p>
      <w:pPr>
        <w:spacing w:after="140" w:line="276"/>
      </w:pPr>
      <w:r>
        <w:rPr>
          <w:rFonts w:ascii="Calibri" w:cs="Calibri" w:eastAsia="Calibri" w:hAnsi="Calibri"/>
          <w:b/>
          <w:bCs/>
          <w:sz w:val="21"/>
          <w:szCs w:val="21"/>
        </w:rPr>
        <w:t xml:space="preserve">Lo que se corrige respecto del planteamiento anterior.</w:t>
      </w:r>
      <w:r>
        <w:rPr>
          <w:rFonts w:ascii="Calibri" w:cs="Calibri" w:eastAsia="Calibri" w:hAnsi="Calibri"/>
          <w:sz w:val="21"/>
          <w:szCs w:val="21"/>
        </w:rPr>
        <w:t xml:space="preserve"> 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w:t>
      </w:r>
      <w:r>
        <w:rPr>
          <w:rFonts w:ascii="Calibri" w:cs="Calibri" w:eastAsia="Calibri" w:hAnsi="Calibri"/>
          <w:b/>
          <w:bCs/>
          <w:sz w:val="21"/>
          <w:szCs w:val="21"/>
        </w:rPr>
        <w:t xml:space="preserve">se conserva</w:t>
      </w:r>
      <w:r>
        <w:rPr>
          <w:rFonts w:ascii="Calibri" w:cs="Calibri" w:eastAsia="Calibri" w:hAnsi="Calibri"/>
          <w:sz w:val="21"/>
          <w:szCs w:val="21"/>
        </w:rPr>
        <w:t xml:space="preserve">,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de carácter esencial, artículos 202.1 y 202.3 de la LCSP)</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hasta la certificación municipal de la reversión completa.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del artículo 202.1 de la LCSP, está vinculada al objeto del contrato en el sentido del artículo 145 de la LCSP —por referirse a la ejecución y a la fase de explotación de su ciclo de vida— y tiene el carácter de obligación contractual esencial a los efectos del artículo 211.1.f) de la LCSP, en los términos de la cláusula [ADM-6], bloque B.</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la declaró por escrito el propio órgano municipal competente en materia de contratación, en su comentario de 18 de junio de 2026 al clausulado de la versión 2.0. </w:t>
      </w:r>
      <w:r>
        <w:rPr>
          <w:rFonts w:ascii="Calibri" w:cs="Calibri" w:eastAsia="Calibri" w:hAnsi="Calibri"/>
          <w:b/>
          <w:bCs/>
          <w:sz w:val="21"/>
          <w:szCs w:val="21"/>
        </w:rPr>
        <w:t xml:space="preserve">Ese comentario no es un informe</w:t>
      </w:r>
      <w:r>
        <w:rPr>
          <w:rFonts w:ascii="Calibri" w:cs="Calibri" w:eastAsia="Calibri" w:hAnsi="Calibri"/>
          <w:sz w:val="21"/>
          <w:szCs w:val="21"/>
        </w:rPr>
        <w:t xml:space="preserve">: es un comentario incorporado al final de un documento de trabajo. Se cita como lo que es,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 la Intervención no podemos pedir que se implementen estos instrumentos; lo que sí entraría dentro de nuestro ámbito sería la explotación de los datos al mismo rango que el gestor, al objeto de cumplir con nuestras obligaciones legales». Antes de aprobar el catálogo debe recabarse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ADM-13·v3 — Uso de herramientas de inteligencia artificial sobre información municipal</w:t>
      </w:r>
    </w:p>
    <w:p>
      <w:pPr>
        <w:spacing w:after="140" w:line="276"/>
      </w:pPr>
      <w:r>
        <w:rPr>
          <w:rFonts w:ascii="Calibri" w:cs="Calibri" w:eastAsia="Calibri" w:hAnsi="Calibri"/>
          <w:sz w:val="21"/>
          <w:szCs w:val="21"/>
        </w:rPr>
        <w:t xml:space="preserve">Responde a una cuestión que hoy no está resuelta y que llegó por la vía de los hechos: si compromete la seguridad del texto de un contrato procesarlo en una cuenta de inteligencia artificial que no es licencia del Ayuntamiento.</w:t>
      </w:r>
    </w:p>
    <w:p>
      <w:pPr>
        <w:spacing w:after="140" w:line="276"/>
      </w:pPr>
      <w:r>
        <w:rPr>
          <w:rFonts w:ascii="Calibri" w:cs="Calibri" w:eastAsia="Calibri" w:hAnsi="Calibri"/>
          <w:b/>
          <w:bCs/>
          <w:sz w:val="21"/>
          <w:szCs w:val="21"/>
        </w:rPr>
        <w:t xml:space="preserve">El reproche que hay que desactivar, porque es certero:</w:t>
      </w:r>
      <w:r>
        <w:rPr>
          <w:rFonts w:ascii="Calibri" w:cs="Calibri" w:eastAsia="Calibri" w:hAnsi="Calibri"/>
          <w:sz w:val="21"/>
          <w:szCs w:val="21"/>
        </w:rPr>
        <w:t xml:space="preserve"> tal como estaba esbozada, la cláusula era inaplicable. Cualquier desarrollador que use un entorno de desarrollo con asistente la incumpliría, y una obligación esencial inaplicable no protege: es una trampa que un tribunal ve y que desactiva el resto del pliego por contagio. La solución es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graduar la consecuencia.</w:t>
      </w:r>
    </w:p>
    <w:p>
      <w:pPr>
        <w:spacing w:after="140" w:line="276"/>
      </w:pPr>
      <w:r>
        <w:rPr>
          <w:rFonts w:ascii="Calibri" w:cs="Calibri" w:eastAsia="Calibri" w:hAnsi="Calibri"/>
          <w:sz w:val="21"/>
          <w:szCs w:val="21"/>
        </w:rPr>
        <w:t xml:space="preserve">Se establecen tres niveles. </w:t>
      </w:r>
      <w:r>
        <w:rPr>
          <w:rFonts w:ascii="Calibri" w:cs="Calibri" w:eastAsia="Calibri" w:hAnsi="Calibri"/>
          <w:b/>
          <w:bCs/>
          <w:sz w:val="21"/>
          <w:szCs w:val="21"/>
        </w:rPr>
        <w:t xml:space="preserve">Sólo el primero es obligación esencial.</w:t>
      </w:r>
      <w:r>
        <w:rPr>
          <w:rFonts w:ascii="Calibri" w:cs="Calibri" w:eastAsia="Calibri" w:hAnsi="Calibri"/>
          <w:sz w:val="21"/>
          <w:szCs w:val="21"/>
        </w:rPr>
        <w:t xml:space="preserve"> El tercero queda expresamente fuera del ámbito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Anexo [XI.E]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y cláusula de confidencialidad y protección de datos, por la remisión del apartado 2 al art. 28 RGPD. El modelo de declaración del apartado 4 va al Anexo VI.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XIV.A.</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citados,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ADM-14·v3 — Modificación prevista como red de seguridad</w:t>
      </w:r>
    </w:p>
    <w:p>
      <w:pPr>
        <w:spacing w:after="140" w:line="276"/>
      </w:pPr>
      <w:r>
        <w:rPr>
          <w:rFonts w:ascii="Calibri" w:cs="Calibri" w:eastAsia="Calibri" w:hAnsi="Calibri"/>
          <w:b/>
          <w:bCs/>
          <w:sz w:val="21"/>
          <w:szCs w:val="21"/>
        </w:rPr>
        <w:t xml:space="preserve">Cláusula opcional. Por defecto, NO se incorpora.</w:t>
      </w:r>
      <w:r>
        <w:rPr>
          <w:rFonts w:ascii="Calibri" w:cs="Calibri" w:eastAsia="Calibri" w:hAnsi="Calibri"/>
          <w:sz w:val="21"/>
          <w:szCs w:val="21"/>
        </w:rPr>
        <w:t xml:space="preserve"> 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Tres umbrales dependen de él:</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w:t>
      </w:r>
      <w:r>
        <w:rPr>
          <w:rFonts w:ascii="Calibri" w:cs="Calibri" w:eastAsia="Calibri" w:hAnsi="Calibri"/>
          <w:b/>
          <w:bCs/>
          <w:sz w:val="21"/>
          <w:szCs w:val="21"/>
        </w:rPr>
        <w:t xml:space="preserve">sí tiene norma</w:t>
      </w:r>
      <w:r>
        <w:rPr>
          <w:rFonts w:ascii="Calibri" w:cs="Calibri" w:eastAsia="Calibri" w:hAnsi="Calibri"/>
          <w:sz w:val="21"/>
          <w:szCs w:val="21"/>
        </w:rPr>
        <w:t xml:space="preserve">: el art. 308.3 LCSP permite que, en los contratos de servicios que impliquen el desarrollo o mantenimiento de aplicaciones informáticas, el objeto se defina por componentes de prestación con precio por unidades de actividad, «sin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 Dos cautelas que acompañan siempre a esa alternativa: la bolsa </w:t>
      </w:r>
      <w:r>
        <w:rPr>
          <w:rFonts w:ascii="Calibri" w:cs="Calibri" w:eastAsia="Calibri" w:hAnsi="Calibri"/>
          <w:b/>
          <w:bCs/>
          <w:sz w:val="21"/>
          <w:szCs w:val="21"/>
        </w:rPr>
        <w:t xml:space="preserve">sí computa en el valor estimado</w:t>
      </w:r>
      <w:r>
        <w:rPr>
          <w:rFonts w:ascii="Calibri" w:cs="Calibri" w:eastAsia="Calibri" w:hAnsi="Calibri"/>
          <w:sz w:val="21"/>
          <w:szCs w:val="21"/>
        </w:rPr>
        <w:t xml:space="preserve"> (art. 101 LCSP), y nunca se redacta como horas «dirigidas por el Ayuntamiento» —sería la fórmula literal del riesgo del art. 308.2 LCSP—, sino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[X]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que la acepta expresamente por el hecho de presentar su oferta.</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 206 LCSP, que declara obligatorias para el contratista únicamente las modificaciones del art. 205, de donde deriva la necesidad del apartado 7.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tres umbrales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tres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 y, si no se emplea para otra finalidad, el Anexo X.</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19-24 h por expediente con 5 licitadores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Ninguna de estas cláusulas se incorpora a un pliego sin que la ficha del Anexo II identifique al actor municipal que la verificará y la periodicidad con que lo hará. Crear obligaciones esenciales que después nadie comprueba es peor que no crearlas: lo hará constar el órgano interventor, y lo alegará el contratista el día que se le quiera resolver el contrato por un incumplimiento que el Ayuntamiento nunca vigiló.</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Ninguna de estas ocho cláusulas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a las demás.</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pliegos anulados.</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de ochenta páginas, catorce anexos y una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que el área de contratación municipal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i/>
          <w:iCs/>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el comentario de contratación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 sistema de contabilidad exponga una interfaz de acceso programático para agentes de IA. Y el gestor de contabilidad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Anexo XI.A.</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El comentario del área de contratación de 18 de junio de 2026: qué es y cómo se cita</w:t>
      </w:r>
    </w:p>
    <w:p>
      <w:pPr>
        <w:spacing w:after="140" w:line="276"/>
      </w:pP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Este catálogo no puede citarlo como «informe de la Intervención» ni como «informe del área de contratación», ni atribuirlo a dos órganos distintos en dos apartados distintos. Se cita como lo que es, con su naturaleza expresada,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 el control del gasto, ni eficiencia, ni eficacia. Siendo este seguimiento parte de las obligaciones de control de la Intervención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 sí entraría dentro de nuestro ámbito sería la explotación de los datos al mismo rango que el gestor, al objeto de cumplir con nuestras obligaciones legales.»</w:t>
      </w:r>
    </w:p>
    <w:p>
      <w:pPr>
        <w:spacing w:after="140" w:line="276"/>
      </w:pPr>
      <w:r>
        <w:rPr>
          <w:rFonts w:ascii="Calibri" w:cs="Calibri" w:eastAsia="Calibri" w:hAnsi="Calibri"/>
          <w:sz w:val="21"/>
          <w:szCs w:val="21"/>
        </w:rPr>
        <w:t xml:space="preserve">Leído entero dice dos cosas, y las dos se han incorporado: que hay una necesidad real de explotación de datos por el órgano de control (de ahí ADM-12·v3) y que el propio comentarista duda de que corresponda al Ayuntamiento imponer al contratista los instrumentos de seguimiento (de ahí la regla de verificabilidad municipal del §M4.4 y la degradación de ADM-10·v3, que deja de ser fuente autónoma de obligaciones esenciales).</w:t>
      </w:r>
    </w:p>
    <w:p>
      <w:pPr>
        <w:spacing w:after="140" w:line="276"/>
      </w:pPr>
      <w:r>
        <w:rPr>
          <w:rFonts w:ascii="Calibri" w:cs="Calibri" w:eastAsia="Calibri" w:hAnsi="Calibri"/>
          <w:b/>
          <w:bCs/>
          <w:sz w:val="21"/>
          <w:szCs w:val="21"/>
        </w:rPr>
        <w:t xml:space="preserve">Recomendación vinculante para el expediente de aprobación:</w:t>
      </w:r>
      <w:r>
        <w:rPr>
          <w:rFonts w:ascii="Calibri" w:cs="Calibri" w:eastAsia="Calibri" w:hAnsi="Calibri"/>
          <w:sz w:val="21"/>
          <w:szCs w:val="21"/>
        </w:rPr>
        <w:t xml:space="preserve"> antes de publicar este catálogo, solicítese al área de contratación y a la Intervención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y sustitúyase en esta memoria la cita del comentario por la cita del informe. Mientras no exista, la necesidad declarada por el órgano de control se apoya en un 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XIV.A);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CNMC G-2023-01 sobre captura tecnológica)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identificados en el Anexo V (art. 116.4.e). No se puntúa la tenencia previa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 Las peticiones se cursan como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como dirección de personal.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Trámite de valoración de criterios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rúbrica publicada; momento procedimental imperativo; </w:t>
            </w:r>
            <w:r>
              <w:rPr>
                <w:rFonts w:ascii="Calibri" w:cs="Calibri" w:eastAsia="Calibri" w:hAnsi="Calibri"/>
                <w:b/>
                <w:bCs/>
                <w:sz w:val="18"/>
                <w:szCs w:val="18"/>
              </w:rPr>
              <w:t xml:space="preserve">verifica lo ya declarado por escrito en la oferta y nada más</w:t>
            </w:r>
            <w:r>
              <w:rPr>
                <w:rFonts w:ascii="Calibri" w:cs="Calibri" w:eastAsia="Calibri" w:hAnsi="Calibri"/>
                <w:b w:val="false"/>
                <w:bCs w:val="false"/>
                <w:sz w:val="18"/>
                <w:szCs w:val="18"/>
              </w:rPr>
              <w:t xml:space="preserve">;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de Evolución Tecnológica y compromisos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CNMC sobre planificación y diseño de las licitaciones públicas (ref. G-2023-01, publicada en 2025) incluye orientaciones sobre cómo evitar la captura tecnológica en compras estratégicas.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área de contratación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10]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si VE ≥ [216.000]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ADM-3.3·v3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[100.000] €; bolsa ≤ [X; se recomienda 10] % del precio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[100.000] €; [X; se recomienda 2] sesiones/año,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 [X; se recomienda 40] % del total de criterios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reforzada por encima del 40 %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216.000]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[100.000] € y duración ≥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la lista tasada (padrón, tributos, recaudación, contabilidad, gestión de expedientes, sede)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umbral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servicio es crítico y no hay alternativa de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DT-0·v3 (equivalencia), DT-6·v3 en su modalidad de declaración de conformidad, la reversibilidad mínima de DT-8·v3 (entrega de datos en formato abierto) y ADM-13·v3. Nada más: no hay expediente donde motivar el resto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Es una regla del propio catálogo y opera como condición de incorporación: </w:t>
      </w:r>
      <w:r>
        <w:rPr>
          <w:rFonts w:ascii="Calibri" w:cs="Calibri" w:eastAsia="Calibri" w:hAnsi="Calibri"/>
          <w:b/>
          <w:bCs/>
          <w:sz w:val="21"/>
          <w:szCs w:val="21"/>
        </w:rPr>
        <w:t xml:space="preserve">no se incorpora a un pliego ninguna cláusula cuya verificación no tenga actor municipal designado, periodicidad y carga estimada.</w:t>
      </w:r>
      <w:r>
        <w:rPr>
          <w:rFonts w:ascii="Calibri" w:cs="Calibri" w:eastAsia="Calibri" w:hAnsi="Calibri"/>
          <w:sz w:val="21"/>
          <w:szCs w:val="21"/>
        </w:rPr>
        <w:t xml:space="preserve"> Cada cláusula de las Partes II y III consigna esos tres datos en su epígrafe «Cómo se verifica». La suma de esas cargas, para un contrato con el catálogo aplicado en su intensidad máxima, está dimensionada en el §M6.3.</w:t>
      </w:r>
    </w:p>
    <w:p>
      <w:pPr>
        <w:spacing w:after="140" w:line="276"/>
      </w:pPr>
      <w:r>
        <w:rPr>
          <w:rFonts w:ascii="Calibri" w:cs="Calibri" w:eastAsia="Calibri" w:hAnsi="Calibri"/>
          <w:sz w:val="21"/>
          <w:szCs w:val="21"/>
        </w:rPr>
        <w:t xml:space="preserve">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213.2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 resolución versa sobre una condición especial de ejecución de contenido laboral en un contrato de conservación de carreteras, no sobre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 este catálogo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Garantía definitiva: advertencia de redacción</w:t>
      </w:r>
    </w:p>
    <w:p>
      <w:pPr>
        <w:spacing w:after="140" w:line="276"/>
      </w:pPr>
      <w:r>
        <w:rPr>
          <w:rFonts w:ascii="Calibri" w:cs="Calibri" w:eastAsia="Calibri" w:hAnsi="Calibri"/>
          <w:sz w:val="21"/>
          <w:szCs w:val="21"/>
        </w:rPr>
        <w:t xml:space="preserve">La vinculación del plazo de garantía a la certificación de la reversión (DT-8·v3) es la palanca que convierte la reversibilidad en obligación con dinero detrás. Pero un plazo de garantía cuyo término dependa de un acto discrecional del Ayuntamiento </w:t>
      </w:r>
      <w:r>
        <w:rPr>
          <w:rFonts w:ascii="Calibri" w:cs="Calibri" w:eastAsia="Calibri" w:hAnsi="Calibri"/>
          <w:b/>
          <w:bCs/>
          <w:sz w:val="21"/>
          <w:szCs w:val="21"/>
        </w:rPr>
        <w:t xml:space="preserve">no es un plazo</w:t>
      </w:r>
      <w:r>
        <w:rPr>
          <w:rFonts w:ascii="Calibri" w:cs="Calibri" w:eastAsia="Calibri" w:hAnsi="Calibri"/>
          <w:sz w:val="21"/>
          <w:szCs w:val="21"/>
        </w:rPr>
        <w:t xml:space="preserve"> y puede ser impugnado. La redacción correcta fija un plazo de garantía cierto en el PCAP y configura la certificación de la reversión como requisito de la </w:t>
      </w:r>
      <w:r>
        <w:rPr>
          <w:rFonts w:ascii="Calibri" w:cs="Calibri" w:eastAsia="Calibri" w:hAnsi="Calibri"/>
          <w:b/>
          <w:bCs/>
          <w:sz w:val="21"/>
          <w:szCs w:val="21"/>
        </w:rPr>
        <w:t xml:space="preserve">recepción</w:t>
      </w:r>
      <w:r>
        <w:rPr>
          <w:rFonts w:ascii="Calibri" w:cs="Calibri" w:eastAsia="Calibri" w:hAnsi="Calibri"/>
          <w:sz w:val="21"/>
          <w:szCs w:val="21"/>
        </w:rPr>
        <w:t xml:space="preserve">, no como prórroga indefinida de la garantía; y respeta en todo caso el régimen del art. 111 LCSP sobre devolución. El órgano que informe jurídicamente debe verificar este punto expresamente.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 [10] % del precio anual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del área de contratación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Por expediente, una sola vez (fase de preparación):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Actividad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estimadas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 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y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si se aplica: preparación del caso de uso + sesiones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Comité /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[1,5 h × n.º de licitadores × n.º de evaluadores]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40–60 h</w:t>
            </w:r>
            <w:r>
              <w:rPr>
                <w:rFonts w:ascii="Calibri" w:cs="Calibri" w:eastAsia="Calibri" w:hAnsi="Calibri"/>
                <w:b w:val="false"/>
                <w:bCs w:val="false"/>
                <w:sz w:val="18"/>
                <w:szCs w:val="18"/>
              </w:rPr>
              <w:t xml:space="preserve">, más las sesiones de demostración</w:t>
            </w:r>
          </w:p>
        </w:tc>
      </w:tr>
    </w:tbl>
    <w:p>
      <w:pPr>
        <w:spacing w:after="200"/>
      </w:pPr>
    </w:p>
    <w:p>
      <w:pPr>
        <w:spacing w:after="140" w:line="276"/>
      </w:pPr>
      <w:r>
        <w:rPr>
          <w:rFonts w:ascii="Calibri" w:cs="Calibri" w:eastAsia="Calibri" w:hAnsi="Calibri"/>
          <w:b/>
          <w:bCs/>
          <w:sz w:val="21"/>
          <w:szCs w:val="21"/>
        </w:rPr>
        <w:t xml:space="preserve">Por contrato y año (fase de ejecución), con el catálogo en intensidad máxima: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Actividad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preparación, sesiones y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[3] miembros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y aceptación de las exigencias del Anexo V en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del depósito de código (revisión del certificado del depositario)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 (contratos ≥ 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gestor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documentado de reversibilidad (una vez en la vigencia, prorrateado)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95–100 h/año por contrato</w:t>
            </w:r>
          </w:p>
        </w:tc>
      </w:tr>
    </w:tbl>
    <w:p>
      <w:pPr>
        <w:spacing w:after="200"/>
      </w:pPr>
    </w:p>
    <w:p>
      <w:pPr>
        <w:spacing w:after="140" w:line="276"/>
      </w:pPr>
      <w:r>
        <w:rPr>
          <w:rFonts w:ascii="Calibri" w:cs="Calibri" w:eastAsia="Calibri" w:hAnsi="Calibri"/>
          <w:sz w:val="21"/>
          <w:szCs w:val="21"/>
        </w:rPr>
        <w:t xml:space="preserve">Traducido a coste interno con un coste horario de personal técnico municipal del orden de las decenas de euros, la carga recurrente equivale a una magnitud de </w:t>
      </w:r>
      <w:r>
        <w:rPr>
          <w:rFonts w:ascii="Calibri" w:cs="Calibri" w:eastAsia="Calibri" w:hAnsi="Calibri"/>
          <w:b/>
          <w:bCs/>
          <w:sz w:val="21"/>
          <w:szCs w:val="21"/>
        </w:rPr>
        <w:t xml:space="preserve">cuatro cifras al año por contrato</w:t>
      </w:r>
      <w:r>
        <w:rPr>
          <w:rFonts w:ascii="Calibri" w:cs="Calibri" w:eastAsia="Calibri" w:hAnsi="Calibri"/>
          <w:sz w:val="21"/>
          <w:szCs w:val="21"/>
        </w:rPr>
        <w:t xml:space="preserve">. No consume crédito nuevo, pero sí capacidad. </w:t>
      </w:r>
      <w:r>
        <w:rPr>
          <w:rFonts w:ascii="Calibri" w:cs="Calibri" w:eastAsia="Calibri" w:hAnsi="Calibri"/>
          <w:b/>
          <w:bCs/>
          <w:sz w:val="21"/>
          <w:szCs w:val="21"/>
        </w:rPr>
        <w:t xml:space="preserve">Si el Ayuntamiento no puede asignar esas horas, la respuesta correcta no es aprobar el catálogo y no verificarlo: es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Un servicio de 90.000 € con 12.000 € de reserva pasa a 102.000 € de valor estimado, cruza el umbral del recurso especial del art. 44.1.a) LCSP y pierde el procedimiento abierto simplificado.</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XI.C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XI.C,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XI.C</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XI.C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y normas técnicas concretas viven fuera del articulado, como referencias ilustrativas del estado del arte sin efectos obligacionales.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Toda resolución citada en este catálogo lo es </w:t>
      </w:r>
      <w:r>
        <w:rPr>
          <w:rFonts w:ascii="Calibri" w:cs="Calibri" w:eastAsia="Calibri" w:hAnsi="Calibri"/>
          <w:b/>
          <w:bCs/>
          <w:sz w:val="21"/>
          <w:szCs w:val="21"/>
        </w:rPr>
        <w:t xml:space="preserve">como doctrina general trasladada por analogía</w:t>
      </w:r>
      <w:r>
        <w:rPr>
          <w:rFonts w:ascii="Calibri" w:cs="Calibri" w:eastAsia="Calibri" w:hAnsi="Calibri"/>
          <w:sz w:val="21"/>
          <w:szCs w:val="21"/>
        </w:rPr>
        <w:t xml:space="preserve">, y así se dice en cada cita. Ninguna versa sobre cláusulas de inteligencia artificial. El catálogo no se ampara en precedente favorable, porque no lo hay; y tampoco tiene precedente contrario que temer.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383/2024 (Parla; </w:t>
            </w:r>
            <w:r>
              <w:rPr>
                <w:rFonts w:ascii="Calibri" w:cs="Calibri" w:eastAsia="Calibri" w:hAnsi="Calibri"/>
                <w:b/>
                <w:bCs/>
                <w:sz w:val="18"/>
                <w:szCs w:val="18"/>
              </w:rPr>
              <w:t xml:space="preserve">estimatoria, anula los pliegos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menor apertura a la competencia no es infracción cuando se funda en las necesidades a satisfacer </w:t>
            </w:r>
            <w:r>
              <w:rPr>
                <w:rFonts w:ascii="Calibri" w:cs="Calibri" w:eastAsia="Calibri" w:hAnsi="Calibri"/>
                <w:b/>
                <w:bCs/>
                <w:sz w:val="18"/>
                <w:szCs w:val="18"/>
              </w:rPr>
              <w:t xml:space="preserve">y éstas están justificadas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(CEE de contenido laboral)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JCCA Castilla-La Mancha, Consulta 019/2022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bl>
    <w:p>
      <w:pPr>
        <w:spacing w:after="200"/>
      </w:pP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El Anexo XIV.A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XIV.B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ninguna exigencia figura simultáneamente como solvencia y como criterio,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 este catálogo».</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Anexo XII).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la Intervención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 XI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XI.C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w:t>
      </w:r>
      <w:r>
        <w:rPr>
          <w:rFonts w:ascii="Calibri" w:cs="Calibri" w:eastAsia="Calibri" w:hAnsi="Calibri"/>
          <w:sz w:val="21"/>
          <w:szCs w:val="21"/>
        </w:rPr>
        <w:t xml:space="preserve">: mientras no se cumplan, el catálogo no debe publicarse como modelo ni aplicarse en un expediente que supere el umbral del recurso especial.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para que el Anexo V sea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del área de contratación y de la Intervención que sustituya al comentario de trabajo de 18/06/2026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del expediente piloto</w:t>
            </w:r>
            <w:r>
              <w:rPr>
                <w:rFonts w:ascii="Calibri" w:cs="Calibri" w:eastAsia="Calibri" w:hAnsi="Calibri"/>
                <w:b w:val="false"/>
                <w:bCs w:val="false"/>
                <w:sz w:val="18"/>
                <w:szCs w:val="18"/>
              </w:rPr>
              <w:t xml:space="preserve"> redactado con el clausulado anterior: si está aprobado, procede rectificación previa a licitar, no simple revisión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Designación exacta de las normas técnicas citadas</w:t>
            </w:r>
            <w:r>
              <w:rPr>
                <w:rFonts w:ascii="Calibri" w:cs="Calibri" w:eastAsia="Calibri" w:hAnsi="Calibri"/>
                <w:b w:val="false"/>
                <w:bCs w:val="false"/>
                <w:sz w:val="18"/>
                <w:szCs w:val="18"/>
              </w:rPr>
              <w:t xml:space="preserve"> (año de edición y equivalencias), y verificación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(informe de necesidad, memoria, informe jurídico, informe de fiscalización) van en bloques rotulados </w:t>
      </w:r>
      <w:r>
        <w:rPr>
          <w:rFonts w:ascii="Calibri" w:cs="Calibri" w:eastAsia="Calibri" w:hAnsi="Calibri"/>
          <w:b/>
          <w:bCs/>
          <w:sz w:val="21"/>
          <w:szCs w:val="21"/>
        </w:rPr>
        <w:t xml:space="preserve">«Modelo»</w:t>
      </w:r>
      <w:r>
        <w:rPr>
          <w:rFonts w:ascii="Calibri" w:cs="Calibri" w:eastAsia="Calibri" w:hAnsi="Calibri"/>
          <w:sz w:val="21"/>
          <w:szCs w:val="21"/>
        </w:rPr>
        <w:t xml:space="preserve">, y no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Es la regla de verificabilidad municipal de la Parte I, §7. Crear obligaciones esenciales que después nadie comprueba es peor que no crearlas: el primer incumplimiento tolerado desactiva la cláusula para el resto del contrato.</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 Asesoría Jurídica (Título X) o de la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diecisiete documentos</w:t>
      </w:r>
      <w:r>
        <w:rPr>
          <w:rFonts w:ascii="Calibri" w:cs="Calibri" w:eastAsia="Calibri" w:hAnsi="Calibri"/>
          <w:sz w:val="21"/>
          <w:szCs w:val="21"/>
        </w:rPr>
        <w:t xml:space="preserve">, no doce. Cuatro de ellos son condicionales: A-2 sólo si el objeto comprende adquisición, desarrollo o mantenimiento de una aplicación; A-5 sólo si hay consulta; B-2 sólo si el procedimiento no es abierto ni restringido, a efectos de publicidad; B-4 sólo en contratos de servicios.</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Esta es una corrección expresa al orden de los diez pasos de la Parte 0: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Anexo I).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pBdr>
          <w:left w:val="single" w:color="BFBFBF" w:sz="12" w:space="8"/>
        </w:pBdr>
        <w:spacing w:after="140" w:line="264"/>
        <w:ind w:left="400"/>
      </w:pPr>
      <w:r>
        <w:rPr>
          <w:rFonts w:ascii="Georgia" w:cs="Georgia" w:eastAsia="Georgia" w:hAnsi="Georgia"/>
          <w:b/>
          <w:bCs/>
          <w:i/>
          <w:iCs/>
          <w:color w:val="595959"/>
          <w:sz w:val="20"/>
          <w:szCs w:val="20"/>
        </w:rPr>
        <w:t xml:space="preserve">Modelo — párrafo de cierre del informe de necesidad. No es texto de pliego.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necesidad descrita se relaciona con el objeto de este contrato en los términos exigidos por el artículo 116.4.e) de la Ley 9/2017: es </w:t>
      </w:r>
      <w:r>
        <w:rPr>
          <w:rFonts w:ascii="Georgia" w:cs="Georgia" w:eastAsia="Georgia" w:hAnsi="Georgia"/>
          <w:b/>
          <w:bCs/>
          <w:i/>
          <w:iCs/>
          <w:color w:val="595959"/>
          <w:sz w:val="20"/>
          <w:szCs w:val="20"/>
        </w:rPr>
        <w:t xml:space="preserve">directa</w:t>
      </w:r>
      <w:r>
        <w:rPr>
          <w:rFonts w:ascii="Georgia" w:cs="Georgia" w:eastAsia="Georgia" w:hAnsi="Georgia"/>
          <w:i/>
          <w:iCs/>
          <w:color w:val="595959"/>
          <w:sz w:val="20"/>
          <w:szCs w:val="20"/>
        </w:rPr>
        <w:t xml:space="preserve">, porque [los datos, funciones o sistemas afectados son los generados o soportados por la propia prestación contratada]; es </w:t>
      </w:r>
      <w:r>
        <w:rPr>
          <w:rFonts w:ascii="Georgia" w:cs="Georgia" w:eastAsia="Georgia" w:hAnsi="Georgia"/>
          <w:b/>
          <w:bCs/>
          <w:i/>
          <w:iCs/>
          <w:color w:val="595959"/>
          <w:sz w:val="20"/>
          <w:szCs w:val="20"/>
        </w:rPr>
        <w:t xml:space="preserve">clara</w:t>
      </w:r>
      <w:r>
        <w:rPr>
          <w:rFonts w:ascii="Georgia" w:cs="Georgia" w:eastAsia="Georgia" w:hAnsi="Georgia"/>
          <w:i/>
          <w:iCs/>
          <w:color w:val="595959"/>
          <w:sz w:val="20"/>
          <w:szCs w:val="20"/>
        </w:rPr>
        <w:t xml:space="preserve">, porque su contenido queda determinado en las cláusulas [códigos] del pliego, con criterios de comprobación tasados; y es </w:t>
      </w:r>
      <w:r>
        <w:rPr>
          <w:rFonts w:ascii="Georgia" w:cs="Georgia" w:eastAsia="Georgia" w:hAnsi="Georgia"/>
          <w:b/>
          <w:bCs/>
          <w:i/>
          <w:iCs/>
          <w:color w:val="595959"/>
          <w:sz w:val="20"/>
          <w:szCs w:val="20"/>
        </w:rPr>
        <w:t xml:space="preserve">proporcional</w:t>
      </w:r>
      <w:r>
        <w:rPr>
          <w:rFonts w:ascii="Georgia" w:cs="Georgia" w:eastAsia="Georgia" w:hAnsi="Georgia"/>
          <w:i/>
          <w:iCs/>
          <w:color w:val="595959"/>
          <w:sz w:val="20"/>
          <w:szCs w:val="20"/>
        </w:rPr>
        <w:t xml:space="preserve">, porque [no exige al contratista prestación distinta de la que ya realiza para ejecutar el contrato / el coste incremental estimado es de [importe] euros sobre un valor estimado de [importe] euros].»</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Anexo XI.A. Su parte dispositiva mínima:</w:t>
      </w:r>
    </w:p>
    <w:p>
      <w:pPr>
        <w:pBdr>
          <w:left w:val="single" w:color="BFBFBF" w:sz="12" w:space="8"/>
        </w:pBdr>
        <w:spacing w:after="140" w:line="264"/>
        <w:ind w:left="400"/>
      </w:pPr>
      <w:r>
        <w:rPr>
          <w:rFonts w:ascii="Georgia" w:cs="Georgia" w:eastAsia="Georgia" w:hAnsi="Georgia"/>
          <w:b/>
          <w:bCs/>
          <w:i/>
          <w:iCs/>
          <w:color w:val="595959"/>
          <w:sz w:val="20"/>
          <w:szCs w:val="20"/>
        </w:rPr>
        <w:t xml:space="preserve">Modelo — parte dispositiva del acuerdo que crea la necesidad institucional. No es texto de pliego.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«Primero. Aprobar el Plan municipal de [denominación] para el periodo [ejercicio o periodo], con los objetivos y el calendario que figuran en el anexo.</w:t>
      </w:r>
    </w:p>
    <w:p>
      <w:pPr>
        <w:pBdr>
          <w:left w:val="single" w:color="BFBFBF" w:sz="12" w:space="8"/>
        </w:pBdr>
        <w:spacing w:after="140" w:line="264"/>
        <w:ind w:left="400"/>
      </w:pPr>
      <w:r>
        <w:rPr>
          <w:rFonts w:ascii="Georgia" w:cs="Georgia" w:eastAsia="Georgia" w:hAnsi="Georgia"/>
          <w:i/>
          <w:iCs/>
          <w:color w:val="595959"/>
          <w:sz w:val="20"/>
          <w:szCs w:val="20"/>
        </w:rPr>
        <w:t xml:space="preserve">Segundo. Aprobar el Catálogo de exigencias tecnológicas determinadas del ejercicio [año], que constituye el Anexo V del clausulado, en su versión [n.º], de fecha [dd/mm/aaaa].</w:t>
      </w:r>
    </w:p>
    <w:p>
      <w:pPr>
        <w:pBdr>
          <w:left w:val="single" w:color="BFBFBF" w:sz="12" w:space="8"/>
        </w:pBdr>
        <w:spacing w:after="140" w:line="264"/>
        <w:ind w:left="400"/>
      </w:pPr>
      <w:r>
        <w:rPr>
          <w:rFonts w:ascii="Georgia" w:cs="Georgia" w:eastAsia="Georgia" w:hAnsi="Georgia"/>
          <w:i/>
          <w:iCs/>
          <w:color w:val="595959"/>
          <w:sz w:val="20"/>
          <w:szCs w:val="20"/>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pBdr>
          <w:left w:val="single" w:color="BFBFBF" w:sz="12" w:space="8"/>
        </w:pBdr>
        <w:spacing w:after="140" w:line="264"/>
        <w:ind w:left="400"/>
      </w:pPr>
      <w:r>
        <w:rPr>
          <w:rFonts w:ascii="Georgia" w:cs="Georgia" w:eastAsia="Georgia" w:hAnsi="Georgia"/>
          <w:i/>
          <w:iCs/>
          <w:color w:val="595959"/>
          <w:sz w:val="20"/>
          <w:szCs w:val="20"/>
        </w:rPr>
        <w:t xml:space="preserve">Cuarto. Ordenar la publicación del acuerdo y de sus anexos en [sede electrónica y perfil de contratante], y su revisión antes del [fecha; se recomienda el 30 de noviembre de cada año].»</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Anexo I.</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inferior a las cuantías de los arts. 21.1.a) y 22.1.a) en suministros y servicios;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el Anexo IV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y no una.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ninguna exigencia se computa a la vez como solvencia y como criterio de adjudicación, como prescripción obligatoria del PPT y como criterio de adjudicación, o como criterio de adjudicación y como condición especial de ejecución.</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 y techo del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plazos; techo del art. 159.1.a)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w:t>
            </w:r>
          </w:p>
        </w:tc>
      </w:tr>
    </w:tbl>
    <w:p>
      <w:pPr>
        <w:spacing w:after="200"/>
      </w:pPr>
    </w:p>
    <w:p>
      <w:pPr>
        <w:spacing w:after="140" w:line="276"/>
      </w:pPr>
      <w:r>
        <w:rPr>
          <w:rFonts w:ascii="Calibri" w:cs="Calibri" w:eastAsia="Calibri" w:hAnsi="Calibri"/>
          <w:b/>
          <w:bCs/>
          <w:sz w:val="21"/>
          <w:szCs w:val="21"/>
        </w:rPr>
        <w:t xml:space="preserve">El ejemplo trabajado que hay que leer antes de reservar una modificación.</w:t>
      </w:r>
      <w:r>
        <w:rPr>
          <w:rFonts w:ascii="Calibri" w:cs="Calibri" w:eastAsia="Calibri" w:hAnsi="Calibri"/>
          <w:sz w:val="21"/>
          <w:szCs w:val="21"/>
        </w:rPr>
        <w:t xml:space="preserve"> Un contrato de servicios con presupuesto de 90.000 € de valor estimado está por debajo del umbral del recurso especial: sus pliegos no son directamente recurribles ante el tribunal administrativo. Si se le añade una reserva de modificación de 12.000 €, el valor estimado pasa a 102.000 € (art. 101.2.c) y </w:t>
      </w:r>
      <w:r>
        <w:rPr>
          <w:rFonts w:ascii="Calibri" w:cs="Calibri" w:eastAsia="Calibri" w:hAnsi="Calibri"/>
          <w:b/>
          <w:bCs/>
          <w:sz w:val="21"/>
          <w:szCs w:val="21"/>
        </w:rPr>
        <w:t xml:space="preserve">se abre el recurso especial contra los pliegos</w:t>
      </w:r>
      <w:r>
        <w:rPr>
          <w:rFonts w:ascii="Calibri" w:cs="Calibri" w:eastAsia="Calibri" w:hAnsi="Calibri"/>
          <w:sz w:val="21"/>
          <w:szCs w:val="21"/>
        </w:rPr>
        <w:t xml:space="preserve">. Se ha pagado con una vía de impugnación una flexibilidad que probablemente no se use.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Las medidas adoptadas se consignan en los informes específicos previstos en el art. 336 LCSP.</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pBdr>
          <w:left w:val="single" w:color="BFBFBF" w:sz="12" w:space="8"/>
        </w:pBdr>
        <w:spacing w:after="140" w:line="264"/>
        <w:ind w:left="400"/>
      </w:pPr>
      <w:r>
        <w:rPr>
          <w:rFonts w:ascii="Georgia" w:cs="Georgia" w:eastAsia="Georgia" w:hAnsi="Georgia"/>
          <w:b/>
          <w:bCs/>
          <w:i/>
          <w:iCs/>
          <w:color w:val="595959"/>
          <w:sz w:val="20"/>
          <w:szCs w:val="20"/>
        </w:rPr>
        <w:t xml:space="preserve">Modelo — declaración individual. No es texto de pliego.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«D./D.ª [nombre], [cargo], que interviene en el expediente [número] en calidad de [redactor del PPT / miembro de la mesa / técnico evaluador / asesor externo], declara bajo su responsabilidad:</w:t>
      </w:r>
    </w:p>
    <w:p>
      <w:pPr>
        <w:pBdr>
          <w:left w:val="single" w:color="BFBFBF" w:sz="12" w:space="8"/>
        </w:pBdr>
        <w:spacing w:after="140" w:line="264"/>
        <w:ind w:left="400"/>
      </w:pPr>
      <w:r>
        <w:rPr>
          <w:rFonts w:ascii="Georgia" w:cs="Georgia" w:eastAsia="Georgia" w:hAnsi="Georgia"/>
          <w:i/>
          <w:iCs/>
          <w:color w:val="595959"/>
          <w:sz w:val="20"/>
          <w:szCs w:val="20"/>
        </w:rPr>
        <w:t xml:space="preserve">1.º Que conoce el concepto de conflicto de intereses del artículo 64.2 de la Ley 9/2017.</w:t>
      </w:r>
    </w:p>
    <w:p>
      <w:pPr>
        <w:pBdr>
          <w:left w:val="single" w:color="BFBFBF" w:sz="12" w:space="8"/>
        </w:pBdr>
        <w:spacing w:after="140" w:line="264"/>
        <w:ind w:left="400"/>
      </w:pPr>
      <w:r>
        <w:rPr>
          <w:rFonts w:ascii="Georgia" w:cs="Georgia" w:eastAsia="Georgia" w:hAnsi="Georgia"/>
          <w:i/>
          <w:iCs/>
          <w:color w:val="595959"/>
          <w:sz w:val="20"/>
          <w:szCs w:val="20"/>
        </w:rPr>
        <w:t xml:space="preserve">2.º Que [no concurre / concurre] en su persona interés financiero, económico o personal, directo o indirecto, que pudiera parecer que compromete su imparcialidad e independencia en este procedimiento.</w:t>
      </w:r>
    </w:p>
    <w:p>
      <w:pPr>
        <w:pBdr>
          <w:left w:val="single" w:color="BFBFBF" w:sz="12" w:space="8"/>
        </w:pBdr>
        <w:spacing w:after="140" w:line="264"/>
        <w:ind w:left="400"/>
      </w:pPr>
      <w:r>
        <w:rPr>
          <w:rFonts w:ascii="Georgia" w:cs="Georgia" w:eastAsia="Georgia" w:hAnsi="Georgia"/>
          <w:i/>
          <w:iCs/>
          <w:color w:val="595959"/>
          <w:sz w:val="20"/>
          <w:szCs w:val="20"/>
        </w:rPr>
        <w:t xml:space="preserve">3.º En caso afirmativo, que dicho interés consiste en [descripción] y que se abstiene de [actuaciones].</w:t>
      </w:r>
    </w:p>
    <w:p>
      <w:pPr>
        <w:pBdr>
          <w:left w:val="single" w:color="BFBFBF" w:sz="12" w:space="8"/>
        </w:pBdr>
        <w:spacing w:after="140" w:line="264"/>
        <w:ind w:left="400"/>
      </w:pPr>
      <w:r>
        <w:rPr>
          <w:rFonts w:ascii="Georgia" w:cs="Georgia" w:eastAsia="Georgia" w:hAnsi="Georgia"/>
          <w:i/>
          <w:iCs/>
          <w:color w:val="595959"/>
          <w:sz w:val="20"/>
          <w:szCs w:val="20"/>
        </w:rPr>
        <w:t xml:space="preserve">4.º Que se compromete a comunicar inmediatamente al órgano de contratación cualquier circunstancia sobrevenida que altere lo declarado.</w:t>
      </w:r>
    </w:p>
    <w:p>
      <w:pPr>
        <w:pBdr>
          <w:left w:val="single" w:color="BFBFBF" w:sz="12" w:space="8"/>
        </w:pBdr>
        <w:spacing w:after="140" w:line="264"/>
        <w:ind w:left="400"/>
      </w:pPr>
      <w:r>
        <w:rPr>
          <w:rFonts w:ascii="Georgia" w:cs="Georgia" w:eastAsia="Georgia" w:hAnsi="Georgia"/>
          <w:i/>
          <w:iCs/>
          <w:color w:val="595959"/>
          <w:sz w:val="20"/>
          <w:szCs w:val="20"/>
        </w:rPr>
        <w:t xml:space="preserve">[Lugar, fecha y firma]»</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un área de contratación y, además, nadie de contratación puede hacer por su cuenta un estudio de mercado de tecnologías emergentes.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de los incisos de ese apartado fueron declarados no conformes con el orden constitucional de competencias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(BOE-A-2021-6614).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en los términos interpretativos de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con anulación de los pliegos. Disponible en https://www.comunidad.madrid/tacp/resolucion/3832024</w:t>
      </w:r>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por su brevedad y porque son obligaciones legales del contratista con independencia del catálogo: el sometimiento a la normativa de protección de datos, la ubicación de los servidores cuando haya tratamiento por cuenta del Ayuntamiento, y la conformidad con el ENS que corresponda a la categoría del sistema.</w:t>
      </w:r>
    </w:p>
    <w:p>
      <w:pPr>
        <w:pStyle w:val="ListParagraph"/>
        <w:numPr>
          <w:ilvl w:val="0"/>
          <w:numId w:val="1"/>
        </w:numPr>
        <w:spacing w:after="70" w:line="268"/>
      </w:pPr>
      <w:r>
        <w:rPr>
          <w:rFonts w:ascii="Calibri" w:cs="Calibri" w:eastAsia="Calibri" w:hAnsi="Calibri"/>
          <w:b/>
          <w:bCs/>
          <w:sz w:val="21"/>
          <w:szCs w:val="21"/>
        </w:rPr>
        <w:t xml:space="preserve">La consulta al directorio general de aplicaciones se hace igualmente</w:t>
      </w:r>
      <w:r>
        <w:rPr>
          <w:rFonts w:ascii="Calibri" w:cs="Calibri" w:eastAsia="Calibri" w:hAnsi="Calibri"/>
          <w:sz w:val="21"/>
          <w:szCs w:val="21"/>
        </w:rPr>
        <w:t xml:space="preserve"> si el objeto es una aplicación: el art. 157.3 de la Ley 40/2015 no tiene umbral.</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de vigencia normativa y tabla de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 Toda exigencia adicional que resulte necesaria durante la ejecución se tramitará, en su caso, por el cauce de los artículos 203 a 205 de la Ley 9/2017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el </w:t>
      </w:r>
      <w:r>
        <w:rPr>
          <w:rFonts w:ascii="Calibri" w:cs="Calibri" w:eastAsia="Calibri" w:hAnsi="Calibri"/>
          <w:b/>
          <w:bCs/>
          <w:sz w:val="21"/>
          <w:szCs w:val="21"/>
        </w:rPr>
        <w:t xml:space="preserve">anexo de vigencia normativa con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trabajo del circuito</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Estimación de partida por expediente que use el catálogo.</w:t>
      </w:r>
      <w:r>
        <w:rPr>
          <w:rFonts w:ascii="Calibri" w:cs="Calibri" w:eastAsia="Calibri" w:hAnsi="Calibri"/>
          <w:sz w:val="21"/>
          <w:szCs w:val="21"/>
        </w:rPr>
        <w:t xml:space="preserve">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de vigencia normativa y de la tabla de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 21.1.b), 22.1.b), 28.1, 29.2, 44, 46.4, 48, 50, 51, 52, 53, 56, 57, 58, 59, 62, 63, 64, 70, 101, 115, 116, 117, 118, 121.2, 122, 132.2 y 132.3, 146.2, 159.1.b) y 159.6, 192, 193, 202.1, 203 a 205, 211.1.f).2.º,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en cuanto declara inconstitucional y nulo el párrafo segundo del art. 46.4 LCSP y se pronuncia sobre los arts. 52.3 y 58.2 → 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anulación de los pliegos por falta de justificación en la memoria de la exigencia de certificaciones de conformidad con el Esquema Nacional de Seguridad. → https://www.comunidad.madrid/tacp/resolucion/3832024</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APLICACIÓN PILOTO: EL CONTRATO DE CONTABILIDAD Y PATRIMONIO</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El área de contratación del Ayuntamiento formuló, junto a la objeción principal sobre el origen de la necesidad, una petición concreta:</w:t>
      </w:r>
    </w:p>
    <w:p>
      <w:pPr>
        <w:pBdr>
          <w:left w:val="single" w:color="BFBFBF" w:sz="12" w:space="8"/>
        </w:pBdr>
        <w:spacing w:after="140" w:line="264"/>
        <w:ind w:left="400"/>
      </w:pPr>
      <w:r>
        <w:rPr>
          <w:rFonts w:ascii="Georgia" w:cs="Georgia" w:eastAsia="Georgia" w:hAnsi="Georgia"/>
          <w:i/>
          <w:iCs/>
          <w:color w:val="595959"/>
          <w:sz w:val="20"/>
          <w:szCs w:val="20"/>
        </w:rPr>
        <w:t xml:space="preserve">«Me gustaría ponerlo a funcionar en algún contrato municipal a modo de experimento piloto, ya que el grado de abstracción lo veo muy elevado.»</w:t>
      </w:r>
    </w:p>
    <w:p>
      <w:pPr>
        <w:spacing w:after="140" w:line="276"/>
      </w:pPr>
      <w:r>
        <w:rPr>
          <w:rFonts w:ascii="Calibri" w:cs="Calibri" w:eastAsia="Calibri" w:hAnsi="Calibri"/>
          <w:sz w:val="21"/>
          <w:szCs w:val="21"/>
        </w:rPr>
        <w:t xml:space="preserve">Esta parte es la respuesta. No describe cómo se aplicaría el catálogo: lo aplica a un expediente real, con las casillas marcadas, las cláusulas descartadas con su motivo, la categoría de seguridad razonada, el baremo completo —con el precio dentro— y la lista de documentos que el expediente debe contener. Y termina con lo que ningún documento de este tipo suele incluir: la tabla de lo que hay que rectificar en unos pliegos que ya están escritos.</w:t>
      </w:r>
    </w:p>
    <w:p>
      <w:pPr>
        <w:spacing w:after="140" w:line="276"/>
      </w:pPr>
      <w:r>
        <w:rPr>
          <w:rFonts w:ascii="Calibri" w:cs="Calibri" w:eastAsia="Calibri" w:hAnsi="Calibri"/>
          <w:sz w:val="21"/>
          <w:szCs w:val="21"/>
        </w:rPr>
        <w:t xml:space="preserve">Regla de lectura para otra administración que reutilice el documento (R-5): lo que sigue es un caso, no una plantilla. Lo reutilizable 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 instrumento, baremo, valor estimado, documentos—, no las conclusiones concretas de este contrato, que dependen de sus datos.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Estado real del expediente a la fecha de corte (01/09/2026) y regla de tramitación</w:t>
      </w:r>
    </w:p>
    <w:p>
      <w:pPr>
        <w:spacing w:after="140" w:line="276"/>
      </w:pPr>
      <w:r>
        <w:rPr>
          <w:rFonts w:ascii="Calibri" w:cs="Calibri" w:eastAsia="Calibri" w:hAnsi="Calibri"/>
          <w:sz w:val="21"/>
          <w:szCs w:val="21"/>
        </w:rPr>
        <w:t xml:space="preserve">Hecho que condiciona todo lo demás: </w:t>
      </w:r>
      <w:r>
        <w:rPr>
          <w:rFonts w:ascii="Calibri" w:cs="Calibri" w:eastAsia="Calibri" w:hAnsi="Calibri"/>
          <w:b/>
          <w:bCs/>
          <w:sz w:val="21"/>
          <w:szCs w:val="21"/>
        </w:rPr>
        <w:t xml:space="preserve">las cláusulas de inteligencia artificial del PPT y del PCAP de este contrato se redactaron el 24 de agosto de 2026 con el texto de la versión 2</w:t>
      </w:r>
      <w:r>
        <w:rPr>
          <w:rFonts w:ascii="Calibri" w:cs="Calibri" w:eastAsia="Calibri" w:hAnsi="Calibri"/>
          <w:sz w:val="21"/>
          <w:szCs w:val="21"/>
        </w:rPr>
        <w:t xml:space="preserve">, es decir, con los defectos que la versión 3 corrige. Así consta en la documentación de preparación del proyecto.</w:t>
      </w:r>
    </w:p>
    <w:p>
      <w:pPr>
        <w:spacing w:after="140" w:line="276"/>
      </w:pPr>
      <w:r>
        <w:rPr>
          <w:rFonts w:ascii="Calibri" w:cs="Calibri" w:eastAsia="Calibri" w:hAnsi="Calibri"/>
          <w:sz w:val="21"/>
          <w:szCs w:val="21"/>
        </w:rPr>
        <w:t xml:space="preserve">Antes de continuar, el órgano de contratación debe consignar en el expediente en cuál de estas tres situaciones se encuentra, porque de ella depende el cauce de la corrección: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consta en la preparación del expediente que el pliego se elaboró tomando como referencia el de otro ayuntamiento que tiene implantada una solución determinada. Si eso se confirma,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Por qué este contrato es el piloto adecuado</w:t>
      </w:r>
    </w:p>
    <w:p>
      <w:pPr>
        <w:spacing w:after="140" w:line="276"/>
      </w:pPr>
      <w:r>
        <w:rPr>
          <w:rFonts w:ascii="Calibri" w:cs="Calibri" w:eastAsia="Calibri" w:hAnsi="Calibri"/>
          <w:sz w:val="21"/>
          <w:szCs w:val="21"/>
        </w:rPr>
        <w:t xml:space="preserve">Cuatro razones, y ninguna es que sea el contrato más grande:</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 control a los datos de ejecución (ADM-12·v3) es la única necesidad de todo este proyecto declarada por escrito por un órgano municipal, y la contabilidad y el patrimonio son exactamente la materia sobre la que ese órgano ejerce sus funciones de control (art. 214 TRLRHL; arts. 4.3, 6.3, 6.7, 20 y 30 del RD 424/2017). El piloto empieza dando, no pidiendo.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Todo lo que el catálogo exige —interfaz de consulta, registro de auditoría, exportación en formato abierto, diccionario de datos— se comprueba aquí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 obliga a usar las dos vías de firma de la ficha de aplicabilidad (Anexo II) y, por tanto, el que prueba si el circuito funciona.</w:t>
      </w:r>
    </w:p>
    <w:p>
      <w:pPr>
        <w:pStyle w:val="ListParagraph"/>
        <w:numPr>
          <w:ilvl w:val="0"/>
          <w:numId w:val="2"/>
        </w:numPr>
        <w:spacing w:after="70" w:line="268"/>
      </w:pPr>
      <w:r>
        <w:rPr>
          <w:rFonts w:ascii="Calibri" w:cs="Calibri" w:eastAsia="Calibri" w:hAnsi="Calibri"/>
          <w:b/>
          <w:bCs/>
          <w:sz w:val="21"/>
          <w:szCs w:val="21"/>
        </w:rPr>
        <w:t xml:space="preserve">Ya está escrito con la versión anterior.</w:t>
      </w:r>
      <w:r>
        <w:rPr>
          <w:rFonts w:ascii="Calibri" w:cs="Calibri" w:eastAsia="Calibri" w:hAnsi="Calibri"/>
          <w:sz w:val="21"/>
          <w:szCs w:val="21"/>
        </w:rPr>
        <w:t xml:space="preserve"> Es un piloto y a la vez un caso de rectificación: enseña las dos cosas que hay que saber hacer.</w:t>
      </w:r>
    </w:p>
    <w:p>
      <w:pPr>
        <w:spacing w:after="140" w:line="276"/>
      </w:pPr>
      <w:r>
        <w:rPr>
          <w:rFonts w:ascii="Calibri" w:cs="Calibri" w:eastAsia="Calibri" w:hAnsi="Calibri"/>
          <w:sz w:val="21"/>
          <w:szCs w:val="21"/>
        </w:rPr>
        <w:t xml:space="preserve">Lo que el piloto </w:t>
      </w:r>
      <w:r>
        <w:rPr>
          <w:rFonts w:ascii="Calibri" w:cs="Calibri" w:eastAsia="Calibri" w:hAnsi="Calibri"/>
          <w:b/>
          <w:bCs/>
          <w:sz w:val="21"/>
          <w:szCs w:val="21"/>
        </w:rPr>
        <w:t xml:space="preserve">no</w:t>
      </w:r>
      <w:r>
        <w:rPr>
          <w:rFonts w:ascii="Calibri" w:cs="Calibri" w:eastAsia="Calibri" w:hAnsi="Calibri"/>
          <w:sz w:val="21"/>
          <w:szCs w:val="21"/>
        </w:rPr>
        <w:t xml:space="preserve"> demuestra: no demuestra que el catálogo funcione en contratos menores, en contratos basados en acuerdo marco o en adhesiones a centrales de compra, ni en prórrogas de contratos vivos. Para esos tres supuestos rigen 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(ADM-3·v3.3)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contabilidad y patrimonio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 la licencia mínima supletoria y la delimitación del código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Llevanza de la contabilidad municipal y del inventario de bienes y derechos conforme a la normativa presupuestaria y contable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 y del órgano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que el área de contratación señaló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contabilidad no es hoy actuación administrativa automatizada,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sobre infraestructuras de servicios de confianza</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los adicionales de la misma lista cerrada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La gobernanza de IA (UNE-EN ISO/IEC 42001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se configura como condición especial de ejecución con compromiso de obtención, porque exigirla como solvencia en un contrato no armonizado restringiría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Bloque A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si el baremo mantiene el criterio D. Momento procedimental fijado en el PCAP y rúbrica publicada (VI.4.7)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contabilidad está en la lista tasada de servicios críticos. Coste al presupuesto base de licitación. Si el contrato es de suscripción de producto estándar de un fabricante que no es el adjudicatario, se tramita por acuerdo con el titular de los derechos o </w:t>
            </w:r>
            <w:r>
              <w:rPr>
                <w:rFonts w:ascii="Calibri" w:cs="Calibri" w:eastAsia="Calibri" w:hAnsi="Calibri"/>
                <w:b/>
                <w:bCs/>
                <w:sz w:val="18"/>
                <w:szCs w:val="18"/>
              </w:rPr>
              <w:t xml:space="preserve">se marca NA y se motiva</w:t>
            </w:r>
            <w:r>
              <w:rPr>
                <w:rFonts w:ascii="Calibri" w:cs="Calibri" w:eastAsia="Calibri" w:hAnsi="Calibri"/>
                <w:b w:val="false"/>
                <w:bCs w:val="false"/>
                <w:sz w:val="18"/>
                <w:szCs w:val="18"/>
              </w:rPr>
              <w:t xml:space="preserve">, en lugar de exigir un compromiso que ningún integrador puede obtener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sz w:val="21"/>
          <w:szCs w:val="21"/>
        </w:rPr>
        <w:t xml:space="preserve">Recuento del piloto: </w:t>
      </w:r>
      <w:r>
        <w:rPr>
          <w:rFonts w:ascii="Calibri" w:cs="Calibri" w:eastAsia="Calibri" w:hAnsi="Calibri"/>
          <w:b/>
          <w:bCs/>
          <w:sz w:val="21"/>
          <w:szCs w:val="21"/>
        </w:rPr>
        <w:t xml:space="preserve">19 cláusulas aplicadas, 3 marcadas NO APLICA</w:t>
      </w:r>
      <w:r>
        <w:rPr>
          <w:rFonts w:ascii="Calibri" w:cs="Calibri" w:eastAsia="Calibri" w:hAnsi="Calibri"/>
          <w:sz w:val="21"/>
          <w:szCs w:val="21"/>
        </w:rPr>
        <w:t xml:space="preserve"> (DT-2·v3, DT-3·v3, ADM-14·v3) y </w:t>
      </w:r>
      <w:r>
        <w:rPr>
          <w:rFonts w:ascii="Calibri" w:cs="Calibri" w:eastAsia="Calibri" w:hAnsi="Calibri"/>
          <w:b/>
          <w:bCs/>
          <w:sz w:val="21"/>
          <w:szCs w:val="21"/>
        </w:rPr>
        <w:t xml:space="preserve">2 condicionadas</w:t>
      </w:r>
      <w:r>
        <w:rPr>
          <w:rFonts w:ascii="Calibri" w:cs="Calibri" w:eastAsia="Calibri" w:hAnsi="Calibri"/>
          <w:sz w:val="21"/>
          <w:szCs w:val="21"/>
        </w:rPr>
        <w:t xml:space="preserve"> al acuerdo del órgano de gobierno (DT-7·v3 y DT-9·v3, y con ellas ADM-2·v3).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w:t>
      </w:r>
      <w:r>
        <w:rPr>
          <w:rFonts w:ascii="Calibri" w:cs="Calibri" w:eastAsia="Calibri" w:hAnsi="Calibri"/>
          <w:b/>
          <w:bCs/>
          <w:sz w:val="21"/>
          <w:szCs w:val="21"/>
        </w:rPr>
        <w:t xml:space="preserve">Tribunal Administrativo de Contratación Pública de la Comunidad de Madrid, Resolución 383/2024, de 3 de octubre de 2024, expediente 383/2024</w:t>
      </w:r>
      <w:r>
        <w:rPr>
          <w:rFonts w:ascii="Calibri" w:cs="Calibri" w:eastAsia="Calibri" w:hAnsi="Calibri"/>
          <w:sz w:val="21"/>
          <w:szCs w:val="21"/>
        </w:rPr>
        <w:t xml:space="preserve">, recurso de Tecnologías Viales Aplicadas TEVA, S.L. contra los pliegos del </w:t>
      </w:r>
      <w:r>
        <w:rPr>
          <w:rFonts w:ascii="Calibri" w:cs="Calibri" w:eastAsia="Calibri" w:hAnsi="Calibri"/>
          <w:b/>
          <w:bCs/>
          <w:sz w:val="21"/>
          <w:szCs w:val="21"/>
        </w:rPr>
        <w:t xml:space="preserve">Ayuntamiento de Parla</w:t>
      </w:r>
      <w:r>
        <w:rPr>
          <w:rFonts w:ascii="Calibri" w:cs="Calibri" w:eastAsia="Calibri" w:hAnsi="Calibri"/>
          <w:sz w:val="21"/>
          <w:szCs w:val="21"/>
        </w:rPr>
        <w:t xml:space="preserve"> (</w:t>
      </w:r>
      <w:hyperlink w:history="1" r:id="rIdyethz6hzib6jttbjclyt2">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Tribunal </w:t>
      </w:r>
      <w:r>
        <w:rPr>
          <w:rFonts w:ascii="Calibri" w:cs="Calibri" w:eastAsia="Calibri" w:hAnsi="Calibri"/>
          <w:b/>
          <w:bCs/>
          <w:sz w:val="21"/>
          <w:szCs w:val="21"/>
        </w:rPr>
        <w:t xml:space="preserve">estimó el recurso y anuló los pliegos</w:t>
      </w:r>
      <w:r>
        <w:rPr>
          <w:rFonts w:ascii="Calibri" w:cs="Calibri" w:eastAsia="Calibri" w:hAnsi="Calibri"/>
          <w:sz w:val="21"/>
          <w:szCs w:val="21"/>
        </w:rPr>
        <w:t xml:space="preserve"> por exigir certificación de conformidad con el ENS de Nivel Alto sin justificación, y razonó, en lo que aquí importa:</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r>
        <w:rPr>
          <w:rFonts w:ascii="Calibri" w:cs="Calibri" w:eastAsia="Calibri" w:hAnsi="Calibri"/>
          <w:sz w:val="21"/>
          <w:szCs w:val="21"/>
        </w:rPr>
        <w:t xml:space="preserve">Se cita como doctrina general trasladada por analogía —resuelve sobre otro objeto contractual—, pero es el tribunal que resolvería un recurso contra un ayuntamiento de la Comunidad de Madrid y el supuesto es el mismo. La consecuencia operativa es literal: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entre otros supuestos, a la categoría ALTA: si el análisis concluye MEDIA, el depósito se activa por la vía de la lista tasada de servicios críticos —en la que la contabilidad figura—, y así debe decirlo la ficha.</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TÉCNICO [N]. EXIGENCIAS TECNOLÓGICAS DETERMINADAS APLICABLES A ESTE CONTRATO</w:t>
            </w:r>
          </w:p>
          <w:p>
            <w:pPr>
              <w:spacing w:after="100" w:line="264"/>
            </w:pPr>
            <w:r>
              <w:rPr>
                <w:rFonts w:ascii="Georgia" w:cs="Georgia" w:eastAsia="Georgia" w:hAnsi="Georgia"/>
                <w:sz w:val="20"/>
                <w:szCs w:val="20"/>
              </w:rPr>
              <w:t xml:space="preserve">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Módulos alcanzados por la exigencia ET-1: (i) contabilidad presupuestaria y financiera; (ii) gestión patrimonial e inventario de bienes y derechos; (iii) terceros y endosos. Quedan excluidos los módulos [relación de módulos excluidos].</w:t>
            </w:r>
          </w:p>
          <w:p>
            <w:pPr>
              <w:spacing w:after="100" w:line="264"/>
            </w:pPr>
            <w:r>
              <w:rPr>
                <w:rFonts w:ascii="Georgia" w:cs="Georgia" w:eastAsia="Georgia" w:hAnsi="Georgia"/>
                <w:sz w:val="20"/>
                <w:szCs w:val="20"/>
              </w:rPr>
              <w:t xml:space="preserve">Funciones mínimas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Plazo de entrega: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fórmula publicada y tratamiento de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acreditada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 la lista cerrada «deseables» del PPT que la solución cubre sin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«obligatorios» del PPT,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(gestor contable, patrimonio,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 la </w:t>
            </w:r>
            <w:r>
              <w:rPr>
                <w:rFonts w:ascii="Calibri" w:cs="Calibri" w:eastAsia="Calibri" w:hAnsi="Calibri"/>
                <w:b/>
                <w:bCs/>
                <w:sz w:val="18"/>
                <w:szCs w:val="18"/>
              </w:rPr>
              <w:t xml:space="preserve">lista cerrada publicada en el PPT</w:t>
            </w:r>
            <w:r>
              <w:rPr>
                <w:rFonts w:ascii="Calibri" w:cs="Calibri" w:eastAsia="Calibri" w:hAnsi="Calibri"/>
                <w:b w:val="false"/>
                <w:bCs w:val="false"/>
                <w:sz w:val="18"/>
                <w:szCs w:val="18"/>
              </w:rPr>
              <w:t xml:space="preserve">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funciones mínimas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Resolución del caso de uso municipal predefinido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resuelve el licitador el caso único publicado en el PCAP, idéntico para todos, sobre datos ficticios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cualitativos: 60 puntos (60 %).</w:t>
      </w:r>
      <w:r>
        <w:rPr>
          <w:rFonts w:ascii="Calibri" w:cs="Calibri" w:eastAsia="Calibri" w:hAnsi="Calibri"/>
          <w:sz w:val="21"/>
          <w:szCs w:val="21"/>
        </w:rPr>
        <w:t xml:space="preserve">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interoperabilidad con infraestructuras de servicios de confianza, porque DT-2·v3 está marcada NO APLICA. Puntuar una capacidad cuya cláusula técnica se ha declarado innecesaria no se motiva: se anula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ya disponibles a fecha de licitación.</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acreditada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no se reescala después de conocidas las ofertas. La cláusula de separabilidad de la Parte I opera sobre cláusulas y obligaciones; sobre las ponderaciones de los criterios sólo puede operar antes de publicar y con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(importe anual sin IVA × años de duración inicial)</w:t>
      </w:r>
    </w:p>
    <w:p>
      <w:pPr>
        <w:spacing w:after="140" w:line="276"/>
      </w:pPr>
      <w:r>
        <w:rPr>
          <w:rFonts w:ascii="Calibri" w:cs="Calibri" w:eastAsia="Calibri" w:hAnsi="Calibri"/>
          <w:sz w:val="21"/>
          <w:szCs w:val="21"/>
        </w:rPr>
        <w:t xml:space="preserve">+ (importe anual sin IVA × años de prórrogas previstas)</w:t>
      </w:r>
    </w:p>
    <w:p>
      <w:pPr>
        <w:spacing w:after="140" w:line="276"/>
      </w:pPr>
      <w:r>
        <w:rPr>
          <w:rFonts w:ascii="Calibri" w:cs="Calibri" w:eastAsia="Calibri" w:hAnsi="Calibri"/>
          <w:sz w:val="21"/>
          <w:szCs w:val="21"/>
        </w:rPr>
        <w:t xml:space="preserve">+ importe máximo de la bolsa de servicios evolutivos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w:t>
      </w:r>
      <w:r>
        <w:rPr>
          <w:rFonts w:ascii="Calibri" w:cs="Calibri" w:eastAsia="Calibri" w:hAnsi="Calibri"/>
          <w:sz w:val="21"/>
          <w:szCs w:val="21"/>
        </w:rPr>
        <w:t xml:space="preserve"> Está en el presupuesto base de licitación, luego está en el valor estimado. Escribir que no lo infla es un error de cálculo del valor estimado, y el valor estimado determina la publicidad armonizada y el acceso al recurso especial.</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—cifras hipotéticas, sustitúyanse por las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 anual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 2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[5] % del importe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sz w:val="21"/>
          <w:szCs w:val="21"/>
        </w:rPr>
        <w:t xml:space="preserve">Comprobación de los tres umbrales con ese resultado: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servicios y suministros vigente para 2026-2027: 216.000 € (Reglamento Delegado (UE) 2025/2152, vigente hasta el 31/12/2027)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En un expediente de menor cuantía la decisión sería aún más clara: 12.000 € de reserva pueden llevar un contrato de 90.000 € por encima de los 100.000 € y regalar al recurrente una ventana que no tenía.</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área de contratación advirtió que «son pocos los contratos en los que se haga un seguimiento real y este se basa exclusivamente en el control del gasto, ni eficiencia, ni eficacia».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estimada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ET-1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vencer el plazo de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 h, una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 una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18-24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inicial y actualización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constitución, actualización y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cada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16-24 h por ensayo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h de verificación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h/año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estimado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55-75 h/año</w:t>
            </w:r>
            <w:r>
              <w:rPr>
                <w:rFonts w:ascii="Calibri" w:cs="Calibri" w:eastAsia="Calibri" w:hAnsi="Calibri"/>
                <w:b w:val="false"/>
                <w:bCs w:val="false"/>
                <w:sz w:val="18"/>
                <w:szCs w:val="18"/>
              </w:rPr>
              <w:t xml:space="preserve"> más ≈ 20 h de aceptación inicial</w:t>
            </w:r>
          </w:p>
        </w:tc>
      </w:tr>
    </w:tbl>
    <w:p>
      <w:pPr>
        <w:spacing w:after="200"/>
      </w:pPr>
    </w:p>
    <w:p>
      <w:pPr>
        <w:spacing w:after="140" w:line="276"/>
      </w:pPr>
      <w:r>
        <w:rPr>
          <w:rFonts w:ascii="Calibri" w:cs="Calibri" w:eastAsia="Calibri" w:hAnsi="Calibri"/>
          <w:sz w:val="21"/>
          <w:szCs w:val="21"/>
        </w:rPr>
        <w:t xml:space="preserve">Lectura honesta de esa cifra: con [10] contratos activos bajo este catálogo, la carga anual se acerca a </w:t>
      </w:r>
      <w:r>
        <w:rPr>
          <w:rFonts w:ascii="Calibri" w:cs="Calibri" w:eastAsia="Calibri" w:hAnsi="Calibri"/>
          <w:b/>
          <w:bCs/>
          <w:sz w:val="21"/>
          <w:szCs w:val="21"/>
        </w:rPr>
        <w:t xml:space="preserve">0,4 efectivos a jornada completa</w:t>
      </w:r>
      <w:r>
        <w:rPr>
          <w:rFonts w:ascii="Calibri" w:cs="Calibri" w:eastAsia="Calibri" w:hAnsi="Calibri"/>
          <w:sz w:val="21"/>
          <w:szCs w:val="21"/>
        </w:rPr>
        <w:t xml:space="preserve">. Es asumible si se planifica y es inasumible si se descubre a posteriori. Crear obligaciones esenciales que después nadie verifica es peor que no crearlas: convierte cada penalidad en una discusión sobre por qué no se detectó antes.</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[3] accesos de consulta incluidos en el precio</w:t>
      </w:r>
      <w:r>
        <w:rPr>
          <w:rFonts w:ascii="Calibri" w:cs="Calibri" w:eastAsia="Calibri" w:hAnsi="Calibri"/>
          <w:sz w:val="21"/>
          <w:szCs w:val="21"/>
        </w:rPr>
        <w:t xml:space="preserve">, de alcance funcional no inferior al del órgano gestor, sin coste adicional, durante toda la vigencia y las prórrogas.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Se hace constar expresamente lo que </w:t>
      </w:r>
      <w:r>
        <w:rPr>
          <w:rFonts w:ascii="Calibri" w:cs="Calibri" w:eastAsia="Calibri" w:hAnsi="Calibri"/>
          <w:b/>
          <w:bCs/>
          <w:sz w:val="21"/>
          <w:szCs w:val="21"/>
        </w:rPr>
        <w:t xml:space="preserve">no</w:t>
      </w:r>
      <w:r>
        <w:rPr>
          <w:rFonts w:ascii="Calibri" w:cs="Calibri" w:eastAsia="Calibri" w:hAnsi="Calibri"/>
          <w:sz w:val="21"/>
          <w:szCs w:val="21"/>
        </w:rPr>
        <w:t xml:space="preserve"> es su fundamento: el art. 33.4.d) del RD 424/2017 habilita a solicitar de terceros información sobre operaciones, saldos contables y costes cuando el contrato lo prevea —circularización en auditoría pública—, y no es título para exigir acceso funcional permanente a la aplicación. Se cita, por tanto, como refuerzo de la previsión contractual, no como su fundamento principal.</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Ninguno es nuevo salvo tres. La columna «estado» es la que hay que rellenar antes de aprobar.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los dieciséis documentos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Sólo si el baremo mantiene el criterio D. Se recoge aquí, y no en un anexo, porque el caso de uso es específico de este contrato.</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 el resultado de cada uno de los cinco puntos y las incidencias.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observable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cinco puntos se completan en tiempo; toda operación queda registrada con usuario, momento y datos afectados; la exportación se obtiene en formato abierto sin intervención del proveedor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con apoyo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cinco puntos se completan, pero alguno requiere una intervención manual del proveedor no prevista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completan tres o cuatro puntos; el registro de auditoría no reconstruye alguna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completan uno o dos puntos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demostrado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completa ninguno, o lo mostrado no se corresponde con lo descrito en la memoria técnica</w:t>
            </w:r>
          </w:p>
        </w:tc>
      </w:tr>
    </w:tbl>
    <w:p>
      <w:pPr>
        <w:spacing w:after="200"/>
      </w:pP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Y una cautela de diseño: exigir una sesión de resolución de un caso favorece a quien ya tiene producto operativo. Se compensa manteniendo su peso bajo (7 de 100) y permitiendo la demostración sobre un entorno de pruebas o preproducción del licitador, sin exigir instalación en 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Revisión de lo ya redactado el 24/08/2026</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en los pliegos del 24/08/2026 (texto 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contabilidad en el contrato de contabilidad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 este catálogo…»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 (el producto base)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 DT-0·v3.6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El riesgo de publicar el modelo antes de rectificar el piloto</w:t>
      </w:r>
    </w:p>
    <w:p>
      <w:pPr>
        <w:spacing w:after="140" w:line="276"/>
      </w:pPr>
      <w:r>
        <w:rPr>
          <w:rFonts w:ascii="Calibri" w:cs="Calibri" w:eastAsia="Calibri" w:hAnsi="Calibri"/>
          <w:sz w:val="21"/>
          <w:szCs w:val="21"/>
        </w:rPr>
        <w:t xml:space="preserve">Hay que decirlo sin rodeos, porque es la decisión más importante que este documento plantea a quien lo firma.</w:t>
      </w:r>
    </w:p>
    <w:p>
      <w:pPr>
        <w:spacing w:after="140" w:line="276"/>
      </w:pPr>
      <w:r>
        <w:rPr>
          <w:rFonts w:ascii="Calibri" w:cs="Calibri" w:eastAsia="Calibri" w:hAnsi="Calibri"/>
          <w:sz w:val="21"/>
          <w:szCs w:val="21"/>
        </w:rPr>
        <w:t xml:space="preserve">Este documento se publica en abierto para que cualquier administración lo reutilice. Enumera, con nombres y apellidos técnicos, los defectos de su propia versión anterior. Y esa versión anterior es la que está hoy en los pliegos del primer contrato al que se aplicó.</w:t>
      </w:r>
    </w:p>
    <w:p>
      <w:pPr>
        <w:spacing w:after="140" w:line="276"/>
      </w:pPr>
      <w:r>
        <w:rPr>
          <w:rFonts w:ascii="Calibri" w:cs="Calibri" w:eastAsia="Calibri" w:hAnsi="Calibri"/>
          <w:sz w:val="21"/>
          <w:szCs w:val="21"/>
        </w:rPr>
        <w:t xml:space="preserve">Consecuencia concreta: </w:t>
      </w:r>
      <w:r>
        <w:rPr>
          <w:rFonts w:ascii="Calibri" w:cs="Calibri" w:eastAsia="Calibri" w:hAnsi="Calibri"/>
          <w:b/>
          <w:bCs/>
          <w:sz w:val="21"/>
          <w:szCs w:val="21"/>
        </w:rPr>
        <w:t xml:space="preserve">un licitador que quiera recurrir esos pliegos no necesita recurrir el modelo.</w:t>
      </w:r>
      <w:r>
        <w:rPr>
          <w:rFonts w:ascii="Calibri" w:cs="Calibri" w:eastAsia="Calibri" w:hAnsi="Calibri"/>
          <w:sz w:val="21"/>
          <w:szCs w:val="21"/>
        </w:rPr>
        <w:t xml:space="preserve"> Le basta con recurrir el pliego y aportar el modelo publicado por el propio Ayuntamiento como prueba de que la exigencia que impugna era, según su autor, indefendible. Cada advertencia honesta de este documento —«esta redacción no supera el art. 204.1», «esta figura no es de uso habitual y no consta doctrina», «la copia literal sin ficha de necesidad reproduce el vicio»— es exacta, es necesaria y, publicada antes de rectificar el piloto, es también munición.</w:t>
      </w:r>
    </w:p>
    <w:p>
      <w:pPr>
        <w:spacing w:after="140" w:line="276"/>
      </w:pPr>
      <w:r>
        <w:rPr>
          <w:rFonts w:ascii="Calibri" w:cs="Calibri" w:eastAsia="Calibri" w:hAnsi="Calibri"/>
          <w:sz w:val="21"/>
          <w:szCs w:val="21"/>
        </w:rPr>
        <w:t xml:space="preserve">Las tres opciones, con su coste: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Opción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implica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Rectificar primero, publicar después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(recomendada)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Ejecutar las correcciones P1 de VI.6, obtener el informe jurídico preceptivo sobre los pliegos rectificados y publicar el modelo a continuación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Retrasa la publicación del modelo lo que tarde el circuito del expediente. No hay ningún otro coste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Publicar simultáneamente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Publicar el modelo y aprobar los pliegos rectificados en el mismo acto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coordinación real entre el área promotora y el área de contratación. Viable si el expediente está en la situación A o B de VI.2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Publicar el modelo con el piloto sin rectificar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Publicar y corregir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asume el riesgo descrito. Si el piloto se recurre y se anula, el modelo nace con el titular de «el ayuntamiento que publicó un modelo que su propio pliego incumplía»</w:t>
            </w:r>
          </w:p>
        </w:tc>
      </w:tr>
    </w:tbl>
    <w:p>
      <w:pPr>
        <w:spacing w:after="200"/>
      </w:pPr>
    </w:p>
    <w:p>
      <w:pPr>
        <w:spacing w:after="140" w:line="276"/>
      </w:pPr>
      <w:r>
        <w:rPr>
          <w:rFonts w:ascii="Calibri" w:cs="Calibri" w:eastAsia="Calibri" w:hAnsi="Calibri"/>
          <w:sz w:val="21"/>
          <w:szCs w:val="21"/>
        </w:rPr>
        <w:t xml:space="preserve">La recomendación de este documento es la opción 1, y la razón no es prudencia procesal: es que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de cláusulas cuyo primer expediente arrastra los defectos que el catálogo corrige no es un catálogo defectuoso: es un catálogo que nadie va a copiar.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área de contratación pidió —un experimento—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los anexos I, II, III, IV, VI y X son instrumentos de trabajo del expediente y no se copian al pliego.</w:t>
      </w:r>
      <w:r>
        <w:rPr>
          <w:rFonts w:ascii="Calibri" w:cs="Calibri" w:eastAsia="Calibri" w:hAnsi="Calibri"/>
          <w:sz w:val="21"/>
          <w:szCs w:val="21"/>
        </w:rPr>
        <w:t xml:space="preserve"> Los anexos V, VII y IX contienen texto que sí se incorpora a un pliego o a la documentación de la licitación, y por eso su texto literal va en bloque delimitado. El anexo VIII es un modelo de acuerdo del órgano de gobierno.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de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las tres casillas de motivación.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cuatro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w:t>
      </w:r>
      <w:r>
        <w:rPr>
          <w:rFonts w:ascii="Calibri" w:cs="Calibri" w:eastAsia="Calibri" w:hAnsi="Calibri"/>
          <w:b/>
          <w:bCs/>
          <w:sz w:val="21"/>
          <w:szCs w:val="21"/>
        </w:rPr>
        <w:t xml:space="preserve">verificador municipal designado y periodicidad</w:t>
      </w:r>
      <w:r>
        <w:rPr>
          <w:rFonts w:ascii="Calibri" w:cs="Calibri" w:eastAsia="Calibri" w:hAnsi="Calibri"/>
          <w:sz w:val="21"/>
          <w:szCs w:val="21"/>
        </w:rPr>
        <w:t xml:space="preserve">, y la carga anual resultante se ha estimado y consta en el expediente.</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Se comprueban los siete.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es mayor 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sí → </w:t>
            </w:r>
            <w:r>
              <w:rPr>
                <w:rFonts w:ascii="Calibri" w:cs="Calibri" w:eastAsia="Calibri" w:hAnsi="Calibri"/>
                <w:b/>
                <w:bCs/>
                <w:sz w:val="18"/>
                <w:szCs w:val="18"/>
              </w:rPr>
              <w:t xml:space="preserve">comité de expertos preceptivo</w:t>
            </w:r>
            <w:r>
              <w:rPr>
                <w:rFonts w:ascii="Calibri" w:cs="Calibri" w:eastAsia="Calibri" w:hAnsi="Calibri"/>
                <w:b w:val="false"/>
                <w:bCs w:val="false"/>
                <w:sz w:val="18"/>
                <w:szCs w:val="18"/>
              </w:rPr>
              <w:t xml:space="preserve"> (art. 146.2.a), con un mínimo de tres miembros no adscritos al órgano proponente, </w:t>
            </w:r>
            <w:r>
              <w:rPr>
                <w:rFonts w:ascii="Calibri" w:cs="Calibri" w:eastAsia="Calibri" w:hAnsi="Calibri"/>
                <w:b/>
                <w:bCs/>
                <w:sz w:val="18"/>
                <w:szCs w:val="18"/>
              </w:rPr>
              <w:t xml:space="preserve">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simplificado: ¿(B) supera el 25 % del 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159.1.b): 25 % general, 45 %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abreviado: ¿hay algún punto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no caben.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¿los criterios cualitativos alcanzan el 51 %?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 ¿superan el 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¿Algún criterio puntúa lo que el PPT ya impone, o una certificación, o experiencia previa, o medios ya disponibles a fecha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Prohibido. Arts. 40.b) y 145 LCSP; separación entre solvencia y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¿Algún criterio puntúa una capacidad cuya cláusula técnica de soporte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Prohibido. Se suprime el criterio y se reescala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el baremo se recompone antes de la publicación del anuncio, nunca después de conocidas las ofertas.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Heading3"/>
        <w:keepNext/>
        <w:spacing w:after="140" w:before="320"/>
      </w:pPr>
      <w:r>
        <w:rPr>
          <w:rFonts w:ascii="Georgia" w:cs="Georgia" w:eastAsia="Georgia" w:hAnsi="Georgia"/>
          <w:b/>
          <w:bCs/>
          <w:color w:val="2F5496"/>
          <w:sz w:val="22"/>
          <w:szCs w:val="22"/>
        </w:rPr>
        <w:t xml:space="preserve">V.2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en el anexo técnico de este pliego, sobre los módulos allí identificados.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[SEIS (6)] meses.</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y de funciones mínimas se publica en el anexo técnico del pliego, cerrada</w:t>
            </w:r>
          </w:p>
        </w:tc>
      </w:tr>
    </w:tbl>
    <w:p>
      <w:pPr>
        <w:spacing w:after="200"/>
      </w:pPr>
    </w:p>
    <w:p>
      <w:pPr>
        <w:pStyle w:val="Heading3"/>
        <w:keepNext/>
        <w:spacing w:after="140" w:before="320"/>
      </w:pPr>
      <w:r>
        <w:rPr>
          <w:rFonts w:ascii="Georgia" w:cs="Georgia" w:eastAsia="Georgia" w:hAnsi="Georgia"/>
          <w:b/>
          <w:bCs/>
          <w:color w:val="2F5496"/>
          <w:sz w:val="22"/>
          <w:szCs w:val="22"/>
        </w:rPr>
        <w:t xml:space="preserve">V.4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Este contraste puede realizarse mediante consulta preliminar del mercado publicada (art. 115 LCSP), y en tal caso su documentación sirve a la vez para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recompone antes de publicar el anuncio.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del baremo sobre interoperabilidad con infraestructuras de servicios de confianza</w:t>
            </w:r>
            <w:r>
              <w:rPr>
                <w:rFonts w:ascii="Calibri" w:cs="Calibri" w:eastAsia="Calibri" w:hAnsi="Calibri"/>
                <w:b w:val="false"/>
                <w:bCs w:val="false"/>
                <w:sz w:val="18"/>
                <w:szCs w:val="18"/>
              </w:rPr>
              <w:t xml:space="preserve"> (y reescalado del baremo) · fila del cuadro maestro · fila de penalidades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(automatización sobre lista cerrada) y reescalado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 servicios comunes de DT-0·v3.6 (queda sin objeto)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por categoría ALTA de ADM-11·v3 (queda sólo la vía de la lista tasada de servicios)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reescalado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 la certificación de la reversión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 ADM-2·v3 completa (queda sin alcance) · ADM-3·v3 en lo referido a plazos del catálogo · </w:t>
            </w:r>
            <w:r>
              <w:rPr>
                <w:rFonts w:ascii="Calibri" w:cs="Calibri" w:eastAsia="Calibri" w:hAnsi="Calibri"/>
                <w:b/>
                <w:bCs/>
                <w:sz w:val="18"/>
                <w:szCs w:val="18"/>
              </w:rPr>
              <w:t xml:space="preserve">criterio B del baremo</w:t>
            </w:r>
            <w:r>
              <w:rPr>
                <w:rFonts w:ascii="Calibri" w:cs="Calibri" w:eastAsia="Calibri" w:hAnsi="Calibri"/>
                <w:b w:val="false"/>
                <w:bCs w:val="false"/>
                <w:sz w:val="18"/>
                <w:szCs w:val="18"/>
              </w:rPr>
              <w:t xml:space="preserve"> · filas de penalidades · lista de esenciales · ADM-14·v3, que sólo opera sobre capacidades no determinadas en el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ADM-3·v3.3</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reescalado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D del baremo</w:t>
            </w:r>
            <w:r>
              <w:rPr>
                <w:rFonts w:ascii="Calibri" w:cs="Calibri" w:eastAsia="Calibri" w:hAnsi="Calibri"/>
                <w:b w:val="false"/>
                <w:bCs w:val="false"/>
                <w:sz w:val="18"/>
                <w:szCs w:val="18"/>
              </w:rPr>
              <w:t xml:space="preserve"> y reescalado · rúbrica y guion del caso de uso · reglas de momento procedimental del PCAP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 fila de penalidades por falta de presentación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fila de penalidades · referencia a la política municipal de uso de 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ADM-3·v3.3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al que sirve, con su rúbrica publicada,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a la que la sustituya o a una equivalente, aportando en este último caso las pruebas de las medidas equivalentes; o, en su defecto, que se compromete a obtener dicha certificación en el plazo máximo de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no pública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Se deja constancia de ellas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a disposición de todos los licitadores de la información técnica facilitada por quienes participaron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nominativa por redes, infraestructuras, protocolos o productos, y reformulación en términos funcionales con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consorcio determinado, la tenencia de certificaciones o la disponibilidad previa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Anexo IV, aviso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 la consulta preliminar del mercado, con acceso de todos los operadores en las mismas condiciones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Todo parámetro del documento aparece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Un catálogo de decisiones sin valores por defecto es un catálogo de retrasos.</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No pasar de 18: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o 24 meses cuando el sistema sostenga funciones de control interno o lo exija la política municipal de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certificación de la reversión,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actualización </w:t>
            </w: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trimestral en contratos con desarrollo específico intenso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r>
              <w:rPr>
                <w:rFonts w:ascii="Calibri" w:cs="Calibri" w:eastAsia="Calibri" w:hAnsi="Calibri"/>
                <w:b w:val="false"/>
                <w:bCs w:val="false"/>
                <w:sz w:val="18"/>
                <w:szCs w:val="18"/>
              </w:rPr>
              <w:t xml:space="preserve">, prorrogables por </w:t>
            </w: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 meses cuando haya migración de datos históricos de varios ejercicios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0,5 % del precio del contrato por cada mes o fracción</w:t>
            </w:r>
            <w:r>
              <w:rPr>
                <w:rFonts w:ascii="Calibri" w:cs="Calibri" w:eastAsia="Calibri" w:hAnsi="Calibri"/>
                <w:b w:val="false"/>
                <w:bCs w:val="false"/>
                <w:sz w:val="18"/>
                <w:szCs w:val="18"/>
              </w:rPr>
              <w:t xml:space="preserve">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Superar el 40 % exige motivación expresa en la memoria de criterios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importe del contrato</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Sólo en contratos de desarrollo o mantenimiento de aplicaciones (art. 308.3 LCSP). Computa en el presupuesto base y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la lista tasada (padrón, tributos, recaudación, contabilidad, gestión de expedientes, sede),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valor estimado igual o superior a </w:t>
            </w:r>
            <w:r>
              <w:rPr>
                <w:rFonts w:ascii="Calibri" w:cs="Calibri" w:eastAsia="Calibri" w:hAnsi="Calibri"/>
                <w:b/>
                <w:bCs/>
                <w:sz w:val="18"/>
                <w:szCs w:val="18"/>
              </w:rPr>
              <w:t xml:space="preserve">500.000 €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Rebajar el umbral económico sólo con motivación: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pStyle w:val="Heading3"/>
        <w:keepNext/>
        <w:spacing w:after="140" w:before="320"/>
      </w:pPr>
      <w:r>
        <w:rPr>
          <w:rFonts w:ascii="Georgia" w:cs="Georgia" w:eastAsia="Georgia" w:hAnsi="Georgia"/>
          <w:b/>
          <w:bCs/>
          <w:color w:val="2F5496"/>
          <w:sz w:val="22"/>
          <w:szCs w:val="22"/>
        </w:rPr>
        <w:t xml:space="preserve">X.2 Umbrales legales que condicionan el expediente</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que fije la ley para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Además, tope de juicio de valor del art. 159.1.b): 25 % general, 45 % en prestaciones de carácter intelectual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 (art. 44.2.a)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Vigente hasta el 31/12/2027.</w:t>
            </w:r>
            <w:r>
              <w:rPr>
                <w:rFonts w:ascii="Calibri" w:cs="Calibri" w:eastAsia="Calibri" w:hAnsi="Calibri"/>
                <w:b w:val="false"/>
                <w:bCs w:val="false"/>
                <w:sz w:val="18"/>
                <w:szCs w:val="18"/>
              </w:rPr>
              <w:t xml:space="preserve"> Revísese al aprobar el catálogo del ejercicio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(ADM-3·v3.3,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200"/>
      </w:pP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w:t>
      </w:r>
    </w:p>
    <w:p>
      <w:pPr>
        <w:pStyle w:val="ListParagraph"/>
        <w:numPr>
          <w:ilvl w:val="0"/>
          <w:numId w:val="2"/>
        </w:numPr>
        <w:spacing w:after="70" w:line="268"/>
      </w:pPr>
      <w:r>
        <w:rPr>
          <w:rFonts w:ascii="Calibri" w:cs="Calibri" w:eastAsia="Calibri" w:hAnsi="Calibri"/>
          <w:b/>
          <w:bCs/>
          <w:sz w:val="21"/>
          <w:szCs w:val="21"/>
        </w:rPr>
        <w:t xml:space="preserve">Texto consolidado</w:t>
      </w:r>
      <w:r>
        <w:rPr>
          <w:rFonts w:ascii="Calibri" w:cs="Calibri" w:eastAsia="Calibri" w:hAnsi="Calibri"/>
          <w:sz w:val="21"/>
          <w:szCs w:val="21"/>
        </w:rPr>
        <w:t xml:space="preserve"> del Reglamento (UE) 2024/1689 tras el Reglamento (UE) 2026/1744, para confirmar el calendario completo y, en particular, si el artículo 49 (registro de sistemas de alto riesgo) resulta o no afectado por el aplazamiento, y el alcance exacto del régimen transitorio del artículo 111.</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Designación exacta y vigente de la norma de gobernanza de sistemas de gestión de IA</w:t>
      </w:r>
      <w:r>
        <w:rPr>
          <w:rFonts w:ascii="Calibri" w:cs="Calibri" w:eastAsia="Calibri" w:hAnsi="Calibri"/>
          <w:sz w:val="21"/>
          <w:szCs w:val="21"/>
        </w:rPr>
        <w:t xml:space="preserve"> que se cite en el pliego, con la fórmula «o norma que la sustituya, o equivalente» y con la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 este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de «enséñeme lo que tiene» a «resuelva este caso». Momento procedimental imperativo, rúbrica publicada, acta detallada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rúbrica y fijar el momento en el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ajustado en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en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con año, «o norma que la sustituya, o equivalente», y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piloto resuelto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l4jql_ej4g23xwhm5gnq" Type="http://schemas.openxmlformats.org/officeDocument/2006/relationships/hyperlink" Target="https://www.pozuelodealarcon.org/tu-ayuntamiento/organizacion-municipal/trayectoria-profesional-delfina-lafuente-veira" TargetMode="External"/><Relationship Id="rIdxgzpa_jk97eri5ef_fdyc" Type="http://schemas.openxmlformats.org/officeDocument/2006/relationships/hyperlink" Target="https://www.ufv.es/una-nueva-definicion-para-las-ciudades-que-transformaran-el-mundo-noticias-actualidad/" TargetMode="External"/><Relationship Id="rIdhgerdugn5sczlqjnchyby" Type="http://schemas.openxmlformats.org/officeDocument/2006/relationships/hyperlink" Target="https://miguelangeldominguez.info" TargetMode="External"/><Relationship Id="rIdtjfoffhrfrrjyamhp40fu" Type="http://schemas.openxmlformats.org/officeDocument/2006/relationships/hyperlink" Target="https://www.boe.es/buscar/act.php?id=BOE-A-2017-12902" TargetMode="External"/><Relationship Id="rId9z_ksspkb4s4uedrotjz5" Type="http://schemas.openxmlformats.org/officeDocument/2006/relationships/hyperlink" Target="https://www.boe.es/buscar/doc.php?id=DOUE-L-2025-81543" TargetMode="External"/><Relationship Id="rIdynwetpt376p8aylteu6u8" Type="http://schemas.openxmlformats.org/officeDocument/2006/relationships/hyperlink" Target="https://www.boe.es/buscar/doc.php?id=BOE-A-2016-11098" TargetMode="External"/><Relationship Id="rIduiupdseywdsdc3t3owhbn" Type="http://schemas.openxmlformats.org/officeDocument/2006/relationships/hyperlink" Target="https://www.boe.es/buscar/doc.php?id=DOUE-L-2026-81147" TargetMode="External"/><Relationship Id="rIdq885rfnhbdnv47plhgwqi" Type="http://schemas.openxmlformats.org/officeDocument/2006/relationships/hyperlink" Target="https://www.comunidad.madrid/tacp/sites/default/files/resolucion_383-2024_expediente_383-2024.pdf" TargetMode="External"/><Relationship Id="rIdfgmrwt05hn2w9n4-ovzsj" Type="http://schemas.openxmlformats.org/officeDocument/2006/relationships/hyperlink" Target="https://www.boe.es/buscar/doc.php?id=DOUE-L-2026-81147" TargetMode="External"/><Relationship Id="rId609q6jxzkpusrawl4dp-j" Type="http://schemas.openxmlformats.org/officeDocument/2006/relationships/hyperlink" Target="https://www.linuxfoundation.org/press/linux-foundation-announces-the-formation-of-the-agentic-ai-foundation" TargetMode="External"/><Relationship Id="rId3yylwcv1s95jc-snimtja" Type="http://schemas.openxmlformats.org/officeDocument/2006/relationships/hyperlink" Target="https://www.hacienda.gob.es/TACRC/Resoluciones/A%C3%B1o%202022/Recurso%200998-2022%20(Res%201113" TargetMode="External"/><Relationship Id="rIdm4wprcruwtw6sjdi3gsoc" Type="http://schemas.openxmlformats.org/officeDocument/2006/relationships/hyperlink" Target="https://www.comunidad.madrid/tacp/sites/default/files/resolucion_535-2025_expediente_526-2025.pdf" TargetMode="External"/><Relationship Id="rId4-yvlti1eb_pvn3zjj2ya" Type="http://schemas.openxmlformats.org/officeDocument/2006/relationships/hyperlink" Target="https://eur-lex.europa.eu/legal-content/ES/TXT/HTML/?uri=CELEX:62023CJ0424" TargetMode="External"/><Relationship Id="rIdm6bn2zkxnibhu-jusgede" Type="http://schemas.openxmlformats.org/officeDocument/2006/relationships/hyperlink" Target="https://eur-lex.europa.eu/legal-content/ES/TXT/HTML/?uri=CELEX:62017CJ0014" TargetMode="External"/><Relationship Id="rIdwjc1thtsgnbihqmzzhydi" Type="http://schemas.openxmlformats.org/officeDocument/2006/relationships/hyperlink" Target="https://www.hacienda.gob.es/TACRC/Resoluciones/A%C3%B1o%202021/Recurso%201372-2021%20VAL%20314-2021%20(Res%201727" TargetMode="External"/><Relationship Id="rIde_dkugrwqiqef-gdtt0gs" Type="http://schemas.openxmlformats.org/officeDocument/2006/relationships/hyperlink" Target="https://www.hacienda.gob.es/TACRC/Resoluciones/A%C3%B1o%202020/Recurso%200323-2020%20%20(Res%20549" TargetMode="External"/><Relationship Id="rIdth-rr3kut3cvq0vgan5ga" Type="http://schemas.openxmlformats.org/officeDocument/2006/relationships/hyperlink" Target="https://www.comunidad.madrid/tacp/sites/default/files/resolucion_535-2025_expediente_526-2025.pdf" TargetMode="External"/><Relationship Id="rIdti4gqfksjxta0laafsr_v" Type="http://schemas.openxmlformats.org/officeDocument/2006/relationships/hyperlink" Target="https://www.comunidad.madrid/tacp/sites/default/files/resolucion_92-2024_recurso_070-2024_web.pdf" TargetMode="External"/><Relationship Id="rIdkqbpmty_a7kgzowy25psf" Type="http://schemas.openxmlformats.org/officeDocument/2006/relationships/hyperlink" Target="https://www.comunidad.madrid/tacp/sites/default/files/resolucion_383-2024_expediente_383-2024.pdf" TargetMode="External"/><Relationship Id="rId-hkcloylces8xiiqeue8a" Type="http://schemas.openxmlformats.org/officeDocument/2006/relationships/hyperlink" Target="https://www.comunidad.madrid/tacp/sites/default/files/resolucion_383-2024_expediente_383-2024.pdf" TargetMode="External"/><Relationship Id="rIdc7jecruugfi8zivxotmvp" Type="http://schemas.openxmlformats.org/officeDocument/2006/relationships/hyperlink" Target="https://www.comunidad.madrid/tacp/sites/default/files/resolucion_535-2025_expediente_526-2025.pdf" TargetMode="External"/><Relationship Id="rIdc2k84quzlnkwqmii-b7nr" Type="http://schemas.openxmlformats.org/officeDocument/2006/relationships/hyperlink" Target="https://www.hacienda.gob.es/tacrc/resoluciones/a%C3%B1o%202019/recurso%200557-2019%20val%20113-2019%20(res%20786" TargetMode="External"/><Relationship Id="rIdloianru4nlsc6owkkdskz" Type="http://schemas.openxmlformats.org/officeDocument/2006/relationships/hyperlink" Target="https://www.hacienda.gob.es/TACRC/Resoluciones/A%C3%B1o%202021/Recurso%201372-2021%20VAL%20314-2021%20(Res%201727" TargetMode="External"/><Relationship Id="rIdyybp3atw56ixfx1renjwe" Type="http://schemas.openxmlformats.org/officeDocument/2006/relationships/hyperlink" Target="https://tienda.aenor.com/p/norma-une-en-iso-iec-42001-2026-n0075951" TargetMode="External"/><Relationship Id="rIdzjtjsiduk6vkifanyooky" Type="http://schemas.openxmlformats.org/officeDocument/2006/relationships/hyperlink" Target="https://www.euskadi.eus/contenidos/informacion/kpecpe_oarc_memorias_doctrina/eu_def/adjuntos/Doktrina-2018-2023.pdf" TargetMode="External"/><Relationship Id="rId-pqz5jktngv3lljtod9-8" Type="http://schemas.openxmlformats.org/officeDocument/2006/relationships/hyperlink" Target="https://www.hacienda.gob.es/TACRC/Resoluciones/A%C3%B1o%202022/Recurso%200998-2022%20(Res%201113" TargetMode="External"/><Relationship Id="rIdd5jloof3i7zi4luxj4a3x" Type="http://schemas.openxmlformats.org/officeDocument/2006/relationships/hyperlink" Target="https://www.hacienda.gob.es/tacrc/resoluciones/a%C3%B1o%202022/recurso%200846-2022%20(res%201287" TargetMode="External"/><Relationship Id="rIdnlabfi2rijqlsu1a7gcuv" Type="http://schemas.openxmlformats.org/officeDocument/2006/relationships/hyperlink" Target="https://www.hacienda.gob.es/TACRC/Documentos/RESOLUCIONES%20DE%20PLENO%202022/Resoluci%C3%B3n%20Recurso%20842-2022%20(Res%201111" TargetMode="External"/><Relationship Id="rIdwp-el_dttpvde8aojn_ja" Type="http://schemas.openxmlformats.org/officeDocument/2006/relationships/hyperlink" Target="https://contratacion.castillalamancha.es/sites/default/files/infocontrataclm/descargar_consulta_019-2022.pdf" TargetMode="External"/><Relationship Id="rIdkohxvza6lp_d-acfibnkp" Type="http://schemas.openxmlformats.org/officeDocument/2006/relationships/hyperlink" Target="http://www.contratosdelsectorpublico.es/DocumentosWEB/02TribunalesContractuales/TACP%20Aragon/TACP%20Arag%C3%B3n%2076-2015.pdf" TargetMode="External"/><Relationship Id="rIdbum440stbxiyo9cwjdqod" Type="http://schemas.openxmlformats.org/officeDocument/2006/relationships/hyperlink" Target="https://www.hacienda.gob.es/TACRC/Documentos/RESOLUCIONES%20DE%20PLENO%202022/Resoluci%C3%B3n%20Recurso%20842-2022%20(Res%201111" TargetMode="External"/><Relationship Id="rIdyethz6hzib6jttbjclyt2" Type="http://schemas.openxmlformats.org/officeDocument/2006/relationships/hyperlink" Target="https://www.comunidad.madrid/tacp/sites/default/files/resolucion_383-2024_expediente_383-2024.pdf" TargetMode="External"/><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2026-09-01T09:33:59.661Z</dcterms:created>
  <dcterms:modified xsi:type="dcterms:W3CDTF">2026-09-01T09:33:59.662Z</dcterms:modified>
</cp:coreProperties>
</file>

<file path=docProps/custom.xml><?xml version="1.0" encoding="utf-8"?>
<Properties xmlns="http://schemas.openxmlformats.org/officeDocument/2006/custom-properties" xmlns:vt="http://schemas.openxmlformats.org/officeDocument/2006/docPropsVTypes"/>
</file>