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 · Dr. José Antonio Ondiviela García · Miguel Ángel Domínguez Castellano · Enrique Jiménez · Roberto García · Luis Llorente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Autores y supervisores técnicos: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Enrique Jiménez, responsable de los contratos de innovación; Roberto García, jefe de informática; y Luis Llorente, jefe de negociado de sistemas de información, los tres del Ayuntamiento de Pozuelo de Alarcón.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Lectura crítica: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Francisco Javier Escalona Moyano, Interventor General del Ayuntamiento de Pozuelo de Alarcón, a título personal y con su consentimiento; su lectura no es un informe de fiscalización ni un pronunciamiento del órgano de control.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del Ayuntamiento de Pozuelo de Alarcón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 y no expresa la posición de la Corporación; ningún órgano de contratación, intervención o asesoría jurídica se ha pronunciado sobre él. Es una propuesta técnica publicada para el debate y la reutilización.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Y no es sólo municipal: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está parametrizado para cualquier administración —los órganos, umbrales, categorías de seguridad y plazos son parámetros con valor recomendado, no valores fijos—, de modo que sirve igual a un ayuntamiento, a una diputación, a una comunidad autónoma o a un organismo estatal, cambiando quién firma cada cosa. Se publica con licencia CC BY 4.0 para que se copie, se adapte y se mejore.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Qué se puede hacer desde hoy, y qué no.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La mayoría de las cláusulas —y las de más valor económico: reversibilidad, propiedad intelectual, acceso al dato, ENS bien redactado— se anclan por vía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normativa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funcional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necesitan ningún acuerdo previo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basta motivarlas en la memoria del expediente con datos propios. Sólo las de origen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institucional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que ninguna norma impone y ningún gestor pide, necesitan el acuerdo del órgano de gobierno, que no es un permiso sino la prueba documental de su necesidad. De las seis cláusulas del piloto mínimo,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cinco no dependen de ese acuerdo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Lo que sí está pendiente a la fecha de corte —acuerdo del órgano de gobierno, consulta preliminar del mercado documentada y declaraciones de conflicto de interés firmadas— limita el uso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este documento como modelo aprobado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la potestad de nadie para escribir buenas cláusulas en su pliego.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el Ayuntamiento licita con pliegos propios —el caso ordinario—,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catálogo entra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En un contrato menor no hay documento contractual donde incorporar condiciones especiales, penalidades u obligaciones esenciales, pero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sí es exigible la lista cerrada de exigencias normativas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 la Parte V, §V.7.1: lo que la ley ya impone se pide igual.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También caben aquí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dentro del margen que el instrumento de origen deje: elegir entre las opciones que el catálogo del acuerdo marco ya ofrezca; usar los extremos que expresamente reserve a la fase de contrato basado —incluida la nueva licitación entre adjudicatarios, cuando esté prevista—; y trasladar por escrito la necesidad al órgano titular del acuerdo marco para la siguiente licitación. Lo único vedado es añadir obligaciones que el instrumento de origen no permita.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tercera dificultad del §M1.1: que el grado de abstracción es demasiado alto mientras no se vea el catálogo funcionando sobre un caso.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Castellano; Enrique Jiménez; Roberto García</dc:creator>
  <dc:description>Guía ejecutiva de 20 páginas para revisar el catálogo de cláusulas de IA y deep tech</dc:description>
  <cp:lastModifiedBy>Un-named</cp:lastModifiedBy>
  <cp:revision>1</cp:revision>
  <dcterms:created xsi:type="dcterms:W3CDTF">2026-09-07T16:23:40.346Z</dcterms:created>
  <dcterms:modified xsi:type="dcterms:W3CDTF">2026-09-07T16:23:40.346Z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