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5" w:before="20"/>
      </w:pPr>
      <w:r>
        <w:rPr>
          <w:rFonts w:ascii="Georgia" w:cs="Georgia" w:eastAsia="Georgia" w:hAnsi="Georgia"/>
          <w:b/>
          <w:bCs/>
          <w:color w:val="1F3864"/>
          <w:sz w:val="32"/>
          <w:szCs w:val="32"/>
        </w:rPr>
        <w:t xml:space="preserve">Un contrato público de tecnología dura años. La tecnología que compra, no.</w:t>
      </w:r>
    </w:p>
    <w:p>
      <w:pPr>
        <w:pBdr>
          <w:bottom w:val="single" w:color="1F3864" w:sz="8" w:space="2"/>
        </w:pBdr>
        <w:spacing w:after="60"/>
      </w:pPr>
      <w:r>
        <w:rPr>
          <w:rFonts w:ascii="Calibri" w:cs="Calibri" w:eastAsia="Calibri" w:hAnsi="Calibri"/>
          <w:b/>
          <w:bCs/>
          <w:color w:val="5D6573"/>
          <w:sz w:val="19"/>
          <w:szCs w:val="19"/>
        </w:rPr>
        <w:t xml:space="preserve">Cláusulas de IA y deep tech para pliegos de contratación pública · resumen en dos páginas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50"/>
            </w:tcMar>
          </w:tcPr>
          <w:p>
            <w:pPr>
              <w:keepNext/>
              <w:spacing w:after="28" w:before="0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El problema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Un ayuntamiento contrata un sistema de gestión —tributos, padrón, contabilidad, atención al ciudadano— por cuatro o cinco años, con prórrogas. El día de la firma la herramienta está al día. Dos años después han aparecido capacidades que entonces no existían y que nadie podía nombrar al redactar el pliego. El contrato no dice nada sobre ellas, porque no podía decirlo.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Entonces sólo hay tres salidas, y las tres cuestan dinero público: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Se paga dos veces.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Un contrato nuevo para «modernizar» lo que ya se compró.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Se aguanta.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Años de servicio público prestado con herramientas de otra época.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Se queda cautivo.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Cambiar de proveedor obligaría a dejar atrás los datos y los desarrollos propios, y sale tan caro que no se cambia. La licitación siguiente está decidida antes de publicarse.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Nadie ha hecho nada mal por el camino. Es un defecto de diseño del contrato.</w:t>
            </w:r>
          </w:p>
          <w:p>
            <w:pPr>
              <w:keepNext/>
              <w:spacing w:after="28" w:before="65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Por qué no basta con pedir «que se mantenga actualizado»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Es lo primero que uno escribiría, y no funciona.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La empresa no puede ponerle precio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porque se le pide algo cuyo contenido nadie conoce todavía: o infla la oferta por si acaso, o la ignora y ya discutirá durante la ejecución.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La administración no puede exigirlo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porque demostrar que una tecnología concreta «era necesaria» es una apreciación técnica que no se sostiene frente a un contratista bien asesorado.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Y un tribunal la anula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una obligación genérica no puede ser ni siquiera una obligación contractual, y menos aún una cuyo incumplimiento permita resolver el contrato.</w:t>
            </w:r>
          </w:p>
          <w:p>
            <w:pPr>
              <w:keepNext/>
              <w:spacing w:after="28" w:before="65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La solución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En lugar de comprar una evolución futura indefinida,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se compran capacidades concretas, con plazo y con criterios de aceptación verificables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fijadas en el momento de licitar y revisadas cada año para las licitaciones siguientes.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La empresa sabe exactamente qué está ofertando y puede presupuestarlo. La administración sabe exactamente qué puede exigir y cuándo. El tribunal no tiene nada indeterminado que anular. Y el cumplimiento se comprueba con un acta, no con una discusión.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50"/>
              <w:bottom w:type="dxa" w:w="0"/>
              <w:right w:type="dxa" w:w="0"/>
            </w:tcMar>
          </w:tcPr>
          <w:p>
            <w:pPr>
              <w:keepNext/>
              <w:spacing w:after="28" w:before="0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La otra mitad: de quién son los datos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Un pliego puede restringir la competencia de dos maneras. La conocida es escribirlo a medida de un proveedor. La otra es más silenciosa: dejar que quien ya está dentro se quede dentro para siempre.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Por eso una parte central del clausulado no habla de inteligencia artificial, sino de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propiedad, reversibilidad y salida ordenada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de quién son los datos, de quién son los algoritmos hechos a medida, qué se entrega al terminar el contrato, en qué formato, en qué plazo y quién comprueba que funciona. Y por eso renuncia expresamente a puntuar el hecho de tener ya una tecnología a fecha de licitación: eso premia al proveedor que ya está dentro, y la propia ley lo declara anulable.</w:t>
            </w:r>
          </w:p>
          <w:p>
            <w:pPr>
              <w:keepNext/>
              <w:spacing w:after="28" w:before="65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Qué es esto, y qué no es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Es un catálogo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de cláusulas ya redactadas, cada una con su justificación, su medio de prueba, su forma de verificación y su consecuencia; con la memoria justificativa, el circuito completo del expediente, un caso piloto resuelto entero y los modelos que hacen falta.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No es una norma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no obliga a nadie por sí mismo.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No es de aplicación automática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ninguna cláusula entra en un pliego por el hecho de existir aquí.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No es un «copia y pega»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una cláusula incorporada sin necesidad acreditada en la memoria del expediente no protege a la administración, le añade un motivo de recurso.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Y no es municipal.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Nace de un problema de gestión municipal, pero está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parametrizado para cualquier administración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los órganos, los umbrales, las categorías de seguridad y los plazos son parámetros con valor recomendado, no valores fijos. Sirve igual a un ayuntamiento, a una diputación, a una comunidad autónoma o a un organismo estatal, cambiando quién firma cada cosa. Se publica con licencia CC BY 4.0 precisamente para eso: para que se copie, se adapte y se mejore.</w:t>
            </w:r>
          </w:p>
          <w:p>
            <w:pPr>
              <w:keepNext/>
              <w:spacing w:after="28" w:before="65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Qué se promete, y qué no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No se promete que ningún tribunal pueda anular nada.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No es prometible: todavía no existe doctrina sobre cláusulas de inteligencia artificial en contratación pública, y el primer recurso creará el precedente.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Lo que sí está diseñado, y puede comprobarse cláusula por cláusula: cada exigencia tiene una necesidad identificada y la norma o el acuerdo que la impone; un instrumento correcto —prescripción técnica, solvencia, criterio de adjudicación o condición especial de ejecución— y sólo uno, para que nada se compute dos veces; un medio de acreditación y una forma de verificación, con actor municipal designado y carga estimada; una consecuencia tasada si se incumple; y una regla de separabilidad, para que la caída de una pieza no arrastre el pliego entero.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Las referencias normativas y de doctrina están verificadas en su fuente primaria, a fecha de corte del 1 de septiembre de 2026. Lo que no ha podido verificarse se dice expresamente.</w:t>
            </w:r>
          </w:p>
        </w:tc>
      </w:tr>
    </w:tbl>
    <w:p>
      <w:r>
        <w:br w:type="pag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50"/>
            </w:tcMar>
          </w:tcPr>
          <w:p>
            <w:pPr>
              <w:keepNext/>
              <w:spacing w:after="28" w:before="0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De dónde sale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De un problema real de gestión municipal y de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cuatro dificultades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que quienes lo han trabajado han observado que suceden en la contratación pública, y que el documento nombra sin suavizarlas: que la necesidad todavía no la demanda el gestor, y sin ella la cláusula es artificiosa al contrato; que el seguimiento real de los contratos es escaso y sólo mira el gasto, cuando quien controla necesita el dato al mismo rango que quien gestiona; que el grado de abstracción es demasiado alto mientras no se vea funcionando en una contratación ya prevista y poco compleja; y que hay muchos actores, y no sólo propios, que no han visto antes estas exigencias.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Las cuatro se responden dentro del documento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y son la razón de que esta versión tenga doble vía de firma, acuerdo del órgano de gobierno, un subconjunto mínimo de seis cláusulas para empezar y un capítulo sobre la reacción del mercado.</w:t>
            </w:r>
          </w:p>
          <w:p>
            <w:pPr>
              <w:keepNext/>
              <w:spacing w:after="28" w:before="65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Cómo debe usarse: no copie sin entender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Se publica *</w:t>
            </w:r>
            <w:r>
              <w:rPr>
                <w:rFonts w:ascii="Calibri" w:cs="Calibri" w:eastAsia="Calibri" w:hAnsi="Calibri"/>
                <w:i/>
                <w:iCs/>
                <w:color w:val="22201D"/>
                <w:sz w:val="18"/>
                <w:szCs w:val="18"/>
              </w:rPr>
              <w:t xml:space="preserve">tal cual (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as is</w:t>
            </w:r>
            <w:r>
              <w:rPr>
                <w:rFonts w:ascii="Calibri" w:cs="Calibri" w:eastAsia="Calibri" w:hAnsi="Calibri"/>
                <w:i/>
                <w:iCs/>
                <w:color w:val="22201D"/>
                <w:sz w:val="18"/>
                <w:szCs w:val="18"/>
              </w:rPr>
              <w:t xml:space="preserve">)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*, sin garantía de ningún tipo. No es asesoramiento legal ni sustituye a los informes preceptivos de ninguna administración. Se recomienda su lectura y su uso — y con la misma firmeza, no copiarlo sin entenderlo: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Una cláusula copiada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sin necesidad acreditada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añade un motivo de recurso. La justificación no vive en el catálogo, vive en la memoria del expediente, y no se puede completar después.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Una exigencia copiada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sin contrastar con el mercado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no es más ambiciosa: es más restrictiva.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Una obligación copiada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sin nadie que la verifique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es peor que no tenerla.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Un parámetro copiado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sin adaptar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puede ser ilegal en otra entidad: categorías de seguridad, órganos competentes y umbrales cambian de una administración a otra.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50"/>
              <w:bottom w:type="dxa" w:w="0"/>
              <w:right w:type="dxa" w:w="0"/>
            </w:tcMar>
          </w:tcPr>
          <w:p>
            <w:pPr>
              <w:keepNext/>
              <w:spacing w:after="28" w:before="0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Un aviso, antes de citarlo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Este no es un documento oficial del Ayuntamiento de Pozuelo de Alarcón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no ha sido aprobado por ningún órgano municipal ni expresa la posición de la Corporación, y ningún órgano de contratación, intervención o asesoría jurídica se ha pronunciado sobre él. El caso trabajado del documento extenso es un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expediente simulado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no corresponde a ninguna licitación real, en curso ni en preparación. Es un trabajo profesional de las siete personas que lo firman, una de las cuales ejerce un cargo público en ese Ayuntamiento. Y el propio documento enumera las condiciones que aún no se cumplen —entre ellas, que las declaraciones de conflicto de interés no están firmadas—: mientras no se cumplan, es una propuesta técnica publicada para el debate, no un instrumento listo para meter en un expediente.</w:t>
            </w:r>
          </w:p>
          <w:p>
            <w:pPr>
              <w:keepNext/>
              <w:spacing w:after="28" w:before="65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Quién lo ha hecho</w:t>
            </w:r>
          </w:p>
          <w:p>
            <w:pPr>
              <w:spacing w:after="36" w:line="216"/>
              <w:jc w:val="both"/>
            </w:pPr>
            <w:hyperlink w:history="1" r:id="rIdvbkqf4tzcqw3wvkqk6ulj">
              <w:r>
                <w:rPr>
                  <w:rFonts w:ascii="Calibri" w:cs="Calibri" w:eastAsia="Calibri" w:hAnsi="Calibri"/>
                  <w:b/>
                  <w:bCs/>
                  <w:color w:val="2F5597"/>
                  <w:sz w:val="18"/>
                  <w:szCs w:val="18"/>
                  <w:u w:val="single"/>
                </w:rPr>
                <w:t xml:space="preserve">Delfina Lafuente Veira</w:t>
              </w:r>
            </w:hyperlink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Concejal de Administración Digital, Calidad e Innovación del Ayuntamiento de Pozuelo de Alarcón: de ella nace el proyecto y suya es la primera redacción. </w:t>
            </w:r>
            <w:hyperlink w:history="1" r:id="rIdl2x6rafcpxvscvdvslnd7">
              <w:r>
                <w:rPr>
                  <w:rFonts w:ascii="Calibri" w:cs="Calibri" w:eastAsia="Calibri" w:hAnsi="Calibri"/>
                  <w:b/>
                  <w:bCs/>
                  <w:color w:val="2F5597"/>
                  <w:sz w:val="18"/>
                  <w:szCs w:val="18"/>
                  <w:u w:val="single"/>
                </w:rPr>
                <w:t xml:space="preserve">Dr. José Antonio Ondiviela García</w:t>
              </w:r>
            </w:hyperlink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profesor e investigador de la Universidad Francisco de Vitoria: la mirada del mercado y la idea que resuelve el problema de fondo. </w:t>
            </w:r>
            <w:hyperlink w:history="1" r:id="rIdphzryyrxv2co3wkhnbugg">
              <w:r>
                <w:rPr>
                  <w:rFonts w:ascii="Calibri" w:cs="Calibri" w:eastAsia="Calibri" w:hAnsi="Calibri"/>
                  <w:b/>
                  <w:bCs/>
                  <w:color w:val="2F5597"/>
                  <w:sz w:val="18"/>
                  <w:szCs w:val="18"/>
                  <w:u w:val="single"/>
                </w:rPr>
                <w:t xml:space="preserve">Miguel Ángel Domínguez Castellano</w:t>
              </w:r>
            </w:hyperlink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CEO de Add4u y presidente de Alastria y del Clúster de Blockchain de la Comunidad de Madrid: la perspectiva de quien conoce las dos orillas, y la responsabilidad editorial de la publicación.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Autores y supervisores técnicos: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Enrique Jiménez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responsable de los contratos de innovación;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Roberto García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jefe de informática; y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Luis Llorente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jefe de negociado de sistemas de información, los tres del Ayuntamiento de Pozuelo de Alarcón. Han aportado el contraste de la práctica municipal y la supervisión técnica de la formulación contractual.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Francisco Javier Escalona Moyano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Interventor General del mismo Ayuntamiento, aportó la lectura crítica, a título personal y con su consentimiento: no es un informe de fiscalización.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Uso de inteligencia artificial.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En la elaboración de este trabajo se han utilizado sistemas de IA: el clon digital (</w:t>
            </w:r>
            <w:r>
              <w:rPr>
                <w:rFonts w:ascii="Calibri" w:cs="Calibri" w:eastAsia="Calibri" w:hAnsi="Calibri"/>
                <w:i/>
                <w:iCs/>
                <w:color w:val="22201D"/>
                <w:sz w:val="18"/>
                <w:szCs w:val="18"/>
              </w:rPr>
              <w:t xml:space="preserve">second brain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) de Miguel Ángel Domínguez, determinante en la recuperación del material, la investigación jurídica, la verificación de las fuentes y la redacción de los borradores. Se declara aunque el artículo 50.4 del Reglamento (UE) 2024/1689 exima de hacerlo cuando hay revisión humana y responsabilidad editorial, porque un documento que exige transparencia de IA no puede ocultarla en sí mismo. Las decisiones y la responsabilidad son de las personas que lo firman.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Documento completo, presentación y modelos: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github.com/migueldadd4u/ai-clauses · Licencia Creative Commons Attribution 4.0 · Versión 3.0, septiembre de 2026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691" w:right="748" w:bottom="691" w:left="748" w:header="345" w:footer="345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D6573"/>
        <w:sz w:val="14"/>
        <w:szCs w:val="14"/>
      </w:rPr>
      <w:t xml:space="preserve">AI Clauses · página </w:t>
    </w:r>
    <w:r>
      <w:rPr>
        <w:rFonts w:ascii="Calibri" w:cs="Calibri" w:eastAsia="Calibri" w:hAnsi="Calibri"/>
        <w:color w:val="5D6573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D6573"/>
        <w:sz w:val="14"/>
        <w:szCs w:val="14"/>
      </w:rPr>
      <w:t xml:space="preserve"> de 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E8" w:sz="4" w:space="3"/>
      </w:pBdr>
      <w:spacing w:after="50"/>
      <w:jc w:val="right"/>
    </w:pPr>
    <w:r>
      <w:rPr>
        <w:rFonts w:ascii="Calibri" w:cs="Calibri" w:eastAsia="Calibri" w:hAnsi="Calibri"/>
        <w:color w:val="5D6573"/>
        <w:sz w:val="14"/>
        <w:szCs w:val="14"/>
      </w:rPr>
      <w:t xml:space="preserve">Cláusulas de IA y deep tech · resumen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250" w:hanging="1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D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bkqf4tzcqw3wvkqk6ulj" Type="http://schemas.openxmlformats.org/officeDocument/2006/relationships/hyperlink" Target="https://www.pozuelodealarcon.org/tu-ayuntamiento/organizacion-municipal/trayectoria-profesional-delfina-lafuente-veira" TargetMode="External"/><Relationship Id="rIdl2x6rafcpxvscvdvslnd7" Type="http://schemas.openxmlformats.org/officeDocument/2006/relationships/hyperlink" Target="https://www.ufv.es/una-nueva-definicion-para-las-ciudades-que-transformaran-el-mundo-noticias-actualidad/" TargetMode="External"/><Relationship Id="rIdphzryyrxv2co3wkhnbugg" Type="http://schemas.openxmlformats.org/officeDocument/2006/relationships/hyperlink" Target="https://miguelangeldominguez.info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Clauses · resumen en dos páginas</dc:title>
  <dc:creator>Delfina Lafuente Veira; José Antonio Ondiviela García; Miguel Ángel Domínguez Castellano; Enrique Jiménez; Roberto García</dc:creator>
  <dc:description>Resumen ejecutivo del catálogo de cláusulas de IA y deep tech para contratación pública</dc:description>
  <cp:lastModifiedBy>Un-named</cp:lastModifiedBy>
  <cp:revision>1</cp:revision>
  <dcterms:created xsi:type="dcterms:W3CDTF">2026-09-07T16:23:41.082Z</dcterms:created>
  <dcterms:modified xsi:type="dcterms:W3CDTF">2026-09-07T16:23:41.082Z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