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Qué agiliza el catálogo y qué no</w:t>
      </w:r>
    </w:p>
    <w:p>
      <w:pPr>
        <w:spacing w:after="900"/>
        <w:jc w:val="center"/>
      </w:pPr>
      <w:r>
        <w:rPr>
          <w:rFonts w:ascii="Georgia" w:cs="Georgia" w:eastAsia="Georgia" w:hAnsi="Georgia"/>
          <w:i/>
          <w:iCs/>
          <w:color w:val="595959"/>
          <w:sz w:val="28"/>
          <w:szCs w:val="28"/>
        </w:rPr>
        <w:t xml:space="preserve">Para entender el catálogo</w:t>
      </w:r>
    </w:p>
    <w:p>
      <w:pPr>
        <w:spacing w:after="140"/>
        <w:jc w:val="center"/>
      </w:pPr>
      <w:r>
        <w:rPr>
          <w:rFonts w:ascii="Calibri" w:cs="Calibri" w:eastAsia="Calibri" w:hAnsi="Calibri"/>
          <w:color w:val="595959"/>
          <w:sz w:val="20"/>
          <w:szCs w:val="20"/>
        </w:rPr>
        <w:t xml:space="preserve">AI Clauses · Cláusulas de IA y Deep Tech · versión 4.0, definitiva</w:t>
      </w:r>
    </w:p>
    <w:p>
      <w:pPr>
        <w:spacing w:after="140"/>
        <w:jc w:val="center"/>
      </w:pPr>
      <w:r>
        <w:rPr>
          <w:rFonts w:ascii="Calibri" w:cs="Calibri" w:eastAsia="Calibri" w:hAnsi="Calibri"/>
          <w:color w:val="595959"/>
          <w:sz w:val="20"/>
          <w:szCs w:val="20"/>
        </w:rPr>
        <w:t xml:space="preserve">Documento complementario del catálogo. Donde discrepe del catálogo, manda el catálogo.</w:t>
      </w:r>
    </w:p>
    <w:p>
      <w:pPr>
        <w:spacing w:after="140"/>
        <w:jc w:val="center"/>
      </w:pPr>
      <w:r>
        <w:rPr>
          <w:rFonts w:ascii="Calibri" w:cs="Calibri" w:eastAsia="Calibri" w:hAnsi="Calibri"/>
          <w:color w:val="595959"/>
          <w:sz w:val="20"/>
          <w:szCs w:val="20"/>
        </w:rPr>
        <w:t xml:space="preserve">Licencia Creative Commons Attribution 4.0 Internacional</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spacing w:after="140" w:line="276"/>
      </w:pPr>
      <w:r>
        <w:rPr>
          <w:rFonts w:ascii="Calibri" w:cs="Calibri" w:eastAsia="Calibri" w:hAnsi="Calibri"/>
          <w:i/>
          <w:iCs/>
          <w:sz w:val="21"/>
          <w:szCs w:val="21"/>
        </w:rPr>
        <w:t xml:space="preserve">Documento complementario de AI Clauses, versión 4.0. Explica el catálogo; no lo sustituye. Donde discrepen, manda el catálogo. </w:t>
      </w:r>
      <w:hyperlink w:history="1" r:id="rIdpdlsfwszj2j_net6akig_">
        <w:r>
          <w:rPr>
            <w:rFonts w:ascii="Calibri" w:cs="Calibri" w:eastAsia="Calibri" w:hAnsi="Calibri"/>
            <w:i/>
            <w:iCs/>
            <w:color w:val="2F5496"/>
            <w:sz w:val="21"/>
            <w:szCs w:val="21"/>
            <w:u w:val="single"/>
          </w:rPr>
          <w:t xml:space="preserve">Ir al catálogo</w:t>
        </w:r>
      </w:hyperlink>
      <w:r>
        <w:rPr>
          <w:rFonts w:ascii="Calibri" w:cs="Calibri" w:eastAsia="Calibri" w:hAnsi="Calibri"/>
          <w:i/>
          <w:iCs/>
          <w:sz w:val="21"/>
          <w:szCs w:val="21"/>
        </w:rPr>
        <w:t xml:space="preserve">.</w:t>
      </w:r>
    </w:p>
    <w:p>
      <w:pPr>
        <w:spacing w:after="140" w:line="276"/>
      </w:pPr>
      <w:r>
        <w:rPr>
          <w:rFonts w:ascii="Calibri" w:cs="Calibri" w:eastAsia="Calibri" w:hAnsi="Calibri"/>
          <w:sz w:val="21"/>
          <w:szCs w:val="21"/>
        </w:rPr>
        <w:t xml:space="preserve">Seis agilizaciones concretas, cada una con su mecanismo.</w:t>
      </w:r>
    </w:p>
    <w:p>
      <w:r>
        <w:br w:type="page"/>
      </w:r>
    </w:p>
    <w:p>
      <w:pPr>
        <w:pStyle w:val="Heading1"/>
        <w:keepNext/>
        <w:spacing w:after="240" w:before="200"/>
      </w:pPr>
      <w:r>
        <w:rPr>
          <w:rFonts w:ascii="Georgia" w:cs="Georgia" w:eastAsia="Georgia" w:hAnsi="Georgia"/>
          <w:b/>
          <w:bCs/>
          <w:color w:val="1F3864"/>
          <w:sz w:val="34"/>
          <w:szCs w:val="34"/>
        </w:rPr>
        <w:t xml:space="preserve">1 · Lo previsible ya está comprado, y no necesita modificación contractual</w:t>
      </w:r>
    </w:p>
    <w:p>
      <w:pPr>
        <w:spacing w:after="140" w:line="276"/>
      </w:pPr>
      <w:r>
        <w:rPr>
          <w:rFonts w:ascii="Calibri" w:cs="Calibri" w:eastAsia="Calibri" w:hAnsi="Calibri"/>
          <w:b/>
          <w:bCs/>
          <w:sz w:val="21"/>
          <w:szCs w:val="21"/>
        </w:rPr>
        <w:t xml:space="preserve">Dónde:</w:t>
      </w:r>
      <w:r>
        <w:rPr>
          <w:rFonts w:ascii="Calibri" w:cs="Calibri" w:eastAsia="Calibri" w:hAnsi="Calibri"/>
          <w:sz w:val="21"/>
          <w:szCs w:val="21"/>
        </w:rPr>
        <w:t xml:space="preserve"> Parte III, ADM-2·v3, apartado 4.</w:t>
      </w:r>
    </w:p>
    <w:p>
      <w:pPr>
        <w:spacing w:after="140" w:line="276"/>
      </w:pPr>
      <w:r>
        <w:rPr>
          <w:rFonts w:ascii="Calibri" w:cs="Calibri" w:eastAsia="Calibri" w:hAnsi="Calibri"/>
          <w:b/>
          <w:bCs/>
          <w:sz w:val="21"/>
          <w:szCs w:val="21"/>
        </w:rPr>
        <w:t xml:space="preserve">Cómo:</w:t>
      </w:r>
      <w:r>
        <w:rPr>
          <w:rFonts w:ascii="Calibri" w:cs="Calibri" w:eastAsia="Calibri" w:hAnsi="Calibri"/>
          <w:sz w:val="21"/>
          <w:szCs w:val="21"/>
        </w:rPr>
        <w:t xml:space="preserve"> las exigencias del Anexo «forman parte del alcance ordinario del contrato y se entienden retribuidas con el precio ofertado, sin que su cumplimiento dé lugar a facturación adicional ni requiera modificación contractual».</w:t>
      </w:r>
    </w:p>
    <w:p>
      <w:pPr>
        <w:spacing w:after="140" w:line="276"/>
      </w:pPr>
      <w:r>
        <w:rPr>
          <w:rFonts w:ascii="Calibri" w:cs="Calibri" w:eastAsia="Calibri" w:hAnsi="Calibri"/>
          <w:b/>
          <w:bCs/>
          <w:sz w:val="21"/>
          <w:szCs w:val="21"/>
        </w:rPr>
        <w:t xml:space="preserve">Qué se ahorra:</w:t>
      </w:r>
      <w:r>
        <w:rPr>
          <w:rFonts w:ascii="Calibri" w:cs="Calibri" w:eastAsia="Calibri" w:hAnsi="Calibri"/>
          <w:sz w:val="21"/>
          <w:szCs w:val="21"/>
        </w:rPr>
        <w:t xml:space="preserve"> tramitar después una modificación del contrato —con su propuesta, informe técnico, audiencia al contratista, informe jurídico, fiscalización, acuerdo, formalización y publicación— para algo que ya estaba previsto. Los controles no desaparecen: se hicieron al aprobar y fiscalizar el contrato que ya contenía la exigencia. Lo que se ejecuta después se comprueba con un acta de aceptación.</w:t>
      </w:r>
    </w:p>
    <w:p>
      <w:r>
        <w:br w:type="page"/>
      </w:r>
    </w:p>
    <w:p>
      <w:pPr>
        <w:pStyle w:val="Heading1"/>
        <w:keepNext/>
        <w:spacing w:after="240" w:before="200"/>
      </w:pPr>
      <w:r>
        <w:rPr>
          <w:rFonts w:ascii="Georgia" w:cs="Georgia" w:eastAsia="Georgia" w:hAnsi="Georgia"/>
          <w:b/>
          <w:bCs/>
          <w:color w:val="1F3864"/>
          <w:sz w:val="34"/>
          <w:szCs w:val="34"/>
        </w:rPr>
        <w:t xml:space="preserve">2 · Las adaptaciones menores tienen vía propia, con precio ya pactado</w:t>
      </w:r>
    </w:p>
    <w:p>
      <w:pPr>
        <w:spacing w:after="140" w:line="276"/>
      </w:pPr>
      <w:r>
        <w:rPr>
          <w:rFonts w:ascii="Calibri" w:cs="Calibri" w:eastAsia="Calibri" w:hAnsi="Calibri"/>
          <w:b/>
          <w:bCs/>
          <w:sz w:val="21"/>
          <w:szCs w:val="21"/>
        </w:rPr>
        <w:t xml:space="preserve">Dónde:</w:t>
      </w:r>
      <w:r>
        <w:rPr>
          <w:rFonts w:ascii="Calibri" w:cs="Calibri" w:eastAsia="Calibri" w:hAnsi="Calibri"/>
          <w:sz w:val="21"/>
          <w:szCs w:val="21"/>
        </w:rPr>
        <w:t xml:space="preserve"> Parte III, ADM-3·v3, bloque 2, al amparo del art. 308.3 LCSP.</w:t>
      </w:r>
    </w:p>
    <w:p>
      <w:pPr>
        <w:spacing w:after="140" w:line="276"/>
      </w:pPr>
      <w:r>
        <w:rPr>
          <w:rFonts w:ascii="Calibri" w:cs="Calibri" w:eastAsia="Calibri" w:hAnsi="Calibri"/>
          <w:b/>
          <w:bCs/>
          <w:sz w:val="21"/>
          <w:szCs w:val="21"/>
        </w:rPr>
        <w:t xml:space="preserve">Cómo:</w:t>
      </w:r>
      <w:r>
        <w:rPr>
          <w:rFonts w:ascii="Calibri" w:cs="Calibri" w:eastAsia="Calibri" w:hAnsi="Calibri"/>
          <w:sz w:val="21"/>
          <w:szCs w:val="21"/>
        </w:rPr>
        <w:t xml:space="preserve"> catálogo cerrado de seis clases de peticiones —un informe nuevo, un cambio de flujo, una integración, una migración de datos— retribuidas por los precios unitarios que el licitador ofertó. El responsable del contrato emite petición escrita, el contratista estima horas, se acepta y se ejecuta.</w:t>
      </w:r>
    </w:p>
    <w:p>
      <w:pPr>
        <w:spacing w:after="140" w:line="276"/>
      </w:pPr>
      <w:r>
        <w:rPr>
          <w:rFonts w:ascii="Calibri" w:cs="Calibri" w:eastAsia="Calibri" w:hAnsi="Calibri"/>
          <w:b/>
          <w:bCs/>
          <w:sz w:val="21"/>
          <w:szCs w:val="21"/>
        </w:rPr>
        <w:t xml:space="preserve">Qué se ahorra:</w:t>
      </w:r>
      <w:r>
        <w:rPr>
          <w:rFonts w:ascii="Calibri" w:cs="Calibri" w:eastAsia="Calibri" w:hAnsi="Calibri"/>
          <w:sz w:val="21"/>
          <w:szCs w:val="21"/>
        </w:rPr>
        <w:t xml:space="preserve"> el documento lo dice sin rodeos. Esas adaptaciones tienen una vía contractual con precio pactado, «en lugar de resolverse con presiones informales al proveedor o con contratos menores encadenados» (epígrafe 3 de la misma cláusula). Cada contrato menor evitado es un expediente completo que no se tramita.</w:t>
      </w:r>
    </w:p>
    <w:p>
      <w:r>
        <w:br w:type="page"/>
      </w:r>
    </w:p>
    <w:p>
      <w:pPr>
        <w:pStyle w:val="Heading1"/>
        <w:keepNext/>
        <w:spacing w:after="240" w:before="200"/>
      </w:pPr>
      <w:r>
        <w:rPr>
          <w:rFonts w:ascii="Georgia" w:cs="Georgia" w:eastAsia="Georgia" w:hAnsi="Georgia"/>
          <w:b/>
          <w:bCs/>
          <w:color w:val="1F3864"/>
          <w:sz w:val="34"/>
          <w:szCs w:val="34"/>
        </w:rPr>
        <w:t xml:space="preserve">3 · Las versiones nuevas del producto entran solas</w:t>
      </w:r>
    </w:p>
    <w:p>
      <w:pPr>
        <w:spacing w:after="140" w:line="276"/>
      </w:pPr>
      <w:r>
        <w:rPr>
          <w:rFonts w:ascii="Calibri" w:cs="Calibri" w:eastAsia="Calibri" w:hAnsi="Calibri"/>
          <w:b/>
          <w:bCs/>
          <w:sz w:val="21"/>
          <w:szCs w:val="21"/>
        </w:rPr>
        <w:t xml:space="preserve">Dónde:</w:t>
      </w:r>
      <w:r>
        <w:rPr>
          <w:rFonts w:ascii="Calibri" w:cs="Calibri" w:eastAsia="Calibri" w:hAnsi="Calibri"/>
          <w:sz w:val="21"/>
          <w:szCs w:val="21"/>
        </w:rPr>
        <w:t xml:space="preserve"> Parte II, DT-9·v3, apartado 7, y Parte III, ADM-2·v3, apartado 6.</w:t>
      </w:r>
    </w:p>
    <w:p>
      <w:pPr>
        <w:spacing w:after="140" w:line="276"/>
      </w:pPr>
      <w:r>
        <w:rPr>
          <w:rFonts w:ascii="Calibri" w:cs="Calibri" w:eastAsia="Calibri" w:hAnsi="Calibri"/>
          <w:b/>
          <w:bCs/>
          <w:sz w:val="21"/>
          <w:szCs w:val="21"/>
        </w:rPr>
        <w:t xml:space="preserve">Cómo:</w:t>
      </w:r>
      <w:r>
        <w:rPr>
          <w:rFonts w:ascii="Calibri" w:cs="Calibri" w:eastAsia="Calibri" w:hAnsi="Calibri"/>
          <w:sz w:val="21"/>
          <w:szCs w:val="21"/>
        </w:rPr>
        <w:t xml:space="preserve"> el adjudicatario pone a disposición, «sin coste adicional durante la vigencia del contrato y de sus prórrogas», las versiones sucesoras que el fabricante publique, con una definición triple comprobable con documentación del propio fabricante.</w:t>
      </w:r>
    </w:p>
    <w:p>
      <w:pPr>
        <w:spacing w:after="140" w:line="276"/>
      </w:pPr>
      <w:r>
        <w:rPr>
          <w:rFonts w:ascii="Calibri" w:cs="Calibri" w:eastAsia="Calibri" w:hAnsi="Calibri"/>
          <w:b/>
          <w:bCs/>
          <w:sz w:val="21"/>
          <w:szCs w:val="21"/>
        </w:rPr>
        <w:t xml:space="preserve">Qué se ahorra:</w:t>
      </w:r>
      <w:r>
        <w:rPr>
          <w:rFonts w:ascii="Calibri" w:cs="Calibri" w:eastAsia="Calibri" w:hAnsi="Calibri"/>
          <w:sz w:val="21"/>
          <w:szCs w:val="21"/>
        </w:rPr>
        <w:t xml:space="preserve"> la discusión de si una versión nueva es mejora incluida o prestación adicional facturable. Esa discusión, hoy, o se pierde o se paga.</w:t>
      </w:r>
    </w:p>
    <w:p>
      <w:r>
        <w:br w:type="page"/>
      </w:r>
    </w:p>
    <w:p>
      <w:pPr>
        <w:pStyle w:val="Heading1"/>
        <w:keepNext/>
        <w:spacing w:after="240" w:before="200"/>
      </w:pPr>
      <w:r>
        <w:rPr>
          <w:rFonts w:ascii="Georgia" w:cs="Georgia" w:eastAsia="Georgia" w:hAnsi="Georgia"/>
          <w:b/>
          <w:bCs/>
          <w:color w:val="1F3864"/>
          <w:sz w:val="34"/>
          <w:szCs w:val="34"/>
        </w:rPr>
        <w:t xml:space="preserve">4 · El contrato firmado no se reabre cuando el catálogo cambia</w:t>
      </w:r>
    </w:p>
    <w:p>
      <w:pPr>
        <w:spacing w:after="140" w:line="276"/>
      </w:pPr>
      <w:r>
        <w:rPr>
          <w:rFonts w:ascii="Calibri" w:cs="Calibri" w:eastAsia="Calibri" w:hAnsi="Calibri"/>
          <w:b/>
          <w:bCs/>
          <w:sz w:val="21"/>
          <w:szCs w:val="21"/>
        </w:rPr>
        <w:t xml:space="preserve">Dónde:</w:t>
      </w:r>
      <w:r>
        <w:rPr>
          <w:rFonts w:ascii="Calibri" w:cs="Calibri" w:eastAsia="Calibri" w:hAnsi="Calibri"/>
          <w:sz w:val="21"/>
          <w:szCs w:val="21"/>
        </w:rPr>
        <w:t xml:space="preserve"> Parte III, ADM-2·v3, apartado 3, e invariabilidad del Anexo V (Parte II, DT-9·v3, apartado 2).</w:t>
      </w:r>
    </w:p>
    <w:p>
      <w:pPr>
        <w:spacing w:after="140" w:line="276"/>
      </w:pPr>
      <w:r>
        <w:rPr>
          <w:rFonts w:ascii="Calibri" w:cs="Calibri" w:eastAsia="Calibri" w:hAnsi="Calibri"/>
          <w:b/>
          <w:bCs/>
          <w:sz w:val="21"/>
          <w:szCs w:val="21"/>
        </w:rPr>
        <w:t xml:space="preserve">Cómo:</w:t>
      </w:r>
      <w:r>
        <w:rPr>
          <w:rFonts w:ascii="Calibri" w:cs="Calibri" w:eastAsia="Calibri" w:hAnsi="Calibri"/>
          <w:sz w:val="21"/>
          <w:szCs w:val="21"/>
        </w:rPr>
        <w:t xml:space="preserve"> el contenido del Anexo transcrito «permanece invariable durante toda la vigencia del contrato y de sus prórrogas»; las revisiones posteriores no le son exigibles.</w:t>
      </w:r>
    </w:p>
    <w:p>
      <w:pPr>
        <w:spacing w:after="140" w:line="276"/>
      </w:pPr>
      <w:r>
        <w:rPr>
          <w:rFonts w:ascii="Calibri" w:cs="Calibri" w:eastAsia="Calibri" w:hAnsi="Calibri"/>
          <w:b/>
          <w:bCs/>
          <w:sz w:val="21"/>
          <w:szCs w:val="21"/>
        </w:rPr>
        <w:t xml:space="preserve">Qué se ahorra:</w:t>
      </w:r>
      <w:r>
        <w:rPr>
          <w:rFonts w:ascii="Calibri" w:cs="Calibri" w:eastAsia="Calibri" w:hAnsi="Calibri"/>
          <w:sz w:val="21"/>
          <w:szCs w:val="21"/>
        </w:rPr>
        <w:t xml:space="preserve"> que la actualización anual obligue a tocar los contratos vivos. Norma estable arriba, catálogo revisable debajo. Es lo que permite que la revisión ocurra de verdad: un catálogo dentro del articulado, dice el documento, garantiza que no se revise nunca.</w:t>
      </w:r>
    </w:p>
    <w:p>
      <w:r>
        <w:br w:type="page"/>
      </w:r>
    </w:p>
    <w:p>
      <w:pPr>
        <w:pStyle w:val="Heading1"/>
        <w:keepNext/>
        <w:spacing w:after="240" w:before="200"/>
      </w:pPr>
      <w:r>
        <w:rPr>
          <w:rFonts w:ascii="Georgia" w:cs="Georgia" w:eastAsia="Georgia" w:hAnsi="Georgia"/>
          <w:b/>
          <w:bCs/>
          <w:color w:val="1F3864"/>
          <w:sz w:val="34"/>
          <w:szCs w:val="34"/>
        </w:rPr>
        <w:t xml:space="preserve">5 · El estudio de mercado se hace una vez al año, no por expediente</w:t>
      </w:r>
    </w:p>
    <w:p>
      <w:pPr>
        <w:spacing w:after="140" w:line="276"/>
      </w:pPr>
      <w:r>
        <w:rPr>
          <w:rFonts w:ascii="Calibri" w:cs="Calibri" w:eastAsia="Calibri" w:hAnsi="Calibri"/>
          <w:b/>
          <w:bCs/>
          <w:sz w:val="21"/>
          <w:szCs w:val="21"/>
        </w:rPr>
        <w:t xml:space="preserve">Dónde:</w:t>
      </w:r>
      <w:r>
        <w:rPr>
          <w:rFonts w:ascii="Calibri" w:cs="Calibri" w:eastAsia="Calibri" w:hAnsi="Calibri"/>
          <w:sz w:val="21"/>
          <w:szCs w:val="21"/>
        </w:rPr>
        <w:t xml:space="preserve"> Parte II, DT-9·v3, epígrafe 3, «Advertencia de expediente, obligatoria».</w:t>
      </w:r>
    </w:p>
    <w:p>
      <w:pPr>
        <w:spacing w:after="140" w:line="276"/>
      </w:pPr>
      <w:r>
        <w:rPr>
          <w:rFonts w:ascii="Calibri" w:cs="Calibri" w:eastAsia="Calibri" w:hAnsi="Calibri"/>
          <w:b/>
          <w:bCs/>
          <w:sz w:val="21"/>
          <w:szCs w:val="21"/>
        </w:rPr>
        <w:t xml:space="preserve">Cómo:</w:t>
      </w:r>
      <w:r>
        <w:rPr>
          <w:rFonts w:ascii="Calibri" w:cs="Calibri" w:eastAsia="Calibri" w:hAnsi="Calibri"/>
          <w:sz w:val="21"/>
          <w:szCs w:val="21"/>
        </w:rPr>
        <w:t xml:space="preserve"> el contraste con el mercado es el mismo trabajo de la consulta preliminar del art. 115 LCSP: se hace una vez al aprobar el Anexo V y se reutiliza en cada expediente.</w:t>
      </w:r>
    </w:p>
    <w:p>
      <w:pPr>
        <w:spacing w:after="140" w:line="276"/>
      </w:pPr>
      <w:r>
        <w:rPr>
          <w:rFonts w:ascii="Calibri" w:cs="Calibri" w:eastAsia="Calibri" w:hAnsi="Calibri"/>
          <w:b/>
          <w:bCs/>
          <w:sz w:val="21"/>
          <w:szCs w:val="21"/>
        </w:rPr>
        <w:t xml:space="preserve">Qué se ahorra:</w:t>
      </w:r>
      <w:r>
        <w:rPr>
          <w:rFonts w:ascii="Calibri" w:cs="Calibri" w:eastAsia="Calibri" w:hAnsi="Calibri"/>
          <w:sz w:val="21"/>
          <w:szCs w:val="21"/>
        </w:rPr>
        <w:t xml:space="preserve"> repetirlo contrato a contrato. Y aquí la frase del documento es la más honesta de todas: hacerlo por expediente «es inasumible para un servicio de contratación, y quien lo intente acabará no haciéndolo».</w:t>
      </w:r>
    </w:p>
    <w:p>
      <w:r>
        <w:br w:type="page"/>
      </w:r>
    </w:p>
    <w:p>
      <w:pPr>
        <w:pStyle w:val="Heading1"/>
        <w:keepNext/>
        <w:spacing w:after="240" w:before="200"/>
      </w:pPr>
      <w:r>
        <w:rPr>
          <w:rFonts w:ascii="Georgia" w:cs="Georgia" w:eastAsia="Georgia" w:hAnsi="Georgia"/>
          <w:b/>
          <w:bCs/>
          <w:color w:val="1F3864"/>
          <w:sz w:val="34"/>
          <w:szCs w:val="34"/>
        </w:rPr>
        <w:t xml:space="preserve">6 · La licitación siguiente no arranca de cero</w:t>
      </w:r>
    </w:p>
    <w:p>
      <w:pPr>
        <w:spacing w:after="140" w:line="276"/>
      </w:pPr>
      <w:r>
        <w:rPr>
          <w:rFonts w:ascii="Calibri" w:cs="Calibri" w:eastAsia="Calibri" w:hAnsi="Calibri"/>
          <w:b/>
          <w:bCs/>
          <w:sz w:val="21"/>
          <w:szCs w:val="21"/>
        </w:rPr>
        <w:t xml:space="preserve">Dónde:</w:t>
      </w:r>
      <w:r>
        <w:rPr>
          <w:rFonts w:ascii="Calibri" w:cs="Calibri" w:eastAsia="Calibri" w:hAnsi="Calibri"/>
          <w:sz w:val="21"/>
          <w:szCs w:val="21"/>
        </w:rPr>
        <w:t xml:space="preserve"> Parte II, DT-8·v3, apartado 6: el Dossier de Reversibilidad.</w:t>
      </w:r>
    </w:p>
    <w:p>
      <w:pPr>
        <w:spacing w:after="140" w:line="276"/>
      </w:pPr>
      <w:r>
        <w:rPr>
          <w:rFonts w:ascii="Calibri" w:cs="Calibri" w:eastAsia="Calibri" w:hAnsi="Calibri"/>
          <w:b/>
          <w:bCs/>
          <w:sz w:val="21"/>
          <w:szCs w:val="21"/>
        </w:rPr>
        <w:t xml:space="preserve">Cómo:</w:t>
      </w:r>
      <w:r>
        <w:rPr>
          <w:rFonts w:ascii="Calibri" w:cs="Calibri" w:eastAsia="Calibri" w:hAnsi="Calibri"/>
          <w:sz w:val="21"/>
          <w:szCs w:val="21"/>
        </w:rPr>
        <w:t xml:space="preserve"> modelo de datos, relación de interfaces, inventario de componentes, procedimiento de migración y estimación de esfuerzo. El Ayuntamiento puede incorporarlo, depurado de información confidencial, al pliego de la licitación siguiente.</w:t>
      </w:r>
    </w:p>
    <w:p>
      <w:pPr>
        <w:spacing w:after="140" w:line="276"/>
      </w:pPr>
      <w:r>
        <w:rPr>
          <w:rFonts w:ascii="Calibri" w:cs="Calibri" w:eastAsia="Calibri" w:hAnsi="Calibri"/>
          <w:b/>
          <w:bCs/>
          <w:sz w:val="21"/>
          <w:szCs w:val="21"/>
        </w:rPr>
        <w:t xml:space="preserve">Qué se ahorra:</w:t>
      </w:r>
      <w:r>
        <w:rPr>
          <w:rFonts w:ascii="Calibri" w:cs="Calibri" w:eastAsia="Calibri" w:hAnsi="Calibri"/>
          <w:sz w:val="21"/>
          <w:szCs w:val="21"/>
        </w:rPr>
        <w:t xml:space="preserve"> el trabajo de reconstruir desde cero qué hay dentro del sistema. Y algo mayor: sin reversibilidad, migrar sale tan caro que no se cambia de proveedor, y la licitación siguiente está decidida antes de publicarse.</w:t>
      </w:r>
    </w:p>
    <w:p>
      <w:r>
        <w:br w:type="page"/>
      </w:r>
    </w:p>
    <w:p>
      <w:pPr>
        <w:pStyle w:val="Heading1"/>
        <w:keepNext/>
        <w:spacing w:after="240" w:before="200"/>
      </w:pPr>
      <w:r>
        <w:rPr>
          <w:rFonts w:ascii="Georgia" w:cs="Georgia" w:eastAsia="Georgia" w:hAnsi="Georgia"/>
          <w:b/>
          <w:bCs/>
          <w:color w:val="1F3864"/>
          <w:sz w:val="34"/>
          <w:szCs w:val="34"/>
        </w:rPr>
        <w:t xml:space="preserve">Y lo que hay que decir en la misma frase</w:t>
      </w:r>
    </w:p>
    <w:p>
      <w:pPr>
        <w:spacing w:after="140" w:line="276"/>
      </w:pPr>
      <w:r>
        <w:rPr>
          <w:rFonts w:ascii="Calibri" w:cs="Calibri" w:eastAsia="Calibri" w:hAnsi="Calibri"/>
          <w:sz w:val="21"/>
          <w:szCs w:val="21"/>
        </w:rPr>
        <w:t xml:space="preserve">Esto no acorta la tramitación de un expediente. Al contrario: añade trabajo de preparación —ficha, informe de necesidad, motivación en la memoria— y el propio catálogo cuantifica el coste de verificación en 124,5 a 140,5 horas anuales por contrato aplicado entero, y entre 180,5 y 220,5 el primer año (Parte III, ADM-4·v3, epígrafe 5).</w:t>
      </w:r>
    </w:p>
    <w:p>
      <w:pPr>
        <w:spacing w:after="140" w:line="276"/>
      </w:pPr>
      <w:r>
        <w:rPr>
          <w:rFonts w:ascii="Calibri" w:cs="Calibri" w:eastAsia="Calibri" w:hAnsi="Calibri"/>
          <w:sz w:val="21"/>
          <w:szCs w:val="21"/>
        </w:rPr>
        <w:t xml:space="preserve">La agilidad no está en tramitar más rápido. Está en no tener que volver a tramitar. Se concentra el trabajo al principio y se evita el expediente siguiente: la modificación que no hace falta, el contrato menor que no se encadena, el estudio de mercado que no se repite, el pliego que no se escribe desde cero.</w:t>
      </w:r>
    </w:p>
    <w:p>
      <w:pPr>
        <w:spacing w:after="140" w:line="276"/>
      </w:pPr>
      <w:r>
        <w:rPr>
          <w:rFonts w:ascii="Calibri" w:cs="Calibri" w:eastAsia="Calibri" w:hAnsi="Calibri"/>
          <w:sz w:val="21"/>
          <w:szCs w:val="21"/>
        </w:rPr>
        <w:t xml:space="preserve">Por eso el catálogo ofrece, para el primer ejercicio, una versión mínima de seis cláusulas (Parte VI, §VI.2.2) —siete si intervienen sistemas de inteligencia artificial—, cuya verificación cuesta entre 20 y 24 horas al año y entre 44 y 60 el primer año, más lo que añaden DT-1·v3 y DT-7·v3 cuando entran (Parte III, ADM-4·v3, epígrafe 5).</w:t>
      </w:r>
    </w:p>
    <w:p>
      <w:pPr>
        <w:spacing w:after="140" w:line="276"/>
      </w:pPr>
      <w:r>
        <w:rPr>
          <w:rFonts w:ascii="Calibri" w:cs="Calibri" w:eastAsia="Calibri" w:hAnsi="Calibri"/>
          <w:sz w:val="21"/>
          <w:szCs w:val="21"/>
        </w:rPr>
        <w:t xml:space="preserve">La formulación más defendible es ésa: no se promete rapidez en el procedimiento; se evitan procedimientos. Es comprobable, y no se cae cuando alguien abra la tabla de horas.</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dlsfwszj2j_net6akig_" Type="http://schemas.openxmlformats.org/officeDocument/2006/relationships/hyperlink" Target="https://migueldadd4u.github.io/ai-clauses/clausulado/indice.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Catálogo de cláusulas, versión 4.0</dc:description>
  <cp:lastModifiedBy>Un-named</cp:lastModifiedBy>
  <cp:revision>1</cp:revision>
  <dcterms:created xsi:type="dcterms:W3CDTF">2026-10-15T09:39:50.083Z</dcterms:created>
  <dcterms:modified xsi:type="dcterms:W3CDTF">2026-10-15T09:39:50.084Z</dcterms:modified>
</cp:coreProperties>
</file>

<file path=docProps/custom.xml><?xml version="1.0" encoding="utf-8"?>
<Properties xmlns="http://schemas.openxmlformats.org/officeDocument/2006/custom-properties" xmlns:vt="http://schemas.openxmlformats.org/officeDocument/2006/docPropsVTypes"/>
</file>