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240"/>
        <w:jc w:val="center"/>
      </w:pPr>
      <w:r>
        <w:rPr>
          <w:rFonts w:ascii="Georgia" w:cs="Georgia" w:eastAsia="Georgia" w:hAnsi="Georgia"/>
          <w:b/>
          <w:bCs/>
          <w:color w:val="1F3864"/>
          <w:sz w:val="60"/>
          <w:szCs w:val="60"/>
        </w:rPr>
        <w:t xml:space="preserve">Encaje del catálogo en el proyecto de Ley de la Administración Digital e Inteligencia Artificial de la Comunidad de Madrid</w:t>
      </w:r>
    </w:p>
    <w:p>
      <w:pPr>
        <w:spacing w:after="900"/>
        <w:jc w:val="center"/>
      </w:pPr>
      <w:r>
        <w:rPr>
          <w:rFonts w:ascii="Georgia" w:cs="Georgia" w:eastAsia="Georgia" w:hAnsi="Georgia"/>
          <w:i/>
          <w:iCs/>
          <w:color w:val="595959"/>
          <w:sz w:val="28"/>
          <w:szCs w:val="28"/>
        </w:rPr>
        <w:t xml:space="preserve">Encaje normativo</w:t>
      </w:r>
    </w:p>
    <w:p>
      <w:pPr>
        <w:spacing w:after="140"/>
        <w:jc w:val="center"/>
      </w:pPr>
      <w:r>
        <w:rPr>
          <w:rFonts w:ascii="Calibri" w:cs="Calibri" w:eastAsia="Calibri" w:hAnsi="Calibri"/>
          <w:color w:val="595959"/>
          <w:sz w:val="20"/>
          <w:szCs w:val="20"/>
        </w:rPr>
        <w:t xml:space="preserve">AI Clauses · Cláusulas de IA y Deep Tech · versión 4.0, definitiva</w:t>
      </w:r>
    </w:p>
    <w:p>
      <w:pPr>
        <w:spacing w:after="140"/>
        <w:jc w:val="center"/>
      </w:pPr>
      <w:r>
        <w:rPr>
          <w:rFonts w:ascii="Calibri" w:cs="Calibri" w:eastAsia="Calibri" w:hAnsi="Calibri"/>
          <w:color w:val="595959"/>
          <w:sz w:val="20"/>
          <w:szCs w:val="20"/>
        </w:rPr>
        <w:t xml:space="preserve">Documento complementario del catálogo. Donde discrepe del catálogo, manda el catálogo.</w:t>
      </w:r>
    </w:p>
    <w:p>
      <w:pPr>
        <w:spacing w:after="140"/>
        <w:jc w:val="center"/>
      </w:pPr>
      <w:r>
        <w:rPr>
          <w:rFonts w:ascii="Calibri" w:cs="Calibri" w:eastAsia="Calibri" w:hAnsi="Calibri"/>
          <w:color w:val="595959"/>
          <w:sz w:val="20"/>
          <w:szCs w:val="20"/>
        </w:rPr>
        <w:t xml:space="preserve">Licencia Creative Commons Attribution 4.0 Internacional</w:t>
      </w:r>
    </w:p>
    <w:p>
      <w:r>
        <w:br w:type="page"/>
      </w:r>
    </w:p>
    <w:p>
      <w:pPr>
        <w:spacing w:after="300"/>
      </w:pPr>
      <w:r>
        <w:rPr>
          <w:rFonts w:ascii="Georgia" w:cs="Georgia" w:eastAsia="Georgia" w:hAnsi="Georgia"/>
          <w:b/>
          <w:bCs/>
          <w:color w:val="1F3864"/>
          <w:sz w:val="36"/>
          <w:szCs w:val="36"/>
        </w:rPr>
        <w:t xml:space="preserve">Índice</w:t>
      </w:r>
    </w:p>
    <w:sdt>
      <w:sdtPr>
        <w:alias w:val="Índice"/>
      </w:sdtPr>
      <w:sdtContent>
        <w:p>
          <w:r>
            <w:fldChar w:fldCharType="begin" w:dirty="true"/>
            <w:instrText xml:space="preserve">TOC \h \o "1-4"</w:instrText>
            <w:fldChar w:fldCharType="separate"/>
          </w:r>
        </w:p>
        <w:p>
          <w:r>
            <w:fldChar w:fldCharType="end"/>
          </w:r>
        </w:p>
      </w:sdtContent>
    </w:sdt>
    <w:p>
      <w:r>
        <w:br w:type="page"/>
      </w:r>
    </w:p>
    <w:p>
      <w:pPr>
        <w:spacing w:after="140" w:line="276"/>
      </w:pPr>
      <w:r>
        <w:rPr>
          <w:rFonts w:ascii="Calibri" w:cs="Calibri" w:eastAsia="Calibri" w:hAnsi="Calibri"/>
          <w:i/>
          <w:iCs/>
          <w:sz w:val="21"/>
          <w:szCs w:val="21"/>
        </w:rPr>
        <w:t xml:space="preserve">Documento complementario de AI Clauses, versión 4.0. Coteja el catálogo con el proyecto de ley; no sustituye a ninguno de los dos. Donde este documento y el catálogo discrepen, manda el catálogo. </w:t>
      </w:r>
      <w:hyperlink w:history="1" r:id="rId5dn5q1--41vesm-4im94q">
        <w:r>
          <w:rPr>
            <w:rFonts w:ascii="Calibri" w:cs="Calibri" w:eastAsia="Calibri" w:hAnsi="Calibri"/>
            <w:i/>
            <w:iCs/>
            <w:color w:val="2F5496"/>
            <w:sz w:val="21"/>
            <w:szCs w:val="21"/>
            <w:u w:val="single"/>
          </w:rPr>
          <w:t xml:space="preserve">Ir al catálogo</w:t>
        </w:r>
      </w:hyperlink>
      <w:r>
        <w:rPr>
          <w:rFonts w:ascii="Calibri" w:cs="Calibri" w:eastAsia="Calibri" w:hAnsi="Calibri"/>
          <w:i/>
          <w:iCs/>
          <w:sz w:val="21"/>
          <w:szCs w:val="21"/>
        </w:rPr>
        <w:t xml:space="preserve">.</w:t>
      </w:r>
    </w:p>
    <w:p>
      <w:pPr>
        <w:spacing w:after="140" w:line="276"/>
      </w:pPr>
      <w:r>
        <w:rPr>
          <w:rFonts w:ascii="Calibri" w:cs="Calibri" w:eastAsia="Calibri" w:hAnsi="Calibri"/>
          <w:sz w:val="21"/>
          <w:szCs w:val="21"/>
        </w:rPr>
        <w:t xml:space="preserve">15 de octubre de 2026 · </w:t>
      </w:r>
      <w:r>
        <w:rPr>
          <w:rFonts w:ascii="Calibri" w:cs="Calibri" w:eastAsia="Calibri" w:hAnsi="Calibri"/>
          <w:b/>
          <w:bCs/>
          <w:sz w:val="21"/>
          <w:szCs w:val="21"/>
        </w:rPr>
        <w:t xml:space="preserve">Ningún órgano de ninguna administración ha aprobado este documento ni el catálogo.</w:t>
      </w:r>
    </w:p>
    <w:p>
      <w:pPr>
        <w:spacing w:after="140" w:line="276"/>
      </w:pPr>
      <w:r>
        <w:rPr>
          <w:rFonts w:ascii="Calibri" w:cs="Calibri" w:eastAsia="Calibri" w:hAnsi="Calibri"/>
          <w:sz w:val="21"/>
          <w:szCs w:val="21"/>
        </w:rPr>
        <w:t xml:space="preserve">Texto cotejado: proyecto de Ley de la Administración Digital e Inteligencia Artificial de la Comunidad de Madrid (texto anexo al Acuerdo del Consejo de Gobierno de 9 de septiembre de 2026; Proyecto de Ley PL-11/2026, </w:t>
      </w:r>
      <w:hyperlink w:history="1" r:id="rIdej2gm41fhwyji0e2jjh8v">
        <w:r>
          <w:rPr>
            <w:rFonts w:ascii="Calibri" w:cs="Calibri" w:eastAsia="Calibri" w:hAnsi="Calibri"/>
            <w:color w:val="2F5496"/>
            <w:sz w:val="21"/>
            <w:szCs w:val="21"/>
            <w:u w:val="single"/>
          </w:rPr>
          <w:t xml:space="preserve">BOAM núm. 171, de 17 de septiembre de 2026</w:t>
        </w:r>
      </w:hyperlink>
      <w:r>
        <w:rPr>
          <w:rFonts w:ascii="Calibri" w:cs="Calibri" w:eastAsia="Calibri" w:hAnsi="Calibri"/>
          <w:sz w:val="21"/>
          <w:szCs w:val="21"/>
        </w:rPr>
        <w:t xml:space="preserve">), en adelante «el proyecto». </w:t>
      </w:r>
      <w:r>
        <w:rPr>
          <w:rFonts w:ascii="Calibri" w:cs="Calibri" w:eastAsia="Calibri" w:hAnsi="Calibri"/>
          <w:b/>
          <w:bCs/>
          <w:sz w:val="21"/>
          <w:szCs w:val="21"/>
        </w:rPr>
        <w:t xml:space="preserve">Este documento no propone enmiendas ni toma posición sobre la oportunidad del proyecto.</w:t>
      </w:r>
    </w:p>
    <w:p>
      <w:pPr>
        <w:pBdr>
          <w:left w:val="single" w:color="BFBFBF" w:sz="12" w:space="8"/>
        </w:pBdr>
        <w:spacing w:after="140" w:line="264"/>
        <w:ind w:left="400"/>
      </w:pPr>
      <w:r>
        <w:rPr>
          <w:rFonts w:ascii="Georgia" w:cs="Georgia" w:eastAsia="Georgia" w:hAnsi="Georgia"/>
          <w:b/>
          <w:bCs/>
          <w:i/>
          <w:iCs/>
          <w:color w:val="595959"/>
          <w:sz w:val="20"/>
          <w:szCs w:val="20"/>
        </w:rPr>
        <w:t xml:space="preserve">En diez minutos:</w:t>
      </w:r>
      <w:r>
        <w:rPr>
          <w:rFonts w:ascii="Georgia" w:cs="Georgia" w:eastAsia="Georgia" w:hAnsi="Georgia"/>
          <w:i/>
          <w:iCs/>
          <w:color w:val="595959"/>
          <w:sz w:val="20"/>
          <w:szCs w:val="20"/>
        </w:rPr>
        <w:t xml:space="preserve"> secciones 1, 2, 4 y 5. El cuadro de la sección 3 sirve para comprobar un precepto concreto.</w:t>
      </w:r>
    </w:p>
    <w:p>
      <w:pPr>
        <w:pBdr>
          <w:left w:val="single" w:color="BFBFBF" w:sz="12" w:space="8"/>
        </w:pBdr>
        <w:spacing w:after="140" w:line="264"/>
        <w:ind w:left="400"/>
      </w:pPr>
      <w:r>
        <w:rPr>
          <w:rFonts w:ascii="Georgia" w:cs="Georgia" w:eastAsia="Georgia" w:hAnsi="Georgia"/>
          <w:b/>
          <w:bCs/>
          <w:i/>
          <w:iCs/>
          <w:color w:val="595959"/>
          <w:sz w:val="20"/>
          <w:szCs w:val="20"/>
        </w:rPr>
        <w:t xml:space="preserve">Para qué le puede servir a quien aplicará la ley:</w:t>
      </w:r>
      <w:r>
        <w:rPr>
          <w:rFonts w:ascii="Georgia" w:cs="Georgia" w:eastAsia="Georgia" w:hAnsi="Georgia"/>
          <w:i/>
          <w:iCs/>
          <w:color w:val="595959"/>
          <w:sz w:val="20"/>
          <w:szCs w:val="20"/>
        </w:rPr>
        <w:t xml:space="preserve"> para saber, precepto a precepto, qué deberes del proyecto pueden trasladarse ya a los contratos con cláusulas redactadas y con su medio de prueba, y cuáles no; y para reutilizarlas en sus propios pliegos, porque el catálogo es abierto (CC BY 4.0) y prevé las adaptaciones para otra administración (Parte I, §2.3). Quién lo firma: </w:t>
      </w:r>
      <w:hyperlink w:history="1" r:id="rIdsphdy540fk4mi_5ag2kv8">
        <w:r>
          <w:rPr>
            <w:rFonts w:ascii="Georgia" w:cs="Georgia" w:eastAsia="Georgia" w:hAnsi="Georgia"/>
            <w:i/>
            <w:iCs/>
            <w:color w:val="2F5496"/>
            <w:sz w:val="20"/>
            <w:szCs w:val="20"/>
            <w:u w:val="single"/>
          </w:rPr>
          <w:t xml:space="preserve">autoría</w:t>
        </w:r>
      </w:hyperlink>
      <w:r>
        <w:rPr>
          <w:rFonts w:ascii="Georgia" w:cs="Georgia" w:eastAsia="Georgia" w:hAnsi="Georgia"/>
          <w:i/>
          <w:iCs/>
          <w:color w:val="595959"/>
          <w:sz w:val="20"/>
          <w:szCs w:val="20"/>
        </w:rPr>
        <w:t xml:space="preserve">; sus vinculaciones con el sector y el estado de las declaraciones de conflicto de interés, en la </w:t>
      </w:r>
      <w:hyperlink w:history="1" r:id="rId6-jo18qfl0elwpe6b6sbd">
        <w:r>
          <w:rPr>
            <w:rFonts w:ascii="Georgia" w:cs="Georgia" w:eastAsia="Georgia" w:hAnsi="Georgia"/>
            <w:i/>
            <w:iCs/>
            <w:color w:val="2F5496"/>
            <w:sz w:val="20"/>
            <w:szCs w:val="20"/>
            <w:u w:val="single"/>
          </w:rPr>
          <w:t xml:space="preserve">Parte IV, §M7</w:t>
        </w:r>
      </w:hyperlink>
      <w:r>
        <w:rPr>
          <w:rFonts w:ascii="Georgia" w:cs="Georgia" w:eastAsia="Georgia" w:hAnsi="Georgia"/>
          <w:i/>
          <w:iCs/>
          <w:color w:val="595959"/>
          <w:sz w:val="20"/>
          <w:szCs w:val="20"/>
        </w:rPr>
        <w:t xml:space="preserve">.</w:t>
      </w:r>
    </w:p>
    <w:p>
      <w:r>
        <w:br w:type="page"/>
      </w:r>
    </w:p>
    <w:p>
      <w:pPr>
        <w:pStyle w:val="Heading1"/>
        <w:keepNext/>
        <w:spacing w:after="240" w:before="200"/>
      </w:pPr>
      <w:r>
        <w:rPr>
          <w:rFonts w:ascii="Georgia" w:cs="Georgia" w:eastAsia="Georgia" w:hAnsi="Georgia"/>
          <w:b/>
          <w:bCs/>
          <w:color w:val="1F3864"/>
          <w:sz w:val="34"/>
          <w:szCs w:val="34"/>
        </w:rPr>
        <w:t xml:space="preserve">1 · La idea, en una frase</w:t>
      </w:r>
    </w:p>
    <w:p>
      <w:pPr>
        <w:spacing w:after="140" w:line="276"/>
      </w:pPr>
      <w:r>
        <w:rPr>
          <w:rFonts w:ascii="Calibri" w:cs="Calibri" w:eastAsia="Calibri" w:hAnsi="Calibri"/>
          <w:b/>
          <w:bCs/>
          <w:sz w:val="21"/>
          <w:szCs w:val="21"/>
        </w:rPr>
        <w:t xml:space="preserve">El proyecto dice qué debe garantizar la Administración cuando usa inteligencia artificial; el catálogo es lo que traslada esa garantía al contratista, con su medio de prueba y su consecuencia.</w:t>
      </w:r>
    </w:p>
    <w:p>
      <w:pPr>
        <w:spacing w:after="140" w:line="276"/>
      </w:pPr>
      <w:r>
        <w:rPr>
          <w:rFonts w:ascii="Calibri" w:cs="Calibri" w:eastAsia="Calibri" w:hAnsi="Calibri"/>
          <w:sz w:val="21"/>
          <w:szCs w:val="21"/>
        </w:rPr>
        <w:t xml:space="preserve">Casi todos los deberes del proyecto se dirigen a la Administración (la excepción más clara es la seguridad: el art. 39.3 extiende sus medidas a quien accede a la infraestructura digital). Cuando el sistema lo construye o lo opera un tercero, muchos de esos deberes sólo se cumplen con información o funciones que tiene el proveedor, y el proveedor las debe si el contrato las recoge. </w:t>
      </w:r>
      <w:r>
        <w:rPr>
          <w:rFonts w:ascii="Calibri" w:cs="Calibri" w:eastAsia="Calibri" w:hAnsi="Calibri"/>
          <w:b/>
          <w:bCs/>
          <w:sz w:val="21"/>
          <w:szCs w:val="21"/>
        </w:rPr>
        <w:t xml:space="preserve">El catálogo no compite con la ley; la hace ejecutable en un contrato.</w:t>
      </w:r>
    </w:p>
    <w:p>
      <w:pPr>
        <w:pStyle w:val="Heading2"/>
        <w:keepNext/>
        <w:spacing w:after="140" w:before="320"/>
      </w:pPr>
      <w:r>
        <w:rPr>
          <w:rFonts w:ascii="Georgia" w:cs="Georgia" w:eastAsia="Georgia" w:hAnsi="Georgia"/>
          <w:b/>
          <w:bCs/>
          <w:color w:val="1F3864"/>
          <w:sz w:val="26"/>
          <w:szCs w:val="26"/>
        </w:rPr>
        <w:t xml:space="preserve">Qué aporta el catálogo cuando la ley se aplica a un contrato</w:t>
      </w:r>
    </w:p>
    <w:p>
      <w:pPr>
        <w:pStyle w:val="ListParagraph"/>
        <w:numPr>
          <w:ilvl w:val="0"/>
          <w:numId w:val="2"/>
        </w:numPr>
        <w:spacing w:after="70" w:line="268"/>
      </w:pPr>
      <w:r>
        <w:rPr>
          <w:rFonts w:ascii="Calibri" w:cs="Calibri" w:eastAsia="Calibri" w:hAnsi="Calibri"/>
          <w:b/>
          <w:bCs/>
          <w:sz w:val="21"/>
          <w:szCs w:val="21"/>
        </w:rPr>
        <w:t xml:space="preserve">Convierte principios en reglas y obligaciones comprobables.</w:t>
      </w:r>
      <w:r>
        <w:rPr>
          <w:rFonts w:ascii="Calibri" w:cs="Calibri" w:eastAsia="Calibri" w:hAnsi="Calibri"/>
          <w:sz w:val="21"/>
          <w:szCs w:val="21"/>
        </w:rPr>
        <w:t xml:space="preserve"> La neutralidad tecnológica del art. 19.f) pasa a ser una regla del pliego: equivalencia por tres condiciones acumulativas, prueba en la oferta, rechazo motivado por escrito y prohibición de exigir un producto nominado (DT-0·v3, apartados 3 a 6) o de puntuar la tenencia previa de una tecnología (ADM-7·v3, bloque 7.1, regla 2). La trazabilidad, un registro cuya integridad verifica la entidad con herramienta propia (DT-9·v3, apartado 8.1, si el Anexo V lo incluye). Y cada exigencia del Anexo V lleva criterios de aceptación binarios y se da por cumplida en acta (DT-9·v3, apartados 4 y 5).</w:t>
      </w:r>
    </w:p>
    <w:p>
      <w:pPr>
        <w:pStyle w:val="ListParagraph"/>
        <w:numPr>
          <w:ilvl w:val="0"/>
          <w:numId w:val="2"/>
        </w:numPr>
        <w:spacing w:after="70" w:line="268"/>
      </w:pPr>
      <w:r>
        <w:rPr>
          <w:rFonts w:ascii="Calibri" w:cs="Calibri" w:eastAsia="Calibri" w:hAnsi="Calibri"/>
          <w:b/>
          <w:bCs/>
          <w:sz w:val="21"/>
          <w:szCs w:val="21"/>
        </w:rPr>
        <w:t xml:space="preserve">Da contenido contractual al registro del art. 21.2 y al proyecto de implantación del art. 23.</w:t>
      </w:r>
      <w:r>
        <w:rPr>
          <w:rFonts w:ascii="Calibri" w:cs="Calibri" w:eastAsia="Calibri" w:hAnsi="Calibri"/>
          <w:sz w:val="21"/>
          <w:szCs w:val="21"/>
        </w:rPr>
        <w:t xml:space="preserve"> El registro lo mantiene la Oficina para el Impulso de la Inteligencia Artificial (art. 6.c), pero buena parte de sus datos salen del proveedor y cambian con cada versión. DT-1·v3 obliga a relacionar en la oferta cada sistema con su finalidad, su proveedor y su clasificación, a mantener la relación durante toda la vigencia y las prórrogas y a preavisar todo cambio que pueda alterar la clasificación (apartado 2); ADM-1·v3 (modalidad B) añade los datos que trata cada sistema. Para el proyecto de implantación aporta las instrucciones de uso y la información técnica de las evaluaciones de impacto (apartado 6, letras a y b). </w:t>
      </w:r>
      <w:r>
        <w:rPr>
          <w:rFonts w:ascii="Calibri" w:cs="Calibri" w:eastAsia="Calibri" w:hAnsi="Calibri"/>
          <w:b/>
          <w:bCs/>
          <w:sz w:val="21"/>
          <w:szCs w:val="21"/>
        </w:rPr>
        <w:t xml:space="preserve">Justificar la necesidad, la finalidad, la legalidad y la proporcionalidad del sistema sigue siendo trabajo de la Administración.</w:t>
      </w:r>
    </w:p>
    <w:p>
      <w:pPr>
        <w:pStyle w:val="ListParagraph"/>
        <w:numPr>
          <w:ilvl w:val="0"/>
          <w:numId w:val="2"/>
        </w:numPr>
        <w:spacing w:after="70" w:line="268"/>
      </w:pPr>
      <w:r>
        <w:rPr>
          <w:rFonts w:ascii="Calibri" w:cs="Calibri" w:eastAsia="Calibri" w:hAnsi="Calibri"/>
          <w:b/>
          <w:bCs/>
          <w:sz w:val="21"/>
          <w:szCs w:val="21"/>
        </w:rPr>
        <w:t xml:space="preserve">Evita que la facultad de suspender o desactivar del art. 21.4.d) dependa del proveedor.</w:t>
      </w:r>
      <w:r>
        <w:rPr>
          <w:rFonts w:ascii="Calibri" w:cs="Calibri" w:eastAsia="Calibri" w:hAnsi="Calibri"/>
          <w:sz w:val="21"/>
          <w:szCs w:val="21"/>
        </w:rPr>
        <w:t xml:space="preserve"> En una solución que opera el adjudicatario, esa facultad sólo existe si el contrato la exige como función del producto: un control que la entidad acciona con sus credenciales, sin ticket ni intervención del adjudicatario, con efecto en un plazo máximo medido en la prueba de aceptación. Para las operaciones de agentes por la interfaz normalizada se recomiendan 5 minutos (DT-7·v3, apartado 3.f; DT-9·v3, apartado 8.5). La versión 4.0 lo extiende a las funcionalidades de IA integradas en el producto que no operan por esa interfaz, con 4 horas recomendadas (DT-1·v3, apartado 6.d; laguna 4).</w:t>
      </w:r>
    </w:p>
    <w:p>
      <w:pPr>
        <w:pStyle w:val="ListParagraph"/>
        <w:numPr>
          <w:ilvl w:val="0"/>
          <w:numId w:val="2"/>
        </w:numPr>
        <w:spacing w:after="70" w:line="268"/>
      </w:pPr>
      <w:r>
        <w:rPr>
          <w:rFonts w:ascii="Calibri" w:cs="Calibri" w:eastAsia="Calibri" w:hAnsi="Calibri"/>
          <w:b/>
          <w:bCs/>
          <w:sz w:val="21"/>
          <w:szCs w:val="21"/>
        </w:rPr>
        <w:t xml:space="preserve">Aporta lo que el proyecto no regula.</w:t>
      </w:r>
      <w:r>
        <w:rPr>
          <w:rFonts w:ascii="Calibri" w:cs="Calibri" w:eastAsia="Calibri" w:hAnsi="Calibri"/>
          <w:sz w:val="21"/>
          <w:szCs w:val="21"/>
        </w:rPr>
        <w:t xml:space="preserve"> El articulado no regula la contratación pública; sus únicas menciones a pliegos están en la disposición final primera. El catálogo pone lo que falta para que un deber llegue al contrato: reversibilidad y salida ordenada (DT-8·v3); titularidad de los desarrollos frente al producto base, que el art. 13.4 presupone (ADM-8·v3); criterios de adjudicación (ADM-7·v3); penalidades y obligaciones esenciales (ADM-5·v3 y ADM-6·v3), y quién verifica cada obligación, cuándo y con cuántas horas (Anexo II; ADM-4·v3, epígrafe 5). Algunos apartados de esas cláusulas apoyan además preceptos del proyecto; el cuadro los cita.</w:t>
      </w:r>
    </w:p>
    <w:p>
      <w:r>
        <w:br w:type="page"/>
      </w:r>
    </w:p>
    <w:p>
      <w:pPr>
        <w:pStyle w:val="Heading1"/>
        <w:keepNext/>
        <w:spacing w:after="240" w:before="200"/>
      </w:pPr>
      <w:r>
        <w:rPr>
          <w:rFonts w:ascii="Georgia" w:cs="Georgia" w:eastAsia="Georgia" w:hAnsi="Georgia"/>
          <w:b/>
          <w:bCs/>
          <w:color w:val="1F3864"/>
          <w:sz w:val="34"/>
          <w:szCs w:val="34"/>
        </w:rPr>
        <w:t xml:space="preserve">2 · Condicionantes de lectura</w:t>
      </w:r>
    </w:p>
    <w:p>
      <w:pPr>
        <w:pStyle w:val="ListParagraph"/>
        <w:numPr>
          <w:ilvl w:val="0"/>
          <w:numId w:val="2"/>
        </w:numPr>
        <w:spacing w:after="70" w:line="268"/>
      </w:pPr>
      <w:r>
        <w:rPr>
          <w:rFonts w:ascii="Calibri" w:cs="Calibri" w:eastAsia="Calibri" w:hAnsi="Calibri"/>
          <w:b/>
          <w:bCs/>
          <w:sz w:val="21"/>
          <w:szCs w:val="21"/>
        </w:rPr>
        <w:t xml:space="preserve">Es un proyecto de ley, en tramitación.</w:t>
      </w:r>
      <w:r>
        <w:rPr>
          <w:rFonts w:ascii="Calibri" w:cs="Calibri" w:eastAsia="Calibri" w:hAnsi="Calibri"/>
          <w:sz w:val="21"/>
          <w:szCs w:val="21"/>
        </w:rPr>
        <w:t xml:space="preserve"> El Pleno del 15 de octubre de 2026 debate dos enmiendas a la totalidad de devolución; este documento se cierra antes de conocerse el resultado. Si prosperase alguna, el proyecto volvería al Consejo de Gobierno. </w:t>
      </w:r>
      <w:r>
        <w:rPr>
          <w:rFonts w:ascii="Calibri" w:cs="Calibri" w:eastAsia="Calibri" w:hAnsi="Calibri"/>
          <w:b/>
          <w:bCs/>
          <w:sz w:val="21"/>
          <w:szCs w:val="21"/>
        </w:rPr>
        <w:t xml:space="preserve">El plazo de enmiendas al articulado termina el 16 de octubre de 2026, a las 20:00</w:t>
      </w:r>
      <w:r>
        <w:rPr>
          <w:rFonts w:ascii="Calibri" w:cs="Calibri" w:eastAsia="Calibri" w:hAnsi="Calibri"/>
          <w:sz w:val="21"/>
          <w:szCs w:val="21"/>
        </w:rPr>
        <w:t xml:space="preserve">, sin ampliación publicada en el BOAM hasta el núm. 175, de 13 de octubre de 2026. </w:t>
      </w:r>
      <w:r>
        <w:rPr>
          <w:rFonts w:ascii="Calibri" w:cs="Calibri" w:eastAsia="Calibri" w:hAnsi="Calibri"/>
          <w:b/>
          <w:bCs/>
          <w:sz w:val="21"/>
          <w:szCs w:val="21"/>
        </w:rPr>
        <w:t xml:space="preserve">Mientras sea proyecto, no obliga a nadie.</w:t>
      </w:r>
      <w:r>
        <w:rPr>
          <w:rFonts w:ascii="Calibri" w:cs="Calibri" w:eastAsia="Calibri" w:hAnsi="Calibri"/>
          <w:sz w:val="21"/>
          <w:szCs w:val="21"/>
        </w:rPr>
        <w:t xml:space="preserve"> Si se aprueba, entrará en vigor a los veinte días de publicarse en el BOCM (disposición final quinta) y se publicará también en el BOE (</w:t>
      </w:r>
      <w:hyperlink w:history="1" r:id="rIdyryrgwul8m77shxj2ey86">
        <w:r>
          <w:rPr>
            <w:rFonts w:ascii="Calibri" w:cs="Calibri" w:eastAsia="Calibri" w:hAnsi="Calibri"/>
            <w:color w:val="2F5496"/>
            <w:sz w:val="21"/>
            <w:szCs w:val="21"/>
            <w:u w:val="single"/>
          </w:rPr>
          <w:t xml:space="preserve">art. 40.1 del Estatuto de Autonomía</w:t>
        </w:r>
      </w:hyperlink>
      <w:r>
        <w:rPr>
          <w:rFonts w:ascii="Calibri" w:cs="Calibri" w:eastAsia="Calibri" w:hAnsi="Calibri"/>
          <w:sz w:val="21"/>
          <w:szCs w:val="21"/>
        </w:rPr>
        <w:t xml:space="preserve">).</w:t>
      </w:r>
    </w:p>
    <w:p>
      <w:pPr>
        <w:pStyle w:val="ListParagraph"/>
        <w:numPr>
          <w:ilvl w:val="0"/>
          <w:numId w:val="2"/>
        </w:numPr>
        <w:spacing w:after="70" w:line="268"/>
      </w:pPr>
      <w:r>
        <w:rPr>
          <w:rFonts w:ascii="Calibri" w:cs="Calibri" w:eastAsia="Calibri" w:hAnsi="Calibri"/>
          <w:b/>
          <w:bCs/>
          <w:sz w:val="21"/>
          <w:szCs w:val="21"/>
        </w:rPr>
        <w:t xml:space="preserve">Ámbito.</w:t>
      </w:r>
      <w:r>
        <w:rPr>
          <w:rFonts w:ascii="Calibri" w:cs="Calibri" w:eastAsia="Calibri" w:hAnsi="Calibri"/>
          <w:sz w:val="21"/>
          <w:szCs w:val="21"/>
        </w:rPr>
        <w:t xml:space="preserve"> La Administración de la Comunidad de Madrid y sus organismos públicos (art. 2.1); las entidades locales, sólo «en los términos que acuerden mediante convenio», sin perjuicio de las competencias propias que el art. 36 de la Ley 7/1985 atribuye a la Comunidad «respecto a los municipios con población inferior a 20.000 habitantes» (art. 2.2). El catálogo está redactado para un ayuntamiento y otra administración debe adaptarlo antes de usarlo (§2.3). </w:t>
      </w:r>
      <w:r>
        <w:rPr>
          <w:rFonts w:ascii="Calibri" w:cs="Calibri" w:eastAsia="Calibri" w:hAnsi="Calibri"/>
          <w:b/>
          <w:bCs/>
          <w:sz w:val="21"/>
          <w:szCs w:val="21"/>
        </w:rPr>
        <w:t xml:space="preserve">Para un ayuntamiento sin convenio, el cuadro describe compatibilidad, no cumplimiento.</w:t>
      </w:r>
    </w:p>
    <w:p>
      <w:pPr>
        <w:pStyle w:val="ListParagraph"/>
        <w:numPr>
          <w:ilvl w:val="0"/>
          <w:numId w:val="2"/>
        </w:numPr>
        <w:spacing w:after="70" w:line="268"/>
      </w:pPr>
      <w:r>
        <w:rPr>
          <w:rFonts w:ascii="Calibri" w:cs="Calibri" w:eastAsia="Calibri" w:hAnsi="Calibri"/>
          <w:b/>
          <w:bCs/>
          <w:sz w:val="21"/>
          <w:szCs w:val="21"/>
        </w:rPr>
        <w:t xml:space="preserve">Fechas del catálogo.</w:t>
      </w:r>
      <w:r>
        <w:rPr>
          <w:rFonts w:ascii="Calibri" w:cs="Calibri" w:eastAsia="Calibri" w:hAnsi="Calibri"/>
          <w:sz w:val="21"/>
          <w:szCs w:val="21"/>
        </w:rPr>
        <w:t xml:space="preserve"> La versión 3.0 (corte: 1 de septiembre de 2026) no cita el proyecto. </w:t>
      </w:r>
      <w:r>
        <w:rPr>
          <w:rFonts w:ascii="Calibri" w:cs="Calibri" w:eastAsia="Calibri" w:hAnsi="Calibri"/>
          <w:b/>
          <w:bCs/>
          <w:sz w:val="21"/>
          <w:szCs w:val="21"/>
        </w:rPr>
        <w:t xml:space="preserve">La versión 4.0</w:t>
      </w:r>
      <w:r>
        <w:rPr>
          <w:rFonts w:ascii="Calibri" w:cs="Calibri" w:eastAsia="Calibri" w:hAnsi="Calibri"/>
          <w:sz w:val="21"/>
          <w:szCs w:val="21"/>
        </w:rPr>
        <w:t xml:space="preserve"> no presenta nada del proyecto como exigible: lo que sólo él pide va con una fórmula única, «[si la entidad está sujeta a la Ley de la Administración Digital e Inteligencia Artificial de la Comunidad de Madrid o a norma autonómica equivalente]», cuyo valor por defecto es «no sujeta»; lo que ya sostiene una norma vigente se ancla en ella (Anexo XI.4).</w:t>
      </w:r>
    </w:p>
    <w:p>
      <w:pPr>
        <w:pStyle w:val="ListParagraph"/>
        <w:numPr>
          <w:ilvl w:val="0"/>
          <w:numId w:val="2"/>
        </w:numPr>
        <w:spacing w:after="70" w:line="268"/>
      </w:pPr>
      <w:r>
        <w:rPr>
          <w:rFonts w:ascii="Calibri" w:cs="Calibri" w:eastAsia="Calibri" w:hAnsi="Calibri"/>
          <w:b/>
          <w:bCs/>
          <w:sz w:val="21"/>
          <w:szCs w:val="21"/>
        </w:rPr>
        <w:t xml:space="preserve">Categorías propias, pendientes de reglamento.</w:t>
      </w:r>
      <w:r>
        <w:rPr>
          <w:rFonts w:ascii="Calibri" w:cs="Calibri" w:eastAsia="Calibri" w:hAnsi="Calibri"/>
          <w:sz w:val="21"/>
          <w:szCs w:val="21"/>
        </w:rPr>
        <w:t xml:space="preserve"> El nivel de impacto o riesgo (art. 21.2.e) y las modalidades de supervisión humana (art. 21.2.f) no coinciden con las categorías europeas; el art. 21.6 remite sus criterios al reglamento. </w:t>
      </w:r>
      <w:r>
        <w:rPr>
          <w:rFonts w:ascii="Calibri" w:cs="Calibri" w:eastAsia="Calibri" w:hAnsi="Calibri"/>
          <w:b/>
          <w:bCs/>
          <w:sz w:val="21"/>
          <w:szCs w:val="21"/>
        </w:rPr>
        <w:t xml:space="preserve">Los encajes en esas materias son provisionales.</w:t>
      </w:r>
    </w:p>
    <w:p>
      <w:pPr>
        <w:pStyle w:val="ListParagraph"/>
        <w:numPr>
          <w:ilvl w:val="0"/>
          <w:numId w:val="2"/>
        </w:numPr>
        <w:spacing w:after="70" w:line="268"/>
      </w:pPr>
      <w:r>
        <w:rPr>
          <w:rFonts w:ascii="Calibri" w:cs="Calibri" w:eastAsia="Calibri" w:hAnsi="Calibri"/>
          <w:b/>
          <w:bCs/>
          <w:sz w:val="21"/>
          <w:szCs w:val="21"/>
        </w:rPr>
        <w:t xml:space="preserve">Calendario europeo.</w:t>
      </w:r>
      <w:r>
        <w:rPr>
          <w:rFonts w:ascii="Calibri" w:cs="Calibri" w:eastAsia="Calibri" w:hAnsi="Calibri"/>
          <w:sz w:val="21"/>
          <w:szCs w:val="21"/>
        </w:rPr>
        <w:t xml:space="preserve"> Tras el </w:t>
      </w:r>
      <w:hyperlink w:history="1" r:id="rIdghkzs070o3rgwm8qx8axa">
        <w:r>
          <w:rPr>
            <w:rFonts w:ascii="Calibri" w:cs="Calibri" w:eastAsia="Calibri" w:hAnsi="Calibri"/>
            <w:color w:val="2F5496"/>
            <w:sz w:val="21"/>
            <w:szCs w:val="21"/>
            <w:u w:val="single"/>
          </w:rPr>
          <w:t xml:space="preserve">Reglamento (UE) 2026/1744</w:t>
        </w:r>
      </w:hyperlink>
      <w:r>
        <w:rPr>
          <w:rFonts w:ascii="Calibri" w:cs="Calibri" w:eastAsia="Calibri" w:hAnsi="Calibri"/>
          <w:sz w:val="21"/>
          <w:szCs w:val="21"/>
        </w:rPr>
        <w:t xml:space="preserve">, las obligaciones de alto riesgo del Reglamento (UE) 2024/1689 se aplican el </w:t>
      </w:r>
      <w:r>
        <w:rPr>
          <w:rFonts w:ascii="Calibri" w:cs="Calibri" w:eastAsia="Calibri" w:hAnsi="Calibri"/>
          <w:b/>
          <w:bCs/>
          <w:sz w:val="21"/>
          <w:szCs w:val="21"/>
        </w:rPr>
        <w:t xml:space="preserve">2 de diciembre de 2027</w:t>
      </w:r>
      <w:r>
        <w:rPr>
          <w:rFonts w:ascii="Calibri" w:cs="Calibri" w:eastAsia="Calibri" w:hAnsi="Calibri"/>
          <w:sz w:val="21"/>
          <w:szCs w:val="21"/>
        </w:rPr>
        <w:t xml:space="preserve"> (art. 6.2 y anexo III) o el </w:t>
      </w:r>
      <w:r>
        <w:rPr>
          <w:rFonts w:ascii="Calibri" w:cs="Calibri" w:eastAsia="Calibri" w:hAnsi="Calibri"/>
          <w:b/>
          <w:bCs/>
          <w:sz w:val="21"/>
          <w:szCs w:val="21"/>
        </w:rPr>
        <w:t xml:space="preserve">2 de agosto de 2028</w:t>
      </w:r>
      <w:r>
        <w:rPr>
          <w:rFonts w:ascii="Calibri" w:cs="Calibri" w:eastAsia="Calibri" w:hAnsi="Calibri"/>
          <w:sz w:val="21"/>
          <w:szCs w:val="21"/>
        </w:rPr>
        <w:t xml:space="preserve"> (art. 6.1 y anexo I). DT-1·v3, apartado 5, obliga «en los plazos del Anexo de Vigencia Normativa»: </w:t>
      </w:r>
      <w:r>
        <w:rPr>
          <w:rFonts w:ascii="Calibri" w:cs="Calibri" w:eastAsia="Calibri" w:hAnsi="Calibri"/>
          <w:b/>
          <w:bCs/>
          <w:sz w:val="21"/>
          <w:szCs w:val="21"/>
        </w:rPr>
        <w:t xml:space="preserve">lo que el cuadro atribuye a ese apartado no es exigible hoy</w:t>
      </w:r>
      <w:r>
        <w:rPr>
          <w:rFonts w:ascii="Calibri" w:cs="Calibri" w:eastAsia="Calibri" w:hAnsi="Calibri"/>
          <w:sz w:val="21"/>
          <w:szCs w:val="21"/>
        </w:rPr>
        <w:t xml:space="preserve">, salvo que el pliego lo anticipe; hoy el contrato sólo exige los medios (instrucciones, información, registros, suspensión, punto de contacto).</w:t>
      </w:r>
    </w:p>
    <w:p>
      <w:pPr>
        <w:pStyle w:val="ListParagraph"/>
        <w:numPr>
          <w:ilvl w:val="0"/>
          <w:numId w:val="2"/>
        </w:numPr>
        <w:spacing w:after="70" w:line="268"/>
      </w:pPr>
      <w:r>
        <w:rPr>
          <w:rFonts w:ascii="Calibri" w:cs="Calibri" w:eastAsia="Calibri" w:hAnsi="Calibri"/>
          <w:b/>
          <w:bCs/>
          <w:sz w:val="21"/>
          <w:szCs w:val="21"/>
        </w:rPr>
        <w:t xml:space="preserve">Sistemas existentes.</w:t>
      </w:r>
      <w:r>
        <w:rPr>
          <w:rFonts w:ascii="Calibri" w:cs="Calibri" w:eastAsia="Calibri" w:hAnsi="Calibri"/>
          <w:sz w:val="21"/>
          <w:szCs w:val="21"/>
        </w:rPr>
        <w:t xml:space="preserve"> Se adecuarán a la ley; sólo si a los doce meses de su entrada en vigor hay circunstancias que impidan la plena aplicación, se dispone de un plan de adecuación con plazos de hasta veinticuatro meses desde la entrada en vigor (disposición transitoria primera).</w:t>
      </w:r>
    </w:p>
    <w:p>
      <w:r>
        <w:br w:type="page"/>
      </w:r>
    </w:p>
    <w:p>
      <w:pPr>
        <w:pStyle w:val="Heading1"/>
        <w:keepNext/>
        <w:spacing w:after="240" w:before="200"/>
      </w:pPr>
      <w:r>
        <w:rPr>
          <w:rFonts w:ascii="Georgia" w:cs="Georgia" w:eastAsia="Georgia" w:hAnsi="Georgia"/>
          <w:b/>
          <w:bCs/>
          <w:color w:val="1F3864"/>
          <w:sz w:val="34"/>
          <w:szCs w:val="34"/>
        </w:rPr>
        <w:t xml:space="preserve">3 · Cuadro de correspondencias</w:t>
      </w:r>
    </w:p>
    <w:p>
      <w:pPr>
        <w:spacing w:after="140" w:line="276"/>
      </w:pPr>
      <w:r>
        <w:rPr>
          <w:rFonts w:ascii="Calibri" w:cs="Calibri" w:eastAsia="Calibri" w:hAnsi="Calibri"/>
          <w:sz w:val="21"/>
          <w:szCs w:val="21"/>
        </w:rPr>
        <w:t xml:space="preserve">Describe la </w:t>
      </w:r>
      <w:r>
        <w:rPr>
          <w:rFonts w:ascii="Calibri" w:cs="Calibri" w:eastAsia="Calibri" w:hAnsi="Calibri"/>
          <w:b/>
          <w:bCs/>
          <w:sz w:val="21"/>
          <w:szCs w:val="21"/>
        </w:rPr>
        <w:t xml:space="preserve">versión 3.0</w:t>
      </w:r>
      <w:r>
        <w:rPr>
          <w:rFonts w:ascii="Calibri" w:cs="Calibri" w:eastAsia="Calibri" w:hAnsi="Calibri"/>
          <w:sz w:val="21"/>
          <w:szCs w:val="21"/>
        </w:rPr>
        <w:t xml:space="preserve"> del catálogo, verificada fila a fila contra el proyecto y en su orden, para que se vea el punto de partida. </w:t>
      </w:r>
      <w:r>
        <w:rPr>
          <w:rFonts w:ascii="Calibri" w:cs="Calibri" w:eastAsia="Calibri" w:hAnsi="Calibri"/>
          <w:b/>
          <w:bCs/>
          <w:sz w:val="21"/>
          <w:szCs w:val="21"/>
        </w:rPr>
        <w:t xml:space="preserve">En la versión 4.0 mejoran las filas que tocan las lagunas y divergencias de la sección 4</w:t>
      </w:r>
      <w:r>
        <w:rPr>
          <w:rFonts w:ascii="Calibri" w:cs="Calibri" w:eastAsia="Calibri" w:hAnsi="Calibri"/>
          <w:sz w:val="21"/>
          <w:szCs w:val="21"/>
        </w:rPr>
        <w:t xml:space="preserve"> —motivación (art. 22.2), sesgos (arts. 19.b, 21.2.g, 21.4.b y 26.3), descripción de datos (art. 19.n), suspensión (art. 21.4.d), informe previo (art. 23.2), nivel de impacto (art. 21.2.e), resolución de actuación automatizada (art. 26.1) y sistemas existentes (disposición transitoria primera)—; el detalle de cada cierre, y de lo que queda abierto, está allí.</w:t>
      </w:r>
    </w:p>
    <w:p>
      <w:pPr>
        <w:spacing w:after="140" w:line="276"/>
      </w:pPr>
      <w:r>
        <w:rPr>
          <w:rFonts w:ascii="Calibri" w:cs="Calibri" w:eastAsia="Calibri" w:hAnsi="Calibri"/>
          <w:b/>
          <w:bCs/>
          <w:sz w:val="21"/>
          <w:szCs w:val="21"/>
        </w:rPr>
        <w:t xml:space="preserve">Escala.</w:t>
      </w:r>
      <w:r>
        <w:rPr>
          <w:rFonts w:ascii="Calibri" w:cs="Calibri" w:eastAsia="Calibri" w:hAnsi="Calibri"/>
          <w:sz w:val="21"/>
          <w:szCs w:val="21"/>
        </w:rPr>
        <w:t xml:space="preserve"> </w:t>
      </w:r>
      <w:r>
        <w:rPr>
          <w:rFonts w:ascii="Calibri" w:cs="Calibri" w:eastAsia="Calibri" w:hAnsi="Calibri"/>
          <w:b/>
          <w:bCs/>
          <w:sz w:val="21"/>
          <w:szCs w:val="21"/>
        </w:rPr>
        <w:t xml:space="preserve">Directo:</w:t>
      </w:r>
      <w:r>
        <w:rPr>
          <w:rFonts w:ascii="Calibri" w:cs="Calibri" w:eastAsia="Calibri" w:hAnsi="Calibri"/>
          <w:sz w:val="21"/>
          <w:szCs w:val="21"/>
        </w:rPr>
        <w:t xml:space="preserve"> la cláusula impone al contratista una prestación que coincide con el deber legal o es presupuesto material de su cumplimiento; </w:t>
      </w:r>
      <w:r>
        <w:rPr>
          <w:rFonts w:ascii="Calibri" w:cs="Calibri" w:eastAsia="Calibri" w:hAnsi="Calibri"/>
          <w:b/>
          <w:bCs/>
          <w:sz w:val="21"/>
          <w:szCs w:val="21"/>
        </w:rPr>
        <w:t xml:space="preserve">Directo\</w:t>
      </w:r>
      <w:r>
        <w:rPr>
          <w:rFonts w:ascii="Calibri" w:cs="Calibri" w:eastAsia="Calibri" w:hAnsi="Calibri"/>
          <w:sz w:val="21"/>
          <w:szCs w:val="21"/>
        </w:rPr>
        <w:t xml:space="preserve">* cuando lo que coincide no es una prestación del contratista, sino una regla que el pliego impone al órgano de contratación con el mismo contenido. </w:t>
      </w:r>
      <w:r>
        <w:rPr>
          <w:rFonts w:ascii="Calibri" w:cs="Calibri" w:eastAsia="Calibri" w:hAnsi="Calibri"/>
          <w:b/>
          <w:bCs/>
          <w:sz w:val="21"/>
          <w:szCs w:val="21"/>
        </w:rPr>
        <w:t xml:space="preserve">Parcial:</w:t>
      </w:r>
      <w:r>
        <w:rPr>
          <w:rFonts w:ascii="Calibri" w:cs="Calibri" w:eastAsia="Calibri" w:hAnsi="Calibri"/>
          <w:sz w:val="21"/>
          <w:szCs w:val="21"/>
        </w:rPr>
        <w:t xml:space="preserve"> cubre parte del precepto, o sólo en ciertos supuestos. </w:t>
      </w:r>
      <w:r>
        <w:rPr>
          <w:rFonts w:ascii="Calibri" w:cs="Calibri" w:eastAsia="Calibri" w:hAnsi="Calibri"/>
          <w:b/>
          <w:bCs/>
          <w:sz w:val="21"/>
          <w:szCs w:val="21"/>
        </w:rPr>
        <w:t xml:space="preserve">Indirecto:</w:t>
      </w:r>
      <w:r>
        <w:rPr>
          <w:rFonts w:ascii="Calibri" w:cs="Calibri" w:eastAsia="Calibri" w:hAnsi="Calibri"/>
          <w:sz w:val="21"/>
          <w:szCs w:val="21"/>
        </w:rPr>
        <w:t xml:space="preserve"> coherencia de finalidad, sin identidad de contenido. </w:t>
      </w:r>
      <w:r>
        <w:rPr>
          <w:rFonts w:ascii="Calibri" w:cs="Calibri" w:eastAsia="Calibri" w:hAnsi="Calibri"/>
          <w:b/>
          <w:bCs/>
          <w:sz w:val="21"/>
          <w:szCs w:val="21"/>
        </w:rPr>
        <w:t xml:space="preserve">Ninguno:</w:t>
      </w:r>
      <w:r>
        <w:rPr>
          <w:rFonts w:ascii="Calibri" w:cs="Calibri" w:eastAsia="Calibri" w:hAnsi="Calibri"/>
          <w:sz w:val="21"/>
          <w:szCs w:val="21"/>
        </w:rPr>
        <w:t xml:space="preserve"> no hay cláusula. Una cláusula que sólo se incorpora en ciertas condiciones (nivel del §2.2, Anexo V, origen de la necesidad) </w:t>
      </w:r>
      <w:r>
        <w:rPr>
          <w:rFonts w:ascii="Calibri" w:cs="Calibri" w:eastAsia="Calibri" w:hAnsi="Calibri"/>
          <w:b/>
          <w:bCs/>
          <w:sz w:val="21"/>
          <w:szCs w:val="21"/>
        </w:rPr>
        <w:t xml:space="preserve">sólo encaja en los pliegos que la incorporan</w:t>
      </w:r>
      <w:r>
        <w:rPr>
          <w:rFonts w:ascii="Calibri" w:cs="Calibri" w:eastAsia="Calibri" w:hAnsi="Calibri"/>
          <w:sz w:val="21"/>
          <w:szCs w:val="21"/>
        </w:rPr>
        <w:t xml:space="preserve">.</w:t>
      </w:r>
    </w:p>
    <w:p>
      <w:pPr>
        <w:spacing w:after="140" w:line="276"/>
      </w:pPr>
      <w:r>
        <w:rPr>
          <w:rFonts w:ascii="Calibri" w:cs="Calibri" w:eastAsia="Calibri" w:hAnsi="Calibri"/>
          <w:b/>
          <w:bCs/>
          <w:sz w:val="21"/>
          <w:szCs w:val="21"/>
        </w:rPr>
        <w:t xml:space="preserve">Resultado.</w:t>
      </w:r>
      <w:r>
        <w:rPr>
          <w:rFonts w:ascii="Calibri" w:cs="Calibri" w:eastAsia="Calibri" w:hAnsi="Calibri"/>
          <w:sz w:val="21"/>
          <w:szCs w:val="21"/>
        </w:rPr>
        <w:t xml:space="preserve"> De 62 filas, </w:t>
      </w:r>
      <w:r>
        <w:rPr>
          <w:rFonts w:ascii="Calibri" w:cs="Calibri" w:eastAsia="Calibri" w:hAnsi="Calibri"/>
          <w:b/>
          <w:bCs/>
          <w:sz w:val="21"/>
          <w:szCs w:val="21"/>
        </w:rPr>
        <w:t xml:space="preserve">16 de encaje directo</w:t>
      </w:r>
      <w:r>
        <w:rPr>
          <w:rFonts w:ascii="Calibri" w:cs="Calibri" w:eastAsia="Calibri" w:hAnsi="Calibri"/>
          <w:sz w:val="21"/>
          <w:szCs w:val="21"/>
        </w:rPr>
        <w:t xml:space="preserve"> (3 de ellas Directo\</w:t>
      </w:r>
      <w:r>
        <w:rPr>
          <w:rFonts w:ascii="Calibri" w:cs="Calibri" w:eastAsia="Calibri" w:hAnsi="Calibri"/>
          <w:i/>
          <w:iCs/>
          <w:sz w:val="21"/>
          <w:szCs w:val="21"/>
        </w:rPr>
        <w:t xml:space="preserve">), </w:t>
      </w:r>
      <w:r>
        <w:rPr>
          <w:rFonts w:ascii="Calibri" w:cs="Calibri" w:eastAsia="Calibri" w:hAnsi="Calibri"/>
          <w:i/>
          <w:iCs/>
          <w:sz w:val="21"/>
          <w:szCs w:val="21"/>
        </w:rPr>
        <w:t xml:space="preserve">26 parcial, 18 indirecto y 2 sin cláusula</w:t>
      </w:r>
      <w:r>
        <w:rPr>
          <w:rFonts w:ascii="Calibri" w:cs="Calibri" w:eastAsia="Calibri" w:hAnsi="Calibri"/>
          <w:sz w:val="21"/>
          <w:szCs w:val="21"/>
        </w:rPr>
        <w:t xml:space="preserve">*. El directo se concentra en neutralidad tecnológica y propiedad intelectual (arts. 13.4, 19.f y 19.g), reparto de responsabilidades (arts. 19.l y 21.5), los preceptos centrales de seguridad (arts. 18.4, 19.m y 38) y de protección de datos (art. 19.d), y el núcleo de información, registro y supervisión (arts. 21.1, 21.2.a-b y párrafo final, 21.3, 21.4.a y 23.4). Es parcial en explicabilidad, sesgos, precisión, motivación, actuación automatizada, proyecto de implantación (art. 23.1) y el resto del registro y de la supervisión. Son directas 3 de las 8 filas de seguridad, 1 de las 4 de protección de datos y 2 de las 7 de supervisión humana. Las indirectas son, en su mayoría, compromisos o sistemas propios de la Comunidad.</w:t>
      </w:r>
    </w:p>
    <w:p>
      <w:pPr>
        <w:spacing w:after="140" w:line="276"/>
      </w:pPr>
      <w:r>
        <w:rPr>
          <w:rFonts w:ascii="Calibri" w:cs="Calibri" w:eastAsia="Calibri" w:hAnsi="Calibri"/>
          <w:i/>
          <w:iCs/>
          <w:sz w:val="21"/>
          <w:szCs w:val="21"/>
        </w:rPr>
        <w:t xml:space="preserve">Notación: «DT-1.6.a)» es «DT-1·v3, apartado 6, letra a)»; «ep.», epígrafe de comentario; ET-1 a ET-3, fichas del Anexo V («ET-2.2», su criterio 2); «A. XI», en los plazos del Anexo XI; RGPD, Reglamento (UE) 2016/679.</w:t>
      </w:r>
    </w:p>
    <w:p>
      <w:pPr>
        <w:spacing w:after="140" w:line="276"/>
      </w:pPr>
      <w:r>
        <w:rPr>
          <w:rFonts w:ascii="Calibri" w:cs="Calibri" w:eastAsia="Calibri" w:hAnsi="Calibri"/>
          <w:b/>
          <w:bCs/>
          <w:sz w:val="21"/>
          <w:szCs w:val="21"/>
        </w:rPr>
        <w:t xml:space="preserve">Fuera del cuadro</w:t>
      </w:r>
      <w:r>
        <w:rPr>
          <w:rFonts w:ascii="Calibri" w:cs="Calibri" w:eastAsia="Calibri" w:hAnsi="Calibri"/>
          <w:sz w:val="21"/>
          <w:szCs w:val="21"/>
        </w:rPr>
        <w:t xml:space="preserve">, por no proyectarse sobre un contratista: arts. 1 a 3; 4.a), c) y e); 5 a 8 (incluidos el registro del art. 6.c y la evaluación del art. 6.d); 10.1 y 10.3; 16 y 17; 21.6; 22.2, segundo inciso; 23.2 y 23.3; 25, 27.1 a 27.4, 28, 29.1, 29.2.a) a c) y e), 29.3, 30.a), b) y d), y 32 a 35; 39.1, 39.2, 39.4, 40.1, 40.3 y 41; 43, 44.1, 44.3, 44.4, 45 y 47 a 50; disposición adicional, transitoria segunda, derogatoria y finales segunda a quinta; y los apartados de los arts. 9, 12 a 15, 18, 20, 22 y 37 que no están en el cuadro. Dos de ellos condicionan el uso del contrato: el art. 23.2, porque el informe vinculante debe preceder a la implantación (L5), y el art. 21.6, porque fijará los niveles y las modalidades que el sistema contratado tendrá que soportar (D7 y sección 5).</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Precepto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Qué exige</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Cláusula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Grado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Observación</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4.b)</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Ciberseguridad desde el diseño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Indirecto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Compromiso de la Comunidad</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Privacidad desde el diseño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DT-6.5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Indirecto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Ídem</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9.a)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Compartir infraestructuras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ADM-8.2 y 8.5; DT-5.2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Indirecto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Cesión de lo propio (ADM-8.2); producto base, con pacto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10.2 y 10.4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Indicadores en abierto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DT-4.4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Parcial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Sólo procesos de DT-4; no las letras c) y d)</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Reutilizar conocimiento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Indirecto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Catálogo abierto, CC BY 4.0</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12.4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Promover la automatización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Indirecto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 contrata; no la impone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13.3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Informar del uso de IA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DT-1.4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Parcial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Transparencia del Reglamento europeo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13.4, 1.er inciso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Neutralidad tecnológica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DT-0; ADM-7.1.2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Directo\*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Véase 19.f)</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13.4, 2.º inciso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Poner a disposición aplicaciones propias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ADM-8.1, 8.2 y 8.5; DT-8</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Directo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Sólo desarrollos específicos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14.2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Calidad y trazabilidad del dato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DT-5.1, 5.3 y 5.4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Indirecto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Sistema de la Comunidad</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15.3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Metadatos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DT-5.4; ADM-12.3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Parcial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Estructura y significado; no origen, calidad, responsable ni acceso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15.5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Acceso a datos con base jurídica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DT-6.5; ADM-13.2; ADM-12.7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Indirecto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ADM-12.7 limita la finalidad</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15.7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Publicar en abierto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DT-5.1 y 5.4; DT-8.1; ADM-12.2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Indirecto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Extracción, no publicación</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18.3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Canales con IA seguros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DT-1.4; DT-6.7; ADM-11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Parcial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ADM-11, sólo con sus cuatro circunstancias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18.4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ENS y ENI</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DT-6; DT-5.1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Directo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RD 311/2022; RD 4/2010</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19.a)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Explicabilidad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DT-1.6.a) y c); DT-4.3.b); DT-7.3.c); DT-9.8.1-8.4; ADM-12.4; ET-3; DT-1.7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Parcial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Registros, sí; explicar cada resultado, no (L1)</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19.b)</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Equidad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DT-1.5; DT-1.9</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Parcial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DT-1.5: alto riesgo, por remisión, A. XI (L2)</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19.c)</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Evaluar riesgos antes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ADM-1.B, ap. 1.b); DT-1.5; DT-1.9</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Parcial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Análisis del contrato; aceptación en acta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19.d)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Protección de datos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DT-6.5; DT-5.5; DT-8.7; ADM-13.2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Directo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Encargo, servidores, supresión</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19.e)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Minimización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DT-6.5; ADM-13.3.a)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Parcial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 regula el entrenamiento del sistema entregado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19.f)</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Neutralidad tecnológica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DT-0.3-0.6; ADM-7.1.2; DT-7.4 y 7.7; DT-2.3; DT-3.5; Anexo V, V.A.1.6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Directo\*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Equivalencia, prueba, rechazo motivado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19.g)</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Propiedad intelectual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ADM-8.3 y 8.4; DT-8.1 y 8.6; DT-1.7; ADM-13.4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Directo\*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Sin código del producto base; art. 133 LCSP</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19.h)</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Precisión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DT-1.5; DT-9.6; DT-1.9; DT-4.4 y 4.5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Parcial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Exactitud, A. XI. Degradación: responde siempre; tipificada sólo en el Anexo V</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19.i)</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Proporcionalidad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§2.2; Anexos II y III</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Indirecto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Del contrato, no del sistema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19.j)</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Rendición de cuentas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ADM-4; DT-1.7; DT-1.6.e)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Parcial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Impugnación, sólo art. 22 RGPD</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19.k)</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Autonomía humana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DT-1.8; ET-2.2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Parcial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Sólo agentes, con ET-2</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19.l)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Responsabilidad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DT-1.6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Directo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Reparto proveedor-entidad</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19.m)</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Seguridad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DT-6.1-6.8; DT-3; DT-7.3.b); ADM-1.C</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Directo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DT-3, NO APLICA por defecto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19.n)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Transparencia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DT-1.5; DT-1.6.c); DT-1.7; ADM-12.4; ET-3; DT-1 y DT-4, ep. 4; DT-8.1.c)</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Parcial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Datos: alto riesgo; algoritmo: tres supuestos (L3)</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20.2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ENS en servicios proactivos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Indirecto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Servicios con consentimiento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21.1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Información del sistema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DT-1.2; DT-1.6.a)-c); ADM-1.B, ap. 1.a)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Directo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Anclaje general</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21.2.a) y b)</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Registro: nombre, finalidad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DT-1.2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Directo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Actualizado toda la vigencia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21.2.c)</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Registro: órgano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Ninguno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Dato de la Administración</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21.2.d)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Registro: proveedor, fecha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DT-1.2; DT-1.9</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Parcial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Fecha, del acta de aceptación</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21.2.e)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Registro: nivel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DT-1.2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Parcial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Sólo la clasificación europea (D7)</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21.2.f)</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Registro: supervisión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DT-1.6.a) y f); ADM-1.B, ap. 1.c)</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Parcial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 decide la Administración</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21.2.g)</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Registro: datos y sesgos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ADM-1.B, ap. 1.a); DT-1.6.b); DT-1.5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Parcial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Sesgos: alto riesgo, A. XI (L2)</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21.2, párrafo final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Base de datos de la UE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DT-1.6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Directo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contratista da los medios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21.3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Supervisión efectiva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DT-1.6; DT-4.3.a); DT-1.8</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Directo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Indelegable de la entidad</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21.4.a)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Comprender el sistema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DT-1.6.a) y f)</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Directo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Instrucciones y formación</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21.4.b)</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Detectar anomalías y sesgos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DT-1.6.c); DT-4.4; DT-9.6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Parcial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Sin detección de sesgos (L2)</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21.4.c)</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Intervenir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DT-1.8; DT-4.3.a); DT-1.7; ET-2.2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Parcial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Plena en agentes y automatizaciones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21.4.d)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Suspender, desactivar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DT-1.6.d); DT-7.3.f); DT-9.8.5; ET-2.3; DT-4.3.a) y c); DT-1.8</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Parcial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Laguna en la IA integrada (L4)</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21.5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Responde el órgano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DT-1.6; DT-1.9</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Directo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contratista no asume esas obligaciones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22.2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Motivar la propuesta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DT-1.7; ADM-8.7; ADM-8.1; DT-1.6.a) y b)</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Parcial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Acceso, sólo en actuación automatizada (L1)</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23.1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Proyecto de implantación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DT-1.2; DT-1.6.a) y b); DT-6.5; Anexos II y III</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Parcial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Material técnico, sí; justificación, no (D8)</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23.4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Seguimiento, incidencias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DT-1.9; DT-1.6.e); ADM-1.B, ap. 1.d); ADM-4.3.f)</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Directo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Contacto, registro, informe anual</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Cooperar con entidades locales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Indirecto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Cooperación, no contenido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26.1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Resolución de automatización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DT-1.7; DT-4.3.e); DT-1 y DT-4, ep. 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Parcial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Sin descripción publicable (D9)</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26.2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Análisis previo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DT-4.1 y 4.4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Indirecto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análisis jurídico es de la Administración</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26.3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 IA: sesgos, «siempre que sea factible técnicamente»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DT-1.6.b); DT-1.5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Parcial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Sesgos: alto riesgo, A. XI (L2)</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27.5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ENS en portales y sedes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Indirecto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 el contrato los comprende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29.2.d)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Agentes como canal informal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DT-1.4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Indirecto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Transparencia frente a la persona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30.c) y 31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Identidad digital; firma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DT-2.2.b); DT-5.2; ADM-1.C, ap. 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Indirecto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DT-2, NO APLICA por defecto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36 y 37.3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Conservación, custodia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DT-5.1 y 5.2; DT-8.1; DT-9.8.1; DT-2.2.a)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Indirecto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Archivo único, si el objeto lo exige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38</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Seguridad de infraestructuras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DT-6.1, 6.6 y 6.8; DT-1.6.e)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Directo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ENS en la cadena de suministro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39.3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Medidas por riesgo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DT-3.1 y 3.6; DT-6.1; ADM-13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Parcial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DT-3, sólo con su presupuesto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40.2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Riesgos y auditorías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DT-6.3 y 6.8</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Indirecto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Sistema de la Comunidad</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42 y 44.2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Formación en IA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DT-1.6.f); DT-1.10; ADM-13.7; Anexo XVI</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Parcial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Anexo XVI: acto de la entidad</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Orientar al sector privado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Anexo V; Anexo XXII</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Indirecto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Sujeto distinto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Disp. trans. 1.ª</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Adecuar sistemas existentes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ADM-3, bloque 2, (iv); ADM-14.2.d)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Parcial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Ninguna alcanza el proyecto; el obstáculo no es el boletín (D10)</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Disp. final 1.ª</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Trámites de la Agencia de Ciberseguridad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Ninguno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Sólo contratos de la Comunidad (L6)</w:t>
            </w:r>
          </w:p>
        </w:tc>
      </w:tr>
    </w:tbl>
    <w:p>
      <w:pPr>
        <w:spacing w:after="200"/>
      </w:pPr>
    </w:p>
    <w:p>
      <w:r>
        <w:br w:type="page"/>
      </w:r>
    </w:p>
    <w:p>
      <w:pPr>
        <w:pStyle w:val="Heading1"/>
        <w:keepNext/>
        <w:spacing w:after="240" w:before="200"/>
      </w:pPr>
      <w:r>
        <w:rPr>
          <w:rFonts w:ascii="Georgia" w:cs="Georgia" w:eastAsia="Georgia" w:hAnsi="Georgia"/>
          <w:b/>
          <w:bCs/>
          <w:color w:val="1F3864"/>
          <w:sz w:val="34"/>
          <w:szCs w:val="34"/>
        </w:rPr>
        <w:t xml:space="preserve">4 · Lagunas y divergencias, y cómo las resuelve la versión 4.0</w:t>
      </w:r>
    </w:p>
    <w:p>
      <w:pPr>
        <w:spacing w:after="140" w:line="276"/>
      </w:pPr>
      <w:r>
        <w:rPr>
          <w:rFonts w:ascii="Calibri" w:cs="Calibri" w:eastAsia="Calibri" w:hAnsi="Calibri"/>
          <w:sz w:val="21"/>
          <w:szCs w:val="21"/>
        </w:rPr>
        <w:t xml:space="preserve">El cotejo de la versión 3.0 deja seis lagunas del catálogo y cuatro divergencias de concepto o de régimen, verificadas una a una. Debajo de cada una, cómo la resuelve la versión 4.0. Los </w:t>
      </w:r>
      <w:r>
        <w:rPr>
          <w:rFonts w:ascii="Calibri" w:cs="Calibri" w:eastAsia="Calibri" w:hAnsi="Calibri"/>
          <w:b/>
          <w:bCs/>
          <w:sz w:val="21"/>
          <w:szCs w:val="21"/>
        </w:rPr>
        <w:t xml:space="preserve">niveles A, B y C</w:t>
      </w:r>
      <w:r>
        <w:rPr>
          <w:rFonts w:ascii="Calibri" w:cs="Calibri" w:eastAsia="Calibri" w:hAnsi="Calibri"/>
          <w:sz w:val="21"/>
          <w:szCs w:val="21"/>
        </w:rPr>
        <w:t xml:space="preserve"> son los del cuadro de intensidad del catálogo (Parte I, §2.2): A, contratos de menos de [50.000] € o sin sistema de información de la entidad; B, el estándar; C, desde el umbral de regulación armonizada o con categoría ENS MEDIA o ALTA. </w:t>
      </w:r>
      <w:r>
        <w:rPr>
          <w:rFonts w:ascii="Calibri" w:cs="Calibri" w:eastAsia="Calibri" w:hAnsi="Calibri"/>
          <w:b/>
          <w:bCs/>
          <w:sz w:val="21"/>
          <w:szCs w:val="21"/>
        </w:rPr>
        <w:t xml:space="preserve">Ninguna solución hace exigible el proyecto</w:t>
      </w:r>
      <w:r>
        <w:rPr>
          <w:rFonts w:ascii="Calibri" w:cs="Calibri" w:eastAsia="Calibri" w:hAnsi="Calibri"/>
          <w:sz w:val="21"/>
          <w:szCs w:val="21"/>
        </w:rPr>
        <w:t xml:space="preserve">: lo que ya sostiene una norma vigente se ancla en ella, y lo que sólo pide el proyecto lleva la fórmula de parametrización (Anexo XI.4).</w:t>
      </w:r>
    </w:p>
    <w:p>
      <w:pPr>
        <w:spacing w:after="140" w:line="276"/>
      </w:pPr>
      <w:r>
        <w:rPr>
          <w:rFonts w:ascii="Calibri" w:cs="Calibri" w:eastAsia="Calibri" w:hAnsi="Calibri"/>
          <w:b/>
          <w:bCs/>
          <w:sz w:val="21"/>
          <w:szCs w:val="21"/>
        </w:rPr>
        <w:t xml:space="preserve">L1 · Motivación de las propuestas del sistema (art. 22.2).</w:t>
      </w:r>
      <w:r>
        <w:rPr>
          <w:rFonts w:ascii="Calibri" w:cs="Calibri" w:eastAsia="Calibri" w:hAnsi="Calibri"/>
          <w:sz w:val="21"/>
          <w:szCs w:val="21"/>
        </w:rPr>
        <w:t xml:space="preserve"> Ninguna cláusula obliga a entregar, por cada propuesta, los criterios aplicados. Los datos empleados quedan registrados sólo en las automatizaciones (DT-4·v3, apartado 3.b), en la actuación de agentes si el Anexo V incluye ET-3 (criterios 1 y 5) y en los archivos de registro de DT-1·v3, apartado 6.c), cuyo contenido el pliego no detalla. El acceso a la lógica, la parametrización y el código (DT-1·v3, apartado 7; ADM-8·v3, apartado 7) sólo opera en actuación automatizada aprobada conforme al art. 41 de la Ley 40/2015, y ADM-8·v3, apartado 4, excluye el código del producto base.</w:t>
      </w:r>
    </w:p>
    <w:p>
      <w:pPr>
        <w:spacing w:after="140" w:line="276"/>
      </w:pPr>
      <w:r>
        <w:rPr>
          <w:rFonts w:ascii="Calibri" w:cs="Calibri" w:eastAsia="Calibri" w:hAnsi="Calibri"/>
          <w:i/>
          <w:iCs/>
          <w:sz w:val="21"/>
          <w:szCs w:val="21"/>
        </w:rPr>
        <w:t xml:space="preserve">Versión 4.0:</w:t>
      </w:r>
      <w:r>
        <w:rPr>
          <w:rFonts w:ascii="Calibri" w:cs="Calibri" w:eastAsia="Calibri" w:hAnsi="Calibri"/>
          <w:sz w:val="21"/>
          <w:szCs w:val="21"/>
        </w:rPr>
        <w:t xml:space="preserve"> DT-1·v3, apartado 11 (nuevo; sólo si algún sistema de IA interviene en la tramitación de procedimientos administrativos): constancia, por cada resultado, de los criterios que lo han determinado, también cuando la IA propone y decide una persona, exportable por expediente sin el adjudicatario. Cierra la laguna hasta donde la técnica del sistema permita identificarlos; si no puede, debe hacerlo constar.</w:t>
      </w:r>
    </w:p>
    <w:p>
      <w:pPr>
        <w:spacing w:after="140" w:line="276"/>
      </w:pPr>
      <w:r>
        <w:rPr>
          <w:rFonts w:ascii="Calibri" w:cs="Calibri" w:eastAsia="Calibri" w:hAnsi="Calibri"/>
          <w:b/>
          <w:bCs/>
          <w:sz w:val="21"/>
          <w:szCs w:val="21"/>
        </w:rPr>
        <w:t xml:space="preserve">L2 · Sesgos (arts. 19.b, 21.2.g, 21.4.b y 26.3).</w:t>
      </w:r>
      <w:r>
        <w:rPr>
          <w:rFonts w:ascii="Calibri" w:cs="Calibri" w:eastAsia="Calibri" w:hAnsi="Calibri"/>
          <w:sz w:val="21"/>
          <w:szCs w:val="21"/>
        </w:rPr>
        <w:t xml:space="preserve"> Fuera del alto riesgo no hay obligación del contratista de documentar medidas contra sesgos ni de facilitar su detección; dentro, la obligación es por remisión al Reglamento europeo y en los plazos del Anexo XI (DT-1·v3, apartado 5, que no nombra los sesgos). Las menciones expresas son tres: DT-1·v3, apartado 9 (la aceptación no exime de responsabilidad por sesgos), la interpretativa (Parte I, §6, principio 6) y la de baremo (criterio E del ejemplo de la Parte VI).</w:t>
      </w:r>
    </w:p>
    <w:p>
      <w:pPr>
        <w:spacing w:after="140" w:line="276"/>
      </w:pPr>
      <w:r>
        <w:rPr>
          <w:rFonts w:ascii="Calibri" w:cs="Calibri" w:eastAsia="Calibri" w:hAnsi="Calibri"/>
          <w:i/>
          <w:iCs/>
          <w:sz w:val="21"/>
          <w:szCs w:val="21"/>
        </w:rPr>
        <w:t xml:space="preserve">Versión 4.0:</w:t>
      </w:r>
      <w:r>
        <w:rPr>
          <w:rFonts w:ascii="Calibri" w:cs="Calibri" w:eastAsia="Calibri" w:hAnsi="Calibri"/>
          <w:sz w:val="21"/>
          <w:szCs w:val="21"/>
        </w:rPr>
        <w:t xml:space="preserve"> DT-1·v3, apartado 13 (nuevo; sólo si algún sistema produce resultados referidos a personas físicas, sea o no de alto riesgo, y desde la formalización): medidas contra sesgos documentadas, muestra de verificación por la entidad, indicadores desagregados (nivel C, o si se motiva) y aviso de los sesgos detectados. Cierre parcial: no entra en el nivel A, salvo la letra a) motivada.</w:t>
      </w:r>
    </w:p>
    <w:p>
      <w:pPr>
        <w:spacing w:after="140" w:line="276"/>
      </w:pPr>
      <w:r>
        <w:rPr>
          <w:rFonts w:ascii="Calibri" w:cs="Calibri" w:eastAsia="Calibri" w:hAnsi="Calibri"/>
          <w:b/>
          <w:bCs/>
          <w:sz w:val="21"/>
          <w:szCs w:val="21"/>
        </w:rPr>
        <w:t xml:space="preserve">L3 · Descripción de los datos y del algoritmo (art. 19.n).</w:t>
      </w:r>
      <w:r>
        <w:rPr>
          <w:rFonts w:ascii="Calibri" w:cs="Calibri" w:eastAsia="Calibri" w:hAnsi="Calibri"/>
          <w:sz w:val="21"/>
          <w:szCs w:val="21"/>
        </w:rPr>
        <w:t xml:space="preserve"> Fuera del alto riesgo, ninguna cláusula exige describir la recogida y el etiquetado de datos. La descripción del algoritmo sólo aparece como medio de acreditación en actuación automatizada (DT-1·v3, epígrafe 4), en el diseño de cada automatización (DT-4·v3, epígrafe 4) y en la documentación de los algoritmos específicos que se entrega al terminar el contrato (DT-8·v3, apartado 1.c).</w:t>
      </w:r>
    </w:p>
    <w:p>
      <w:pPr>
        <w:spacing w:after="140" w:line="276"/>
      </w:pPr>
      <w:r>
        <w:rPr>
          <w:rFonts w:ascii="Calibri" w:cs="Calibri" w:eastAsia="Calibri" w:hAnsi="Calibri"/>
          <w:i/>
          <w:iCs/>
          <w:sz w:val="21"/>
          <w:szCs w:val="21"/>
        </w:rPr>
        <w:t xml:space="preserve">Versión 4.0:</w:t>
      </w:r>
      <w:r>
        <w:rPr>
          <w:rFonts w:ascii="Calibri" w:cs="Calibri" w:eastAsia="Calibri" w:hAnsi="Calibri"/>
          <w:sz w:val="21"/>
          <w:szCs w:val="21"/>
        </w:rPr>
        <w:t xml:space="preserve"> DT-1·v3, apartado 12 (nuevo): descripción del origen y el tipo de los datos de entrenamiento y de entrada y, cuando consten, de su recogida y etiquetado, con las partes secretas identificadas. Cierre parcial: en el nivel A, sólo si hay resultados referidos a personas físicas.</w:t>
      </w:r>
    </w:p>
    <w:p>
      <w:pPr>
        <w:spacing w:after="140" w:line="276"/>
      </w:pPr>
      <w:r>
        <w:rPr>
          <w:rFonts w:ascii="Calibri" w:cs="Calibri" w:eastAsia="Calibri" w:hAnsi="Calibri"/>
          <w:b/>
          <w:bCs/>
          <w:sz w:val="21"/>
          <w:szCs w:val="21"/>
        </w:rPr>
        <w:t xml:space="preserve">L4 · Suspensión de funcionalidades integradas (art. 21.4.d).</w:t>
      </w:r>
      <w:r>
        <w:rPr>
          <w:rFonts w:ascii="Calibri" w:cs="Calibri" w:eastAsia="Calibri" w:hAnsi="Calibri"/>
          <w:sz w:val="21"/>
          <w:szCs w:val="21"/>
        </w:rPr>
        <w:t xml:space="preserve"> DT-1·v3, apartado 6.d), remite a DT-7·v3, apartado 3.f), que suspende «la ejecución de operaciones a través de la interfaz». Quedan cubiertos los agentes (DT-1·v3, apartado 8), las automatizaciones (DT-4·v3, apartado 3.a) y, si el Anexo V exige mecanismos de suspensión, la actuación de cualquier sistema o agente (DT-9·v3, apartado 8.5). Queda fuera la funcionalidad de IA integrada que no es agente ni automatización y no figura en el Anexo V; y si DT-7·v3 no se incorpora, la remisión debe redactarse de forma autónoma, sin que el catálogo ofrezca ese texto.</w:t>
      </w:r>
    </w:p>
    <w:p>
      <w:pPr>
        <w:spacing w:after="140" w:line="276"/>
      </w:pPr>
      <w:r>
        <w:rPr>
          <w:rFonts w:ascii="Calibri" w:cs="Calibri" w:eastAsia="Calibri" w:hAnsi="Calibri"/>
          <w:i/>
          <w:iCs/>
          <w:sz w:val="21"/>
          <w:szCs w:val="21"/>
        </w:rPr>
        <w:t xml:space="preserve">Versión 4.0:</w:t>
      </w:r>
      <w:r>
        <w:rPr>
          <w:rFonts w:ascii="Calibri" w:cs="Calibri" w:eastAsia="Calibri" w:hAnsi="Calibri"/>
          <w:sz w:val="21"/>
          <w:szCs w:val="21"/>
        </w:rPr>
        <w:t xml:space="preserve"> DT-1·v3, apartado 6.d), con redacción propia: control de la entidad, sin el adjudicatario, que suspende cada funcionalidad de IA no sujeta a otro mecanismo (se recomiendan 4 horas). Cierre parcial: la funcionalidad que el licitador declare en su oferta que no lo admite la suspende el adjudicatario a requerimiento (se recomiendan 24 horas).</w:t>
      </w:r>
    </w:p>
    <w:p>
      <w:pPr>
        <w:spacing w:after="140" w:line="276"/>
      </w:pPr>
      <w:r>
        <w:rPr>
          <w:rFonts w:ascii="Calibri" w:cs="Calibri" w:eastAsia="Calibri" w:hAnsi="Calibri"/>
          <w:b/>
          <w:bCs/>
          <w:sz w:val="21"/>
          <w:szCs w:val="21"/>
        </w:rPr>
        <w:t xml:space="preserve">L5 · Informe vinculante previo (art. 23.2).</w:t>
      </w:r>
      <w:r>
        <w:rPr>
          <w:rFonts w:ascii="Calibri" w:cs="Calibri" w:eastAsia="Calibri" w:hAnsi="Calibri"/>
          <w:sz w:val="21"/>
          <w:szCs w:val="21"/>
        </w:rPr>
        <w:t xml:space="preserve"> La aceptación previa a la puesta en producción (DT-1·v3, apartado 9) no está condicionada al informe favorable de la Oficina para el Impulso de la Inteligencia Artificial.</w:t>
      </w:r>
    </w:p>
    <w:p>
      <w:pPr>
        <w:spacing w:after="140" w:line="276"/>
      </w:pPr>
      <w:r>
        <w:rPr>
          <w:rFonts w:ascii="Calibri" w:cs="Calibri" w:eastAsia="Calibri" w:hAnsi="Calibri"/>
          <w:i/>
          <w:iCs/>
          <w:sz w:val="21"/>
          <w:szCs w:val="21"/>
        </w:rPr>
        <w:t xml:space="preserve">Versión 4.0:</w:t>
      </w:r>
      <w:r>
        <w:rPr>
          <w:rFonts w:ascii="Calibri" w:cs="Calibri" w:eastAsia="Calibri" w:hAnsi="Calibri"/>
          <w:sz w:val="21"/>
          <w:szCs w:val="21"/>
        </w:rPr>
        <w:t xml:space="preserve"> DT-1·v3, apartado 9: la aceptación exige que consten los informes previos que imponga la normativa aplicable —si la entidad está sujeta, el preceptivo y vinculante, con la fórmula— y que el vinculante sea favorable; la espera no corre en los plazos del contrato.</w:t>
      </w:r>
    </w:p>
    <w:p>
      <w:pPr>
        <w:spacing w:after="140" w:line="276"/>
      </w:pPr>
      <w:r>
        <w:rPr>
          <w:rFonts w:ascii="Calibri" w:cs="Calibri" w:eastAsia="Calibri" w:hAnsi="Calibri"/>
          <w:b/>
          <w:bCs/>
          <w:sz w:val="21"/>
          <w:szCs w:val="21"/>
        </w:rPr>
        <w:t xml:space="preserve">L6 · Trámites ante la Agencia de Ciberseguridad (disposición final primera).</w:t>
      </w:r>
      <w:r>
        <w:rPr>
          <w:rFonts w:ascii="Calibri" w:cs="Calibri" w:eastAsia="Calibri" w:hAnsi="Calibri"/>
          <w:sz w:val="21"/>
          <w:szCs w:val="21"/>
        </w:rPr>
        <w:t xml:space="preserve"> El circuito del expediente no prevé la autorización previa de los nuevos sistemas de información ni el informe preceptivo de los pliegos de prescripciones técnicas en ciberseguridad y gobernanza TIC (nuevos arts. 3.2.c), 3.2.k) y 7.2.d) de la Ley 14/2023). Sólo afecta a contratos de la Administración General y los organismos de la Comunidad.</w:t>
      </w:r>
    </w:p>
    <w:p>
      <w:pPr>
        <w:spacing w:after="140" w:line="276"/>
      </w:pPr>
      <w:r>
        <w:rPr>
          <w:rFonts w:ascii="Calibri" w:cs="Calibri" w:eastAsia="Calibri" w:hAnsi="Calibri"/>
          <w:i/>
          <w:iCs/>
          <w:sz w:val="21"/>
          <w:szCs w:val="21"/>
        </w:rPr>
        <w:t xml:space="preserve">Versión 4.0:</w:t>
      </w:r>
      <w:r>
        <w:rPr>
          <w:rFonts w:ascii="Calibri" w:cs="Calibri" w:eastAsia="Calibri" w:hAnsi="Calibri"/>
          <w:sz w:val="21"/>
          <w:szCs w:val="21"/>
        </w:rPr>
        <w:t xml:space="preserve"> Paso B-9 del circuito (Parte V, V.2.1, y V.4.14, advertencia 4), «Condicional y autonómico; hoy no se aplica a ningún expediente», y fila 13 de la Parte I, §2.3: informes y autorizaciones previos que imponga la normativa propia de la entidad.</w:t>
      </w:r>
    </w:p>
    <w:p>
      <w:pPr>
        <w:spacing w:after="140" w:line="276"/>
      </w:pPr>
      <w:r>
        <w:rPr>
          <w:rFonts w:ascii="Calibri" w:cs="Calibri" w:eastAsia="Calibri" w:hAnsi="Calibri"/>
          <w:b/>
          <w:bCs/>
          <w:sz w:val="21"/>
          <w:szCs w:val="21"/>
        </w:rPr>
        <w:t xml:space="preserve">D7 · Nivel de riesgo.</w:t>
      </w:r>
      <w:r>
        <w:rPr>
          <w:rFonts w:ascii="Calibri" w:cs="Calibri" w:eastAsia="Calibri" w:hAnsi="Calibri"/>
          <w:sz w:val="21"/>
          <w:szCs w:val="21"/>
        </w:rPr>
        <w:t xml:space="preserve"> El proyecto crea un «nivel de impacto o riesgo» propio, con criterios reglamentarios pendientes (arts. 21.2.e y 21.6). La versión 3.0 sólo maneja la clasificación del Reglamento (UE) 2024/1689 (DT-1·v3, apartado 2). No son equivalentes.</w:t>
      </w:r>
    </w:p>
    <w:p>
      <w:pPr>
        <w:spacing w:after="140" w:line="276"/>
      </w:pPr>
      <w:r>
        <w:rPr>
          <w:rFonts w:ascii="Calibri" w:cs="Calibri" w:eastAsia="Calibri" w:hAnsi="Calibri"/>
          <w:i/>
          <w:iCs/>
          <w:sz w:val="21"/>
          <w:szCs w:val="21"/>
        </w:rPr>
        <w:t xml:space="preserve">Versión 4.0:</w:t>
      </w:r>
      <w:r>
        <w:rPr>
          <w:rFonts w:ascii="Calibri" w:cs="Calibri" w:eastAsia="Calibri" w:hAnsi="Calibri"/>
          <w:sz w:val="21"/>
          <w:szCs w:val="21"/>
        </w:rPr>
        <w:t xml:space="preserve"> DT-1·v3, apartado 2, último párrafo, con la fórmula: relación cerrada de extremos para que la entidad asigne el nivel autonómico, y preaviso de los cambios que puedan alterarlo. Cierre parcial: aporta los datos; los criterios siguen pendientes del reglamento.</w:t>
      </w:r>
    </w:p>
    <w:p>
      <w:pPr>
        <w:spacing w:after="140" w:line="276"/>
      </w:pPr>
      <w:r>
        <w:rPr>
          <w:rFonts w:ascii="Calibri" w:cs="Calibri" w:eastAsia="Calibri" w:hAnsi="Calibri"/>
          <w:b/>
          <w:bCs/>
          <w:sz w:val="21"/>
          <w:szCs w:val="21"/>
        </w:rPr>
        <w:t xml:space="preserve">D8 · Evaluación de impacto en los derechos fundamentales.</w:t>
      </w:r>
      <w:r>
        <w:rPr>
          <w:rFonts w:ascii="Calibri" w:cs="Calibri" w:eastAsia="Calibri" w:hAnsi="Calibri"/>
          <w:sz w:val="21"/>
          <w:szCs w:val="21"/>
        </w:rPr>
        <w:t xml:space="preserve"> El art. 23.1 la exige para los sistemas de alto riesgo, como parte del proyecto de implantación, sin remitir al calendario europeo. La versión 3.0 la trata como «no exigible hoy» y sólo como anticipación voluntaria hasta el 2 de diciembre de 2027 (art. 6.2 y anexo III) o el 2 de agosto de 2028 (art. 6.1 y anexo I) (Parte I, §3.3, fila 14). El texto del proyecto no aclara si la exige antes de ese calendario.</w:t>
      </w:r>
    </w:p>
    <w:p>
      <w:pPr>
        <w:spacing w:after="140" w:line="276"/>
      </w:pPr>
      <w:r>
        <w:rPr>
          <w:rFonts w:ascii="Calibri" w:cs="Calibri" w:eastAsia="Calibri" w:hAnsi="Calibri"/>
          <w:i/>
          <w:iCs/>
          <w:sz w:val="21"/>
          <w:szCs w:val="21"/>
        </w:rPr>
        <w:t xml:space="preserve">Versión 4.0:</w:t>
      </w:r>
      <w:r>
        <w:rPr>
          <w:rFonts w:ascii="Calibri" w:cs="Calibri" w:eastAsia="Calibri" w:hAnsi="Calibri"/>
          <w:sz w:val="21"/>
          <w:szCs w:val="21"/>
        </w:rPr>
        <w:t xml:space="preserve"> Parte I, §3.3, fila 14, y Anexo XI (XI.2 y XI.4), con la fórmula: para la entidad sujeta, la evaluación «podría» ser exigible desde la entrada en vigor de la ley; los medios ya los da DT-1·v3, apartado 6.b). El catálogo no lo decide por su cuenta: dependerá del texto que finalmente se apruebe.</w:t>
      </w:r>
    </w:p>
    <w:p>
      <w:pPr>
        <w:spacing w:after="140" w:line="276"/>
      </w:pPr>
      <w:r>
        <w:rPr>
          <w:rFonts w:ascii="Calibri" w:cs="Calibri" w:eastAsia="Calibri" w:hAnsi="Calibri"/>
          <w:b/>
          <w:bCs/>
          <w:sz w:val="21"/>
          <w:szCs w:val="21"/>
        </w:rPr>
        <w:t xml:space="preserve">D9 · Actuación automatizada.</w:t>
      </w:r>
      <w:r>
        <w:rPr>
          <w:rFonts w:ascii="Calibri" w:cs="Calibri" w:eastAsia="Calibri" w:hAnsi="Calibri"/>
          <w:sz w:val="21"/>
          <w:szCs w:val="21"/>
        </w:rPr>
        <w:t xml:space="preserve"> El catálogo se ancla en el art. 41 de la Ley 40/2015 (DT-1·v3, apartado 7; DT-4·v3, apartado 3.e; ADM-8·v3, apartado 7). El art. 26.1 del proyecto pide a la resolución un contenido más amplio —recursos, especificaciones, descripción del diseño y del funcionamiento, mecanismos de transparencia, supervisión, control y rendición de cuentas— que las cláusulas no reflejan de forma expresa.</w:t>
      </w:r>
    </w:p>
    <w:p>
      <w:pPr>
        <w:spacing w:after="140" w:line="276"/>
      </w:pPr>
      <w:r>
        <w:rPr>
          <w:rFonts w:ascii="Calibri" w:cs="Calibri" w:eastAsia="Calibri" w:hAnsi="Calibri"/>
          <w:i/>
          <w:iCs/>
          <w:sz w:val="21"/>
          <w:szCs w:val="21"/>
        </w:rPr>
        <w:t xml:space="preserve">Versión 4.0:</w:t>
      </w:r>
      <w:r>
        <w:rPr>
          <w:rFonts w:ascii="Calibri" w:cs="Calibri" w:eastAsia="Calibri" w:hAnsi="Calibri"/>
          <w:sz w:val="21"/>
          <w:szCs w:val="21"/>
        </w:rPr>
        <w:t xml:space="preserve"> DT-1·v3, apartado 7, y DT-4·v3, apartado 3.e): si la entidad está sujeta o decide publicar sus actuaciones automatizadas, el adjudicatario entrega antes de la aceptación una descripción del diseño, el funcionamiento y los mecanismos de control, apta para la sede y depurada de secretos.</w:t>
      </w:r>
    </w:p>
    <w:p>
      <w:pPr>
        <w:spacing w:after="140" w:line="276"/>
      </w:pPr>
      <w:r>
        <w:rPr>
          <w:rFonts w:ascii="Calibri" w:cs="Calibri" w:eastAsia="Calibri" w:hAnsi="Calibri"/>
          <w:b/>
          <w:bCs/>
          <w:sz w:val="21"/>
          <w:szCs w:val="21"/>
        </w:rPr>
        <w:t xml:space="preserve">D10 · Sistemas existentes (disposición transitoria primera).</w:t>
      </w:r>
      <w:r>
        <w:rPr>
          <w:rFonts w:ascii="Calibri" w:cs="Calibri" w:eastAsia="Calibri" w:hAnsi="Calibri"/>
          <w:sz w:val="21"/>
          <w:szCs w:val="21"/>
        </w:rPr>
        <w:t xml:space="preserve"> El proyecto obliga a adecuarlos. El catálogo no incorpora cláusulas nuevas en las prórrogas (Parte I, §2.4.c). La bolsa de ADM-3·v3 (bloque 2, letra iv) admite adaptar la parametrización a cambios normativos, pero sólo en contratos de desarrollo o mantenimiento de aplicaciones y previo informe jurídico. La modificación prevista de ADM-14·v3, que no se incorpora por defecto, se limita en su apartado 2.d) a normas nominadas —Reglamento (UE) 2024/1689, RD 311/2022 y guías CCN-STIC, RD 4/2010 y RD 203/2021— y a las que las sustituyan; una ley autonómica de administración digital no está entre ellas. </w:t>
      </w:r>
      <w:r>
        <w:rPr>
          <w:rFonts w:ascii="Calibri" w:cs="Calibri" w:eastAsia="Calibri" w:hAnsi="Calibri"/>
          <w:b/>
          <w:bCs/>
          <w:sz w:val="21"/>
          <w:szCs w:val="21"/>
        </w:rPr>
        <w:t xml:space="preserve">La publicación en el BOE o en el DOUE que exige su apartado 3.b) no es el obstáculo</w:t>
      </w:r>
      <w:r>
        <w:rPr>
          <w:rFonts w:ascii="Calibri" w:cs="Calibri" w:eastAsia="Calibri" w:hAnsi="Calibri"/>
          <w:sz w:val="21"/>
          <w:szCs w:val="21"/>
        </w:rPr>
        <w:t xml:space="preserve">, porque las leyes de la Asamblea de Madrid se publican también en el BOE (art. 40.1 del Estatuto de Autonomía); el obstáculo es la relación cerrada de normas.</w:t>
      </w:r>
    </w:p>
    <w:p>
      <w:pPr>
        <w:spacing w:after="140" w:line="276"/>
      </w:pPr>
      <w:r>
        <w:rPr>
          <w:rFonts w:ascii="Calibri" w:cs="Calibri" w:eastAsia="Calibri" w:hAnsi="Calibri"/>
          <w:i/>
          <w:iCs/>
          <w:sz w:val="21"/>
          <w:szCs w:val="21"/>
        </w:rPr>
        <w:t xml:space="preserve">Versión 4.0:</w:t>
      </w:r>
      <w:r>
        <w:rPr>
          <w:rFonts w:ascii="Calibri" w:cs="Calibri" w:eastAsia="Calibri" w:hAnsi="Calibri"/>
          <w:sz w:val="21"/>
          <w:szCs w:val="21"/>
        </w:rPr>
        <w:t xml:space="preserve"> ADM-14·v3, apartado 2.d): el pliego puede nominar la ley autonómica (o su proyecto) si la entidad está o se prevé que esté sujeta; el apartado 3.b) mantiene el criterio de publicación y añade el convenio. Cierre parcial: si el pliego no la nomina, quedan los arts. 203 a 205 LCSP (Parte V, V.7.3).</w:t>
      </w:r>
    </w:p>
    <w:p>
      <w:r>
        <w:br w:type="page"/>
      </w:r>
    </w:p>
    <w:p>
      <w:pPr>
        <w:pStyle w:val="Heading1"/>
        <w:keepNext/>
        <w:spacing w:after="240" w:before="200"/>
      </w:pPr>
      <w:r>
        <w:rPr>
          <w:rFonts w:ascii="Georgia" w:cs="Georgia" w:eastAsia="Georgia" w:hAnsi="Georgia"/>
          <w:b/>
          <w:bCs/>
          <w:color w:val="1F3864"/>
          <w:sz w:val="34"/>
          <w:szCs w:val="34"/>
        </w:rPr>
        <w:t xml:space="preserve">5 · Lo que el catálogo puede aportar al desarrollo reglamentario</w:t>
      </w:r>
    </w:p>
    <w:p>
      <w:pPr>
        <w:spacing w:after="140" w:line="276"/>
      </w:pPr>
      <w:r>
        <w:rPr>
          <w:rFonts w:ascii="Calibri" w:cs="Calibri" w:eastAsia="Calibri" w:hAnsi="Calibri"/>
          <w:sz w:val="21"/>
          <w:szCs w:val="21"/>
        </w:rPr>
        <w:t xml:space="preserve">El art. 21.6 remite al reglamento los niveles de impacto, las modalidades de supervisión humana y los mecanismos técnicos de trazabilidad y control efectivo; la disposición final cuarta habilita el desarrollo reglamentario. Lo que sigue es una </w:t>
      </w:r>
      <w:r>
        <w:rPr>
          <w:rFonts w:ascii="Calibri" w:cs="Calibri" w:eastAsia="Calibri" w:hAnsi="Calibri"/>
          <w:b/>
          <w:bCs/>
          <w:sz w:val="21"/>
          <w:szCs w:val="21"/>
        </w:rPr>
        <w:t xml:space="preserve">aportación técnica, no una propuesta de texto ni de enmienda</w:t>
      </w:r>
      <w:r>
        <w:rPr>
          <w:rFonts w:ascii="Calibri" w:cs="Calibri" w:eastAsia="Calibri" w:hAnsi="Calibri"/>
          <w:sz w:val="21"/>
          <w:szCs w:val="21"/>
        </w:rPr>
        <w:t xml:space="preserve">, y no prejuzga qué debe fijar el reglamento: es cómo el catálogo ha hecho exigibles y comprobables en un contrato esas tres materias. Las cifras entre paréntesis son valores recomendados.</w:t>
      </w:r>
    </w:p>
    <w:p>
      <w:pPr>
        <w:spacing w:after="140" w:line="276"/>
      </w:pPr>
      <w:r>
        <w:rPr>
          <w:rFonts w:ascii="Calibri" w:cs="Calibri" w:eastAsia="Calibri" w:hAnsi="Calibri"/>
          <w:b/>
          <w:bCs/>
          <w:sz w:val="21"/>
          <w:szCs w:val="21"/>
        </w:rPr>
        <w:t xml:space="preserve">Niveles de impacto.</w:t>
      </w:r>
      <w:r>
        <w:rPr>
          <w:rFonts w:ascii="Calibri" w:cs="Calibri" w:eastAsia="Calibri" w:hAnsi="Calibri"/>
          <w:sz w:val="21"/>
          <w:szCs w:val="21"/>
        </w:rPr>
        <w:t xml:space="preserve"> La Administración asigna el nivel, pero en un sistema contratado sólo puede hacerlo con datos del proveedor. El catálogo los pide en la oferta —finalidad, proveedor y clasificación europea de cada sistema (DT-1·v3, apartado 2); datos tratados y análisis de riesgos referido al contrato (ADM-1·v3, modalidad B, apartado 1, letras a y b)— y los mantiene al día: preaviso de los cambios que puedan alterar la clasificación (30 días) y aviso de los cambios de modelo o versión que alteren el comportamiento (apartado 1.d). Un criterio que dependa de un dato que el proveedor no está obligado a dar no se puede aplicar a un sistema contratado.</w:t>
      </w:r>
    </w:p>
    <w:p>
      <w:pPr>
        <w:spacing w:after="140" w:line="276"/>
      </w:pPr>
      <w:r>
        <w:rPr>
          <w:rFonts w:ascii="Calibri" w:cs="Calibri" w:eastAsia="Calibri" w:hAnsi="Calibri"/>
          <w:b/>
          <w:bCs/>
          <w:sz w:val="21"/>
          <w:szCs w:val="21"/>
        </w:rPr>
        <w:t xml:space="preserve">Modalidades de supervisión humana.</w:t>
      </w:r>
      <w:r>
        <w:rPr>
          <w:rFonts w:ascii="Calibri" w:cs="Calibri" w:eastAsia="Calibri" w:hAnsi="Calibri"/>
          <w:sz w:val="21"/>
          <w:szCs w:val="21"/>
        </w:rPr>
        <w:t xml:space="preserve"> El catálogo distingue cuatro situaciones:</w:t>
      </w:r>
    </w:p>
    <w:p>
      <w:pPr>
        <w:pStyle w:val="ListParagraph"/>
        <w:numPr>
          <w:ilvl w:val="0"/>
          <w:numId w:val="1"/>
        </w:numPr>
        <w:spacing w:after="70" w:line="268"/>
      </w:pPr>
      <w:r>
        <w:rPr>
          <w:rFonts w:ascii="Calibri" w:cs="Calibri" w:eastAsia="Calibri" w:hAnsi="Calibri"/>
          <w:b/>
          <w:bCs/>
          <w:sz w:val="21"/>
          <w:szCs w:val="21"/>
        </w:rPr>
        <w:t xml:space="preserve">La IA propone y una persona decide:</w:t>
      </w:r>
      <w:r>
        <w:rPr>
          <w:rFonts w:ascii="Calibri" w:cs="Calibri" w:eastAsia="Calibri" w:hAnsi="Calibri"/>
          <w:sz w:val="21"/>
          <w:szCs w:val="21"/>
        </w:rPr>
        <w:t xml:space="preserve"> instrucciones, formación de quien supervisa y registros exportables (DT-1·v3, apartado 6, letras a, c y f).</w:t>
      </w:r>
    </w:p>
    <w:p>
      <w:pPr>
        <w:pStyle w:val="ListParagraph"/>
        <w:numPr>
          <w:ilvl w:val="0"/>
          <w:numId w:val="1"/>
        </w:numPr>
        <w:spacing w:after="70" w:line="268"/>
      </w:pPr>
      <w:r>
        <w:rPr>
          <w:rFonts w:ascii="Calibri" w:cs="Calibri" w:eastAsia="Calibri" w:hAnsi="Calibri"/>
          <w:b/>
          <w:bCs/>
          <w:sz w:val="21"/>
          <w:szCs w:val="21"/>
        </w:rPr>
        <w:t xml:space="preserve">Actuación administrativa automatizada:</w:t>
      </w:r>
      <w:r>
        <w:rPr>
          <w:rFonts w:ascii="Calibri" w:cs="Calibri" w:eastAsia="Calibri" w:hAnsi="Calibri"/>
          <w:sz w:val="21"/>
          <w:szCs w:val="21"/>
        </w:rPr>
        <w:t xml:space="preserve"> intervención humana e impugnación; acceso de auditoría a la lógica y al código específico (DT-1·v3, apartado 7; ADM-8·v3, apartado 7).</w:t>
      </w:r>
    </w:p>
    <w:p>
      <w:pPr>
        <w:pStyle w:val="ListParagraph"/>
        <w:numPr>
          <w:ilvl w:val="0"/>
          <w:numId w:val="1"/>
        </w:numPr>
        <w:spacing w:after="70" w:line="268"/>
      </w:pPr>
      <w:r>
        <w:rPr>
          <w:rFonts w:ascii="Calibri" w:cs="Calibri" w:eastAsia="Calibri" w:hAnsi="Calibri"/>
          <w:b/>
          <w:bCs/>
          <w:sz w:val="21"/>
          <w:szCs w:val="21"/>
        </w:rPr>
        <w:t xml:space="preserve">Automatización de procesos:</w:t>
      </w:r>
      <w:r>
        <w:rPr>
          <w:rFonts w:ascii="Calibri" w:cs="Calibri" w:eastAsia="Calibri" w:hAnsi="Calibri"/>
          <w:sz w:val="21"/>
          <w:szCs w:val="21"/>
        </w:rPr>
        <w:t xml:space="preserve"> un puesto que puede intervenir, detener y corregir, y reversión (DT-4·v3, apartado 3, letras a y c).</w:t>
      </w:r>
    </w:p>
    <w:p>
      <w:pPr>
        <w:pStyle w:val="ListParagraph"/>
        <w:numPr>
          <w:ilvl w:val="0"/>
          <w:numId w:val="1"/>
        </w:numPr>
        <w:spacing w:after="70" w:line="268"/>
      </w:pPr>
      <w:r>
        <w:rPr>
          <w:rFonts w:ascii="Calibri" w:cs="Calibri" w:eastAsia="Calibri" w:hAnsi="Calibri"/>
          <w:b/>
          <w:bCs/>
          <w:sz w:val="21"/>
          <w:szCs w:val="21"/>
        </w:rPr>
        <w:t xml:space="preserve">Agentes:</w:t>
      </w:r>
      <w:r>
        <w:rPr>
          <w:rFonts w:ascii="Calibri" w:cs="Calibri" w:eastAsia="Calibri" w:hAnsi="Calibri"/>
          <w:sz w:val="21"/>
          <w:szCs w:val="21"/>
        </w:rPr>
        <w:t xml:space="preserve"> límites por operación, validación humana de toda operación con efecto jurídico o económico, suspensión inmediata y reversión (DT-1·v3, apartado 8; Anexo V, ET-2).</w:t>
      </w:r>
    </w:p>
    <w:p>
      <w:pPr>
        <w:spacing w:after="140" w:line="276"/>
      </w:pPr>
      <w:r>
        <w:rPr>
          <w:rFonts w:ascii="Calibri" w:cs="Calibri" w:eastAsia="Calibri" w:hAnsi="Calibri"/>
          <w:sz w:val="21"/>
          <w:szCs w:val="21"/>
        </w:rPr>
        <w:t xml:space="preserve">Una modalidad es exigible a un contratista si dice qué operaciones y qué perfil (como pide ADM-1·v3, modalidad B, apartado 1.c), qué puede hacer ese perfil y cómo se comprueba.</w:t>
      </w:r>
    </w:p>
    <w:p>
      <w:pPr>
        <w:spacing w:after="140" w:line="276"/>
      </w:pPr>
      <w:r>
        <w:rPr>
          <w:rFonts w:ascii="Calibri" w:cs="Calibri" w:eastAsia="Calibri" w:hAnsi="Calibri"/>
          <w:b/>
          <w:bCs/>
          <w:sz w:val="21"/>
          <w:szCs w:val="21"/>
        </w:rPr>
        <w:t xml:space="preserve">Mecanismos técnicos de trazabilidad y control efectivo.</w:t>
      </w:r>
      <w:r>
        <w:rPr>
          <w:rFonts w:ascii="Calibri" w:cs="Calibri" w:eastAsia="Calibri" w:hAnsi="Calibri"/>
          <w:sz w:val="21"/>
          <w:szCs w:val="21"/>
        </w:rPr>
        <w:t xml:space="preserve"> Cada uno es un requisito con criterio binario, verificado en pruebas y recogido en acta (DT-9·v3, apartados 4, 5 y 8, si el Anexo V exige registro o suspensión): </w:t>
      </w:r>
      <w:r>
        <w:rPr>
          <w:rFonts w:ascii="Calibri" w:cs="Calibri" w:eastAsia="Calibri" w:hAnsi="Calibri"/>
          <w:b/>
          <w:bCs/>
          <w:sz w:val="21"/>
          <w:szCs w:val="21"/>
        </w:rPr>
        <w:t xml:space="preserve">integridad</w:t>
      </w:r>
      <w:r>
        <w:rPr>
          <w:rFonts w:ascii="Calibri" w:cs="Calibri" w:eastAsia="Calibri" w:hAnsi="Calibri"/>
          <w:sz w:val="21"/>
          <w:szCs w:val="21"/>
        </w:rPr>
        <w:t xml:space="preserve"> del registro verificable por la entidad con herramienta propia (8.1); </w:t>
      </w:r>
      <w:r>
        <w:rPr>
          <w:rFonts w:ascii="Calibri" w:cs="Calibri" w:eastAsia="Calibri" w:hAnsi="Calibri"/>
          <w:b/>
          <w:bCs/>
          <w:sz w:val="21"/>
          <w:szCs w:val="21"/>
        </w:rPr>
        <w:t xml:space="preserve">retención</w:t>
      </w:r>
      <w:r>
        <w:rPr>
          <w:rFonts w:ascii="Calibri" w:cs="Calibri" w:eastAsia="Calibri" w:hAnsi="Calibri"/>
          <w:sz w:val="21"/>
          <w:szCs w:val="21"/>
        </w:rPr>
        <w:t xml:space="preserve"> sin purga ordinaria (24 meses) (8.2); </w:t>
      </w:r>
      <w:r>
        <w:rPr>
          <w:rFonts w:ascii="Calibri" w:cs="Calibri" w:eastAsia="Calibri" w:hAnsi="Calibri"/>
          <w:b/>
          <w:bCs/>
          <w:sz w:val="21"/>
          <w:szCs w:val="21"/>
        </w:rPr>
        <w:t xml:space="preserve">segregación de funciones</w:t>
      </w:r>
      <w:r>
        <w:rPr>
          <w:rFonts w:ascii="Calibri" w:cs="Calibri" w:eastAsia="Calibri" w:hAnsi="Calibri"/>
          <w:sz w:val="21"/>
          <w:szCs w:val="21"/>
        </w:rPr>
        <w:t xml:space="preserve"> (8.3); </w:t>
      </w:r>
      <w:r>
        <w:rPr>
          <w:rFonts w:ascii="Calibri" w:cs="Calibri" w:eastAsia="Calibri" w:hAnsi="Calibri"/>
          <w:b/>
          <w:bCs/>
          <w:sz w:val="21"/>
          <w:szCs w:val="21"/>
        </w:rPr>
        <w:t xml:space="preserve">copia fuera del ámbito de operación</w:t>
      </w:r>
      <w:r>
        <w:rPr>
          <w:rFonts w:ascii="Calibri" w:cs="Calibri" w:eastAsia="Calibri" w:hAnsi="Calibri"/>
          <w:sz w:val="21"/>
          <w:szCs w:val="21"/>
        </w:rPr>
        <w:t xml:space="preserve"> del proveedor (8.4); </w:t>
      </w:r>
      <w:r>
        <w:rPr>
          <w:rFonts w:ascii="Calibri" w:cs="Calibri" w:eastAsia="Calibri" w:hAnsi="Calibri"/>
          <w:b/>
          <w:bCs/>
          <w:sz w:val="21"/>
          <w:szCs w:val="21"/>
        </w:rPr>
        <w:t xml:space="preserve">suspensión</w:t>
      </w:r>
      <w:r>
        <w:rPr>
          <w:rFonts w:ascii="Calibri" w:cs="Calibri" w:eastAsia="Calibri" w:hAnsi="Calibri"/>
          <w:sz w:val="21"/>
          <w:szCs w:val="21"/>
        </w:rPr>
        <w:t xml:space="preserve"> accionable por la entidad, con tiempo de efecto medido (5 minutos) (8.5), y </w:t>
      </w:r>
      <w:r>
        <w:rPr>
          <w:rFonts w:ascii="Calibri" w:cs="Calibri" w:eastAsia="Calibri" w:hAnsi="Calibri"/>
          <w:b/>
          <w:bCs/>
          <w:sz w:val="21"/>
          <w:szCs w:val="21"/>
        </w:rPr>
        <w:t xml:space="preserve">reversibilidad</w:t>
      </w:r>
      <w:r>
        <w:rPr>
          <w:rFonts w:ascii="Calibri" w:cs="Calibri" w:eastAsia="Calibri" w:hAnsi="Calibri"/>
          <w:sz w:val="21"/>
          <w:szCs w:val="21"/>
        </w:rPr>
        <w:t xml:space="preserve"> desde la propia solución (8.6).</w:t>
      </w:r>
    </w:p>
    <w:p>
      <w:r>
        <w:br w:type="page"/>
      </w:r>
    </w:p>
    <w:p>
      <w:pPr>
        <w:pStyle w:val="Heading1"/>
        <w:keepNext/>
        <w:spacing w:after="240" w:before="200"/>
      </w:pPr>
      <w:r>
        <w:rPr>
          <w:rFonts w:ascii="Georgia" w:cs="Georgia" w:eastAsia="Georgia" w:hAnsi="Georgia"/>
          <w:b/>
          <w:bCs/>
          <w:color w:val="1F3864"/>
          <w:sz w:val="34"/>
          <w:szCs w:val="34"/>
        </w:rPr>
        <w:t xml:space="preserve">6 · Cautelas</w:t>
      </w:r>
    </w:p>
    <w:p>
      <w:pPr>
        <w:pStyle w:val="ListParagraph"/>
        <w:numPr>
          <w:ilvl w:val="0"/>
          <w:numId w:val="1"/>
        </w:numPr>
        <w:spacing w:after="70" w:line="268"/>
      </w:pPr>
      <w:r>
        <w:rPr>
          <w:rFonts w:ascii="Calibri" w:cs="Calibri" w:eastAsia="Calibri" w:hAnsi="Calibri"/>
          <w:b/>
          <w:bCs/>
          <w:sz w:val="21"/>
          <w:szCs w:val="21"/>
        </w:rPr>
        <w:t xml:space="preserve">Texto.</w:t>
      </w:r>
      <w:r>
        <w:rPr>
          <w:rFonts w:ascii="Calibri" w:cs="Calibri" w:eastAsia="Calibri" w:hAnsi="Calibri"/>
          <w:sz w:val="21"/>
          <w:szCs w:val="21"/>
        </w:rPr>
        <w:t xml:space="preserve"> El análisis se hace sobre el texto anexo al Acuerdo de 9 de septiembre de 2026, que coincide con el publicado en el BOAM núm. 171 salvo diferencias tipográficas. Cualquier enmienda, o la aprobación de una enmienda de devolución, obliga a revisar el cuadro.</w:t>
      </w:r>
    </w:p>
    <w:p>
      <w:pPr>
        <w:pStyle w:val="ListParagraph"/>
        <w:numPr>
          <w:ilvl w:val="0"/>
          <w:numId w:val="1"/>
        </w:numPr>
        <w:spacing w:after="70" w:line="268"/>
      </w:pPr>
      <w:r>
        <w:rPr>
          <w:rFonts w:ascii="Calibri" w:cs="Calibri" w:eastAsia="Calibri" w:hAnsi="Calibri"/>
          <w:b/>
          <w:bCs/>
          <w:sz w:val="21"/>
          <w:szCs w:val="21"/>
        </w:rPr>
        <w:t xml:space="preserve">Grados.</w:t>
      </w:r>
      <w:r>
        <w:rPr>
          <w:rFonts w:ascii="Calibri" w:cs="Calibri" w:eastAsia="Calibri" w:hAnsi="Calibri"/>
          <w:sz w:val="21"/>
          <w:szCs w:val="21"/>
        </w:rPr>
        <w:t xml:space="preserve"> Son juicios técnicos sobre la coincidencia de contenido, no pronunciamientos sobre la validez de ninguna cláusula ni sobre el cumplimiento de la ley por ningún órgano. Tampoco anticipan cómo valoraría una cláusula un órgano de recursos contractuales.</w:t>
      </w:r>
    </w:p>
    <w:p>
      <w:pPr>
        <w:pStyle w:val="ListParagraph"/>
        <w:numPr>
          <w:ilvl w:val="0"/>
          <w:numId w:val="1"/>
        </w:numPr>
        <w:spacing w:after="70" w:line="268"/>
      </w:pPr>
      <w:r>
        <w:rPr>
          <w:rFonts w:ascii="Calibri" w:cs="Calibri" w:eastAsia="Calibri" w:hAnsi="Calibri"/>
          <w:b/>
          <w:bCs/>
          <w:sz w:val="21"/>
          <w:szCs w:val="21"/>
        </w:rPr>
        <w:t xml:space="preserve">Entidades locales.</w:t>
      </w:r>
      <w:r>
        <w:rPr>
          <w:rFonts w:ascii="Calibri" w:cs="Calibri" w:eastAsia="Calibri" w:hAnsi="Calibri"/>
          <w:sz w:val="21"/>
          <w:szCs w:val="21"/>
        </w:rPr>
        <w:t xml:space="preserve"> A un ayuntamiento, la ley sólo le sería aplicable en los términos de un convenio, sin perjuicio de las competencias propias de la Comunidad respecto de los municipios de menos de 20.000 habitantes (art. 2.2). Sin él, el cuadro describe compatibilidad, no cumplimiento.</w:t>
      </w:r>
    </w:p>
    <w:p>
      <w:pPr>
        <w:pStyle w:val="ListParagraph"/>
        <w:numPr>
          <w:ilvl w:val="0"/>
          <w:numId w:val="1"/>
        </w:numPr>
        <w:spacing w:after="70" w:line="268"/>
      </w:pPr>
      <w:r>
        <w:rPr>
          <w:rFonts w:ascii="Calibri" w:cs="Calibri" w:eastAsia="Calibri" w:hAnsi="Calibri"/>
          <w:b/>
          <w:bCs/>
          <w:sz w:val="21"/>
          <w:szCs w:val="21"/>
        </w:rPr>
        <w:t xml:space="preserve">Encaje condicionado.</w:t>
      </w:r>
      <w:r>
        <w:rPr>
          <w:rFonts w:ascii="Calibri" w:cs="Calibri" w:eastAsia="Calibri" w:hAnsi="Calibri"/>
          <w:sz w:val="21"/>
          <w:szCs w:val="21"/>
        </w:rPr>
        <w:t xml:space="preserve"> Una cláusula sólo encaja en los pliegos que la incorporan. Un pliego reducido a un subconjunto mínimo de cláusulas tiene sólo los encajes de las que incluye: sin DT-1·v3 desaparecen la mayoría de los de los arts. 21 a 23.</w:t>
      </w:r>
    </w:p>
    <w:p>
      <w:pPr>
        <w:pStyle w:val="ListParagraph"/>
        <w:numPr>
          <w:ilvl w:val="0"/>
          <w:numId w:val="1"/>
        </w:numPr>
        <w:spacing w:after="70" w:line="268"/>
      </w:pPr>
      <w:r>
        <w:rPr>
          <w:rFonts w:ascii="Calibri" w:cs="Calibri" w:eastAsia="Calibri" w:hAnsi="Calibri"/>
          <w:b/>
          <w:bCs/>
          <w:sz w:val="21"/>
          <w:szCs w:val="21"/>
        </w:rPr>
        <w:t xml:space="preserve">El catálogo no está aprobado.</w:t>
      </w:r>
      <w:r>
        <w:rPr>
          <w:rFonts w:ascii="Calibri" w:cs="Calibri" w:eastAsia="Calibri" w:hAnsi="Calibri"/>
          <w:sz w:val="21"/>
          <w:szCs w:val="21"/>
        </w:rPr>
        <w:t xml:space="preserve"> Su memoria fija tres condiciones antes de incorporar cualquier cláusula a un expediente: acuerdo del órgano de gobierno que apruebe el plan, el catálogo y el Anexo V; consulta preliminar del mercado con contraste documentado del Anexo V, y declaraciones de conflicto de interés firmadas (Parte IV, §M11, filas 1 a 3).</w:t>
      </w:r>
    </w:p>
    <w:p>
      <w:pPr>
        <w:pStyle w:val="ListParagraph"/>
        <w:numPr>
          <w:ilvl w:val="0"/>
          <w:numId w:val="1"/>
        </w:numPr>
        <w:spacing w:after="70" w:line="268"/>
      </w:pPr>
      <w:r>
        <w:rPr>
          <w:rFonts w:ascii="Calibri" w:cs="Calibri" w:eastAsia="Calibri" w:hAnsi="Calibri"/>
          <w:b/>
          <w:bCs/>
          <w:sz w:val="21"/>
          <w:szCs w:val="21"/>
        </w:rPr>
        <w:t xml:space="preserve">Fechas europeas.</w:t>
      </w:r>
      <w:r>
        <w:rPr>
          <w:rFonts w:ascii="Calibri" w:cs="Calibri" w:eastAsia="Calibri" w:hAnsi="Calibri"/>
          <w:sz w:val="21"/>
          <w:szCs w:val="21"/>
        </w:rPr>
        <w:t xml:space="preserve"> Las del Reglamento (UE) 2026/1744 —de 8 de julio de 2026, publicado en el DOUE el 24 de julio y en vigor desde el 27 de julio de 2026— están comprobadas en su texto publicado y coinciden con las del catálogo.</w:t>
      </w:r>
    </w:p>
    <w:p>
      <w:pPr>
        <w:pStyle w:val="ListParagraph"/>
        <w:numPr>
          <w:ilvl w:val="0"/>
          <w:numId w:val="1"/>
        </w:numPr>
        <w:spacing w:after="70" w:line="268"/>
      </w:pPr>
      <w:r>
        <w:rPr>
          <w:rFonts w:ascii="Calibri" w:cs="Calibri" w:eastAsia="Calibri" w:hAnsi="Calibri"/>
          <w:b/>
          <w:bCs/>
          <w:sz w:val="21"/>
          <w:szCs w:val="21"/>
        </w:rPr>
        <w:t xml:space="preserve">Quién lo firma, y sus intereses.</w:t>
      </w:r>
      <w:r>
        <w:rPr>
          <w:rFonts w:ascii="Calibri" w:cs="Calibri" w:eastAsia="Calibri" w:hAnsi="Calibri"/>
          <w:sz w:val="21"/>
          <w:szCs w:val="21"/>
        </w:rPr>
        <w:t xml:space="preserve"> Uno de los firmantes del catálogo, Miguel Ángel Domínguez Castellano, es CEO de Add4u, compañía de transformación digital de la Administración pública; preside Alastria, que ejecuta para la Comunidad de Madrid la Infraestructura de Servicios Blockchain de España y forma parte, como entidad, de su Consejo Asesor de Transformación Digital, y preside el Clúster de Blockchain de la Comunidad de Madrid. Las declaraciones de conflicto de interés del Anexo IX siguen sin firmar (Parte IV, §M7, y §M11, fila 3). Por eso el catálogo no nombra producto, red ni proveedor en su articulado y este documento no propone enmiendas.</w:t>
      </w:r>
    </w:p>
    <w:p>
      <w:pPr>
        <w:pStyle w:val="ListParagraph"/>
        <w:numPr>
          <w:ilvl w:val="0"/>
          <w:numId w:val="1"/>
        </w:numPr>
        <w:spacing w:after="70" w:line="268"/>
      </w:pPr>
      <w:r>
        <w:rPr>
          <w:rFonts w:ascii="Calibri" w:cs="Calibri" w:eastAsia="Calibri" w:hAnsi="Calibri"/>
          <w:b/>
          <w:bCs/>
          <w:sz w:val="21"/>
          <w:szCs w:val="21"/>
        </w:rPr>
        <w:t xml:space="preserve">Naturaleza.</w:t>
      </w:r>
      <w:r>
        <w:rPr>
          <w:rFonts w:ascii="Calibri" w:cs="Calibri" w:eastAsia="Calibri" w:hAnsi="Calibri"/>
          <w:sz w:val="21"/>
          <w:szCs w:val="21"/>
        </w:rPr>
        <w:t xml:space="preserve"> No es asesoramiento jurídico ni sustituye a los informes preceptivos de ninguna administración. Sustituye a las versiones de trabajo anteriores de este encaje.</w:t>
      </w:r>
    </w:p>
    <w:p>
      <w:pPr>
        <w:spacing w:after="140" w:line="276"/>
      </w:pPr>
      <w:r>
        <w:rPr>
          <w:rFonts w:ascii="Calibri" w:cs="Calibri" w:eastAsia="Calibri" w:hAnsi="Calibri"/>
          <w:i/>
          <w:iCs/>
          <w:sz w:val="21"/>
          <w:szCs w:val="21"/>
        </w:rPr>
        <w:t xml:space="preserve">Documento elaborado a título particular por quienes firman el catálogo. No es un informe de ninguna administración ni expresa la posición de ninguna.</w:t>
      </w:r>
    </w:p>
    <w:sectPr>
      <w:headerReference w:type="default" r:id="rId7"/>
      <w:footerReference w:type="default" r:id="rId8"/>
      <w:pgSz w:w="11906" w:h="16838" w:orient="portrait"/>
      <w:pgMar w:top="1440" w:right="1584"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0D0" w:sz="4" w:space="4"/>
      </w:pBdr>
      <w:spacing w:after="200"/>
      <w:jc w:val="right"/>
    </w:pPr>
    <w:r>
      <w:rPr>
        <w:rFonts w:ascii="Calibri" w:cs="Calibri" w:eastAsia="Calibri" w:hAnsi="Calibri"/>
        <w:color w:val="595959"/>
        <w:sz w:val="16"/>
        <w:szCs w:val="16"/>
      </w:rPr>
      <w:t xml:space="preserve">Cláusulas de IA y Deep Tech · versión 4.0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5dn5q1--41vesm-4im94q" Type="http://schemas.openxmlformats.org/officeDocument/2006/relationships/hyperlink" Target="https://migueldadd4u.github.io/ai-clauses/clausulado/indice.html" TargetMode="External"/><Relationship Id="rIdej2gm41fhwyji0e2jjh8v" Type="http://schemas.openxmlformats.org/officeDocument/2006/relationships/hyperlink" Target="https://ctyp.asambleamadrid.es/static/doc/publicaciones/BOAM_13_00171.pdf" TargetMode="External"/><Relationship Id="rIdsphdy540fk4mi_5ag2kv8" Type="http://schemas.openxmlformats.org/officeDocument/2006/relationships/hyperlink" Target="https://migueldadd4u.github.io/ai-clauses/clausulado/00-autoria-uso-de-inteligencia-artificial-y-condiciones-de-uso.html" TargetMode="External"/><Relationship Id="rId6-jo18qfl0elwpe6b6sbd" Type="http://schemas.openxmlformats.org/officeDocument/2006/relationships/hyperlink" Target="https://migueldadd4u.github.io/ai-clauses/clausulado/05-parte-iv-memoria-justificativa-del-catalogo.html" TargetMode="External"/><Relationship Id="rIdyryrgwul8m77shxj2ey86" Type="http://schemas.openxmlformats.org/officeDocument/2006/relationships/hyperlink" Target="https://www.boe.es/buscar/act.php?id=BOE-A-1983-6317" TargetMode="External"/><Relationship Id="rIdghkzs070o3rgwm8qx8axa" Type="http://schemas.openxmlformats.org/officeDocument/2006/relationships/hyperlink" Target="https://www.boe.es/buscar/doc.php?id=DOUE-L-2026-81147"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Cláusulas de IA y Deep Tech para la contratación pública</dc:title>
  <dc:creator>Miguel Ángel Domínguez Castellano</dc:creator>
  <dc:description>Catálogo de cláusulas, versión 4.0</dc:description>
  <cp:lastModifiedBy>Un-named</cp:lastModifiedBy>
  <cp:revision>1</cp:revision>
  <dcterms:created xsi:type="dcterms:W3CDTF">2026-10-15T09:39:44.550Z</dcterms:created>
  <dcterms:modified xsi:type="dcterms:W3CDTF">2026-10-15T09:39:44.551Z</dcterms:modified>
</cp:coreProperties>
</file>

<file path=docProps/custom.xml><?xml version="1.0" encoding="utf-8"?>
<Properties xmlns="http://schemas.openxmlformats.org/officeDocument/2006/custom-properties" xmlns:vt="http://schemas.openxmlformats.org/officeDocument/2006/docPropsVTypes"/>
</file>