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Explicaciones en lenguaje llano</w:t>
      </w:r>
    </w:p>
    <w:p>
      <w:pPr>
        <w:spacing w:after="900"/>
        <w:jc w:val="center"/>
      </w:pPr>
      <w:r>
        <w:rPr>
          <w:rFonts w:ascii="Georgia" w:cs="Georgia" w:eastAsia="Georgia" w:hAnsi="Georgia"/>
          <w:i/>
          <w:iCs/>
          <w:color w:val="595959"/>
          <w:sz w:val="28"/>
          <w:szCs w:val="28"/>
        </w:rPr>
        <w:t xml:space="preserve">Para entender el catálogo</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Explica el catálogo; no lo sustituye. Donde discrepen, manda el catálogo. </w:t>
      </w:r>
      <w:hyperlink w:history="1" r:id="rIdcgjggrwnrnqrdfn7wodbn">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Clausulado de IA y Deep Tech para pliegos de contratación pública</w:t>
      </w:r>
    </w:p>
    <w:p>
      <w:pPr>
        <w:pBdr>
          <w:left w:val="single" w:color="BFBFBF" w:sz="12" w:space="8"/>
        </w:pBdr>
        <w:spacing w:after="140" w:line="264"/>
        <w:ind w:left="400"/>
      </w:pPr>
      <w:r>
        <w:rPr>
          <w:rFonts w:ascii="Georgia" w:cs="Georgia" w:eastAsia="Georgia" w:hAnsi="Georgia"/>
          <w:b/>
          <w:bCs/>
          <w:i/>
          <w:iCs/>
          <w:color w:val="595959"/>
          <w:sz w:val="20"/>
          <w:szCs w:val="20"/>
        </w:rPr>
        <w:t xml:space="preserve">Qué es esto y cómo leerlo.</w:t>
      </w:r>
      <w:r>
        <w:rPr>
          <w:rFonts w:ascii="Georgia" w:cs="Georgia" w:eastAsia="Georgia" w:hAnsi="Georgia"/>
          <w:i/>
          <w:iCs/>
          <w:color w:val="595959"/>
          <w:sz w:val="20"/>
          <w:szCs w:val="20"/>
        </w:rPr>
        <w:t xml:space="preserve"> Seis explicaciones del clausulado escritas para quien no es jurista de contratación. Cada una lleva al final la fuente exacta —parte y epígrafe del catálogo, versión 4.0— para que cualquiera pueda comprobar que lo que se dice está en el documento y no es interpretación libre. Donde algo </w:t>
      </w:r>
      <w:r>
        <w:rPr>
          <w:rFonts w:ascii="Georgia" w:cs="Georgia" w:eastAsia="Georgia" w:hAnsi="Georgia"/>
          <w:i/>
          <w:iCs/>
          <w:color w:val="595959"/>
          <w:sz w:val="20"/>
          <w:szCs w:val="20"/>
        </w:rPr>
        <w:t xml:space="preserve">no</w:t>
      </w:r>
      <w:r>
        <w:rPr>
          <w:rFonts w:ascii="Georgia" w:cs="Georgia" w:eastAsia="Georgia" w:hAnsi="Georgia"/>
          <w:i/>
          <w:iCs/>
          <w:color w:val="595959"/>
          <w:sz w:val="20"/>
          <w:szCs w:val="20"/>
        </w:rPr>
        <w:t xml:space="preserve"> está en el clausulado y es criterio, se dice expresamente.</w:t>
      </w:r>
    </w:p>
    <w:p>
      <w:pPr>
        <w:pStyle w:val="ListParagraph"/>
        <w:numPr>
          <w:ilvl w:val="0"/>
          <w:numId w:val="2"/>
        </w:numPr>
        <w:spacing w:after="70" w:line="268"/>
      </w:pPr>
      <w:r>
        <w:rPr>
          <w:rFonts w:ascii="Calibri" w:cs="Calibri" w:eastAsia="Calibri" w:hAnsi="Calibri"/>
          <w:sz w:val="21"/>
          <w:szCs w:val="21"/>
        </w:rPr>
        <w:t xml:space="preserve">Qué es un acuerdo marco, y por qué las cláusulas sí caben cuando el que licita es el Ayuntamiento</w:t>
      </w:r>
    </w:p>
    <w:p>
      <w:pPr>
        <w:pStyle w:val="ListParagraph"/>
        <w:numPr>
          <w:ilvl w:val="0"/>
          <w:numId w:val="2"/>
        </w:numPr>
        <w:spacing w:after="70" w:line="268"/>
      </w:pPr>
      <w:r>
        <w:rPr>
          <w:rFonts w:ascii="Calibri" w:cs="Calibri" w:eastAsia="Calibri" w:hAnsi="Calibri"/>
          <w:sz w:val="21"/>
          <w:szCs w:val="21"/>
        </w:rPr>
        <w:t xml:space="preserve">La doble vía de firma</w:t>
      </w:r>
    </w:p>
    <w:p>
      <w:pPr>
        <w:pStyle w:val="ListParagraph"/>
        <w:numPr>
          <w:ilvl w:val="0"/>
          <w:numId w:val="2"/>
        </w:numPr>
        <w:spacing w:after="70" w:line="268"/>
      </w:pPr>
      <w:r>
        <w:rPr>
          <w:rFonts w:ascii="Calibri" w:cs="Calibri" w:eastAsia="Calibri" w:hAnsi="Calibri"/>
          <w:sz w:val="21"/>
          <w:szCs w:val="21"/>
        </w:rPr>
        <w:t xml:space="preserve">Qué es un criterio de adjudicación (y por qué el catálogo no deja puntuar dos veces lo mismo)</w:t>
      </w:r>
    </w:p>
    <w:p>
      <w:pPr>
        <w:pStyle w:val="ListParagraph"/>
        <w:numPr>
          <w:ilvl w:val="0"/>
          <w:numId w:val="2"/>
        </w:numPr>
        <w:spacing w:after="70" w:line="268"/>
      </w:pPr>
      <w:r>
        <w:rPr>
          <w:rFonts w:ascii="Calibri" w:cs="Calibri" w:eastAsia="Calibri" w:hAnsi="Calibri"/>
          <w:sz w:val="21"/>
          <w:szCs w:val="21"/>
        </w:rPr>
        <w:t xml:space="preserve">Por qué no hay que esperar a un acuerdo del órgano de gobierno para empezar</w:t>
      </w:r>
    </w:p>
    <w:p>
      <w:pPr>
        <w:pStyle w:val="ListParagraph"/>
        <w:numPr>
          <w:ilvl w:val="0"/>
          <w:numId w:val="2"/>
        </w:numPr>
        <w:spacing w:after="70" w:line="268"/>
      </w:pPr>
      <w:r>
        <w:rPr>
          <w:rFonts w:ascii="Calibri" w:cs="Calibri" w:eastAsia="Calibri" w:hAnsi="Calibri"/>
          <w:sz w:val="21"/>
          <w:szCs w:val="21"/>
        </w:rPr>
        <w:t xml:space="preserve">La cláusula de reversibilidad, y la declaración de conflicto de interés</w:t>
      </w:r>
    </w:p>
    <w:p>
      <w:pPr>
        <w:pStyle w:val="ListParagraph"/>
        <w:numPr>
          <w:ilvl w:val="0"/>
          <w:numId w:val="2"/>
        </w:numPr>
        <w:spacing w:after="70" w:line="268"/>
      </w:pPr>
      <w:r>
        <w:rPr>
          <w:rFonts w:ascii="Calibri" w:cs="Calibri" w:eastAsia="Calibri" w:hAnsi="Calibri"/>
          <w:sz w:val="21"/>
          <w:szCs w:val="21"/>
        </w:rPr>
        <w:t xml:space="preserve">El anclaje del Anexo V en un municipio</w:t>
      </w:r>
    </w:p>
    <w:p>
      <w:r>
        <w:br w:type="page"/>
      </w:r>
    </w:p>
    <w:p>
      <w:pPr>
        <w:pStyle w:val="Heading1"/>
        <w:keepNext/>
        <w:spacing w:after="240" w:before="200"/>
      </w:pPr>
      <w:r>
        <w:rPr>
          <w:rFonts w:ascii="Georgia" w:cs="Georgia" w:eastAsia="Georgia" w:hAnsi="Georgia"/>
          <w:b/>
          <w:bCs/>
          <w:color w:val="1F3864"/>
          <w:sz w:val="34"/>
          <w:szCs w:val="34"/>
        </w:rPr>
        <w:t xml:space="preserve">1 · Qué es un acuerdo marco, y por qué las cláusulas sí caben cuando el que licita es el Ayuntamiento</w:t>
      </w:r>
    </w:p>
    <w:p>
      <w:pPr>
        <w:pStyle w:val="Heading2"/>
        <w:keepNext/>
        <w:spacing w:after="140" w:before="320"/>
      </w:pPr>
      <w:r>
        <w:rPr>
          <w:rFonts w:ascii="Georgia" w:cs="Georgia" w:eastAsia="Georgia" w:hAnsi="Georgia"/>
          <w:b/>
          <w:bCs/>
          <w:color w:val="1F3864"/>
          <w:sz w:val="26"/>
          <w:szCs w:val="26"/>
        </w:rPr>
        <w:t xml:space="preserve">Qué es un acuerdo marco</w:t>
      </w:r>
    </w:p>
    <w:p>
      <w:pPr>
        <w:spacing w:after="140" w:line="276"/>
      </w:pPr>
      <w:r>
        <w:rPr>
          <w:rFonts w:ascii="Calibri" w:cs="Calibri" w:eastAsia="Calibri" w:hAnsi="Calibri"/>
          <w:sz w:val="21"/>
          <w:szCs w:val="21"/>
        </w:rPr>
        <w:t xml:space="preserve">Un acuerdo marco no es un contrato que se ejecute. Es un </w:t>
      </w:r>
      <w:r>
        <w:rPr>
          <w:rFonts w:ascii="Calibri" w:cs="Calibri" w:eastAsia="Calibri" w:hAnsi="Calibri"/>
          <w:b/>
          <w:bCs/>
          <w:sz w:val="21"/>
          <w:szCs w:val="21"/>
        </w:rPr>
        <w:t xml:space="preserve">acuerdo previo con las reglas del juego</w:t>
      </w:r>
      <w:r>
        <w:rPr>
          <w:rFonts w:ascii="Calibri" w:cs="Calibri" w:eastAsia="Calibri" w:hAnsi="Calibri"/>
          <w:sz w:val="21"/>
          <w:szCs w:val="21"/>
        </w:rPr>
        <w:t xml:space="preserve">: una administración saca una licitación grande, selecciona una o varias empresas, y fija de antemano qué se puede pedir, en qué condiciones y a qué precios. Después, cada compra concreta se hace mediante un </w:t>
      </w:r>
      <w:r>
        <w:rPr>
          <w:rFonts w:ascii="Calibri" w:cs="Calibri" w:eastAsia="Calibri" w:hAnsi="Calibri"/>
          <w:b/>
          <w:bCs/>
          <w:sz w:val="21"/>
          <w:szCs w:val="21"/>
        </w:rPr>
        <w:t xml:space="preserve">contrato basado</w:t>
      </w:r>
      <w:r>
        <w:rPr>
          <w:rFonts w:ascii="Calibri" w:cs="Calibri" w:eastAsia="Calibri" w:hAnsi="Calibri"/>
          <w:sz w:val="21"/>
          <w:szCs w:val="21"/>
        </w:rPr>
        <w:t xml:space="preserve">, que ya no vuelve a licitarse: se pide lo que el acuerdo marco permite pedir, a quien el acuerdo marco permite pedírselo.</w:t>
      </w:r>
    </w:p>
    <w:p>
      <w:pPr>
        <w:spacing w:after="140" w:line="276"/>
      </w:pPr>
      <w:r>
        <w:rPr>
          <w:rFonts w:ascii="Calibri" w:cs="Calibri" w:eastAsia="Calibri" w:hAnsi="Calibri"/>
          <w:sz w:val="21"/>
          <w:szCs w:val="21"/>
        </w:rPr>
        <w:t xml:space="preserve">Comprarlo así tiene una ventaja evidente —se evita una licitación por cada compra— y una consecuencia que es la clave de todo lo que sigue: </w:t>
      </w:r>
      <w:r>
        <w:rPr>
          <w:rFonts w:ascii="Calibri" w:cs="Calibri" w:eastAsia="Calibri" w:hAnsi="Calibri"/>
          <w:b/>
          <w:bCs/>
          <w:sz w:val="21"/>
          <w:szCs w:val="21"/>
        </w:rPr>
        <w:t xml:space="preserve">las condiciones se fijaron antes, y no las fijó necesariamente quien compra</w:t>
      </w:r>
      <w:r>
        <w:rPr>
          <w:rFonts w:ascii="Calibri" w:cs="Calibri" w:eastAsia="Calibri" w:hAnsi="Calibri"/>
          <w:sz w:val="21"/>
          <w:szCs w:val="21"/>
        </w:rPr>
        <w:t xml:space="preserve">.</w:t>
      </w:r>
    </w:p>
    <w:p>
      <w:pPr>
        <w:pStyle w:val="Heading2"/>
        <w:keepNext/>
        <w:spacing w:after="140" w:before="320"/>
      </w:pPr>
      <w:r>
        <w:rPr>
          <w:rFonts w:ascii="Georgia" w:cs="Georgia" w:eastAsia="Georgia" w:hAnsi="Georgia"/>
          <w:b/>
          <w:bCs/>
          <w:color w:val="1F3864"/>
          <w:sz w:val="26"/>
          <w:szCs w:val="26"/>
        </w:rPr>
        <w:t xml:space="preserve">Por qué eso normalmente cierra la puerta al catálogo</w:t>
      </w:r>
    </w:p>
    <w:p>
      <w:pPr>
        <w:spacing w:after="140" w:line="276"/>
      </w:pPr>
      <w:r>
        <w:rPr>
          <w:rFonts w:ascii="Calibri" w:cs="Calibri" w:eastAsia="Calibri" w:hAnsi="Calibri"/>
          <w:sz w:val="21"/>
          <w:szCs w:val="21"/>
        </w:rPr>
        <w:t xml:space="preserve">El clausulado lo dice con claridad: el pliego que regula el acuerdo marco es </w:t>
      </w:r>
      <w:r>
        <w:rPr>
          <w:rFonts w:ascii="Calibri" w:cs="Calibri" w:eastAsia="Calibri" w:hAnsi="Calibri"/>
          <w:i/>
          <w:iCs/>
          <w:sz w:val="21"/>
          <w:szCs w:val="21"/>
        </w:rPr>
        <w:t xml:space="preserve">lex contractus</w:t>
      </w:r>
      <w:r>
        <w:rPr>
          <w:rFonts w:ascii="Calibri" w:cs="Calibri" w:eastAsia="Calibri" w:hAnsi="Calibri"/>
          <w:sz w:val="21"/>
          <w:szCs w:val="21"/>
        </w:rPr>
        <w:t xml:space="preserve"> —ley del contrato— y quien se adhiere no puede añadir obligaciones nuevas al adjudicatario. Y da la razón, que es de justicia elemental más que de técnica jurídica:</w:t>
      </w:r>
    </w:p>
    <w:p>
      <w:pPr>
        <w:pBdr>
          <w:left w:val="single" w:color="BFBFBF" w:sz="12" w:space="8"/>
        </w:pBdr>
        <w:spacing w:after="140" w:line="264"/>
        <w:ind w:left="400"/>
      </w:pPr>
      <w:r>
        <w:rPr>
          <w:rFonts w:ascii="Georgia" w:cs="Georgia" w:eastAsia="Georgia" w:hAnsi="Georgia"/>
          <w:i/>
          <w:iCs/>
          <w:color w:val="595959"/>
          <w:sz w:val="20"/>
          <w:szCs w:val="20"/>
        </w:rPr>
        <w:t xml:space="preserve">«Quien se adhiere o contrata al amparo de ellos no puede añadir obligaciones nuevas al adjudicatario: hacerlo altera las condiciones en que se compitió y perjudica a quienes quedaron fuera. Es el caso en el que la respuesta correcta es, casi siempre, “aquí no”.»</w:t>
      </w:r>
    </w:p>
    <w:p>
      <w:pPr>
        <w:spacing w:after="140" w:line="276"/>
      </w:pPr>
      <w:r>
        <w:rPr>
          <w:rFonts w:ascii="Calibri" w:cs="Calibri" w:eastAsia="Calibri" w:hAnsi="Calibri"/>
          <w:sz w:val="21"/>
          <w:szCs w:val="21"/>
        </w:rPr>
        <w:t xml:space="preserve">Dicho sin tecnicismos: si una empresa ganó ofertando un precio para unas obligaciones determinadas, y después el ayuntamiento que compra le añade obligaciones que no estaban, se le está cambiando el trato; y a las empresas que perdieron se les está diciendo que compitieron por un contrato distinto del que finalmente se ejecuta. El clausulado añade la consecuencia práctica: «</w:t>
      </w:r>
      <w:r>
        <w:rPr>
          <w:rFonts w:ascii="Calibri" w:cs="Calibri" w:eastAsia="Calibri" w:hAnsi="Calibri"/>
          <w:b/>
          <w:bCs/>
          <w:sz w:val="21"/>
          <w:szCs w:val="21"/>
        </w:rPr>
        <w:t xml:space="preserve">marcar SÍ una cláusula que el acuerdo marco no contempla es introducir una condición que el adjudicatario no ofertó</w:t>
      </w:r>
      <w:r>
        <w:rPr>
          <w:rFonts w:ascii="Calibri" w:cs="Calibri" w:eastAsia="Calibri" w:hAnsi="Calibri"/>
          <w:sz w:val="21"/>
          <w:szCs w:val="21"/>
        </w:rPr>
        <w:t xml:space="preserve">».</w:t>
      </w:r>
    </w:p>
    <w:p>
      <w:pPr>
        <w:pStyle w:val="Heading2"/>
        <w:keepNext/>
        <w:spacing w:after="140" w:before="320"/>
      </w:pPr>
      <w:r>
        <w:rPr>
          <w:rFonts w:ascii="Georgia" w:cs="Georgia" w:eastAsia="Georgia" w:hAnsi="Georgia"/>
          <w:b/>
          <w:bCs/>
          <w:color w:val="1F3864"/>
          <w:sz w:val="26"/>
          <w:szCs w:val="26"/>
        </w:rPr>
        <w:t xml:space="preserve">Y por qué sí caben cuando el Ayuntamiento es el que licita el acuerdo marco</w:t>
      </w:r>
    </w:p>
    <w:p>
      <w:pPr>
        <w:spacing w:after="140" w:line="276"/>
      </w:pPr>
      <w:r>
        <w:rPr>
          <w:rFonts w:ascii="Calibri" w:cs="Calibri" w:eastAsia="Calibri" w:hAnsi="Calibri"/>
          <w:sz w:val="21"/>
          <w:szCs w:val="21"/>
        </w:rPr>
        <w:t xml:space="preserve">Porque entonces el Ayuntamiento no está en el lado de quien recibe las reglas, sino en el de quien las escribe. La regla del clausulado es literal:</w:t>
      </w:r>
    </w:p>
    <w:p>
      <w:pPr>
        <w:pBdr>
          <w:left w:val="single" w:color="BFBFBF" w:sz="12" w:space="8"/>
        </w:pBdr>
        <w:spacing w:after="140" w:line="264"/>
        <w:ind w:left="400"/>
      </w:pPr>
      <w:r>
        <w:rPr>
          <w:rFonts w:ascii="Georgia" w:cs="Georgia" w:eastAsia="Georgia" w:hAnsi="Georgia"/>
          <w:i/>
          <w:iCs/>
          <w:color w:val="595959"/>
          <w:sz w:val="20"/>
          <w:szCs w:val="20"/>
        </w:rPr>
        <w:t xml:space="preserve">«Si el Ayuntamiento es quien licita el acuerdo marco, el catálogo se aplica en esa licitación, no en los basados.»</w:t>
      </w:r>
    </w:p>
    <w:p>
      <w:pPr>
        <w:pBdr>
          <w:left w:val="single" w:color="BFBFBF" w:sz="12" w:space="8"/>
        </w:pBdr>
        <w:spacing w:after="140" w:line="264"/>
        <w:ind w:left="400"/>
      </w:pPr>
      <w:r>
        <w:rPr>
          <w:rFonts w:ascii="Georgia" w:cs="Georgia" w:eastAsia="Georgia" w:hAnsi="Georgia"/>
          <w:i/>
          <w:iCs/>
          <w:color w:val="595959"/>
          <w:sz w:val="20"/>
          <w:szCs w:val="20"/>
        </w:rPr>
        <w:t xml:space="preserve">«Cuando el Ayuntamiento sea quien licite el acuerdo marco, entonces sí: es el momento de incorporar el catálogo, porque las condiciones del acuerdo marco se trasladan a todos los basados.»</w:t>
      </w:r>
    </w:p>
    <w:p>
      <w:pPr>
        <w:spacing w:after="140" w:line="276"/>
      </w:pPr>
      <w:r>
        <w:rPr>
          <w:rFonts w:ascii="Calibri" w:cs="Calibri" w:eastAsia="Calibri" w:hAnsi="Calibri"/>
          <w:sz w:val="21"/>
          <w:szCs w:val="21"/>
        </w:rPr>
        <w:t xml:space="preserve">Y aquí está lo que lo convierte en la mejor oportunidad del catálogo, no sólo en una posibilidad: las cláusulas se escriben </w:t>
      </w:r>
      <w:r>
        <w:rPr>
          <w:rFonts w:ascii="Calibri" w:cs="Calibri" w:eastAsia="Calibri" w:hAnsi="Calibri"/>
          <w:b/>
          <w:bCs/>
          <w:sz w:val="21"/>
          <w:szCs w:val="21"/>
        </w:rPr>
        <w:t xml:space="preserve">una vez</w:t>
      </w:r>
      <w:r>
        <w:rPr>
          <w:rFonts w:ascii="Calibri" w:cs="Calibri" w:eastAsia="Calibri" w:hAnsi="Calibri"/>
          <w:sz w:val="21"/>
          <w:szCs w:val="21"/>
        </w:rPr>
        <w:t xml:space="preserve">, en la licitación del acuerdo marco, y rigen automáticamente en </w:t>
      </w:r>
      <w:r>
        <w:rPr>
          <w:rFonts w:ascii="Calibri" w:cs="Calibri" w:eastAsia="Calibri" w:hAnsi="Calibri"/>
          <w:b/>
          <w:bCs/>
          <w:sz w:val="21"/>
          <w:szCs w:val="21"/>
        </w:rPr>
        <w:t xml:space="preserve">todos</w:t>
      </w:r>
      <w:r>
        <w:rPr>
          <w:rFonts w:ascii="Calibri" w:cs="Calibri" w:eastAsia="Calibri" w:hAnsi="Calibri"/>
          <w:sz w:val="21"/>
          <w:szCs w:val="21"/>
        </w:rPr>
        <w:t xml:space="preserve"> los contratos basados que se firmen después, durante toda su vigencia. Es el mismo trabajo, multiplicado por el número de compras.</w:t>
      </w:r>
    </w:p>
    <w:p>
      <w:pPr>
        <w:pStyle w:val="Heading2"/>
        <w:keepNext/>
        <w:spacing w:after="140" w:before="320"/>
      </w:pPr>
      <w:r>
        <w:rPr>
          <w:rFonts w:ascii="Georgia" w:cs="Georgia" w:eastAsia="Georgia" w:hAnsi="Georgia"/>
          <w:b/>
          <w:bCs/>
          <w:color w:val="1F3864"/>
          <w:sz w:val="26"/>
          <w:szCs w:val="26"/>
        </w:rPr>
        <w:t xml:space="preserve">El ejemplo sencillo de los dos casos</w:t>
      </w:r>
    </w:p>
    <w:p>
      <w:pPr>
        <w:pBdr>
          <w:left w:val="single" w:color="BFBFBF" w:sz="12" w:space="8"/>
        </w:pBdr>
        <w:spacing w:after="140" w:line="264"/>
        <w:ind w:left="400"/>
      </w:pPr>
      <w:r>
        <w:rPr>
          <w:rFonts w:ascii="Georgia" w:cs="Georgia" w:eastAsia="Georgia" w:hAnsi="Georgia"/>
          <w:b/>
          <w:bCs/>
          <w:i/>
          <w:iCs/>
          <w:color w:val="595959"/>
          <w:sz w:val="20"/>
          <w:szCs w:val="20"/>
        </w:rPr>
        <w:t xml:space="preserve">Caso A · El Ayuntamiento se adhiere a un acuerdo marco de otro (no caben, casi siempre)</w:t>
      </w:r>
    </w:p>
    <w:p>
      <w:pPr>
        <w:pBdr>
          <w:left w:val="single" w:color="BFBFBF" w:sz="12" w:space="8"/>
        </w:pBdr>
        <w:spacing w:after="140" w:line="264"/>
        <w:ind w:left="400"/>
      </w:pPr>
      <w:r>
        <w:rPr>
          <w:rFonts w:ascii="Georgia" w:cs="Georgia" w:eastAsia="Georgia" w:hAnsi="Georgia"/>
          <w:i/>
          <w:iCs/>
          <w:color w:val="595959"/>
          <w:sz w:val="20"/>
          <w:szCs w:val="20"/>
        </w:rPr>
        <w:t xml:space="preserve">Una comunidad autónoma o el Estado licitan un acuerdo marco de suministro de equipos y software de gestión documental. El Ayuntamiento se adhiere y encarga su contrato basado.</w:t>
      </w:r>
    </w:p>
    <w:p>
      <w:pPr>
        <w:pBdr>
          <w:left w:val="single" w:color="BFBFBF" w:sz="12" w:space="8"/>
        </w:pBdr>
        <w:spacing w:after="140" w:line="264"/>
        <w:ind w:left="400"/>
      </w:pPr>
      <w:r>
        <w:rPr>
          <w:rFonts w:ascii="Georgia" w:cs="Georgia" w:eastAsia="Georgia" w:hAnsi="Georgia"/>
          <w:b/>
          <w:bCs/>
          <w:i/>
          <w:iCs/>
          <w:color w:val="595959"/>
          <w:sz w:val="20"/>
          <w:szCs w:val="20"/>
        </w:rPr>
        <w:t xml:space="preserve">Lo que el Ayuntamiento no puede hacer:</w:t>
      </w:r>
      <w:r>
        <w:rPr>
          <w:rFonts w:ascii="Georgia" w:cs="Georgia" w:eastAsia="Georgia" w:hAnsi="Georgia"/>
          <w:i/>
          <w:iCs/>
          <w:color w:val="595959"/>
          <w:sz w:val="20"/>
          <w:szCs w:val="20"/>
        </w:rPr>
        <w:t xml:space="preserve"> añadir la obligación de entregar un Dossier de Reversibilidad, ni una penalidad por no exportar los datos en formato abierto, ni puntuar la titularidad de los desarrollos. Nada de eso se ofertó.</w:t>
      </w:r>
    </w:p>
    <w:p>
      <w:pPr>
        <w:pBdr>
          <w:left w:val="single" w:color="BFBFBF" w:sz="12" w:space="8"/>
        </w:pBdr>
        <w:spacing w:after="140" w:line="264"/>
        <w:ind w:left="400"/>
      </w:pPr>
      <w:r>
        <w:rPr>
          <w:rFonts w:ascii="Georgia" w:cs="Georgia" w:eastAsia="Georgia" w:hAnsi="Georgia"/>
          <w:b/>
          <w:bCs/>
          <w:i/>
          <w:iCs/>
          <w:color w:val="595959"/>
          <w:sz w:val="20"/>
          <w:szCs w:val="20"/>
        </w:rPr>
        <w:t xml:space="preserve">Lo que sí puede hacer, y el clausulado enumera:</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Elegir</w:t>
      </w:r>
      <w:r>
        <w:rPr>
          <w:rFonts w:ascii="Georgia" w:cs="Georgia" w:eastAsia="Georgia" w:hAnsi="Georgia"/>
          <w:i/>
          <w:iCs/>
          <w:color w:val="595959"/>
          <w:sz w:val="20"/>
          <w:szCs w:val="20"/>
        </w:rPr>
        <w:t xml:space="preserve"> dentro de lo que el acuerdo marco ya ofrece: si el catálogo del acuerdo marco tiene módulos, niveles de servicio o funcionalidades opcionales que coincidan con lo que se busca, se seleccionan y se motiva la elección. Esa motivación sí es del ayuntamiento adherido.</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Usar el margen que el propio acuerdo marco reserve</w:t>
      </w:r>
      <w:r>
        <w:rPr>
          <w:rFonts w:ascii="Georgia" w:cs="Georgia" w:eastAsia="Georgia" w:hAnsi="Georgia"/>
          <w:i/>
          <w:iCs/>
          <w:color w:val="595959"/>
          <w:sz w:val="20"/>
          <w:szCs w:val="20"/>
        </w:rPr>
        <w:t xml:space="preserve"> a la fase de contrato basado: si prevé una nueva licitación entre sus adjudicatarios —una «segunda vuelta»— o deja extremos abiertos, ahí, y sólo ahí, caben cláusulas del catálogo.</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Comprobar antes de adherirse</w:t>
      </w:r>
      <w:r>
        <w:rPr>
          <w:rFonts w:ascii="Georgia" w:cs="Georgia" w:eastAsia="Georgia" w:hAnsi="Georgia"/>
          <w:i/>
          <w:iCs/>
          <w:color w:val="595959"/>
          <w:sz w:val="20"/>
          <w:szCs w:val="20"/>
        </w:rPr>
        <w:t xml:space="preserve"> qué cubre ya el acuerdo marco de lo que el catálogo consideraría necesario: conformidad ENS, ubicación de los servidores, reversibilidad y formatos de salida, y titularidad o licencia de lo que se desarrolle a medida. El resultado se hace constar en el informe de necesidad.</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Documentar la limitación:</w:t>
      </w:r>
      <w:r>
        <w:rPr>
          <w:rFonts w:ascii="Georgia" w:cs="Georgia" w:eastAsia="Georgia" w:hAnsi="Georgia"/>
          <w:i/>
          <w:iCs/>
          <w:color w:val="595959"/>
          <w:sz w:val="20"/>
          <w:szCs w:val="20"/>
        </w:rPr>
        <w:t xml:space="preserve"> hacer constar en el expediente qué exigencias no han podido incorporarse y qué consecuencia asume el Ayuntamiento —típicamente, ausencia de reversibilidad pactada, de acceso de los órganos de control y de titularidad sobre los desarrollos específicos—. Esa constancia es la que permite, en la licitación siguiente, justificar la necesidad con datos y no con adjetivos.</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Trasladarlo a quien sí puede incorporarlo:</w:t>
      </w:r>
      <w:r>
        <w:rPr>
          <w:rFonts w:ascii="Georgia" w:cs="Georgia" w:eastAsia="Georgia" w:hAnsi="Georgia"/>
          <w:i/>
          <w:iCs/>
          <w:color w:val="595959"/>
          <w:sz w:val="20"/>
          <w:szCs w:val="20"/>
        </w:rPr>
        <w:t xml:space="preserve"> dirigir al órgano titular del acuerdo marco o a la central de contratación una propuesta motivada para su próxima licitación, aportando el texto del catálogo. El clausulado lo califica de «lento, pero es el único camino con efecto real».</w:t>
      </w:r>
    </w:p>
    <w:p>
      <w:pPr>
        <w:pBdr>
          <w:left w:val="single" w:color="BFBFBF" w:sz="12" w:space="8"/>
        </w:pBdr>
        <w:spacing w:after="140" w:line="264"/>
        <w:ind w:left="400"/>
      </w:pPr>
      <w:r>
        <w:rPr>
          <w:rFonts w:ascii="Georgia" w:cs="Georgia" w:eastAsia="Georgia" w:hAnsi="Georgia"/>
          <w:i/>
          <w:iCs/>
          <w:color w:val="595959"/>
          <w:sz w:val="20"/>
          <w:szCs w:val="20"/>
        </w:rPr>
        <w:t xml:space="preserve">Y una advertencia que conviene retener: no vale que el proveedor «lo incluya de palabra». Lo que no está en el instrumento no es exigible ni penalizable, «y en dos años nadie recordará quién lo dijo».</w:t>
      </w:r>
    </w:p>
    <w:p>
      <w:pPr>
        <w:pBdr>
          <w:left w:val="single" w:color="BFBFBF" w:sz="12" w:space="8"/>
        </w:pBdr>
        <w:spacing w:after="140" w:line="264"/>
        <w:ind w:left="400"/>
      </w:pPr>
      <w:r>
        <w:rPr>
          <w:rFonts w:ascii="Georgia" w:cs="Georgia" w:eastAsia="Georgia" w:hAnsi="Georgia"/>
          <w:b/>
          <w:bCs/>
          <w:i/>
          <w:iCs/>
          <w:color w:val="595959"/>
          <w:sz w:val="20"/>
          <w:szCs w:val="20"/>
        </w:rPr>
        <w:t xml:space="preserve">Caso B · El Ayuntamiento licita su propio acuerdo marco (sí caben, y es el mejor momento)</w:t>
      </w:r>
    </w:p>
    <w:p>
      <w:pPr>
        <w:pBdr>
          <w:left w:val="single" w:color="BFBFBF" w:sz="12" w:space="8"/>
        </w:pBdr>
        <w:spacing w:after="140" w:line="264"/>
        <w:ind w:left="400"/>
      </w:pPr>
      <w:r>
        <w:rPr>
          <w:rFonts w:ascii="Georgia" w:cs="Georgia" w:eastAsia="Georgia" w:hAnsi="Georgia"/>
          <w:i/>
          <w:iCs/>
          <w:color w:val="595959"/>
          <w:sz w:val="20"/>
          <w:szCs w:val="20"/>
        </w:rPr>
        <w:t xml:space="preserve">El Ayuntamiento licita un acuerdo marco propio de servicios de desarrollo y mantenimiento de aplicaciones municipales, para cuatro años, del que después irán saliendo contratos basados: el de tributos, el de padrón, el de la sede electrónica.</w:t>
      </w:r>
    </w:p>
    <w:p>
      <w:pPr>
        <w:pBdr>
          <w:left w:val="single" w:color="BFBFBF" w:sz="12" w:space="8"/>
        </w:pBdr>
        <w:spacing w:after="140" w:line="264"/>
        <w:ind w:left="400"/>
      </w:pPr>
      <w:r>
        <w:rPr>
          <w:rFonts w:ascii="Georgia" w:cs="Georgia" w:eastAsia="Georgia" w:hAnsi="Georgia"/>
          <w:b/>
          <w:bCs/>
          <w:i/>
          <w:iCs/>
          <w:color w:val="595959"/>
          <w:sz w:val="20"/>
          <w:szCs w:val="20"/>
        </w:rPr>
        <w:t xml:space="preserve">Aquí el Ayuntamiento escribe el pliego del acuerdo marco.</w:t>
      </w:r>
      <w:r>
        <w:rPr>
          <w:rFonts w:ascii="Georgia" w:cs="Georgia" w:eastAsia="Georgia" w:hAnsi="Georgia"/>
          <w:i/>
          <w:iCs/>
          <w:color w:val="595959"/>
          <w:sz w:val="20"/>
          <w:szCs w:val="20"/>
        </w:rPr>
        <w:t xml:space="preserve"> Y en él entra el catálogo: las exigencias tecnológicas del Anexo V, la reversibilidad, la propiedad intelectual y la licencia mínima, el acceso de los órganos de control a los datos de ejecución, las penalidades tipificadas, la equivalencia y el trámite de prueba.</w:t>
      </w:r>
    </w:p>
    <w:p>
      <w:pPr>
        <w:pBdr>
          <w:left w:val="single" w:color="BFBFBF" w:sz="12" w:space="8"/>
        </w:pBdr>
        <w:spacing w:after="140" w:line="264"/>
        <w:ind w:left="400"/>
      </w:pPr>
      <w:r>
        <w:rPr>
          <w:rFonts w:ascii="Georgia" w:cs="Georgia" w:eastAsia="Georgia" w:hAnsi="Georgia"/>
          <w:b/>
          <w:bCs/>
          <w:i/>
          <w:iCs/>
          <w:color w:val="595959"/>
          <w:sz w:val="20"/>
          <w:szCs w:val="20"/>
        </w:rPr>
        <w:t xml:space="preserve">El efecto:</w:t>
      </w:r>
      <w:r>
        <w:rPr>
          <w:rFonts w:ascii="Georgia" w:cs="Georgia" w:eastAsia="Georgia" w:hAnsi="Georgia"/>
          <w:i/>
          <w:iCs/>
          <w:color w:val="595959"/>
          <w:sz w:val="20"/>
          <w:szCs w:val="20"/>
        </w:rPr>
        <w:t xml:space="preserve"> cada contrato basado que se firme durante esos cuatro años nace ya con esas condiciones, sin volver a discutirlas y sin volver a redactarlas. Y las empresas que compiten por el acuerdo marco lo hacen sabiéndolas desde el principio, que es exactamente la situación en que una exigencia se puede poner en precio y no genera recurso.</w:t>
      </w:r>
    </w:p>
    <w:p>
      <w:pPr>
        <w:pBdr>
          <w:left w:val="single" w:color="BFBFBF" w:sz="12" w:space="8"/>
        </w:pBdr>
        <w:spacing w:after="140" w:line="264"/>
        <w:ind w:left="400"/>
      </w:pPr>
      <w:r>
        <w:rPr>
          <w:rFonts w:ascii="Georgia" w:cs="Georgia" w:eastAsia="Georgia" w:hAnsi="Georgia"/>
          <w:b/>
          <w:bCs/>
          <w:i/>
          <w:iCs/>
          <w:color w:val="595959"/>
          <w:sz w:val="20"/>
          <w:szCs w:val="20"/>
        </w:rPr>
        <w:t xml:space="preserve">Una precisión que suele olvidarse.</w:t>
      </w:r>
      <w:r>
        <w:rPr>
          <w:rFonts w:ascii="Georgia" w:cs="Georgia" w:eastAsia="Georgia" w:hAnsi="Georgia"/>
          <w:i/>
          <w:iCs/>
          <w:color w:val="595959"/>
          <w:sz w:val="20"/>
          <w:szCs w:val="20"/>
        </w:rPr>
        <w:t xml:space="preserve"> Que el Ayuntamiento licite el acuerdo marco no significa que las cláusulas se pongan en los contratos basados: se ponen </w:t>
      </w:r>
      <w:r>
        <w:rPr>
          <w:rFonts w:ascii="Georgia" w:cs="Georgia" w:eastAsia="Georgia" w:hAnsi="Georgia"/>
          <w:i/>
          <w:iCs/>
          <w:color w:val="595959"/>
          <w:sz w:val="20"/>
          <w:szCs w:val="20"/>
        </w:rPr>
        <w:t xml:space="preserve">en el acuerdo marco</w:t>
      </w:r>
      <w:r>
        <w:rPr>
          <w:rFonts w:ascii="Georgia" w:cs="Georgia" w:eastAsia="Georgia" w:hAnsi="Georgia"/>
          <w:i/>
          <w:iCs/>
          <w:color w:val="595959"/>
          <w:sz w:val="20"/>
          <w:szCs w:val="20"/>
        </w:rPr>
        <w:t xml:space="preserve">, y desde ahí rigen. El clausulado lo dice así: «el catálogo se aplica en esa licitación, no en los basados». Y recuerda que tanto los acuerdos marco como los contratos basados en ellos son recurribles, en los términos del art. 44.1.b) LCSP.</w:t>
      </w:r>
    </w:p>
    <w:p>
      <w:pPr>
        <w:spacing w:after="140" w:line="276"/>
      </w:pPr>
      <w:r>
        <w:rPr>
          <w:rFonts w:ascii="Calibri" w:cs="Calibri" w:eastAsia="Calibri" w:hAnsi="Calibri"/>
          <w:i/>
          <w:iCs/>
          <w:sz w:val="21"/>
          <w:szCs w:val="21"/>
        </w:rPr>
        <w:t xml:space="preserve">Fuentes en el catálogo: Parte I, §2.4.b) · Parte 0, apartado 0.6, Caso 2, «Contratos basados en un acuerdo marco y adhesiones a centrales de compra» · Parte V, §V.7.2, «Contratos basados en acuerdo marco y adhesiones a centrales de contratación» · Parte VI, §VI.2.1, sobre por qué son peores candidatos como primer piloto. Normas citadas por el propio clausulado: arts. 29.2, 44.1.b), 101.4, 118 y 118.2 LCSP. El régimen general de los acuerdos marco está en los arts. 219 y siguientes LCSP, que el catálogo no cita.</w:t>
      </w:r>
    </w:p>
    <w:p>
      <w:r>
        <w:br w:type="page"/>
      </w:r>
    </w:p>
    <w:p>
      <w:pPr>
        <w:pStyle w:val="Heading1"/>
        <w:keepNext/>
        <w:spacing w:after="240" w:before="200"/>
      </w:pPr>
      <w:r>
        <w:rPr>
          <w:rFonts w:ascii="Georgia" w:cs="Georgia" w:eastAsia="Georgia" w:hAnsi="Georgia"/>
          <w:b/>
          <w:bCs/>
          <w:color w:val="1F3864"/>
          <w:sz w:val="34"/>
          <w:szCs w:val="34"/>
        </w:rPr>
        <w:t xml:space="preserve">2 · La doble vía de firma</w:t>
      </w:r>
    </w:p>
    <w:p>
      <w:pPr>
        <w:spacing w:after="140" w:line="276"/>
      </w:pPr>
      <w:r>
        <w:rPr>
          <w:rFonts w:ascii="Calibri" w:cs="Calibri" w:eastAsia="Calibri" w:hAnsi="Calibri"/>
          <w:sz w:val="21"/>
          <w:szCs w:val="21"/>
        </w:rPr>
        <w:t xml:space="preserve">Es una de las piezas que más extraña a quien llega de nuevo al documento, y una de las que menos tiene de burocracia. Resuelve un problema muy concreto.</w:t>
      </w:r>
    </w:p>
    <w:p>
      <w:pPr>
        <w:pStyle w:val="Heading2"/>
        <w:keepNext/>
        <w:spacing w:after="140" w:before="320"/>
      </w:pPr>
      <w:r>
        <w:rPr>
          <w:rFonts w:ascii="Georgia" w:cs="Georgia" w:eastAsia="Georgia" w:hAnsi="Georgia"/>
          <w:b/>
          <w:bCs/>
          <w:color w:val="1F3864"/>
          <w:sz w:val="26"/>
          <w:szCs w:val="26"/>
        </w:rPr>
        <w:t xml:space="preserve">El problema que resuelve</w:t>
      </w:r>
    </w:p>
    <w:p>
      <w:pPr>
        <w:spacing w:after="140" w:line="276"/>
      </w:pPr>
      <w:r>
        <w:rPr>
          <w:rFonts w:ascii="Calibri" w:cs="Calibri" w:eastAsia="Calibri" w:hAnsi="Calibri"/>
          <w:sz w:val="21"/>
          <w:szCs w:val="21"/>
        </w:rPr>
        <w:t xml:space="preserve">Ninguna cláusula del catálogo entra en un pliego por existir. Entra si alguien firma una </w:t>
      </w:r>
      <w:r>
        <w:rPr>
          <w:rFonts w:ascii="Calibri" w:cs="Calibri" w:eastAsia="Calibri" w:hAnsi="Calibri"/>
          <w:b/>
          <w:bCs/>
          <w:sz w:val="21"/>
          <w:szCs w:val="21"/>
        </w:rPr>
        <w:t xml:space="preserve">ficha de aplicabilidad</w:t>
      </w:r>
      <w:r>
        <w:rPr>
          <w:rFonts w:ascii="Calibri" w:cs="Calibri" w:eastAsia="Calibri" w:hAnsi="Calibri"/>
          <w:sz w:val="21"/>
          <w:szCs w:val="21"/>
        </w:rPr>
        <w:t xml:space="preserve"> —el modelo está en el Anexo II— en la que consta qué necesidad justifica esa cláusula en ese expediente. Es lo que el documento llama </w:t>
      </w:r>
      <w:r>
        <w:rPr>
          <w:rFonts w:ascii="Calibri" w:cs="Calibri" w:eastAsia="Calibri" w:hAnsi="Calibri"/>
          <w:i/>
          <w:iCs/>
          <w:sz w:val="21"/>
          <w:szCs w:val="21"/>
        </w:rPr>
        <w:t xml:space="preserve">regla de cierre</w:t>
      </w:r>
      <w:r>
        <w:rPr>
          <w:rFonts w:ascii="Calibri" w:cs="Calibri" w:eastAsia="Calibri" w:hAnsi="Calibri"/>
          <w:sz w:val="21"/>
          <w:szCs w:val="21"/>
        </w:rPr>
        <w:t xml:space="preserve">: «lo que no tenga ficha de aplicabilidad cumplimentada y firmada se marca NO APLICA y no se copia».</w:t>
      </w:r>
    </w:p>
    <w:p>
      <w:pPr>
        <w:spacing w:after="140" w:line="276"/>
      </w:pPr>
      <w:r>
        <w:rPr>
          <w:rFonts w:ascii="Calibri" w:cs="Calibri" w:eastAsia="Calibri" w:hAnsi="Calibri"/>
          <w:sz w:val="21"/>
          <w:szCs w:val="21"/>
        </w:rPr>
        <w:t xml:space="preserve">Ahora bien: no todas las necesidades son de la misma persona. Y de ahí sale la contradicción que el clausulado enuncia en su nota final del Anexo II:</w:t>
      </w:r>
    </w:p>
    <w:p>
      <w:pPr>
        <w:pBdr>
          <w:left w:val="single" w:color="BFBFBF" w:sz="12" w:space="8"/>
        </w:pBdr>
        <w:spacing w:after="140" w:line="264"/>
        <w:ind w:left="400"/>
      </w:pPr>
      <w:r>
        <w:rPr>
          <w:rFonts w:ascii="Georgia" w:cs="Georgia" w:eastAsia="Georgia" w:hAnsi="Georgia"/>
          <w:i/>
          <w:iCs/>
          <w:color w:val="595959"/>
          <w:sz w:val="20"/>
          <w:szCs w:val="20"/>
        </w:rPr>
        <w:t xml:space="preserve">«La doble vía de firma no es burocracia añadida: resuelve una contradicción real. El gestor de un servicio no puede firmar que necesita la conformidad con el esquema de seguridad ni el acceso de los órganos de control, porque no son necesidades suyas. Si se le obliga a firmarlas, o firma lo que no le corresponde o esas cláusulas no entran nunca en ningún pliego.»</w:t>
      </w:r>
    </w:p>
    <w:p>
      <w:pPr>
        <w:spacing w:after="140" w:line="276"/>
      </w:pPr>
      <w:r>
        <w:rPr>
          <w:rFonts w:ascii="Calibri" w:cs="Calibri" w:eastAsia="Calibri" w:hAnsi="Calibri"/>
          <w:sz w:val="21"/>
          <w:szCs w:val="21"/>
        </w:rPr>
        <w:t xml:space="preserve">Dicho en llano: si al jefe del servicio de subvenciones se le pide que firme que «necesita» que el contratista cumpla el Esquema Nacional de Seguridad, está firmando algo que no es suyo. No lo necesita él: lo impone una norma. Y si nadie más puede firmarlo, esa cláusula no entra nunca en ningún pliego. La doble vía de firma es la salida a ese callejón.</w:t>
      </w:r>
    </w:p>
    <w:p>
      <w:pPr>
        <w:pStyle w:val="Heading2"/>
        <w:keepNext/>
        <w:spacing w:after="140" w:before="320"/>
      </w:pPr>
      <w:r>
        <w:rPr>
          <w:rFonts w:ascii="Georgia" w:cs="Georgia" w:eastAsia="Georgia" w:hAnsi="Georgia"/>
          <w:b/>
          <w:bCs/>
          <w:color w:val="1F3864"/>
          <w:sz w:val="26"/>
          <w:szCs w:val="26"/>
        </w:rPr>
        <w:t xml:space="preserve">Las tres vías, porque en realidad son tres y no dos</w:t>
      </w:r>
    </w:p>
    <w:p>
      <w:pPr>
        <w:spacing w:after="140" w:line="276"/>
      </w:pPr>
      <w:r>
        <w:rPr>
          <w:rFonts w:ascii="Calibri" w:cs="Calibri" w:eastAsia="Calibri" w:hAnsi="Calibri"/>
          <w:sz w:val="21"/>
          <w:szCs w:val="21"/>
        </w:rPr>
        <w:t xml:space="preserve">El clausulado distingue tres orígenes de la necesidad, y a cada uno le asigna quién la acredita y con qué documento. Ésta es la tabla del §V.4.2, resumida: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Ejemplo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la acredita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necesita que la aplicación haga algo que hoy no hace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o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firmada por el gestor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ENS del sistema del contratista y de su cadena de suministro; condición de protección de datos cuando hay cesión de datos; acceso del órgano interventor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competente por razón de la materia, o el propio órgano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incorporado al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Exigencias tecnológicas que ninguna norma impone hoy y que ningún gestor pedirá, porque no nacen de su servicio sino de una decisión de política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municipal que apruebe el plan y el catálogo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con fecha y número</w:t>
            </w:r>
          </w:p>
        </w:tc>
      </w:tr>
    </w:tbl>
    <w:p>
      <w:pPr>
        <w:spacing w:after="200"/>
      </w:pPr>
    </w:p>
    <w:p>
      <w:pPr>
        <w:spacing w:after="140" w:line="276"/>
      </w:pPr>
      <w:r>
        <w:rPr>
          <w:rFonts w:ascii="Calibri" w:cs="Calibri" w:eastAsia="Calibri" w:hAnsi="Calibri"/>
          <w:sz w:val="21"/>
          <w:szCs w:val="21"/>
        </w:rPr>
        <w:t xml:space="preserve">La regla, tal como la formula el documento:</w:t>
      </w:r>
    </w:p>
    <w:p>
      <w:pPr>
        <w:pBdr>
          <w:left w:val="single" w:color="BFBFBF" w:sz="12" w:space="8"/>
        </w:pBdr>
        <w:spacing w:after="140" w:line="264"/>
        <w:ind w:left="400"/>
      </w:pPr>
      <w:r>
        <w:rPr>
          <w:rFonts w:ascii="Georgia" w:cs="Georgia" w:eastAsia="Georgia" w:hAnsi="Georgia"/>
          <w:i/>
          <w:iCs/>
          <w:color w:val="595959"/>
          <w:sz w:val="20"/>
          <w:szCs w:val="20"/>
        </w:rPr>
        <w:t xml:space="preserve">«Necesidad funcional, la firma el gestor; necesidad normativa, la firma o la informa el servicio competente; necesidad institucional, se remite al acuerdo del órgano de gobierno. Ningún gestor firma una ficha sobre el ENS o sobre el control interno, porque no es suya y porque su firma no acredita nada.»</w:t>
      </w:r>
    </w:p>
    <w:p>
      <w:pPr>
        <w:pStyle w:val="Heading2"/>
        <w:keepNext/>
        <w:spacing w:after="140" w:before="320"/>
      </w:pPr>
      <w:r>
        <w:rPr>
          <w:rFonts w:ascii="Georgia" w:cs="Georgia" w:eastAsia="Georgia" w:hAnsi="Georgia"/>
          <w:b/>
          <w:bCs/>
          <w:color w:val="1F3864"/>
          <w:sz w:val="26"/>
          <w:szCs w:val="26"/>
        </w:rPr>
        <w:t xml:space="preserve">Por qué se le llama «doble» vía</w:t>
      </w:r>
    </w:p>
    <w:p>
      <w:pPr>
        <w:spacing w:after="140" w:line="276"/>
      </w:pPr>
      <w:r>
        <w:rPr>
          <w:rFonts w:ascii="Calibri" w:cs="Calibri" w:eastAsia="Calibri" w:hAnsi="Calibri"/>
          <w:sz w:val="21"/>
          <w:szCs w:val="21"/>
        </w:rPr>
        <w:t xml:space="preserve">Porque en un expediente real lo habitual es que convivan dos firmantes en la misma ficha: el gestor, para lo que es suyo, y el servicio competente o la remisión al acuerdo, para lo que no lo es. Una ficha con un solo firmante para todo es la señal de que algo se ha firmado sin poder firmarlo.</w:t>
      </w:r>
    </w:p>
    <w:p>
      <w:pPr>
        <w:spacing w:after="140" w:line="276"/>
      </w:pPr>
      <w:r>
        <w:rPr>
          <w:rFonts w:ascii="Calibri" w:cs="Calibri" w:eastAsia="Calibri" w:hAnsi="Calibri"/>
          <w:sz w:val="21"/>
          <w:szCs w:val="21"/>
        </w:rPr>
        <w:t xml:space="preserve">El clausulado lo trata como condición de validez, no como recomendación: «ninguna cláusula y ningún criterio se incorporan sin su ficha (Anexos II, III y IV). Es la regla de cierre del §1.3, con la doble vía de firma del §3.7».</w:t>
      </w:r>
    </w:p>
    <w:p>
      <w:pPr>
        <w:pBdr>
          <w:left w:val="single" w:color="BFBFBF" w:sz="12" w:space="8"/>
        </w:pBdr>
        <w:spacing w:after="140" w:line="264"/>
        <w:ind w:left="400"/>
      </w:pPr>
      <w:r>
        <w:rPr>
          <w:rFonts w:ascii="Georgia" w:cs="Georgia" w:eastAsia="Georgia" w:hAnsi="Georgia"/>
          <w:b/>
          <w:bCs/>
          <w:i/>
          <w:iCs/>
          <w:color w:val="595959"/>
          <w:sz w:val="20"/>
          <w:szCs w:val="20"/>
        </w:rPr>
        <w:t xml:space="preserve">Cómo se ve en el ejemplo trabajado del propio documento</w:t>
      </w:r>
    </w:p>
    <w:p>
      <w:pPr>
        <w:pBdr>
          <w:left w:val="single" w:color="BFBFBF" w:sz="12" w:space="8"/>
        </w:pBdr>
        <w:spacing w:after="140" w:line="264"/>
        <w:ind w:left="400"/>
      </w:pPr>
      <w:r>
        <w:rPr>
          <w:rFonts w:ascii="Georgia" w:cs="Georgia" w:eastAsia="Georgia" w:hAnsi="Georgia"/>
          <w:i/>
          <w:iCs/>
          <w:color w:val="595959"/>
          <w:sz w:val="20"/>
          <w:szCs w:val="20"/>
        </w:rPr>
        <w:t xml:space="preserve">El expediente simulado del clausulado —mantenimiento y evolución de la plataforma municipal de gestión de subvenciones— se eligió, entre otras razones, precisamente por esto. El documento lo dice: «Tiene gestor identificado y usuario natural del dato distinto del gestor. Es el caso que obliga a usar las dos vías de firma de la ficha de aplicabilidad (Anexo II) y, por tanto, el que prueba si el circuito funciona».</w:t>
      </w:r>
    </w:p>
    <w:p>
      <w:pPr>
        <w:pBdr>
          <w:left w:val="single" w:color="BFBFBF" w:sz="12" w:space="8"/>
        </w:pBdr>
        <w:spacing w:after="140" w:line="264"/>
        <w:ind w:left="400"/>
      </w:pPr>
      <w:r>
        <w:rPr>
          <w:rFonts w:ascii="Georgia" w:cs="Georgia" w:eastAsia="Georgia" w:hAnsi="Georgia"/>
          <w:i/>
          <w:iCs/>
          <w:color w:val="595959"/>
          <w:sz w:val="20"/>
          <w:szCs w:val="20"/>
        </w:rPr>
        <w:t xml:space="preserve">Traducido: el jefe del servicio de subvenciones firma lo que necesita para gestionar —funcionalidades, niveles de servicio—. Pero el acceso del órgano interventor a los datos de ejecución del gasto no lo firma él: lo informa el propio órgano de control, porque es una función que le atribuye la ley (art. 214 TRLRHL, y el control financiero de subvenciones de los arts. 44 y ss. de la Ley 38/2003).</w:t>
      </w:r>
    </w:p>
    <w:p>
      <w:pPr>
        <w:pBdr>
          <w:left w:val="single" w:color="BFBFBF" w:sz="12" w:space="8"/>
        </w:pBdr>
        <w:spacing w:after="140" w:line="264"/>
        <w:ind w:left="400"/>
      </w:pPr>
      <w:r>
        <w:rPr>
          <w:rFonts w:ascii="Georgia" w:cs="Georgia" w:eastAsia="Georgia" w:hAnsi="Georgia"/>
          <w:b/>
          <w:bCs/>
          <w:i/>
          <w:iCs/>
          <w:color w:val="595959"/>
          <w:sz w:val="20"/>
          <w:szCs w:val="20"/>
        </w:rPr>
        <w:t xml:space="preserve">Lo que no hay que confundir.</w:t>
      </w:r>
      <w:r>
        <w:rPr>
          <w:rFonts w:ascii="Georgia" w:cs="Georgia" w:eastAsia="Georgia" w:hAnsi="Georgia"/>
          <w:i/>
          <w:iCs/>
          <w:color w:val="595959"/>
          <w:sz w:val="20"/>
          <w:szCs w:val="20"/>
        </w:rPr>
        <w:t xml:space="preserve"> La ficha de aplicabilidad no es la memoria justificativa del expediente. El clausulado insiste: «ni este catálogo, ni sus anexos, ni la ficha de aplicabilidad son la memoria justificativa del expediente». La justificación de cada exigencia va en el informe de necesidad y en la memoria. Es la lección de la Resolución 383/2024 del TACP de Madrid, que anuló una exigencia de ENS Nivel Alto no justificada: la motivación va en la memoria, y no puede completarse después, en sede de recurso.</w:t>
      </w:r>
    </w:p>
    <w:p>
      <w:pPr>
        <w:spacing w:after="140" w:line="276"/>
      </w:pPr>
      <w:r>
        <w:rPr>
          <w:rFonts w:ascii="Calibri" w:cs="Calibri" w:eastAsia="Calibri" w:hAnsi="Calibri"/>
          <w:i/>
          <w:iCs/>
          <w:sz w:val="21"/>
          <w:szCs w:val="21"/>
        </w:rPr>
        <w:t xml:space="preserve">Fuentes en el catálogo: Parte V, §V.4.2, «El eslabón que falta: la necesidad institucional y su doble vía de firma» · Parte 0, apartado 0.1, y Parte I, §1.3, regla de cierre · Parte I, §3.7, detalle de la doble vía, y §7.6 · Anexo II y su nota final para quien reutilice el documento · Anexo III, advertencia central sobre la Resolución 383/2024 TACP Madrid, y Parte VI, §VI.4.4, donde está el literal citado · Parte VI, §VI.3, sobre por qué el ejemplo obliga a usar las dos vías. Normas: arts. 28.1 y 116.4.e) LCSP; art. 2.3 RD 311/2022; art. 28 RGPD; art. 214 TRLRHL; arts. 44 y ss. Ley 38/2003.</w:t>
      </w:r>
    </w:p>
    <w:p>
      <w:r>
        <w:br w:type="page"/>
      </w:r>
    </w:p>
    <w:p>
      <w:pPr>
        <w:pStyle w:val="Heading1"/>
        <w:keepNext/>
        <w:spacing w:after="240" w:before="200"/>
      </w:pPr>
      <w:r>
        <w:rPr>
          <w:rFonts w:ascii="Georgia" w:cs="Georgia" w:eastAsia="Georgia" w:hAnsi="Georgia"/>
          <w:b/>
          <w:bCs/>
          <w:color w:val="1F3864"/>
          <w:sz w:val="34"/>
          <w:szCs w:val="34"/>
        </w:rPr>
        <w:t xml:space="preserve">3 · Qué es un criterio de adjudicación (y por qué el catálogo no deja puntuar dos veces lo mismo)</w:t>
      </w:r>
    </w:p>
    <w:p>
      <w:pPr>
        <w:pStyle w:val="Heading2"/>
        <w:keepNext/>
        <w:spacing w:after="140" w:before="320"/>
      </w:pPr>
      <w:r>
        <w:rPr>
          <w:rFonts w:ascii="Georgia" w:cs="Georgia" w:eastAsia="Georgia" w:hAnsi="Georgia"/>
          <w:b/>
          <w:bCs/>
          <w:color w:val="1F3864"/>
          <w:sz w:val="26"/>
          <w:szCs w:val="26"/>
        </w:rPr>
        <w:t xml:space="preserve">Qué es</w:t>
      </w:r>
    </w:p>
    <w:p>
      <w:pPr>
        <w:spacing w:after="140" w:line="276"/>
      </w:pPr>
      <w:r>
        <w:rPr>
          <w:rFonts w:ascii="Calibri" w:cs="Calibri" w:eastAsia="Calibri" w:hAnsi="Calibri"/>
          <w:sz w:val="21"/>
          <w:szCs w:val="21"/>
        </w:rPr>
        <w:t xml:space="preserve">Un </w:t>
      </w:r>
      <w:r>
        <w:rPr>
          <w:rFonts w:ascii="Calibri" w:cs="Calibri" w:eastAsia="Calibri" w:hAnsi="Calibri"/>
          <w:b/>
          <w:bCs/>
          <w:sz w:val="21"/>
          <w:szCs w:val="21"/>
        </w:rPr>
        <w:t xml:space="preserve">criterio de adjudicación</w:t>
      </w:r>
      <w:r>
        <w:rPr>
          <w:rFonts w:ascii="Calibri" w:cs="Calibri" w:eastAsia="Calibri" w:hAnsi="Calibri"/>
          <w:sz w:val="21"/>
          <w:szCs w:val="21"/>
        </w:rPr>
        <w:t xml:space="preserve"> es cada uno de los aspectos por los que se puntúa una oferta para decidir quién gana. Es el baremo: precio tanto, plazo tanto, alcance funcional tanto. Está regulado en el art. 145 LCSP.</w:t>
      </w:r>
    </w:p>
    <w:p>
      <w:pPr>
        <w:spacing w:after="140" w:line="276"/>
      </w:pPr>
      <w:r>
        <w:rPr>
          <w:rFonts w:ascii="Calibri" w:cs="Calibri" w:eastAsia="Calibri" w:hAnsi="Calibri"/>
          <w:sz w:val="21"/>
          <w:szCs w:val="21"/>
        </w:rPr>
        <w:t xml:space="preserve">La confusión habitual viene de que un pliego tiene cinco sitios distintos donde puede ir una exigencia, y sólo uno de ellos puntúa. El clausulado los enumera, con su artículo: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Artículo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hace, en llano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124-126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obligatorio. Quien no lo cumpla queda excluido. No se puntúa: se cumple o no se puede contratar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de 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90, 93 y 94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para poder presentarse. Describe a la empresa, no a lo que va a entregar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Compromiso de adscripción de medios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76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licitador se compromete a destinar al contrato medios concretos. Se acredita al ser propuesto adjudicatario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durante la ejecución. Su incumplimiento se penaliza, o resuelve el contrato si se declaró esencial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Criterio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único que da puntos.</w:t>
            </w:r>
            <w:r>
              <w:rPr>
                <w:rFonts w:ascii="Calibri" w:cs="Calibri" w:eastAsia="Calibri" w:hAnsi="Calibri"/>
                <w:b w:val="false"/>
                <w:bCs w:val="false"/>
                <w:sz w:val="18"/>
                <w:szCs w:val="18"/>
              </w:rPr>
              <w:t xml:space="preserve"> Valora la prestación ofertada, no las características de la empresa</w:t>
            </w:r>
          </w:p>
        </w:tc>
      </w:tr>
    </w:tbl>
    <w:p>
      <w:pPr>
        <w:spacing w:after="200"/>
      </w:pPr>
    </w:p>
    <w:p>
      <w:pPr>
        <w:pStyle w:val="Heading2"/>
        <w:keepNext/>
        <w:spacing w:after="140" w:before="320"/>
      </w:pPr>
      <w:r>
        <w:rPr>
          <w:rFonts w:ascii="Georgia" w:cs="Georgia" w:eastAsia="Georgia" w:hAnsi="Georgia"/>
          <w:b/>
          <w:bCs/>
          <w:color w:val="1F3864"/>
          <w:sz w:val="26"/>
          <w:szCs w:val="26"/>
        </w:rPr>
        <w:t xml:space="preserve">La regla de separación de instrumentos</w:t>
      </w:r>
    </w:p>
    <w:p>
      <w:pPr>
        <w:spacing w:after="140" w:line="276"/>
      </w:pPr>
      <w:r>
        <w:rPr>
          <w:rFonts w:ascii="Calibri" w:cs="Calibri" w:eastAsia="Calibri" w:hAnsi="Calibri"/>
          <w:sz w:val="21"/>
          <w:szCs w:val="21"/>
        </w:rPr>
        <w:t xml:space="preserve">Es el §7.3 de la Parte I, y se abre con una frase de cuatro palabras: «</w:t>
      </w:r>
      <w:r>
        <w:rPr>
          <w:rFonts w:ascii="Calibri" w:cs="Calibri" w:eastAsia="Calibri" w:hAnsi="Calibri"/>
          <w:b/>
          <w:bCs/>
          <w:sz w:val="21"/>
          <w:szCs w:val="21"/>
        </w:rPr>
        <w:t xml:space="preserve">Ninguna exigencia puede computarse dos veces.</w:t>
      </w:r>
      <w:r>
        <w:rPr>
          <w:rFonts w:ascii="Calibri" w:cs="Calibri" w:eastAsia="Calibri" w:hAnsi="Calibri"/>
          <w:sz w:val="21"/>
          <w:szCs w:val="21"/>
        </w:rPr>
        <w:t xml:space="preserve">» El clausulado prohíbe expresamente tres combinaciones:</w:t>
      </w:r>
    </w:p>
    <w:p>
      <w:pPr>
        <w:spacing w:after="140" w:line="276"/>
      </w:pPr>
      <w:r>
        <w:rPr>
          <w:rFonts w:ascii="Calibri" w:cs="Calibri" w:eastAsia="Calibri" w:hAnsi="Calibri"/>
          <w:b/>
          <w:bCs/>
          <w:sz w:val="21"/>
          <w:szCs w:val="21"/>
        </w:rPr>
        <w:t xml:space="preserve">1 · Solvencia + criterio de adjudicación.</w:t>
      </w:r>
      <w:r>
        <w:rPr>
          <w:rFonts w:ascii="Calibri" w:cs="Calibri" w:eastAsia="Calibri" w:hAnsi="Calibri"/>
          <w:sz w:val="21"/>
          <w:szCs w:val="21"/>
        </w:rPr>
        <w:t xml:space="preserve"> Lo que se exige para poder licitar no se puntúa. Si se pide un certificado para poder presentarse, no se puede además dar puntos por tenerlo. El clausulado cita el TACRC, Resolución 1727/2021 (Ayuntamiento de Cofrentes), que anuló el pliego en ese punto: «los certificados exigidos verdaderamente se refieren a la actividad global de la empresa, no siendo por ello aptos como criterios de adjudicación».</w:t>
      </w:r>
    </w:p>
    <w:p>
      <w:pPr>
        <w:spacing w:after="140" w:line="276"/>
      </w:pPr>
      <w:r>
        <w:rPr>
          <w:rFonts w:ascii="Calibri" w:cs="Calibri" w:eastAsia="Calibri" w:hAnsi="Calibri"/>
          <w:b/>
          <w:bCs/>
          <w:sz w:val="21"/>
          <w:szCs w:val="21"/>
        </w:rPr>
        <w:t xml:space="preserve">2 · Prescripción técnica obligatoria + criterio de adjudicación.</w:t>
      </w:r>
      <w:r>
        <w:rPr>
          <w:rFonts w:ascii="Calibri" w:cs="Calibri" w:eastAsia="Calibri" w:hAnsi="Calibri"/>
          <w:sz w:val="21"/>
          <w:szCs w:val="21"/>
        </w:rPr>
        <w:t xml:space="preserve"> No se puntúa el cumplimiento de lo que el PPT ya impone. Si el pliego obliga a entregar una funcionalidad, dar puntos por entregarla es pagar dos veces el mínimo. El clausulado precisa la salida legítima: si lo que se quiere puntuar es algo adicional a lo exigido, entonces es una mejora del art. 145.7 LCSP y queda sujeta a los límites de ese precepto. Y si no lo es, «el criterio retribuye el mínimo obligatorio y es indefendible».</w:t>
      </w:r>
    </w:p>
    <w:p>
      <w:pPr>
        <w:spacing w:after="140" w:line="276"/>
      </w:pPr>
      <w:r>
        <w:rPr>
          <w:rFonts w:ascii="Calibri" w:cs="Calibri" w:eastAsia="Calibri" w:hAnsi="Calibri"/>
          <w:b/>
          <w:bCs/>
          <w:sz w:val="21"/>
          <w:szCs w:val="21"/>
        </w:rPr>
        <w:t xml:space="preserve">3 · Criterio de adjudicación + condición especial de ejecución sobre el mismo contenido.</w:t>
      </w:r>
      <w:r>
        <w:rPr>
          <w:rFonts w:ascii="Calibri" w:cs="Calibri" w:eastAsia="Calibri" w:hAnsi="Calibri"/>
          <w:sz w:val="21"/>
          <w:szCs w:val="21"/>
        </w:rPr>
        <w:t xml:space="preserve"> Lo que se ofertó y se valoró ya se convierte en obligación por sí solo, por la vía del art. 145.6 LCSP y del propio compromiso. Volver a configurarlo como condición especial de ejecución valorable duplica el instrumento.</w:t>
      </w:r>
    </w:p>
    <w:p>
      <w:pPr>
        <w:pBdr>
          <w:left w:val="single" w:color="BFBFBF" w:sz="12" w:space="8"/>
        </w:pBdr>
        <w:spacing w:after="140" w:line="264"/>
        <w:ind w:left="400"/>
      </w:pPr>
      <w:r>
        <w:rPr>
          <w:rFonts w:ascii="Georgia" w:cs="Georgia" w:eastAsia="Georgia" w:hAnsi="Georgia"/>
          <w:b/>
          <w:bCs/>
          <w:i/>
          <w:iCs/>
          <w:color w:val="595959"/>
          <w:sz w:val="20"/>
          <w:szCs w:val="20"/>
        </w:rPr>
        <w:t xml:space="preserve">El control es material, no declarativo.</w:t>
      </w:r>
      <w:r>
        <w:rPr>
          <w:rFonts w:ascii="Georgia" w:cs="Georgia" w:eastAsia="Georgia" w:hAnsi="Georgia"/>
          <w:i/>
          <w:iCs/>
          <w:color w:val="595959"/>
          <w:sz w:val="20"/>
          <w:szCs w:val="20"/>
        </w:rPr>
        <w:t xml:space="preserve"> El instrumento que impide la duplicidad es el Cuadro Maestro del Anexo I, en el que cada exigencia aparece una sola vez con un único instrumento. Y la consecuencia está escrita sin matices: «Un expediente cuyo Cuadro Maestro tenga una exigencia con dos instrumentos no se aprueba.»</w:t>
      </w:r>
    </w:p>
    <w:p>
      <w:pPr>
        <w:pStyle w:val="Heading2"/>
        <w:keepNext/>
        <w:spacing w:after="140" w:before="320"/>
      </w:pPr>
      <w:r>
        <w:rPr>
          <w:rFonts w:ascii="Georgia" w:cs="Georgia" w:eastAsia="Georgia" w:hAnsi="Georgia"/>
          <w:b/>
          <w:bCs/>
          <w:color w:val="1F3864"/>
          <w:sz w:val="26"/>
          <w:szCs w:val="26"/>
        </w:rPr>
        <w:t xml:space="preserve">La segunda regla: no se valora lo que la empresa ya tiene</w:t>
      </w:r>
    </w:p>
    <w:p>
      <w:pPr>
        <w:spacing w:after="140" w:line="276"/>
      </w:pPr>
      <w:r>
        <w:rPr>
          <w:rFonts w:ascii="Calibri" w:cs="Calibri" w:eastAsia="Calibri" w:hAnsi="Calibri"/>
          <w:sz w:val="21"/>
          <w:szCs w:val="21"/>
        </w:rPr>
        <w:t xml:space="preserve">La cláusula ADM-7·v3 añade la </w:t>
      </w:r>
      <w:r>
        <w:rPr>
          <w:rFonts w:ascii="Calibri" w:cs="Calibri" w:eastAsia="Calibri" w:hAnsi="Calibri"/>
          <w:b/>
          <w:bCs/>
          <w:sz w:val="21"/>
          <w:szCs w:val="21"/>
        </w:rPr>
        <w:t xml:space="preserve">regla de no valoración de la tenencia previa</w:t>
      </w:r>
      <w:r>
        <w:rPr>
          <w:rFonts w:ascii="Calibri" w:cs="Calibri" w:eastAsia="Calibri" w:hAnsi="Calibri"/>
          <w:sz w:val="21"/>
          <w:szCs w:val="21"/>
        </w:rPr>
        <w:t xml:space="preserve">. No se puntúan las circunstancias que describen a la empresa en lugar de a la prestación. Expresamente, no se valoran:</w:t>
      </w:r>
    </w:p>
    <w:p>
      <w:pPr>
        <w:pStyle w:val="ListParagraph"/>
        <w:numPr>
          <w:ilvl w:val="0"/>
          <w:numId w:val="1"/>
        </w:numPr>
        <w:spacing w:after="70" w:line="268"/>
      </w:pPr>
      <w:r>
        <w:rPr>
          <w:rFonts w:ascii="Calibri" w:cs="Calibri" w:eastAsia="Calibri" w:hAnsi="Calibri"/>
          <w:sz w:val="21"/>
          <w:szCs w:val="21"/>
        </w:rPr>
        <w:t xml:space="preserve">la mera tenencia de certificaciones de sistemas de gestión de la empresa;</w:t>
      </w:r>
    </w:p>
    <w:p>
      <w:pPr>
        <w:pStyle w:val="ListParagraph"/>
        <w:numPr>
          <w:ilvl w:val="0"/>
          <w:numId w:val="1"/>
        </w:numPr>
        <w:spacing w:after="70" w:line="268"/>
      </w:pPr>
      <w:r>
        <w:rPr>
          <w:rFonts w:ascii="Calibri" w:cs="Calibri" w:eastAsia="Calibri" w:hAnsi="Calibri"/>
          <w:sz w:val="21"/>
          <w:szCs w:val="21"/>
        </w:rPr>
        <w:t xml:space="preserve">la experiencia previa del licitador;</w:t>
      </w:r>
    </w:p>
    <w:p>
      <w:pPr>
        <w:pStyle w:val="ListParagraph"/>
        <w:numPr>
          <w:ilvl w:val="0"/>
          <w:numId w:val="1"/>
        </w:numPr>
        <w:spacing w:after="70" w:line="268"/>
      </w:pPr>
      <w:r>
        <w:rPr>
          <w:rFonts w:ascii="Calibri" w:cs="Calibri" w:eastAsia="Calibri" w:hAnsi="Calibri"/>
          <w:sz w:val="21"/>
          <w:szCs w:val="21"/>
        </w:rPr>
        <w:t xml:space="preserve">la disponibilidad, a la fecha de cierre del plazo de ofertas, de medios personales, materiales o instalaciones;</w:t>
      </w:r>
    </w:p>
    <w:p>
      <w:pPr>
        <w:pStyle w:val="ListParagraph"/>
        <w:numPr>
          <w:ilvl w:val="0"/>
          <w:numId w:val="1"/>
        </w:numPr>
        <w:spacing w:after="70" w:line="268"/>
      </w:pPr>
      <w:r>
        <w:rPr>
          <w:rFonts w:ascii="Calibri" w:cs="Calibri" w:eastAsia="Calibri" w:hAnsi="Calibri"/>
          <w:sz w:val="21"/>
          <w:szCs w:val="21"/>
        </w:rPr>
        <w:t xml:space="preserve">la titularidad o disponibilidad, a esa misma fecha, de desarrollos, productos o infraestructuras ajenos al objeto del contrato.</w:t>
      </w:r>
    </w:p>
    <w:p>
      <w:pPr>
        <w:spacing w:after="140" w:line="276"/>
      </w:pPr>
      <w:r>
        <w:rPr>
          <w:rFonts w:ascii="Calibri" w:cs="Calibri" w:eastAsia="Calibri" w:hAnsi="Calibri"/>
          <w:sz w:val="21"/>
          <w:szCs w:val="21"/>
        </w:rPr>
        <w:t xml:space="preserve">Esas circunstancias tienen su sitio, y el clausulado dice cuál: la solvencia, el compromiso de adscripción de medios del art. 76 —acreditable por el licitador propuesto como adjudicatario en el trámite del art. 150.2— o una condición especial de ejecución. Lo que sí se valora es </w:t>
      </w:r>
      <w:r>
        <w:rPr>
          <w:rFonts w:ascii="Calibri" w:cs="Calibri" w:eastAsia="Calibri" w:hAnsi="Calibri"/>
          <w:b/>
          <w:bCs/>
          <w:sz w:val="21"/>
          <w:szCs w:val="21"/>
        </w:rPr>
        <w:t xml:space="preserve">la prestación comprometida</w:t>
      </w:r>
      <w:r>
        <w:rPr>
          <w:rFonts w:ascii="Calibri" w:cs="Calibri" w:eastAsia="Calibri" w:hAnsi="Calibri"/>
          <w:sz w:val="21"/>
          <w:szCs w:val="21"/>
        </w:rPr>
        <w:t xml:space="preserve">: el alcance funcional que el licitador se obliga a entregar.</w:t>
      </w:r>
    </w:p>
    <w:p>
      <w:pPr>
        <w:pBdr>
          <w:left w:val="single" w:color="BFBFBF" w:sz="12" w:space="8"/>
        </w:pBdr>
        <w:spacing w:after="140" w:line="264"/>
        <w:ind w:left="400"/>
      </w:pPr>
      <w:r>
        <w:rPr>
          <w:rFonts w:ascii="Georgia" w:cs="Georgia" w:eastAsia="Georgia" w:hAnsi="Georgia"/>
          <w:b/>
          <w:bCs/>
          <w:i/>
          <w:iCs/>
          <w:color w:val="595959"/>
          <w:sz w:val="20"/>
          <w:szCs w:val="20"/>
        </w:rPr>
        <w:t xml:space="preserve">El ejemplo que lo hace evidente</w:t>
      </w:r>
    </w:p>
    <w:p>
      <w:pPr>
        <w:pBdr>
          <w:left w:val="single" w:color="BFBFBF" w:sz="12" w:space="8"/>
        </w:pBdr>
        <w:spacing w:after="140" w:line="264"/>
        <w:ind w:left="400"/>
      </w:pPr>
      <w:r>
        <w:rPr>
          <w:rFonts w:ascii="Georgia" w:cs="Georgia" w:eastAsia="Georgia" w:hAnsi="Georgia"/>
          <w:b/>
          <w:bCs/>
          <w:i/>
          <w:iCs/>
          <w:color w:val="595959"/>
          <w:sz w:val="20"/>
          <w:szCs w:val="20"/>
        </w:rPr>
        <w:t xml:space="preserve">Mal:</w:t>
      </w:r>
      <w:r>
        <w:rPr>
          <w:rFonts w:ascii="Georgia" w:cs="Georgia" w:eastAsia="Georgia" w:hAnsi="Georgia"/>
          <w:i/>
          <w:iCs/>
          <w:color w:val="595959"/>
          <w:sz w:val="20"/>
          <w:szCs w:val="20"/>
        </w:rPr>
        <w:t xml:space="preserve"> el PPT obliga a que la solución tenga conformidad con el ENS. Y el baremo da 10 puntos a quien acredite conformidad con el ENS.</w:t>
      </w:r>
    </w:p>
    <w:p>
      <w:pPr>
        <w:pBdr>
          <w:left w:val="single" w:color="BFBFBF" w:sz="12" w:space="8"/>
        </w:pBdr>
        <w:spacing w:after="140" w:line="264"/>
        <w:ind w:left="400"/>
      </w:pPr>
      <w:r>
        <w:rPr>
          <w:rFonts w:ascii="Georgia" w:cs="Georgia" w:eastAsia="Georgia" w:hAnsi="Georgia"/>
          <w:b/>
          <w:bCs/>
          <w:i/>
          <w:iCs/>
          <w:color w:val="595959"/>
          <w:sz w:val="20"/>
          <w:szCs w:val="20"/>
        </w:rPr>
        <w:t xml:space="preserve">Resultado:</w:t>
      </w:r>
      <w:r>
        <w:rPr>
          <w:rFonts w:ascii="Georgia" w:cs="Georgia" w:eastAsia="Georgia" w:hAnsi="Georgia"/>
          <w:i/>
          <w:iCs/>
          <w:color w:val="595959"/>
          <w:sz w:val="20"/>
          <w:szCs w:val="20"/>
        </w:rPr>
        <w:t xml:space="preserve"> se están dando puntos por cumplir un mínimo obligatorio. Todos los licitadores admitidos lo cumplen —si no, estarían excluidos—, así que el criterio no distingue nada y sólo sirve para que un recurrente lo señale.</w:t>
      </w:r>
    </w:p>
    <w:p>
      <w:pPr>
        <w:pBdr>
          <w:left w:val="single" w:color="BFBFBF" w:sz="12" w:space="8"/>
        </w:pBdr>
        <w:spacing w:after="140" w:line="264"/>
        <w:ind w:left="400"/>
      </w:pPr>
      <w:r>
        <w:rPr>
          <w:rFonts w:ascii="Georgia" w:cs="Georgia" w:eastAsia="Georgia" w:hAnsi="Georgia"/>
          <w:b/>
          <w:bCs/>
          <w:i/>
          <w:iCs/>
          <w:color w:val="595959"/>
          <w:sz w:val="20"/>
          <w:szCs w:val="20"/>
        </w:rPr>
        <w:t xml:space="preserve">Bien:</w:t>
      </w:r>
      <w:r>
        <w:rPr>
          <w:rFonts w:ascii="Georgia" w:cs="Georgia" w:eastAsia="Georgia" w:hAnsi="Georgia"/>
          <w:i/>
          <w:iCs/>
          <w:color w:val="595959"/>
          <w:sz w:val="20"/>
          <w:szCs w:val="20"/>
        </w:rPr>
        <w:t xml:space="preserve"> la conformidad con el ENS queda como prescripción técnica obligatoria y no puntúa. Si se quiere puntuar algo en esa línea, se puntúa un incremento concreto sobre el mínimo, «expresado sobre la misma unidad de medida y sobre la misma relación cerrada y numerada que fije el mínimo», que es la forma que el clausulado exige para que la mejora del art. 145.7 sea medible y no una apreciación.</w:t>
      </w:r>
    </w:p>
    <w:p>
      <w:pPr>
        <w:pBdr>
          <w:left w:val="single" w:color="BFBFBF" w:sz="12" w:space="8"/>
        </w:pBdr>
        <w:spacing w:after="140" w:line="264"/>
        <w:ind w:left="400"/>
      </w:pPr>
      <w:r>
        <w:rPr>
          <w:rFonts w:ascii="Georgia" w:cs="Georgia" w:eastAsia="Georgia" w:hAnsi="Georgia"/>
          <w:b/>
          <w:bCs/>
          <w:i/>
          <w:iCs/>
          <w:color w:val="595959"/>
          <w:sz w:val="20"/>
          <w:szCs w:val="20"/>
        </w:rPr>
        <w:t xml:space="preserve">Y una advertencia que por sí sola tumba un criterio.</w:t>
      </w:r>
      <w:r>
        <w:rPr>
          <w:rFonts w:ascii="Georgia" w:cs="Georgia" w:eastAsia="Georgia" w:hAnsi="Georgia"/>
          <w:i/>
          <w:iCs/>
          <w:color w:val="595959"/>
          <w:sz w:val="20"/>
          <w:szCs w:val="20"/>
        </w:rPr>
        <w:t xml:space="preserve"> No basta con colocar el criterio en el sitio correcto: hay que motivar su vínculo con el objeto del contrato. El clausulado cita el TACRC, Resolución 549/2020: «La falta de motivación del vínculo entre los citados sistemas y el objeto del contrato, por sí sola, produce la infracción de la norma, determinando la anulación del criterio de adjudicación». Sin necesidad de entrar en el fondo.</w:t>
      </w:r>
    </w:p>
    <w:p>
      <w:pPr>
        <w:spacing w:after="140" w:line="276"/>
      </w:pPr>
      <w:r>
        <w:rPr>
          <w:rFonts w:ascii="Calibri" w:cs="Calibri" w:eastAsia="Calibri" w:hAnsi="Calibri"/>
          <w:i/>
          <w:iCs/>
          <w:sz w:val="21"/>
          <w:szCs w:val="21"/>
        </w:rPr>
        <w:t xml:space="preserve">Fuentes en el catálogo: Parte I, §7.3, «Regla de separación de instrumentos» · Parte III, ADM-7·v3, ADM-7.1, «Reglas de construcción del baremo», reglas 1 y 2 · Parte I, §7.6, y Anexo I (Cuadro Maestro) · Parte IV, §M3, y Parte V, sobre la constancia expresa de no duplicidad. Doctrina citada por el propio clausulado: TACRC 1727/2021 (rec. 1372/2021, Ayuntamiento de Cofrentes) y TACRC 549/2020 (rec. 323/2020), ambas invocadas como doctrina general trasladada por analogía. Normas: arts. 76, 90, 93, 94, 124-126, 145 (145.6, 145.7), 150.2 y 202 LCSP.</w:t>
      </w:r>
    </w:p>
    <w:p>
      <w:r>
        <w:br w:type="page"/>
      </w:r>
    </w:p>
    <w:p>
      <w:pPr>
        <w:pStyle w:val="Heading1"/>
        <w:keepNext/>
        <w:spacing w:after="240" w:before="200"/>
      </w:pPr>
      <w:r>
        <w:rPr>
          <w:rFonts w:ascii="Georgia" w:cs="Georgia" w:eastAsia="Georgia" w:hAnsi="Georgia"/>
          <w:b/>
          <w:bCs/>
          <w:color w:val="1F3864"/>
          <w:sz w:val="34"/>
          <w:szCs w:val="34"/>
        </w:rPr>
        <w:t xml:space="preserve">4 · Por qué no hay que esperar a un acuerdo del órgano de gobierno para empezar</w:t>
      </w:r>
    </w:p>
    <w:p>
      <w:pPr>
        <w:pBdr>
          <w:left w:val="single" w:color="BFBFBF" w:sz="12" w:space="8"/>
        </w:pBdr>
        <w:spacing w:after="140" w:line="264"/>
        <w:ind w:left="400"/>
      </w:pPr>
      <w:r>
        <w:rPr>
          <w:rFonts w:ascii="Georgia" w:cs="Georgia" w:eastAsia="Georgia" w:hAnsi="Georgia"/>
          <w:i/>
          <w:iCs/>
          <w:color w:val="595959"/>
          <w:sz w:val="20"/>
          <w:szCs w:val="20"/>
        </w:rPr>
        <w:t xml:space="preserve">La pregunta es frecuente en quien prepara un pliego: ¿por qué no puedo añadir una cláusula adecuada a un contrato del que estoy preparando el pliego, sin esperar a una conformidad oficial? La respuesta está en el propio clausulado, en el apartado «Qué falta, y qué NO condiciona» de su «Estado de este documento». Lo que sigue es ese texto, explicado.</w:t>
      </w:r>
    </w:p>
    <w:p>
      <w:pPr>
        <w:pStyle w:val="Heading2"/>
        <w:keepNext/>
        <w:spacing w:after="140" w:before="320"/>
      </w:pPr>
      <w:r>
        <w:rPr>
          <w:rFonts w:ascii="Georgia" w:cs="Georgia" w:eastAsia="Georgia" w:hAnsi="Georgia"/>
          <w:b/>
          <w:bCs/>
          <w:color w:val="1F3864"/>
          <w:sz w:val="26"/>
          <w:szCs w:val="26"/>
        </w:rPr>
        <w:t xml:space="preserve">La confusión que hay que deshacer</w:t>
      </w:r>
    </w:p>
    <w:p>
      <w:pPr>
        <w:spacing w:after="140" w:line="276"/>
      </w:pPr>
      <w:r>
        <w:rPr>
          <w:rFonts w:ascii="Calibri" w:cs="Calibri" w:eastAsia="Calibri" w:hAnsi="Calibri"/>
          <w:sz w:val="21"/>
          <w:szCs w:val="21"/>
        </w:rPr>
        <w:t xml:space="preserve">El «Estado de este documento» enumera tres condiciones pendientes. Es fácil leerlas como si dijeran «hasta que esto no esté, no se puede usar nada». No dicen eso. El clausulado lo separa expresamente, y con estas palabras:</w:t>
      </w:r>
    </w:p>
    <w:p>
      <w:pPr>
        <w:pBdr>
          <w:left w:val="single" w:color="BFBFBF" w:sz="12" w:space="8"/>
        </w:pBdr>
        <w:spacing w:after="140" w:line="264"/>
        <w:ind w:left="400"/>
      </w:pPr>
      <w:r>
        <w:rPr>
          <w:rFonts w:ascii="Georgia" w:cs="Georgia" w:eastAsia="Georgia" w:hAnsi="Georgia"/>
          <w:i/>
          <w:iCs/>
          <w:color w:val="595959"/>
          <w:sz w:val="20"/>
          <w:szCs w:val="20"/>
        </w:rPr>
        <w:t xml:space="preserve">«Estas tres condiciones limitan el uso de este documento como modelo aprobado; no limitan la potestad de nadie para escribir buenas cláusulas en su propio pliego.»</w:t>
      </w:r>
    </w:p>
    <w:p>
      <w:pPr>
        <w:spacing w:after="140" w:line="276"/>
      </w:pPr>
      <w:r>
        <w:rPr>
          <w:rFonts w:ascii="Calibri" w:cs="Calibri" w:eastAsia="Calibri" w:hAnsi="Calibri"/>
          <w:sz w:val="21"/>
          <w:szCs w:val="21"/>
        </w:rPr>
        <w:t xml:space="preserve">Es decir: lo que está pendiente es que el catálogo tenga rango de modelo aprobado. No está pendiente que un técnico pueda redactar bien un pliego. Eso nunca ha estado condicionado, porque la Ley de Contratos no contiene ningún catálogo de lo que hay que meter en un PPT o en un PCAP: lo que exige el art. 28.1 LCSP es que el órgano de contratación determine la necesidad con precisión y deje constancia en la documentación preparatoria. El mismo apartado precisa cómo se hace: lo que puede hacerse desde el primer día es «usar sus soluciones de redacción, sosteniendo cada exigencia en la memoria del expediente con datos propios y sin remitirse a este documento».</w:t>
      </w:r>
    </w:p>
    <w:p>
      <w:pPr>
        <w:pStyle w:val="Heading2"/>
        <w:keepNext/>
        <w:spacing w:after="140" w:before="320"/>
      </w:pPr>
      <w:r>
        <w:rPr>
          <w:rFonts w:ascii="Georgia" w:cs="Georgia" w:eastAsia="Georgia" w:hAnsi="Georgia"/>
          <w:b/>
          <w:bCs/>
          <w:color w:val="1F3864"/>
          <w:sz w:val="26"/>
          <w:szCs w:val="26"/>
        </w:rPr>
        <w:t xml:space="preserve">Qué necesita acuerdo y qué no</w:t>
      </w:r>
    </w:p>
    <w:p>
      <w:pPr>
        <w:spacing w:after="140" w:line="276"/>
      </w:pPr>
      <w:r>
        <w:rPr>
          <w:rFonts w:ascii="Calibri" w:cs="Calibri" w:eastAsia="Calibri" w:hAnsi="Calibri"/>
          <w:sz w:val="21"/>
          <w:szCs w:val="21"/>
        </w:rPr>
        <w:t xml:space="preserve">Depende exclusivamente del origen de la necesidad. El clausulado lo dice sin ambigüedad:</w:t>
      </w:r>
    </w:p>
    <w:p>
      <w:pPr>
        <w:pBdr>
          <w:left w:val="single" w:color="BFBFBF" w:sz="12" w:space="8"/>
        </w:pBdr>
        <w:spacing w:after="140" w:line="264"/>
        <w:ind w:left="400"/>
      </w:pPr>
      <w:r>
        <w:rPr>
          <w:rFonts w:ascii="Georgia" w:cs="Georgia" w:eastAsia="Georgia" w:hAnsi="Georgia"/>
          <w:i/>
          <w:iCs/>
          <w:color w:val="595959"/>
          <w:sz w:val="20"/>
          <w:szCs w:val="20"/>
        </w:rPr>
        <w:t xml:space="preserve">«La mayoría del catálogo —y la de más valor económico: reversibilidad, propiedad intelectual, acceso al dato, ENS bien redactado— se ancla por vía normativa o funcional y no necesita ningún acuerdo previo: basta con motivarla en la memoria del expediente con datos propios. Sólo las cláusulas de origen institucional —aquellas que ninguna norma impone y ningún gestor pide— necesitan el acuerdo del órgano de gobierno, que no es un permiso sino su prueba documental de necesidad.»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necesita para incorporarla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¿Hace falta acuerdo del órgano de gobierno?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Normativo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por razón de la materia, con cita del precepto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Lo impone una norma en vigor; el acuerdo no añadiría nada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 del gestor del contrato en la ficha del Anexo II</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La necesidad es del servicio y el gestor la acredita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del órgano de gobierno (Anexo VIII), más informe del servicio promotor sobre su aplicación a ese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Es el único caso, y es donde vive el Anexo V</w:t>
            </w:r>
          </w:p>
        </w:tc>
      </w:tr>
    </w:tbl>
    <w:p>
      <w:pPr>
        <w:spacing w:after="200"/>
      </w:pPr>
    </w:p>
    <w:p>
      <w:pPr>
        <w:spacing w:after="140" w:line="276"/>
      </w:pPr>
      <w:r>
        <w:rPr>
          <w:rFonts w:ascii="Calibri" w:cs="Calibri" w:eastAsia="Calibri" w:hAnsi="Calibri"/>
          <w:sz w:val="21"/>
          <w:szCs w:val="21"/>
        </w:rPr>
        <w:t xml:space="preserve">La razón es de lógica probatoria, no de jerarquía: si una exigencia no la impone ninguna norma y no la pide ningún servicio, algo tiene que acreditar que es una necesidad y no un capricho. Ese algo es el acuerdo. El clausulado lo formula en su párrafo de cierre del §3.9:</w:t>
      </w:r>
    </w:p>
    <w:p>
      <w:pPr>
        <w:pBdr>
          <w:left w:val="single" w:color="BFBFBF" w:sz="12" w:space="8"/>
        </w:pBdr>
        <w:spacing w:after="140" w:line="264"/>
        <w:ind w:left="400"/>
      </w:pPr>
      <w:r>
        <w:rPr>
          <w:rFonts w:ascii="Georgia" w:cs="Georgia" w:eastAsia="Georgia" w:hAnsi="Georgia"/>
          <w:i/>
          <w:iCs/>
          <w:color w:val="595959"/>
          <w:sz w:val="20"/>
          <w:szCs w:val="20"/>
        </w:rPr>
        <w:t xml:space="preserve">«Si viene de una norma, se cita el precepto; si viene del servicio, se aportan sus datos; si no viene de ninguno de los dos, hace falta un acuerdo del órgano de gobierno que la asuma como política municipal, con calendario y con contraste de mercado. Y si no hay ninguna de las tres cosas, la exigencia no entra en el pliego.»</w:t>
      </w:r>
    </w:p>
    <w:p>
      <w:pPr>
        <w:pStyle w:val="Heading2"/>
        <w:keepNext/>
        <w:spacing w:after="140" w:before="320"/>
      </w:pPr>
      <w:r>
        <w:rPr>
          <w:rFonts w:ascii="Georgia" w:cs="Georgia" w:eastAsia="Georgia" w:hAnsi="Georgia"/>
          <w:b/>
          <w:bCs/>
          <w:color w:val="1F3864"/>
          <w:sz w:val="26"/>
          <w:szCs w:val="26"/>
        </w:rPr>
        <w:t xml:space="preserve">La cifra que zanja la cuestión práctica</w:t>
      </w:r>
    </w:p>
    <w:p>
      <w:pPr>
        <w:spacing w:after="140" w:line="276"/>
      </w:pPr>
      <w:r>
        <w:rPr>
          <w:rFonts w:ascii="Calibri" w:cs="Calibri" w:eastAsia="Calibri" w:hAnsi="Calibri"/>
          <w:sz w:val="21"/>
          <w:szCs w:val="21"/>
        </w:rPr>
        <w:t xml:space="preserve">El propio documento la da, y es la respuesta corta a «¿puedo empezar ya?»:</w:t>
      </w:r>
    </w:p>
    <w:p>
      <w:pPr>
        <w:pBdr>
          <w:left w:val="single" w:color="BFBFBF" w:sz="12" w:space="8"/>
        </w:pBdr>
        <w:spacing w:after="140" w:line="264"/>
        <w:ind w:left="400"/>
      </w:pPr>
      <w:r>
        <w:rPr>
          <w:rFonts w:ascii="Georgia" w:cs="Georgia" w:eastAsia="Georgia" w:hAnsi="Georgia"/>
          <w:b/>
          <w:bCs/>
          <w:i/>
          <w:iCs/>
          <w:color w:val="595959"/>
          <w:sz w:val="20"/>
          <w:szCs w:val="20"/>
        </w:rPr>
        <w:t xml:space="preserve">De las seis cláusulas del subconjunto mínimo (§VI.2.2) —siete, con DT-1·v3, cuando intervengan sistemas de inteligencia artificial—, sólo ADM-2·v3 con su Anexo V depende de ese acuerdo, y con él la DT-7·v3 que arrastra el Anexo V de este catálogo.</w:t>
      </w:r>
    </w:p>
    <w:p>
      <w:pPr>
        <w:spacing w:after="140" w:line="276"/>
      </w:pPr>
      <w:r>
        <w:rPr>
          <w:rFonts w:ascii="Calibri" w:cs="Calibri" w:eastAsia="Calibri" w:hAnsi="Calibri"/>
          <w:sz w:val="21"/>
          <w:szCs w:val="21"/>
        </w:rPr>
        <w:t xml:space="preserve">Y en el ejemplo completo trabajado, con las veinticuatro cláusulas evaluadas, el recuento apunta en la misma dirección: </w:t>
      </w:r>
      <w:r>
        <w:rPr>
          <w:rFonts w:ascii="Calibri" w:cs="Calibri" w:eastAsia="Calibri" w:hAnsi="Calibri"/>
          <w:b/>
          <w:bCs/>
          <w:sz w:val="21"/>
          <w:szCs w:val="21"/>
        </w:rPr>
        <w:t xml:space="preserve">24 cláusulas · 16 aplicadas sin condición · 4 condicionadas al acuerdo del órgano de gobierno</w:t>
      </w:r>
      <w:r>
        <w:rPr>
          <w:rFonts w:ascii="Calibri" w:cs="Calibri" w:eastAsia="Calibri" w:hAnsi="Calibri"/>
          <w:sz w:val="21"/>
          <w:szCs w:val="21"/>
        </w:rPr>
        <w:t xml:space="preserve"> (DT-7·v3, DT-9·v3 y, con ellas, ADM-2·v3 y ADM-10·v3) </w:t>
      </w:r>
      <w:r>
        <w:rPr>
          <w:rFonts w:ascii="Calibri" w:cs="Calibri" w:eastAsia="Calibri" w:hAnsi="Calibri"/>
          <w:b/>
          <w:bCs/>
          <w:sz w:val="21"/>
          <w:szCs w:val="21"/>
        </w:rPr>
        <w:t xml:space="preserve">· 4 marcadas NO APLICA</w:t>
      </w:r>
      <w:r>
        <w:rPr>
          <w:rFonts w:ascii="Calibri" w:cs="Calibri" w:eastAsia="Calibri" w:hAnsi="Calibri"/>
          <w:sz w:val="21"/>
          <w:szCs w:val="21"/>
        </w:rPr>
        <w:t xml:space="preserve">.</w:t>
      </w:r>
    </w:p>
    <w:p>
      <w:pPr>
        <w:pStyle w:val="Heading2"/>
        <w:keepNext/>
        <w:spacing w:after="140" w:before="320"/>
      </w:pPr>
      <w:r>
        <w:rPr>
          <w:rFonts w:ascii="Georgia" w:cs="Georgia" w:eastAsia="Georgia" w:hAnsi="Georgia"/>
          <w:b/>
          <w:bCs/>
          <w:color w:val="1F3864"/>
          <w:sz w:val="26"/>
          <w:szCs w:val="26"/>
        </w:rPr>
        <w:t xml:space="preserve">Lo que sí hay que hacer, y no es opcional</w:t>
      </w:r>
    </w:p>
    <w:p>
      <w:pPr>
        <w:spacing w:after="140" w:line="276"/>
      </w:pPr>
      <w:r>
        <w:rPr>
          <w:rFonts w:ascii="Calibri" w:cs="Calibri" w:eastAsia="Calibri" w:hAnsi="Calibri"/>
          <w:sz w:val="21"/>
          <w:szCs w:val="21"/>
        </w:rPr>
        <w:t xml:space="preserve">Que no haga falta acuerdo no significa que baste con copiar. Lo que sustituye al acuerdo es </w:t>
      </w:r>
      <w:r>
        <w:rPr>
          <w:rFonts w:ascii="Calibri" w:cs="Calibri" w:eastAsia="Calibri" w:hAnsi="Calibri"/>
          <w:b/>
          <w:bCs/>
          <w:sz w:val="21"/>
          <w:szCs w:val="21"/>
        </w:rPr>
        <w:t xml:space="preserve">motivación propia en el expediente</w:t>
      </w:r>
      <w:r>
        <w:rPr>
          <w:rFonts w:ascii="Calibri" w:cs="Calibri" w:eastAsia="Calibri" w:hAnsi="Calibri"/>
          <w:sz w:val="21"/>
          <w:szCs w:val="21"/>
        </w:rPr>
        <w:t xml:space="preserve">, y el clausulado es duro con la alternativa:</w:t>
      </w:r>
    </w:p>
    <w:p>
      <w:pPr>
        <w:pBdr>
          <w:left w:val="single" w:color="BFBFBF" w:sz="12" w:space="8"/>
        </w:pBdr>
        <w:spacing w:after="140" w:line="264"/>
        <w:ind w:left="400"/>
      </w:pPr>
      <w:r>
        <w:rPr>
          <w:rFonts w:ascii="Georgia" w:cs="Georgia" w:eastAsia="Georgia" w:hAnsi="Georgia"/>
          <w:b/>
          <w:bCs/>
          <w:i/>
          <w:iCs/>
          <w:color w:val="595959"/>
          <w:sz w:val="20"/>
          <w:szCs w:val="20"/>
        </w:rPr>
        <w:t xml:space="preserve">Lo que no cabe.</w:t>
      </w:r>
      <w:r>
        <w:rPr>
          <w:rFonts w:ascii="Georgia" w:cs="Georgia" w:eastAsia="Georgia" w:hAnsi="Georgia"/>
          <w:i/>
          <w:iCs/>
          <w:color w:val="595959"/>
          <w:sz w:val="20"/>
          <w:szCs w:val="20"/>
        </w:rPr>
        <w:t xml:space="preserve"> Incorporar una cláusula «igual», con una frase genérica de justificación. Eso es justificación estereotipada, y es lo primero que subraya un recurrente. El precedente está citado en el propio documento: la Resolución 383/2024 del TACP de Madrid estimó el recurso contra unos pliegos que exigían ENS Nivel Alto sin haber hecho el análisis, y la lección que el clausulado extrae es que la motivación va en la memoria justificativa del expediente, y no puede completarse después, en sede de recurso.</w:t>
      </w:r>
    </w:p>
    <w:p>
      <w:pPr>
        <w:spacing w:after="140" w:line="276"/>
      </w:pPr>
      <w:r>
        <w:rPr>
          <w:rFonts w:ascii="Calibri" w:cs="Calibri" w:eastAsia="Calibri" w:hAnsi="Calibri"/>
          <w:sz w:val="21"/>
          <w:szCs w:val="21"/>
        </w:rPr>
        <w:t xml:space="preserve">En concreto, para incorporar una cláusula sin acuerdo previo hay que tener en el expediente:</w:t>
      </w:r>
    </w:p>
    <w:p>
      <w:pPr>
        <w:pStyle w:val="ListParagraph"/>
        <w:numPr>
          <w:ilvl w:val="0"/>
          <w:numId w:val="2"/>
        </w:numPr>
        <w:spacing w:after="70" w:line="268"/>
      </w:pPr>
      <w:r>
        <w:rPr>
          <w:rFonts w:ascii="Calibri" w:cs="Calibri" w:eastAsia="Calibri" w:hAnsi="Calibri"/>
          <w:b/>
          <w:bCs/>
          <w:sz w:val="21"/>
          <w:szCs w:val="21"/>
        </w:rPr>
        <w:t xml:space="preserve">el informe de necesidad</w:t>
      </w:r>
      <w:r>
        <w:rPr>
          <w:rFonts w:ascii="Calibri" w:cs="Calibri" w:eastAsia="Calibri" w:hAnsi="Calibri"/>
          <w:sz w:val="21"/>
          <w:szCs w:val="21"/>
        </w:rPr>
        <w:t xml:space="preserve"> (Anexo III), que cumple los arts. 28.1 y 116.4.e) LCSP y que se redacta </w:t>
      </w:r>
      <w:r>
        <w:rPr>
          <w:rFonts w:ascii="Calibri" w:cs="Calibri" w:eastAsia="Calibri" w:hAnsi="Calibri"/>
          <w:i/>
          <w:iCs/>
          <w:sz w:val="21"/>
          <w:szCs w:val="21"/>
        </w:rPr>
        <w:t xml:space="preserve">antes</w:t>
      </w:r>
      <w:r>
        <w:rPr>
          <w:rFonts w:ascii="Calibri" w:cs="Calibri" w:eastAsia="Calibri" w:hAnsi="Calibri"/>
          <w:sz w:val="21"/>
          <w:szCs w:val="21"/>
        </w:rPr>
        <w:t xml:space="preserve"> de la ficha;</w:t>
      </w:r>
    </w:p>
    <w:p>
      <w:pPr>
        <w:pStyle w:val="ListParagraph"/>
        <w:numPr>
          <w:ilvl w:val="0"/>
          <w:numId w:val="2"/>
        </w:numPr>
        <w:spacing w:after="70" w:line="268"/>
      </w:pPr>
      <w:r>
        <w:rPr>
          <w:rFonts w:ascii="Calibri" w:cs="Calibri" w:eastAsia="Calibri" w:hAnsi="Calibri"/>
          <w:b/>
          <w:bCs/>
          <w:sz w:val="21"/>
          <w:szCs w:val="21"/>
        </w:rPr>
        <w:t xml:space="preserve">la ficha de aplicabilidad</w:t>
      </w:r>
      <w:r>
        <w:rPr>
          <w:rFonts w:ascii="Calibri" w:cs="Calibri" w:eastAsia="Calibri" w:hAnsi="Calibri"/>
          <w:sz w:val="21"/>
          <w:szCs w:val="21"/>
        </w:rPr>
        <w:t xml:space="preserve"> (Anexo II) firmada por quien corresponda según la doble vía de firma (sección 2 de este documento);</w:t>
      </w:r>
    </w:p>
    <w:p>
      <w:pPr>
        <w:pStyle w:val="ListParagraph"/>
        <w:numPr>
          <w:ilvl w:val="0"/>
          <w:numId w:val="2"/>
        </w:numPr>
        <w:spacing w:after="70" w:line="268"/>
      </w:pPr>
      <w:r>
        <w:rPr>
          <w:rFonts w:ascii="Calibri" w:cs="Calibri" w:eastAsia="Calibri" w:hAnsi="Calibri"/>
          <w:b/>
          <w:bCs/>
          <w:sz w:val="21"/>
          <w:szCs w:val="21"/>
        </w:rPr>
        <w:t xml:space="preserve">la motivación de la proporcionalidad</w:t>
      </w:r>
      <w:r>
        <w:rPr>
          <w:rFonts w:ascii="Calibri" w:cs="Calibri" w:eastAsia="Calibri" w:hAnsi="Calibri"/>
          <w:sz w:val="21"/>
          <w:szCs w:val="21"/>
        </w:rPr>
        <w:t xml:space="preserve"> respecto de ese contrato: el clausulado advierte que citar el origen acredita el origen, pero «la proporcionalidad respecto de este contrato hay que escribirla»;</w:t>
      </w:r>
    </w:p>
    <w:p>
      <w:pPr>
        <w:pStyle w:val="ListParagraph"/>
        <w:numPr>
          <w:ilvl w:val="0"/>
          <w:numId w:val="2"/>
        </w:numPr>
        <w:spacing w:after="70" w:line="268"/>
      </w:pPr>
      <w:r>
        <w:rPr>
          <w:rFonts w:ascii="Calibri" w:cs="Calibri" w:eastAsia="Calibri" w:hAnsi="Calibri"/>
          <w:b/>
          <w:bCs/>
          <w:sz w:val="21"/>
          <w:szCs w:val="21"/>
        </w:rPr>
        <w:t xml:space="preserve">la constancia de que se ha aplicado la regla de separación de instrumentos</w:t>
      </w:r>
      <w:r>
        <w:rPr>
          <w:rFonts w:ascii="Calibri" w:cs="Calibri" w:eastAsia="Calibri" w:hAnsi="Calibri"/>
          <w:sz w:val="21"/>
          <w:szCs w:val="21"/>
        </w:rPr>
        <w:t xml:space="preserve"> (sección 3).</w:t>
      </w:r>
    </w:p>
    <w:p>
      <w:pPr>
        <w:spacing w:after="140" w:line="276"/>
      </w:pPr>
      <w:r>
        <w:rPr>
          <w:rFonts w:ascii="Calibri" w:cs="Calibri" w:eastAsia="Calibri" w:hAnsi="Calibri"/>
          <w:sz w:val="21"/>
          <w:szCs w:val="21"/>
        </w:rPr>
        <w:t xml:space="preserve">Y una advertencia de la que conviene ser consciente al redactar: la ficha del Anexo II y el informe del Anexo III son </w:t>
      </w:r>
      <w:r>
        <w:rPr>
          <w:rFonts w:ascii="Calibri" w:cs="Calibri" w:eastAsia="Calibri" w:hAnsi="Calibri"/>
          <w:b/>
          <w:bCs/>
          <w:sz w:val="21"/>
          <w:szCs w:val="21"/>
        </w:rPr>
        <w:t xml:space="preserve">documento público</w:t>
      </w:r>
      <w:r>
        <w:rPr>
          <w:rFonts w:ascii="Calibri" w:cs="Calibri" w:eastAsia="Calibri" w:hAnsi="Calibri"/>
          <w:sz w:val="21"/>
          <w:szCs w:val="21"/>
        </w:rPr>
        <w:t xml:space="preserve"> desde que se publica el expediente (arts. 116.1 y 63.3.a) LCSP). El clausulado lo dice sin rodeos: «se redactan sabiendo que los lee un recurrente».</w:t>
      </w:r>
    </w:p>
    <w:p>
      <w:pPr>
        <w:spacing w:after="140" w:line="276"/>
      </w:pPr>
      <w:r>
        <w:rPr>
          <w:rFonts w:ascii="Calibri" w:cs="Calibri" w:eastAsia="Calibri" w:hAnsi="Calibri"/>
          <w:i/>
          <w:iCs/>
          <w:sz w:val="21"/>
          <w:szCs w:val="21"/>
        </w:rPr>
        <w:t xml:space="preserve">Fuentes en el catálogo: Estado de este documento, «Qué falta, y qué NO condiciona» · Parte I, §3.8, consecuencias 2 y 3, y §3.9, «Párrafo de cierre» · Parte V, §V.2.2, y §V.4.2, y Parte VI, §VI.4.2, tabla de orígenes N/F/I y regla de cierre · Parte VI, §VI.2.2, subconjunto mínimo · Parte VI, §VI.4.3, recuento del piloto · Parte IV, §M11, filas 1 a 3, condiciones suspensivas · Anexos II, III y VIII. Normas: arts. 28.1, 63.3.a), 115, 116.1 y 116.4.e) LCSP. Doctrina: TACP Madrid 383/2024.</w:t>
      </w:r>
    </w:p>
    <w:p>
      <w:r>
        <w:br w:type="page"/>
      </w:r>
    </w:p>
    <w:p>
      <w:pPr>
        <w:pStyle w:val="Heading1"/>
        <w:keepNext/>
        <w:spacing w:after="240" w:before="200"/>
      </w:pPr>
      <w:r>
        <w:rPr>
          <w:rFonts w:ascii="Georgia" w:cs="Georgia" w:eastAsia="Georgia" w:hAnsi="Georgia"/>
          <w:b/>
          <w:bCs/>
          <w:color w:val="1F3864"/>
          <w:sz w:val="34"/>
          <w:szCs w:val="34"/>
        </w:rPr>
        <w:t xml:space="preserve">5 · La cláusula de reversibilidad, y la declaración de conflicto de interés</w:t>
      </w:r>
    </w:p>
    <w:p>
      <w:pPr>
        <w:pStyle w:val="Heading2"/>
        <w:keepNext/>
        <w:spacing w:after="140" w:before="320"/>
      </w:pPr>
      <w:r>
        <w:rPr>
          <w:rFonts w:ascii="Georgia" w:cs="Georgia" w:eastAsia="Georgia" w:hAnsi="Georgia"/>
          <w:b/>
          <w:bCs/>
          <w:color w:val="1F3864"/>
          <w:sz w:val="26"/>
          <w:szCs w:val="26"/>
        </w:rPr>
        <w:t xml:space="preserve">5.1 · Qué dice la cláusula de reversibilidad (DT-8·v3)</w:t>
      </w:r>
    </w:p>
    <w:p>
      <w:pPr>
        <w:spacing w:after="140" w:line="276"/>
      </w:pPr>
      <w:r>
        <w:rPr>
          <w:rFonts w:ascii="Calibri" w:cs="Calibri" w:eastAsia="Calibri" w:hAnsi="Calibri"/>
          <w:sz w:val="21"/>
          <w:szCs w:val="21"/>
        </w:rPr>
        <w:t xml:space="preserve">Es, junto con la de propiedad intelectual, la cláusula de más valor económico del catálogo. El propio documento describe su función: «convierte la reversibilidad de promesa en obligación con fecha, formato, ensayo y dinero detrás».</w:t>
      </w:r>
    </w:p>
    <w:p>
      <w:pPr>
        <w:spacing w:after="140" w:line="276"/>
      </w:pPr>
      <w:r>
        <w:rPr>
          <w:rFonts w:ascii="Calibri" w:cs="Calibri" w:eastAsia="Calibri" w:hAnsi="Calibri"/>
          <w:sz w:val="21"/>
          <w:szCs w:val="21"/>
        </w:rPr>
        <w:t xml:space="preserve">El problema que resuelve es la cautividad: si al terminar el contrato los datos, los desarrollos y la lógica de negocio se quedan con el proveedor saliente, cambiar de empresa es tan caro que nadie cambia, y la licitación siguiente está decidida antes de publicarse.</w:t>
      </w:r>
    </w:p>
    <w:p>
      <w:pPr>
        <w:pStyle w:val="Heading3"/>
        <w:keepNext/>
        <w:spacing w:after="140" w:before="320"/>
      </w:pPr>
      <w:r>
        <w:rPr>
          <w:rFonts w:ascii="Georgia" w:cs="Georgia" w:eastAsia="Georgia" w:hAnsi="Georgia"/>
          <w:b/>
          <w:bCs/>
          <w:color w:val="2F5496"/>
          <w:sz w:val="22"/>
          <w:szCs w:val="22"/>
        </w:rPr>
        <w:t xml:space="preserve">Lo que hay que entregar al terminar (apartado 1)</w:t>
      </w:r>
    </w:p>
    <w:p>
      <w:pPr>
        <w:spacing w:after="140" w:line="276"/>
      </w:pPr>
      <w:r>
        <w:rPr>
          <w:rFonts w:ascii="Calibri" w:cs="Calibri" w:eastAsia="Calibri" w:hAnsi="Calibri"/>
          <w:sz w:val="21"/>
          <w:szCs w:val="21"/>
        </w:rPr>
        <w:t xml:space="preserve">A la finalización del contrato por cualquier causa, de forma ordenada, </w:t>
      </w:r>
      <w:r>
        <w:rPr>
          <w:rFonts w:ascii="Calibri" w:cs="Calibri" w:eastAsia="Calibri" w:hAnsi="Calibri"/>
          <w:b/>
          <w:bCs/>
          <w:sz w:val="21"/>
          <w:szCs w:val="21"/>
        </w:rPr>
        <w:t xml:space="preserve">sin coste adicional</w:t>
      </w:r>
      <w:r>
        <w:rPr>
          <w:rFonts w:ascii="Calibri" w:cs="Calibri" w:eastAsia="Calibri" w:hAnsi="Calibri"/>
          <w:sz w:val="21"/>
          <w:szCs w:val="21"/>
        </w:rPr>
        <w:t xml:space="preserve"> y en </w:t>
      </w:r>
      <w:r>
        <w:rPr>
          <w:rFonts w:ascii="Calibri" w:cs="Calibri" w:eastAsia="Calibri" w:hAnsi="Calibri"/>
          <w:b/>
          <w:bCs/>
          <w:sz w:val="21"/>
          <w:szCs w:val="21"/>
        </w:rPr>
        <w:t xml:space="preserve">formatos abiertos, documentados y reutilizables</w:t>
      </w:r>
      <w:r>
        <w:rPr>
          <w:rFonts w:ascii="Calibri" w:cs="Calibri" w:eastAsia="Calibri" w:hAnsi="Calibri"/>
          <w:sz w:val="21"/>
          <w:szCs w:val="21"/>
        </w:rPr>
        <w:t xml:space="preserve"> conforme al Esquema Nacional de Interoperabilidad:</w:t>
      </w:r>
    </w:p>
    <w:p>
      <w:pPr>
        <w:pStyle w:val="ListParagraph"/>
        <w:numPr>
          <w:ilvl w:val="0"/>
          <w:numId w:val="1"/>
        </w:numPr>
        <w:spacing w:after="70" w:line="268"/>
      </w:pPr>
      <w:r>
        <w:rPr>
          <w:rFonts w:ascii="Calibri" w:cs="Calibri" w:eastAsia="Calibri" w:hAnsi="Calibri"/>
          <w:sz w:val="21"/>
          <w:szCs w:val="21"/>
        </w:rPr>
        <w:t xml:space="preserve">los datos municipales y sus modelos, con el diccionario de datos actualizado a la fecha de entrega;</w:t>
      </w:r>
    </w:p>
    <w:p>
      <w:pPr>
        <w:pStyle w:val="ListParagraph"/>
        <w:numPr>
          <w:ilvl w:val="0"/>
          <w:numId w:val="1"/>
        </w:numPr>
        <w:spacing w:after="70" w:line="268"/>
      </w:pPr>
      <w:r>
        <w:rPr>
          <w:rFonts w:ascii="Calibri" w:cs="Calibri" w:eastAsia="Calibri" w:hAnsi="Calibri"/>
          <w:sz w:val="21"/>
          <w:szCs w:val="21"/>
        </w:rPr>
        <w:t xml:space="preserve">el código fuente y objeto de los desarrollos hechos específicamente para el Ayuntamiento;</w:t>
      </w:r>
    </w:p>
    <w:p>
      <w:pPr>
        <w:pStyle w:val="ListParagraph"/>
        <w:numPr>
          <w:ilvl w:val="0"/>
          <w:numId w:val="1"/>
        </w:numPr>
        <w:spacing w:after="70" w:line="268"/>
      </w:pPr>
      <w:r>
        <w:rPr>
          <w:rFonts w:ascii="Calibri" w:cs="Calibri" w:eastAsia="Calibri" w:hAnsi="Calibri"/>
          <w:sz w:val="21"/>
          <w:szCs w:val="21"/>
        </w:rPr>
        <w:t xml:space="preserve">las configuraciones, parametrizaciones, reglas de negocio y algoritmos de cálculo o decisión diseñados específicamente para el Ayuntamiento, con su documentación técnica;</w:t>
      </w:r>
    </w:p>
    <w:p>
      <w:pPr>
        <w:pStyle w:val="ListParagraph"/>
        <w:numPr>
          <w:ilvl w:val="0"/>
          <w:numId w:val="1"/>
        </w:numPr>
        <w:spacing w:after="70" w:line="268"/>
      </w:pPr>
      <w:r>
        <w:rPr>
          <w:rFonts w:ascii="Calibri" w:cs="Calibri" w:eastAsia="Calibri" w:hAnsi="Calibri"/>
          <w:sz w:val="21"/>
          <w:szCs w:val="21"/>
        </w:rPr>
        <w:t xml:space="preserve">los prompts corporativos, bases de conocimiento y modelos ajustados con datos municipales;</w:t>
      </w:r>
    </w:p>
    <w:p>
      <w:pPr>
        <w:pStyle w:val="ListParagraph"/>
        <w:numPr>
          <w:ilvl w:val="0"/>
          <w:numId w:val="1"/>
        </w:numPr>
        <w:spacing w:after="70" w:line="268"/>
      </w:pPr>
      <w:r>
        <w:rPr>
          <w:rFonts w:ascii="Calibri" w:cs="Calibri" w:eastAsia="Calibri" w:hAnsi="Calibri"/>
          <w:sz w:val="21"/>
          <w:szCs w:val="21"/>
        </w:rPr>
        <w:t xml:space="preserve">la documentación técnica, de construcción y de despliegue;</w:t>
      </w:r>
    </w:p>
    <w:p>
      <w:pPr>
        <w:pStyle w:val="ListParagraph"/>
        <w:numPr>
          <w:ilvl w:val="0"/>
          <w:numId w:val="1"/>
        </w:numPr>
        <w:spacing w:after="70" w:line="268"/>
      </w:pPr>
      <w:r>
        <w:rPr>
          <w:rFonts w:ascii="Calibri" w:cs="Calibri" w:eastAsia="Calibri" w:hAnsi="Calibri"/>
          <w:sz w:val="21"/>
          <w:szCs w:val="21"/>
        </w:rPr>
        <w:t xml:space="preserve">el Inventario de Componentes y el Dossier de Reversibilidad.</w:t>
      </w:r>
    </w:p>
    <w:p>
      <w:pPr>
        <w:pBdr>
          <w:left w:val="single" w:color="BFBFBF" w:sz="12" w:space="8"/>
        </w:pBdr>
        <w:spacing w:after="140" w:line="264"/>
        <w:ind w:left="400"/>
      </w:pPr>
      <w:r>
        <w:rPr>
          <w:rFonts w:ascii="Georgia" w:cs="Georgia" w:eastAsia="Georgia" w:hAnsi="Georgia"/>
          <w:b/>
          <w:bCs/>
          <w:i/>
          <w:iCs/>
          <w:color w:val="595959"/>
          <w:sz w:val="20"/>
          <w:szCs w:val="20"/>
        </w:rPr>
        <w:t xml:space="preserve">Y lo que expresamente no se pide:</w:t>
      </w:r>
      <w:r>
        <w:rPr>
          <w:rFonts w:ascii="Georgia" w:cs="Georgia" w:eastAsia="Georgia" w:hAnsi="Georgia"/>
          <w:i/>
          <w:iCs/>
          <w:color w:val="595959"/>
          <w:sz w:val="20"/>
          <w:szCs w:val="20"/>
        </w:rPr>
        <w:t xml:space="preserve"> el código fuente del producto base, estándar o de mercado del adjudicatario, ni el de terceros licenciantes. El clausulado explica por qué, y la razón es de concurrencia: pedirlo «disuade de licitar a proveedores solventes». Además no hace falta, porque la Ley de Propiedad Intelectual ya concede al usuario legítimo la reproducción y transformación necesarias para el uso, incluida la corrección de errores (art. 100.1 TRLPI), y la descompilación para lograr la interoperabilidad (art. 100.5). A mayor abundamiento: ni las autoridades europeas de vigilancia del mercado acceden al código fuente de un sistema de IA de alto riesgo salvo solicitud motivada y como último recurso (art. 74.13 del Reglamento (UE) 2024/1689).</w:t>
      </w:r>
    </w:p>
    <w:p>
      <w:pPr>
        <w:pStyle w:val="Heading3"/>
        <w:keepNext/>
        <w:spacing w:after="140" w:before="320"/>
      </w:pPr>
      <w:r>
        <w:rPr>
          <w:rFonts w:ascii="Georgia" w:cs="Georgia" w:eastAsia="Georgia" w:hAnsi="Georgia"/>
          <w:b/>
          <w:bCs/>
          <w:color w:val="2F5496"/>
          <w:sz w:val="22"/>
          <w:szCs w:val="22"/>
        </w:rPr>
        <w:t xml:space="preserve">Los siete mecanismos que la hacen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establece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 · Inventario de Componentes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Separa cuatro categorías: producto base, desarrollos específicos para el Ayuntamiento, componentes de terceros con su licencia, y configuraciones. Se entrega a los 30 días de la formalización y se actualiza con cada versión en producción. «La falta de este inventario impide tener por cumplida la obligación de reversibilidad.»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 Plan y ensayo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de Reversibilidad en los 3 primeros meses, actualizado cada año, y al menos un ensayo real cada 24 meses y siempre uno en el último año. El ensayo es extracción y restitución efectivas de una muestra en un entorno ajeno a la infraestructura del adjudicatario, documentado en acta con resultado y tiempo empleado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 · Calendario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reversión empieza 3 meses antes del fin previsto —o desde la notificación de la resolución anticipada— y se completa en 30 días naturales desde la finalización. Ese período se computa dentro del plazo de ejecución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 Licencia de continuidad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adjudicatario mantiene vigente la licencia del producto base hasta 6 meses después del fin del contrato, lo estrictamente necesario para seguir operando hasta completar la migración. Forma parte del objeto y su coste se computó en el presupuesto base de licitación (art. 100.2 LCSP): es retribución, no liberalidad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 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datos, interfaces, inventario, procedimiento de migración y estimación de esfuerzo de migración. El Ayuntamiento puede incorporarlo —depurado de información confidencial— al pliego de la licitación siguiente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 · Datos personales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Devolución o supresión conforme al art. 28.3.g) RGPD, con certificación de supresión de las copias existentes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 · Acta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Ayuntamiento levanta acta en 15 días hábiles desde que se comunica la entrega íntegra. Si no lo hace ni objeta, la reversión se tiene por conforme. El plazo de garantía —12 meses— se computa desde el acta o, en su defecto, desde el vencimiento del plazo para levantarla</w:t>
            </w:r>
          </w:p>
        </w:tc>
      </w:tr>
    </w:tbl>
    <w:p>
      <w:pPr>
        <w:spacing w:after="200"/>
      </w:pPr>
    </w:p>
    <w:p>
      <w:pPr>
        <w:pBdr>
          <w:left w:val="single" w:color="BFBFBF" w:sz="12" w:space="8"/>
        </w:pBdr>
        <w:spacing w:after="140" w:line="264"/>
        <w:ind w:left="400"/>
      </w:pPr>
      <w:r>
        <w:rPr>
          <w:rFonts w:ascii="Georgia" w:cs="Georgia" w:eastAsia="Georgia" w:hAnsi="Georgia"/>
          <w:b/>
          <w:bCs/>
          <w:i/>
          <w:iCs/>
          <w:color w:val="595959"/>
          <w:sz w:val="20"/>
          <w:szCs w:val="20"/>
        </w:rPr>
        <w:t xml:space="preserve">Por qué el apartado 8 está redactado así, y es una lección de técnica.</w:t>
      </w:r>
      <w:r>
        <w:rPr>
          <w:rFonts w:ascii="Georgia" w:cs="Georgia" w:eastAsia="Georgia" w:hAnsi="Georgia"/>
          <w:i/>
          <w:iCs/>
          <w:color w:val="595959"/>
          <w:sz w:val="20"/>
          <w:szCs w:val="20"/>
        </w:rPr>
        <w:t xml:space="preserve"> La primera versión vinculaba el plazo de garantía «a la certificación municipal de la reversión». La palanca era real —la garantía definitiva no se devuelve antes del vencimiento del plazo de garantía (art. 111.1 LCSP)—, pero tenía un defecto que un letrado de licitador aprovecha de inmediato: «un plazo de garantía cuyo día inicial depende de un acto del Ayuntamiento que puede no producirse nunca no es un plazo». La solución conserva la palanca y elimina el defecto: calendario cierto, plazo cierto para el acta, y el silencio del Ayuntamiento jugando a favor del contratista.</w:t>
      </w:r>
    </w:p>
    <w:p>
      <w:pPr>
        <w:pStyle w:val="Heading3"/>
        <w:keepNext/>
        <w:spacing w:after="140" w:before="320"/>
      </w:pPr>
      <w:r>
        <w:rPr>
          <w:rFonts w:ascii="Georgia" w:cs="Georgia" w:eastAsia="Georgia" w:hAnsi="Georgia"/>
          <w:b/>
          <w:bCs/>
          <w:color w:val="2F5496"/>
          <w:sz w:val="22"/>
          <w:szCs w:val="22"/>
        </w:rPr>
        <w:t xml:space="preserve">De dónde nace la necesidad, y no es de un gestor</w:t>
      </w:r>
    </w:p>
    <w:p>
      <w:pPr>
        <w:pStyle w:val="ListParagraph"/>
        <w:numPr>
          <w:ilvl w:val="0"/>
          <w:numId w:val="1"/>
        </w:numPr>
        <w:spacing w:after="70" w:line="268"/>
      </w:pPr>
      <w:r>
        <w:rPr>
          <w:rFonts w:ascii="Calibri" w:cs="Calibri" w:eastAsia="Calibri" w:hAnsi="Calibri"/>
          <w:b/>
          <w:bCs/>
          <w:sz w:val="21"/>
          <w:szCs w:val="21"/>
        </w:rPr>
        <w:t xml:space="preserve">Reutilización entre administraciones.</w:t>
      </w:r>
      <w:r>
        <w:rPr>
          <w:rFonts w:ascii="Calibri" w:cs="Calibri" w:eastAsia="Calibri" w:hAnsi="Calibri"/>
          <w:sz w:val="21"/>
          <w:szCs w:val="21"/>
        </w:rPr>
        <w:t xml:space="preserve"> El art. 157.1 de la Ley 40/2015 obliga a poner las aplicaciones a disposición de otras administraciones que las soliciten, pero sólo las «de cuyos derechos de propiedad intelectual sean titulares». Sin reversibilidad y sin titularidad delimitada, el Ayuntamiento no puede cumplir ese precepto. La necesidad la impone la ley, no un gestor.</w:t>
      </w:r>
    </w:p>
    <w:p>
      <w:pPr>
        <w:pStyle w:val="ListParagraph"/>
        <w:numPr>
          <w:ilvl w:val="0"/>
          <w:numId w:val="1"/>
        </w:numPr>
        <w:spacing w:after="70" w:line="268"/>
      </w:pPr>
      <w:r>
        <w:rPr>
          <w:rFonts w:ascii="Calibri" w:cs="Calibri" w:eastAsia="Calibri" w:hAnsi="Calibri"/>
          <w:b/>
          <w:bCs/>
          <w:sz w:val="21"/>
          <w:szCs w:val="21"/>
        </w:rPr>
        <w:t xml:space="preserve">Interoperabilidad.</w:t>
      </w:r>
      <w:r>
        <w:rPr>
          <w:rFonts w:ascii="Calibri" w:cs="Calibri" w:eastAsia="Calibri" w:hAnsi="Calibri"/>
          <w:sz w:val="21"/>
          <w:szCs w:val="21"/>
        </w:rPr>
        <w:t xml:space="preserve"> Arts. 16 y 17 del RD 4/2010 (ENI).</w:t>
      </w:r>
    </w:p>
    <w:p>
      <w:pPr>
        <w:pStyle w:val="ListParagraph"/>
        <w:numPr>
          <w:ilvl w:val="0"/>
          <w:numId w:val="1"/>
        </w:numPr>
        <w:spacing w:after="70" w:line="268"/>
      </w:pPr>
      <w:r>
        <w:rPr>
          <w:rFonts w:ascii="Calibri" w:cs="Calibri" w:eastAsia="Calibri" w:hAnsi="Calibri"/>
          <w:b/>
          <w:bCs/>
          <w:sz w:val="21"/>
          <w:szCs w:val="21"/>
        </w:rPr>
        <w:t xml:space="preserve">Protección de datos.</w:t>
      </w:r>
      <w:r>
        <w:rPr>
          <w:rFonts w:ascii="Calibri" w:cs="Calibri" w:eastAsia="Calibri" w:hAnsi="Calibri"/>
          <w:sz w:val="21"/>
          <w:szCs w:val="21"/>
        </w:rPr>
        <w:t xml:space="preserve"> Art. 28.3.g) RGPD.</w:t>
      </w:r>
    </w:p>
    <w:p>
      <w:pPr>
        <w:pStyle w:val="ListParagraph"/>
        <w:numPr>
          <w:ilvl w:val="0"/>
          <w:numId w:val="1"/>
        </w:numPr>
        <w:spacing w:after="70" w:line="268"/>
      </w:pPr>
      <w:r>
        <w:rPr>
          <w:rFonts w:ascii="Calibri" w:cs="Calibri" w:eastAsia="Calibri" w:hAnsi="Calibri"/>
          <w:b/>
          <w:bCs/>
          <w:sz w:val="21"/>
          <w:szCs w:val="21"/>
        </w:rPr>
        <w:t xml:space="preserve">Competencia.</w:t>
      </w:r>
      <w:r>
        <w:rPr>
          <w:rFonts w:ascii="Calibri" w:cs="Calibri" w:eastAsia="Calibri" w:hAnsi="Calibri"/>
          <w:sz w:val="21"/>
          <w:szCs w:val="21"/>
        </w:rPr>
        <w:t xml:space="preserve"> La Comunicación de la Comisión COM(2013) 455 final describe la cautividad tecnológica: «se habla de "cautividad" cuando la autoridad pública no puede cambiar fácilmente de proveedor tras expirar ese período de tiempo». Y de aquí sale el argumento que hay que llevar a la memoria: «La reversibilidad abre mercado; no lo cierra.»</w:t>
      </w:r>
    </w:p>
    <w:p>
      <w:pPr>
        <w:pBdr>
          <w:left w:val="single" w:color="BFBFBF" w:sz="12" w:space="8"/>
        </w:pBdr>
        <w:spacing w:after="140" w:line="264"/>
        <w:ind w:left="400"/>
      </w:pPr>
      <w:r>
        <w:rPr>
          <w:rFonts w:ascii="Georgia" w:cs="Georgia" w:eastAsia="Georgia" w:hAnsi="Georgia"/>
          <w:b/>
          <w:bCs/>
          <w:i/>
          <w:iCs/>
          <w:color w:val="595959"/>
          <w:sz w:val="20"/>
          <w:szCs w:val="20"/>
        </w:rPr>
        <w:t xml:space="preserve">Reflejo obligatorio en el PCAP.</w:t>
      </w:r>
      <w:r>
        <w:rPr>
          <w:rFonts w:ascii="Georgia" w:cs="Georgia" w:eastAsia="Georgia" w:hAnsi="Georgia"/>
          <w:i/>
          <w:iCs/>
          <w:color w:val="595959"/>
          <w:sz w:val="20"/>
          <w:szCs w:val="20"/>
        </w:rPr>
        <w:t xml:space="preserve"> DT-8 va en el PPT, pero tres de sus apartados exigen reflejo correlativo en el PCAP: el 4 (cómputo del plazo de ejecución), el 5 (presupuesto base de licitación) y el 8 (plazo de garantía), porque son cláusulas administrativas. Y la consecuencia de olvidarlo: «Si el PPT dice una cosa y el PCAP otra, prevalece el PCAP y la cláusula queda sin efecto.»</w:t>
      </w:r>
    </w:p>
    <w:p>
      <w:pPr>
        <w:spacing w:after="140" w:line="276"/>
      </w:pPr>
      <w:r>
        <w:rPr>
          <w:rFonts w:ascii="Calibri" w:cs="Calibri" w:eastAsia="Calibri" w:hAnsi="Calibri"/>
          <w:i/>
          <w:iCs/>
          <w:sz w:val="21"/>
          <w:szCs w:val="21"/>
        </w:rPr>
        <w:t xml:space="preserve">Fuentes en el catálogo: Parte II, DT-8·v3, epígrafe 1 (texto para el pliego, apartados 1 a 8) y epígrafes 2 a 4. Normas citadas por el clausulado: arts. 100.2 y 111.1 LCSP; art. 157.1 Ley 40/2015; arts. 16 y 17 RD 4/2010; art. 28.3.g) RGPD; arts. 100.1, 100.4 y 100.5 TRLPI; art. 74.13 Reglamento (UE) 2024/1689; COM(2013) 455 final.</w:t>
      </w:r>
    </w:p>
    <w:p>
      <w:pPr>
        <w:pStyle w:val="Heading2"/>
        <w:keepNext/>
        <w:spacing w:after="140" w:before="320"/>
      </w:pPr>
      <w:r>
        <w:rPr>
          <w:rFonts w:ascii="Georgia" w:cs="Georgia" w:eastAsia="Georgia" w:hAnsi="Georgia"/>
          <w:b/>
          <w:bCs/>
          <w:color w:val="1F3864"/>
          <w:sz w:val="26"/>
          <w:szCs w:val="26"/>
        </w:rPr>
        <w:t xml:space="preserve">5.2 · La declaración de conflicto de interés, y para qué sirve en este catálogo</w:t>
      </w:r>
    </w:p>
    <w:p>
      <w:pPr>
        <w:spacing w:after="140" w:line="276"/>
      </w:pPr>
      <w:r>
        <w:rPr>
          <w:rFonts w:ascii="Calibri" w:cs="Calibri" w:eastAsia="Calibri" w:hAnsi="Calibri"/>
          <w:sz w:val="21"/>
          <w:szCs w:val="21"/>
        </w:rPr>
        <w:t xml:space="preserve">Son en realidad dos declaraciones distintas, que el catálogo separa deliberadamente porque miran a personas diferentes: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Modelo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quién se refiere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quienes intervienen en el procedimiento por parte del Ayuntamiento: miembros del órgano de contratación, de la mesa, redactores del PPT y del PCAP, técnicos que valoran, comité de expertos y asesores externos que hayan intervenido en la preparación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70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quienes participaron en la preparación y podrían después licitar o estar vinculados a un licitador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Cuadro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70.1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medidas adoptadas para que esa participación previa no falsee la competencia, con su constancia documental</w:t>
            </w:r>
          </w:p>
        </w:tc>
      </w:tr>
    </w:tbl>
    <w:p>
      <w:pPr>
        <w:spacing w:after="200"/>
      </w:pPr>
    </w:p>
    <w:p>
      <w:pPr>
        <w:pStyle w:val="Heading3"/>
        <w:keepNext/>
        <w:spacing w:after="140" w:before="320"/>
      </w:pPr>
      <w:r>
        <w:rPr>
          <w:rFonts w:ascii="Georgia" w:cs="Georgia" w:eastAsia="Georgia" w:hAnsi="Georgia"/>
          <w:b/>
          <w:bCs/>
          <w:color w:val="2F5496"/>
          <w:sz w:val="22"/>
          <w:szCs w:val="22"/>
        </w:rPr>
        <w:t xml:space="preserve">Qué exige la norma</w:t>
      </w:r>
    </w:p>
    <w:p>
      <w:pPr>
        <w:spacing w:after="140" w:line="276"/>
      </w:pPr>
      <w:r>
        <w:rPr>
          <w:rFonts w:ascii="Calibri" w:cs="Calibri" w:eastAsia="Calibri" w:hAnsi="Calibri"/>
          <w:sz w:val="21"/>
          <w:szCs w:val="21"/>
        </w:rPr>
        <w:t xml:space="preserve">El art. 64.1 obliga al órgano de contratación a tomar medidas «para luchar contra el fraude, el favoritismo y la corrupción, y prevenir, detectar y solucionar de modo efectivo los conflictos de intereses». El art. 64.2 define el conflicto como cualquier situación en que quien participa en el procedimiento o puede influir en su resultado tenga, directa o indirectamente, «un interés financiero, económico o personal que pudiera parecer que compromete su imparcialidad e independencia».</w:t>
      </w:r>
    </w:p>
    <w:p>
      <w:pPr>
        <w:spacing w:after="140" w:line="276"/>
      </w:pPr>
      <w:r>
        <w:rPr>
          <w:rFonts w:ascii="Calibri" w:cs="Calibri" w:eastAsia="Calibri" w:hAnsi="Calibri"/>
          <w:b/>
          <w:bCs/>
          <w:sz w:val="21"/>
          <w:szCs w:val="21"/>
        </w:rPr>
        <w:t xml:space="preserve">Quién firma:</w:t>
      </w:r>
      <w:r>
        <w:rPr>
          <w:rFonts w:ascii="Calibri" w:cs="Calibri" w:eastAsia="Calibri" w:hAnsi="Calibri"/>
          <w:sz w:val="21"/>
          <w:szCs w:val="21"/>
        </w:rPr>
        <w:t xml:space="preserve"> cada interviniente, individualmente y por escrito. </w:t>
      </w:r>
      <w:r>
        <w:rPr>
          <w:rFonts w:ascii="Calibri" w:cs="Calibri" w:eastAsia="Calibri" w:hAnsi="Calibri"/>
          <w:b/>
          <w:bCs/>
          <w:sz w:val="21"/>
          <w:szCs w:val="21"/>
        </w:rPr>
        <w:t xml:space="preserve">Cuándo:</w:t>
      </w:r>
      <w:r>
        <w:rPr>
          <w:rFonts w:ascii="Calibri" w:cs="Calibri" w:eastAsia="Calibri" w:hAnsi="Calibri"/>
          <w:sz w:val="21"/>
          <w:szCs w:val="21"/>
        </w:rPr>
        <w:t xml:space="preserve"> antes de la aprobación del expediente, y el clausulado añade la razón: «Una declaración firmada después de conocidas las ofertas no acredita nada.»</w:t>
      </w:r>
    </w:p>
    <w:p>
      <w:pPr>
        <w:pStyle w:val="Heading3"/>
        <w:keepNext/>
        <w:spacing w:after="140" w:before="320"/>
      </w:pPr>
      <w:r>
        <w:rPr>
          <w:rFonts w:ascii="Georgia" w:cs="Georgia" w:eastAsia="Georgia" w:hAnsi="Georgia"/>
          <w:b/>
          <w:bCs/>
          <w:color w:val="2F5496"/>
          <w:sz w:val="22"/>
          <w:szCs w:val="22"/>
        </w:rPr>
        <w:t xml:space="preserve">Para qué sirve en este catálogo, que es la pregunta</w:t>
      </w:r>
    </w:p>
    <w:p>
      <w:pPr>
        <w:spacing w:after="140" w:line="276"/>
      </w:pPr>
      <w:r>
        <w:rPr>
          <w:rFonts w:ascii="Calibri" w:cs="Calibri" w:eastAsia="Calibri" w:hAnsi="Calibri"/>
          <w:sz w:val="21"/>
          <w:szCs w:val="21"/>
        </w:rPr>
        <w:t xml:space="preserve">Aquí está lo distintivo. En este catálogo la declaración no es sólo un trámite del expediente: es la respuesta del catálogo a una objeción que se le puede hacer a él mismo. El documento se ha elaborado con intervención de personas vinculadas al mercado tecnológico, y por eso establece una regla propia:</w:t>
      </w:r>
    </w:p>
    <w:p>
      <w:pPr>
        <w:pBdr>
          <w:left w:val="single" w:color="BFBFBF" w:sz="12" w:space="8"/>
        </w:pBdr>
        <w:spacing w:after="140" w:line="264"/>
        <w:ind w:left="400"/>
      </w:pPr>
      <w:r>
        <w:rPr>
          <w:rFonts w:ascii="Georgia" w:cs="Georgia" w:eastAsia="Georgia" w:hAnsi="Georgia"/>
          <w:i/>
          <w:iCs/>
          <w:color w:val="595959"/>
          <w:sz w:val="20"/>
          <w:szCs w:val="20"/>
        </w:rPr>
        <w:t xml:space="preserve">«Cuando un documento normativo, un catálogo o un pliego se ha elaborado con asesoramiento externo, la declaración tiene que alcanzarlo. Regla de este catálogo: se declara la identidad de los asesores externos que han intervenido en su elaboración, su vinculación con operadores del mercado afectado, y las medidas adoptadas para que esa intervención no genere ventaja.»</w:t>
      </w:r>
    </w:p>
    <w:p>
      <w:pPr>
        <w:spacing w:after="140" w:line="276"/>
      </w:pPr>
      <w:r>
        <w:rPr>
          <w:rFonts w:ascii="Calibri" w:cs="Calibri" w:eastAsia="Calibri" w:hAnsi="Calibri"/>
          <w:sz w:val="21"/>
          <w:szCs w:val="21"/>
        </w:rPr>
        <w:t xml:space="preserve">Y el razonamiento que lo justifica, que es el mismo que recorre todo el documento:</w:t>
      </w:r>
    </w:p>
    <w:p>
      <w:pPr>
        <w:pBdr>
          <w:left w:val="single" w:color="BFBFBF" w:sz="12" w:space="8"/>
        </w:pBdr>
        <w:spacing w:after="140" w:line="264"/>
        <w:ind w:left="400"/>
      </w:pPr>
      <w:r>
        <w:rPr>
          <w:rFonts w:ascii="Georgia" w:cs="Georgia" w:eastAsia="Georgia" w:hAnsi="Georgia"/>
          <w:i/>
          <w:iCs/>
          <w:color w:val="595959"/>
          <w:sz w:val="20"/>
          <w:szCs w:val="20"/>
        </w:rPr>
        <w:t xml:space="preserve">«Un conflicto declarado por iniciativa propia y neutralizado en el propio texto es un activo del expediente. Descubierto por el recurrente, deja de ser una discusión técnica y pasa a ser una imputación de favorecimiento.»</w:t>
      </w:r>
    </w:p>
    <w:p>
      <w:pPr>
        <w:spacing w:after="140" w:line="276"/>
      </w:pPr>
      <w:r>
        <w:rPr>
          <w:rFonts w:ascii="Calibri" w:cs="Calibri" w:eastAsia="Calibri" w:hAnsi="Calibri"/>
          <w:sz w:val="21"/>
          <w:szCs w:val="21"/>
        </w:rPr>
        <w:t xml:space="preserve">Por eso el modelo A del Anexo IX admite referirse no sólo a un expediente, sino al propio catálogo: «en relación con [el Catálogo de Cláusulas de IA y Deep Tech, versión ……, de fecha ……………… / el expediente de contratación n.º ………]».</w:t>
      </w:r>
    </w:p>
    <w:p>
      <w:pPr>
        <w:pBdr>
          <w:left w:val="single" w:color="BFBFBF" w:sz="12" w:space="8"/>
        </w:pBdr>
        <w:spacing w:after="140" w:line="264"/>
        <w:ind w:left="400"/>
      </w:pPr>
      <w:r>
        <w:rPr>
          <w:rFonts w:ascii="Georgia" w:cs="Georgia" w:eastAsia="Georgia" w:hAnsi="Georgia"/>
          <w:b/>
          <w:bCs/>
          <w:i/>
          <w:iCs/>
          <w:color w:val="595959"/>
          <w:sz w:val="20"/>
          <w:szCs w:val="20"/>
        </w:rPr>
        <w:t xml:space="preserve">La advertencia que el propio anexo hace.</w:t>
      </w:r>
      <w:r>
        <w:rPr>
          <w:rFonts w:ascii="Georgia" w:cs="Georgia" w:eastAsia="Georgia" w:hAnsi="Georgia"/>
          <w:i/>
          <w:iCs/>
          <w:color w:val="595959"/>
          <w:sz w:val="20"/>
          <w:szCs w:val="20"/>
        </w:rPr>
        <w:t xml:space="preserve"> «Declarar no basta. El art. 70.1 no pide declarar, pide adoptar medidas adecuadas para que la participación previa no falsee la competencia y dejar constancia de ellas. La declaración sin las medidas del cuadro C es una intención.»</w:t>
      </w:r>
    </w:p>
    <w:p>
      <w:pPr>
        <w:spacing w:after="140" w:line="276"/>
      </w:pPr>
      <w:r>
        <w:rPr>
          <w:rFonts w:ascii="Calibri" w:cs="Calibri" w:eastAsia="Calibri" w:hAnsi="Calibri"/>
          <w:sz w:val="21"/>
          <w:szCs w:val="21"/>
        </w:rPr>
        <w:t xml:space="preserve">Las medidas que la propia ley enumera en el art. 70: comunicar a los demás licitadores la información intercambiada; establecer plazos adecuados para presentar ofertas; y, sólo cuando no haya otro medio de garantizar la igualdad de trato, la exclusión, que exige audiencia previa al afectado. Dos precisiones que el clausulado hace: el informe del art. 336 donde deben consignarse sólo es exigible en contratos sujetos a regulación armonizada, pero por debajo de ese umbral las medidas se hacen constar igualmente en el expediente.</w:t>
      </w:r>
    </w:p>
    <w:p>
      <w:pPr>
        <w:pBdr>
          <w:left w:val="single" w:color="BFBFBF" w:sz="12" w:space="8"/>
        </w:pBdr>
        <w:spacing w:after="140" w:line="264"/>
        <w:ind w:left="400"/>
      </w:pPr>
      <w:r>
        <w:rPr>
          <w:rFonts w:ascii="Georgia" w:cs="Georgia" w:eastAsia="Georgia" w:hAnsi="Georgia"/>
          <w:b/>
          <w:bCs/>
          <w:i/>
          <w:iCs/>
          <w:color w:val="595959"/>
          <w:sz w:val="20"/>
          <w:szCs w:val="20"/>
        </w:rPr>
        <w:t xml:space="preserve">Estado en la versión 4.0.</w:t>
      </w:r>
      <w:r>
        <w:rPr>
          <w:rFonts w:ascii="Georgia" w:cs="Georgia" w:eastAsia="Georgia" w:hAnsi="Georgia"/>
          <w:i/>
          <w:iCs/>
          <w:color w:val="595959"/>
          <w:sz w:val="20"/>
          <w:szCs w:val="20"/>
        </w:rPr>
        <w:t xml:space="preserve"> El propio documento consigna, entre sus condiciones pendientes, que «las declaraciones de conflicto de interés no están firmadas». Es la condición 3 del §M11. Pero conviene recordar lo dicho en la sección 4: esas condiciones limitan el uso del catálogo como modelo aprobado; las declaraciones de los arts. 64 y 70 hay que firmarlas en cada expediente con independencia de eso, porque las impone la ley y no el catálogo.</w:t>
      </w:r>
    </w:p>
    <w:p>
      <w:pPr>
        <w:spacing w:after="140" w:line="276"/>
      </w:pPr>
      <w:r>
        <w:rPr>
          <w:rFonts w:ascii="Calibri" w:cs="Calibri" w:eastAsia="Calibri" w:hAnsi="Calibri"/>
          <w:i/>
          <w:iCs/>
          <w:sz w:val="21"/>
          <w:szCs w:val="21"/>
        </w:rPr>
        <w:t xml:space="preserve">Fuentes en el catálogo: Parte V, §V.4.12, «Conflicto de interés (art. 64) y participación previa en la preparación (art. 70)» · Anexo IX, encabezamiento y modelo A · Parte IV, §M7 y §M11, fila 3 · Sección inicial, «Qué es y qué no es este documento, en términos institucionales», y Estado de este documento, condición 3 · Parte V, §V.4.13, sobre la relación con la consulta preliminar del art. 115. Normas: arts. 64 (64.1, 64.2), 70 (70.1), 115 (115.2, 115.3) y 336 (336.1, letras i y j) LCSP.</w:t>
      </w:r>
    </w:p>
    <w:p>
      <w:r>
        <w:br w:type="page"/>
      </w:r>
    </w:p>
    <w:p>
      <w:pPr>
        <w:pStyle w:val="Heading1"/>
        <w:keepNext/>
        <w:spacing w:after="240" w:before="200"/>
      </w:pPr>
      <w:r>
        <w:rPr>
          <w:rFonts w:ascii="Georgia" w:cs="Georgia" w:eastAsia="Georgia" w:hAnsi="Georgia"/>
          <w:b/>
          <w:bCs/>
          <w:color w:val="1F3864"/>
          <w:sz w:val="34"/>
          <w:szCs w:val="34"/>
        </w:rPr>
        <w:t xml:space="preserve">6 · El anclaje del Anexo V en un municipio</w:t>
      </w:r>
    </w:p>
    <w:p>
      <w:pPr>
        <w:pStyle w:val="Heading2"/>
        <w:keepNext/>
        <w:spacing w:after="140" w:before="320"/>
      </w:pPr>
      <w:r>
        <w:rPr>
          <w:rFonts w:ascii="Georgia" w:cs="Georgia" w:eastAsia="Georgia" w:hAnsi="Georgia"/>
          <w:b/>
          <w:bCs/>
          <w:color w:val="1F3864"/>
          <w:sz w:val="26"/>
          <w:szCs w:val="26"/>
        </w:rPr>
        <w:t xml:space="preserve">De qué va la pregunta</w:t>
      </w:r>
    </w:p>
    <w:p>
      <w:pPr>
        <w:spacing w:after="140" w:line="276"/>
      </w:pPr>
      <w:r>
        <w:rPr>
          <w:rFonts w:ascii="Calibri" w:cs="Calibri" w:eastAsia="Calibri" w:hAnsi="Calibri"/>
          <w:sz w:val="21"/>
          <w:szCs w:val="21"/>
        </w:rPr>
        <w:t xml:space="preserve">El Anexo V es el </w:t>
      </w:r>
      <w:r>
        <w:rPr>
          <w:rFonts w:ascii="Calibri" w:cs="Calibri" w:eastAsia="Calibri" w:hAnsi="Calibri"/>
          <w:b/>
          <w:bCs/>
          <w:sz w:val="21"/>
          <w:szCs w:val="21"/>
        </w:rPr>
        <w:t xml:space="preserve">catálogo anual de exigencias tecnológicas determinadas</w:t>
      </w:r>
      <w:r>
        <w:rPr>
          <w:rFonts w:ascii="Calibri" w:cs="Calibri" w:eastAsia="Calibri" w:hAnsi="Calibri"/>
          <w:sz w:val="21"/>
          <w:szCs w:val="21"/>
        </w:rPr>
        <w:t xml:space="preserve">: la lista fechada y versionada de capacidades concretas que se pueden exigir en las licitaciones de ese ejercicio. Es el núcleo del clausulado, y la única de las seis cláusulas del subconjunto mínimo que necesita anclaje institucional.</w:t>
      </w:r>
    </w:p>
    <w:p>
      <w:pPr>
        <w:spacing w:after="140" w:line="276"/>
      </w:pPr>
      <w:r>
        <w:rPr>
          <w:rFonts w:ascii="Calibri" w:cs="Calibri" w:eastAsia="Calibri" w:hAnsi="Calibri"/>
          <w:sz w:val="21"/>
          <w:szCs w:val="21"/>
        </w:rPr>
        <w:t xml:space="preserve">La duda habitual es si un municipio necesita un acuerdo nuevo de su órgano de gobierno para poder usarlo. La respuesta del clausulado es </w:t>
      </w:r>
      <w:r>
        <w:rPr>
          <w:rFonts w:ascii="Calibri" w:cs="Calibri" w:eastAsia="Calibri" w:hAnsi="Calibri"/>
          <w:b/>
          <w:bCs/>
          <w:sz w:val="21"/>
          <w:szCs w:val="21"/>
        </w:rPr>
        <w:t xml:space="preserve">no necesariamente</w:t>
      </w:r>
      <w:r>
        <w:rPr>
          <w:rFonts w:ascii="Calibri" w:cs="Calibri" w:eastAsia="Calibri" w:hAnsi="Calibri"/>
          <w:sz w:val="21"/>
          <w:szCs w:val="21"/>
        </w:rPr>
        <w:t xml:space="preserve">, y está escrita en la Parte IV, §M1.2 bis:</w:t>
      </w:r>
    </w:p>
    <w:p>
      <w:pPr>
        <w:pBdr>
          <w:left w:val="single" w:color="BFBFBF" w:sz="12" w:space="8"/>
        </w:pBdr>
        <w:spacing w:after="140" w:line="264"/>
        <w:ind w:left="400"/>
      </w:pPr>
      <w:r>
        <w:rPr>
          <w:rFonts w:ascii="Georgia" w:cs="Georgia" w:eastAsia="Georgia" w:hAnsi="Georgia"/>
          <w:i/>
          <w:iCs/>
          <w:color w:val="595959"/>
          <w:sz w:val="20"/>
          <w:szCs w:val="20"/>
        </w:rPr>
        <w:t xml:space="preserve">«Lo que sí necesita anclaje institucional —el catálogo anual de exigencias tecnológicas del Anexo V y la interfaz de acceso para agentes más allá del control interno— no exige necesariamente un acuerdo nuevo. Exige un acto de la administración, con rango suficiente, que fije esa política. Antes de pedir uno, búsquese si ya existe.»</w:t>
      </w:r>
    </w:p>
    <w:p>
      <w:pPr>
        <w:pStyle w:val="Heading2"/>
        <w:keepNext/>
        <w:spacing w:after="140" w:before="320"/>
      </w:pPr>
      <w:r>
        <w:rPr>
          <w:rFonts w:ascii="Georgia" w:cs="Georgia" w:eastAsia="Georgia" w:hAnsi="Georgia"/>
          <w:b/>
          <w:bCs/>
          <w:color w:val="1F3864"/>
          <w:sz w:val="26"/>
          <w:szCs w:val="26"/>
        </w:rPr>
        <w:t xml:space="preserve">Qué sirve como anclaje si ya está aprobado</w:t>
      </w:r>
    </w:p>
    <w:p>
      <w:pPr>
        <w:spacing w:after="140" w:line="276"/>
      </w:pPr>
      <w:r>
        <w:rPr>
          <w:rFonts w:ascii="Calibri" w:cs="Calibri" w:eastAsia="Calibri" w:hAnsi="Calibri"/>
          <w:sz w:val="21"/>
          <w:szCs w:val="21"/>
        </w:rPr>
        <w:t xml:space="preserve">El clausulado da la tabla de lo que vale, con la condición que cada cosa tiene que cumplir: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el ayuntamiento ya 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Sirve como anclaje si…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plan o estrategia de digitalización, transformación digital o administración electrónica aprobado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Contiene objetivos de interoperabilidad, automatización o soberanía del dato a los que la exigencia pueda reconducirse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ordenanza de administración electrónica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Prevé la relación por medios electrónicos y la interoperabilidad de sus sistemas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plan de gobierno abierto, de datos abiertos o una estrategia de ciudad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Fija compromisos de publicación, reutilización o explotación del dato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acuerdo de adhesión a un marco supramunicipal (ENS, ENI, plan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compromiso alcanza a los sistemas objeto del contrato</w:t>
            </w:r>
          </w:p>
        </w:tc>
      </w:tr>
    </w:tbl>
    <w:p>
      <w:pPr>
        <w:spacing w:after="200"/>
      </w:pPr>
    </w:p>
    <w:p>
      <w:pPr>
        <w:spacing w:after="140" w:line="276"/>
      </w:pPr>
      <w:r>
        <w:rPr>
          <w:rFonts w:ascii="Calibri" w:cs="Calibri" w:eastAsia="Calibri" w:hAnsi="Calibri"/>
          <w:sz w:val="21"/>
          <w:szCs w:val="21"/>
        </w:rPr>
        <w:t xml:space="preserve">Y el efecto de que exista uno de ellos: «la ficha del Anexo II no invoca un documento técnico de una concejalía: invoca una política ya aprobada, y el §M1.2.c) queda satisfecho sin volver a la Junta».</w:t>
      </w:r>
    </w:p>
    <w:p>
      <w:pPr>
        <w:pBdr>
          <w:left w:val="single" w:color="BFBFBF" w:sz="12" w:space="8"/>
        </w:pBdr>
        <w:spacing w:after="140" w:line="264"/>
        <w:ind w:left="400"/>
      </w:pPr>
      <w:r>
        <w:rPr>
          <w:rFonts w:ascii="Georgia" w:cs="Georgia" w:eastAsia="Georgia" w:hAnsi="Georgia"/>
          <w:b/>
          <w:bCs/>
          <w:i/>
          <w:iCs/>
          <w:color w:val="595959"/>
          <w:sz w:val="20"/>
          <w:szCs w:val="20"/>
        </w:rPr>
        <w:t xml:space="preserve">Lo que hay que comprobar antes de darlo por bueno.</w:t>
      </w:r>
      <w:r>
        <w:rPr>
          <w:rFonts w:ascii="Georgia" w:cs="Georgia" w:eastAsia="Georgia" w:hAnsi="Georgia"/>
          <w:i/>
          <w:iCs/>
          <w:color w:val="595959"/>
          <w:sz w:val="20"/>
          <w:szCs w:val="20"/>
        </w:rPr>
        <w:t xml:space="preserve"> Es habitual que un ayuntamiento tenga candidatos plausibles: un reglamento u ordenanza de administración electrónica, que encajaría en la segunda fila de la tabla, o un plan estratégico de gobierno, que encajaría en la primera. Pero eso hay que verificarlo documentalmente contra el texto de cada acto antes de citarlo en un expediente: lo que decide no es el título del documento, sino si contiene los objetivos que la tabla exige. Es una comprobación de media hora en el archivo municipal, y es imprescindible.</w:t>
      </w:r>
    </w:p>
    <w:p>
      <w:pPr>
        <w:pStyle w:val="Heading2"/>
        <w:keepNext/>
        <w:spacing w:after="140" w:before="320"/>
      </w:pPr>
      <w:r>
        <w:rPr>
          <w:rFonts w:ascii="Georgia" w:cs="Georgia" w:eastAsia="Georgia" w:hAnsi="Georgia"/>
          <w:b/>
          <w:bCs/>
          <w:color w:val="1F3864"/>
          <w:sz w:val="26"/>
          <w:szCs w:val="26"/>
        </w:rPr>
        <w:t xml:space="preserve">La limitación que ningún acto ya aprobado salva</w:t>
      </w:r>
    </w:p>
    <w:p>
      <w:pPr>
        <w:spacing w:after="140" w:line="276"/>
      </w:pPr>
      <w:r>
        <w:rPr>
          <w:rFonts w:ascii="Calibri" w:cs="Calibri" w:eastAsia="Calibri" w:hAnsi="Calibri"/>
          <w:sz w:val="21"/>
          <w:szCs w:val="21"/>
        </w:rPr>
        <w:t xml:space="preserve">Aquí está el punto fino, y conviene no perderlo de vista: un acto ya aprobado puede aportar </w:t>
      </w:r>
      <w:r>
        <w:rPr>
          <w:rFonts w:ascii="Calibri" w:cs="Calibri" w:eastAsia="Calibri" w:hAnsi="Calibri"/>
          <w:b/>
          <w:bCs/>
          <w:sz w:val="21"/>
          <w:szCs w:val="21"/>
        </w:rPr>
        <w:t xml:space="preserve">el anclaje político</w:t>
      </w:r>
      <w:r>
        <w:rPr>
          <w:rFonts w:ascii="Calibri" w:cs="Calibri" w:eastAsia="Calibri" w:hAnsi="Calibri"/>
          <w:sz w:val="21"/>
          <w:szCs w:val="21"/>
        </w:rPr>
        <w:t xml:space="preserve">, pero ninguno aporta </w:t>
      </w:r>
      <w:r>
        <w:rPr>
          <w:rFonts w:ascii="Calibri" w:cs="Calibri" w:eastAsia="Calibri" w:hAnsi="Calibri"/>
          <w:b/>
          <w:bCs/>
          <w:sz w:val="21"/>
          <w:szCs w:val="21"/>
        </w:rPr>
        <w:t xml:space="preserve">el Anexo V</w:t>
      </w:r>
      <w:r>
        <w:rPr>
          <w:rFonts w:ascii="Calibri" w:cs="Calibri" w:eastAsia="Calibri" w:hAnsi="Calibri"/>
          <w:sz w:val="21"/>
          <w:szCs w:val="21"/>
        </w:rPr>
        <w:t xml:space="preserve">, que tiene que ser una lista fechada, versionada y con contraste de mercado documentado. Son dos cosas distintas: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hace falta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¿Lo aporta un acto ya aprobado?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resuelve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anclaje institucional:</w:t>
            </w:r>
            <w:r>
              <w:rPr>
                <w:rFonts w:ascii="Calibri" w:cs="Calibri" w:eastAsia="Calibri" w:hAnsi="Calibri"/>
                <w:b w:val="false"/>
                <w:bCs w:val="false"/>
                <w:sz w:val="18"/>
                <w:szCs w:val="18"/>
              </w:rPr>
              <w:t xml:space="preserve"> que la exigencia derive de una política municipal aprobada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cumple la condición de la tabla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cita el acto con su fecha en la ficha del Anexo 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Anexo V del ejercicio:</w:t>
            </w:r>
            <w:r>
              <w:rPr>
                <w:rFonts w:ascii="Calibri" w:cs="Calibri" w:eastAsia="Calibri" w:hAnsi="Calibri"/>
                <w:b w:val="false"/>
                <w:bCs w:val="false"/>
                <w:sz w:val="18"/>
                <w:szCs w:val="18"/>
              </w:rPr>
              <w:t xml:space="preserve"> lista de exigencias, fechada, versionada, con contraste de mercado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Ninguno lo contiene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anual de aprobación, con el modelo del Anexo XV</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contraste de mercado</w:t>
            </w:r>
            <w:r>
              <w:rPr>
                <w:rFonts w:ascii="Calibri" w:cs="Calibri" w:eastAsia="Calibri" w:hAnsi="Calibri"/>
                <w:b w:val="false"/>
                <w:bCs w:val="false"/>
                <w:sz w:val="18"/>
                <w:szCs w:val="18"/>
              </w:rPr>
              <w:t xml:space="preserve"> (consulta preliminar del art. 115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preliminar, hecha una vez al año y reutilizable en cada expediente</w:t>
            </w:r>
          </w:p>
        </w:tc>
      </w:tr>
    </w:tbl>
    <w:p>
      <w:pPr>
        <w:spacing w:after="200"/>
      </w:pPr>
    </w:p>
    <w:p>
      <w:pPr>
        <w:spacing w:after="140" w:line="276"/>
      </w:pPr>
      <w:r>
        <w:rPr>
          <w:rFonts w:ascii="Calibri" w:cs="Calibri" w:eastAsia="Calibri" w:hAnsi="Calibri"/>
          <w:sz w:val="21"/>
          <w:szCs w:val="21"/>
        </w:rPr>
        <w:t xml:space="preserve">El §V.8.3 fija el régimen: el Anexo V se revisa </w:t>
      </w:r>
      <w:r>
        <w:rPr>
          <w:rFonts w:ascii="Calibri" w:cs="Calibri" w:eastAsia="Calibri" w:hAnsi="Calibri"/>
          <w:b/>
          <w:bCs/>
          <w:sz w:val="21"/>
          <w:szCs w:val="21"/>
        </w:rPr>
        <w:t xml:space="preserve">anualmente, antes del 30 de noviembre</w:t>
      </w:r>
      <w:r>
        <w:rPr>
          <w:rFonts w:ascii="Calibri" w:cs="Calibri" w:eastAsia="Calibri" w:hAnsi="Calibri"/>
          <w:sz w:val="21"/>
          <w:szCs w:val="21"/>
        </w:rPr>
        <w:t xml:space="preserve"> (valor recomendado), lo aprueba una </w:t>
      </w:r>
      <w:r>
        <w:rPr>
          <w:rFonts w:ascii="Calibri" w:cs="Calibri" w:eastAsia="Calibri" w:hAnsi="Calibri"/>
          <w:b/>
          <w:bCs/>
          <w:sz w:val="21"/>
          <w:szCs w:val="21"/>
        </w:rPr>
        <w:t xml:space="preserve">resolución o acuerdo anual sin reabrir el resto del catálogo</w:t>
      </w:r>
      <w:r>
        <w:rPr>
          <w:rFonts w:ascii="Calibri" w:cs="Calibri" w:eastAsia="Calibri" w:hAnsi="Calibri"/>
          <w:sz w:val="21"/>
          <w:szCs w:val="21"/>
        </w:rPr>
        <w:t xml:space="preserve">, con el modelo del Anexo XV, y si no hay resolución en plazo, sigue vigente el Anexo V del ejercicio anterior.</w:t>
      </w:r>
    </w:p>
    <w:p>
      <w:pPr>
        <w:pStyle w:val="Heading2"/>
        <w:keepNext/>
        <w:spacing w:after="140" w:before="320"/>
      </w:pPr>
      <w:r>
        <w:rPr>
          <w:rFonts w:ascii="Georgia" w:cs="Georgia" w:eastAsia="Georgia" w:hAnsi="Georgia"/>
          <w:b/>
          <w:bCs/>
          <w:color w:val="1F3864"/>
          <w:sz w:val="26"/>
          <w:szCs w:val="26"/>
        </w:rPr>
        <w:t xml:space="preserve">Las tres salidas, en el orden que el clausulado les da</w:t>
      </w:r>
    </w:p>
    <w:p>
      <w:pPr>
        <w:spacing w:after="140" w:line="276"/>
      </w:pPr>
      <w:r>
        <w:rPr>
          <w:rFonts w:ascii="Calibri" w:cs="Calibri" w:eastAsia="Calibri" w:hAnsi="Calibri"/>
          <w:sz w:val="21"/>
          <w:szCs w:val="21"/>
        </w:rPr>
        <w:t xml:space="preserve">Si no existiera ningún acto aprovechable, el §M1.2 bis da tres caminos, y los ordena:</w:t>
      </w:r>
    </w:p>
    <w:p>
      <w:pPr>
        <w:pStyle w:val="ListParagraph"/>
        <w:numPr>
          <w:ilvl w:val="0"/>
          <w:numId w:val="2"/>
        </w:numPr>
        <w:spacing w:after="70" w:line="268"/>
      </w:pPr>
      <w:r>
        <w:rPr>
          <w:rFonts w:ascii="Calibri" w:cs="Calibri" w:eastAsia="Calibri" w:hAnsi="Calibri"/>
          <w:b/>
          <w:bCs/>
          <w:sz w:val="21"/>
          <w:szCs w:val="21"/>
        </w:rPr>
        <w:t xml:space="preserve">Reanclar por vía funcional lo que se pueda.</w:t>
      </w:r>
      <w:r>
        <w:rPr>
          <w:rFonts w:ascii="Calibri" w:cs="Calibri" w:eastAsia="Calibri" w:hAnsi="Calibri"/>
          <w:sz w:val="21"/>
          <w:szCs w:val="21"/>
        </w:rPr>
        <w:t xml:space="preserve"> Y ésta es la salida más interesante, porque el clausulado la considera a veces superior: «muchas exigencias que parecen institucionales lo dejan de ser en cuanto el gestor pone datos encima: número de peticiones al año y plazo medio de respuesta actual, coste estimado del cambio de proveedor, horas dedicadas a una tramitación». La razón: «es una vía tan legítima como el acuerdo, y a menudo más sólida ante un tribunal, porque la necesidad se acredita con hechos del propio servicio y no con una declaración de intenciones».</w:t>
      </w:r>
    </w:p>
    <w:p>
      <w:pPr>
        <w:pStyle w:val="ListParagraph"/>
        <w:numPr>
          <w:ilvl w:val="0"/>
          <w:numId w:val="2"/>
        </w:numPr>
        <w:spacing w:after="70" w:line="268"/>
      </w:pPr>
      <w:r>
        <w:rPr>
          <w:rFonts w:ascii="Calibri" w:cs="Calibri" w:eastAsia="Calibri" w:hAnsi="Calibri"/>
          <w:b/>
          <w:bCs/>
          <w:sz w:val="21"/>
          <w:szCs w:val="21"/>
        </w:rPr>
        <w:t xml:space="preserve">Aprobar el Anexo V por resolución del órgano competente</w:t>
      </w:r>
      <w:r>
        <w:rPr>
          <w:rFonts w:ascii="Calibri" w:cs="Calibri" w:eastAsia="Calibri" w:hAnsi="Calibri"/>
          <w:sz w:val="21"/>
          <w:szCs w:val="21"/>
        </w:rPr>
        <w:t xml:space="preserve">, sin plan municipal previo, motivándola en la memoria y publicándola con su contraste de mercado (modelo del Anexo XV). El clausulado es honesto sobre su alcance: «es menos sólido que un acuerdo de gobierno […] pero es un acto administrativo con responsable, y sostiene la exigencia mientras nadie lo recurra».</w:t>
      </w:r>
    </w:p>
    <w:p>
      <w:pPr>
        <w:pStyle w:val="ListParagraph"/>
        <w:numPr>
          <w:ilvl w:val="0"/>
          <w:numId w:val="2"/>
        </w:numPr>
        <w:spacing w:after="70" w:line="268"/>
      </w:pPr>
      <w:r>
        <w:rPr>
          <w:rFonts w:ascii="Calibri" w:cs="Calibri" w:eastAsia="Calibri" w:hAnsi="Calibri"/>
          <w:b/>
          <w:bCs/>
          <w:sz w:val="21"/>
          <w:szCs w:val="21"/>
        </w:rPr>
        <w:t xml:space="preserve">Incorporar el subconjunto mínimo sin ADM-2·v3</w:t>
      </w:r>
      <w:r>
        <w:rPr>
          <w:rFonts w:ascii="Calibri" w:cs="Calibri" w:eastAsia="Calibri" w:hAnsi="Calibri"/>
          <w:sz w:val="21"/>
          <w:szCs w:val="21"/>
        </w:rPr>
        <w:t xml:space="preserve">, dejando constancia en la memoria de que la exigencia tecnológica se pospone por falta de anclaje. Con su justificación: «Es preferible un expediente con cinco cláusulas defendibles —seis, con DT-1·v3— que uno con una más y recurrible.»</w:t>
      </w:r>
    </w:p>
    <w:p>
      <w:pPr>
        <w:pStyle w:val="Heading2"/>
        <w:keepNext/>
        <w:spacing w:after="140" w:before="320"/>
      </w:pPr>
      <w:r>
        <w:rPr>
          <w:rFonts w:ascii="Georgia" w:cs="Georgia" w:eastAsia="Georgia" w:hAnsi="Georgia"/>
          <w:b/>
          <w:bCs/>
          <w:color w:val="1F3864"/>
          <w:sz w:val="26"/>
          <w:szCs w:val="26"/>
        </w:rPr>
        <w:t xml:space="preserve">Y lo que no cabe, que es la tentación</w:t>
      </w:r>
    </w:p>
    <w:p>
      <w:pPr>
        <w:pBdr>
          <w:left w:val="single" w:color="BFBFBF" w:sz="12" w:space="8"/>
        </w:pBdr>
        <w:spacing w:after="140" w:line="264"/>
        <w:ind w:left="400"/>
      </w:pPr>
      <w:r>
        <w:rPr>
          <w:rFonts w:ascii="Georgia" w:cs="Georgia" w:eastAsia="Georgia" w:hAnsi="Georgia"/>
          <w:i/>
          <w:iCs/>
          <w:color w:val="595959"/>
          <w:sz w:val="20"/>
          <w:szCs w:val="20"/>
        </w:rPr>
        <w:t xml:space="preserve">«Incorporar el Anexo V igualmente, rellenando la ficha con una frase genérica del tipo “conviene que las aplicaciones municipales sean interoperables con agentes de inteligencia artificial”. Ese párrafo se repite idéntico en todos los expedientes, y es la definición de justificación estereotipada que un tribunal rechaza. Sin anclaje, la cláusula no se disfraza: se pospone.»</w:t>
      </w:r>
    </w:p>
    <w:p>
      <w:pPr>
        <w:spacing w:after="140" w:line="276"/>
      </w:pPr>
      <w:r>
        <w:rPr>
          <w:rFonts w:ascii="Calibri" w:cs="Calibri" w:eastAsia="Calibri" w:hAnsi="Calibri"/>
          <w:sz w:val="21"/>
          <w:szCs w:val="21"/>
        </w:rPr>
        <w:t xml:space="preserve">Es exactamente el vicio que el TACP de Madrid apreció en la Resolución 383/2024: una exigencia de seguridad puesta sin el análisis que la sostiene, y una motivación que se intentó completar después, en el recurso. El clausulado lo cita precisamente para esto.</w:t>
      </w:r>
    </w:p>
    <w:p>
      <w:pPr>
        <w:pBdr>
          <w:left w:val="single" w:color="BFBFBF" w:sz="12" w:space="8"/>
        </w:pBdr>
        <w:spacing w:after="140" w:line="264"/>
        <w:ind w:left="400"/>
      </w:pPr>
      <w:r>
        <w:rPr>
          <w:rFonts w:ascii="Georgia" w:cs="Georgia" w:eastAsia="Georgia" w:hAnsi="Georgia"/>
          <w:b/>
          <w:bCs/>
          <w:i/>
          <w:iCs/>
          <w:color w:val="595959"/>
          <w:sz w:val="20"/>
          <w:szCs w:val="20"/>
        </w:rPr>
        <w:t xml:space="preserve">Resumen operativo.</w:t>
      </w:r>
      <w:r>
        <w:rPr>
          <w:rFonts w:ascii="Georgia" w:cs="Georgia" w:eastAsia="Georgia" w:hAnsi="Georgia"/>
          <w:i/>
          <w:iCs/>
          <w:color w:val="595959"/>
          <w:sz w:val="20"/>
          <w:szCs w:val="20"/>
        </w:rPr>
        <w:t xml:space="preserve"> Cinco de las seis cláusulas del subconjunto mínimo —seis de siete, con DT-1·v3— se pueden incorporar hoy, sin esperar a nada, motivándolas en la memoria del expediente. La sexta —ADM-2·v3 con su Anexo V— necesita dos cosas que no dependen una de otra: un acto que fije la política (puede que ya exista, y hay que verificarlo) y una resolución anual que apruebe la lista con su contraste de mercado (si no existe, hay que dictarla). Si esa segunda no llega a tiempo, la salida no es forzarla: es empezar con cinco.</w:t>
      </w:r>
    </w:p>
    <w:p>
      <w:pPr>
        <w:spacing w:after="140" w:line="276"/>
      </w:pPr>
      <w:r>
        <w:rPr>
          <w:rFonts w:ascii="Calibri" w:cs="Calibri" w:eastAsia="Calibri" w:hAnsi="Calibri"/>
          <w:i/>
          <w:iCs/>
          <w:sz w:val="21"/>
          <w:szCs w:val="21"/>
        </w:rPr>
        <w:t xml:space="preserve">Fuentes en el catálogo: Parte IV, §M1.2 bis, «Y si el órgano de gobierno no aprueba nada», con la tabla de actos que sirven de anclaje y las tres salidas · Parte IV, §M1.2.b) y c), y §M1.3, doble vía de firma · Parte V, §V.8.3, «Quién lo versiona y cuándo» · Parte VI, §VI.2.2, subconjunto mínimo · Anexos II, VIII y XV · Parte V, §V.4.13, consultas preliminares del art. 115 hechas una vez al año. Normas: arts. 28.1, 115 y 116.4.e) LCSP. Doctrina: TACP Madrid 383/2024.</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gjggrwnrnqrdfn7wodbn" Type="http://schemas.openxmlformats.org/officeDocument/2006/relationships/hyperlink" Target="https://migueldadd4u.github.io/ai-clauses/clausulado/indic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2026-10-15T09:39:52.689Z</dcterms:created>
  <dcterms:modified xsi:type="dcterms:W3CDTF">2026-10-15T09:39:52.690Z</dcterms:modified>
</cp:coreProperties>
</file>

<file path=docProps/custom.xml><?xml version="1.0" encoding="utf-8"?>
<Properties xmlns="http://schemas.openxmlformats.org/officeDocument/2006/custom-properties" xmlns:vt="http://schemas.openxmlformats.org/officeDocument/2006/docPropsVTypes"/>
</file>