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Georgia" w:cs="Georgia" w:eastAsia="Georgia" w:hAnsi="Georgia"/>
          <w:b/>
          <w:bCs/>
          <w:color w:val="1F3864"/>
          <w:sz w:val="60"/>
          <w:szCs w:val="60"/>
        </w:rPr>
        <w:t xml:space="preserve">Pliego de referencia · Desarrollo a medida</w:t>
      </w:r>
    </w:p>
    <w:p>
      <w:pPr>
        <w:spacing w:after="900"/>
        <w:jc w:val="center"/>
      </w:pPr>
      <w:r>
        <w:rPr>
          <w:rFonts w:ascii="Georgia" w:cs="Georgia" w:eastAsia="Georgia" w:hAnsi="Georgia"/>
          <w:i/>
          <w:iCs/>
          <w:color w:val="595959"/>
          <w:sz w:val="28"/>
          <w:szCs w:val="28"/>
        </w:rPr>
        <w:t xml:space="preserve">Pliegos de referencia por perfil</w:t>
      </w:r>
    </w:p>
    <w:p>
      <w:pPr>
        <w:spacing w:after="140"/>
        <w:jc w:val="center"/>
      </w:pPr>
      <w:r>
        <w:rPr>
          <w:rFonts w:ascii="Calibri" w:cs="Calibri" w:eastAsia="Calibri" w:hAnsi="Calibri"/>
          <w:color w:val="595959"/>
          <w:sz w:val="20"/>
          <w:szCs w:val="20"/>
        </w:rPr>
        <w:t xml:space="preserve">AI Clauses · Cláusulas de IA y Deep Tech · versión 4.0, definitiva</w:t>
      </w:r>
    </w:p>
    <w:p>
      <w:pPr>
        <w:spacing w:after="140"/>
        <w:jc w:val="center"/>
      </w:pPr>
      <w:r>
        <w:rPr>
          <w:rFonts w:ascii="Calibri" w:cs="Calibri" w:eastAsia="Calibri" w:hAnsi="Calibri"/>
          <w:color w:val="595959"/>
          <w:sz w:val="20"/>
          <w:szCs w:val="20"/>
        </w:rPr>
        <w:t xml:space="preserve">Documento complementario del catálogo. Donde discrepe del catálogo, manda el catálogo.</w:t>
      </w:r>
    </w:p>
    <w:p>
      <w:pPr>
        <w:spacing w:after="140"/>
        <w:jc w:val="center"/>
      </w:pPr>
      <w:r>
        <w:rPr>
          <w:rFonts w:ascii="Calibri" w:cs="Calibri" w:eastAsia="Calibri" w:hAnsi="Calibri"/>
          <w:color w:val="595959"/>
          <w:sz w:val="20"/>
          <w:szCs w:val="20"/>
        </w:rPr>
        <w:t xml:space="preserve">Licencia Creative Commons Attribution 4.0 Internacional</w:t>
      </w:r>
    </w:p>
    <w:p>
      <w:r>
        <w:br w:type="page"/>
      </w:r>
    </w:p>
    <w:p>
      <w:pPr>
        <w:spacing w:after="300"/>
      </w:pPr>
      <w:r>
        <w:rPr>
          <w:rFonts w:ascii="Georgia" w:cs="Georgia" w:eastAsia="Georgia" w:hAnsi="Georgia"/>
          <w:b/>
          <w:bCs/>
          <w:color w:val="1F3864"/>
          <w:sz w:val="36"/>
          <w:szCs w:val="36"/>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spacing w:after="140" w:line="276"/>
      </w:pPr>
      <w:r>
        <w:rPr>
          <w:rFonts w:ascii="Calibri" w:cs="Calibri" w:eastAsia="Calibri" w:hAnsi="Calibri"/>
          <w:i/>
          <w:iCs/>
          <w:sz w:val="21"/>
          <w:szCs w:val="21"/>
        </w:rPr>
        <w:t xml:space="preserve">Documento complementario de AI Clauses, versión 4.0. Ensambla el catálogo; no lo sustituye. Donde discrepen, manda el catálogo. </w:t>
      </w:r>
      <w:hyperlink w:history="1" r:id="rIdgdui0ecejmvg2jmxkcpyt">
        <w:r>
          <w:rPr>
            <w:rFonts w:ascii="Calibri" w:cs="Calibri" w:eastAsia="Calibri" w:hAnsi="Calibri"/>
            <w:i/>
            <w:iCs/>
            <w:color w:val="2F5496"/>
            <w:sz w:val="21"/>
            <w:szCs w:val="21"/>
            <w:u w:val="single"/>
          </w:rPr>
          <w:t xml:space="preserve">Ir al catálogo</w:t>
        </w:r>
      </w:hyperlink>
      <w:r>
        <w:rPr>
          <w:rFonts w:ascii="Calibri" w:cs="Calibri" w:eastAsia="Calibri" w:hAnsi="Calibri"/>
          <w:i/>
          <w:iCs/>
          <w:sz w:val="21"/>
          <w:szCs w:val="21"/>
        </w:rPr>
        <w:t xml:space="preserve">.</w:t>
      </w:r>
    </w:p>
    <w:p>
      <w:pPr>
        <w:spacing w:after="140" w:line="276"/>
      </w:pPr>
      <w:r>
        <w:rPr>
          <w:rFonts w:ascii="Calibri" w:cs="Calibri" w:eastAsia="Calibri" w:hAnsi="Calibri"/>
          <w:b/>
          <w:bCs/>
          <w:sz w:val="21"/>
          <w:szCs w:val="21"/>
        </w:rPr>
        <w:t xml:space="preserve">Contrato de servicios para desarrollar software específico para la entidad —una aplicación nueva o módulos nuevos sobre una plataforma propia—, con titularidad de la entidad sobre lo desarrollado y entrega del código fuente de lo hecho a medida</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1 · Qué es y qué no es</w:t>
      </w:r>
    </w:p>
    <w:p>
      <w:pPr>
        <w:pStyle w:val="ListParagraph"/>
        <w:numPr>
          <w:ilvl w:val="0"/>
          <w:numId w:val="2"/>
        </w:numPr>
        <w:spacing w:after="70" w:line="268"/>
      </w:pPr>
      <w:r>
        <w:rPr>
          <w:rFonts w:ascii="Calibri" w:cs="Calibri" w:eastAsia="Calibri" w:hAnsi="Calibri"/>
          <w:b/>
          <w:bCs/>
          <w:sz w:val="21"/>
          <w:szCs w:val="21"/>
        </w:rPr>
        <w:t xml:space="preserve">Es una referencia ensamblada</w:t>
      </w:r>
      <w:r>
        <w:rPr>
          <w:rFonts w:ascii="Calibri" w:cs="Calibri" w:eastAsia="Calibri" w:hAnsi="Calibri"/>
          <w:sz w:val="21"/>
          <w:szCs w:val="21"/>
        </w:rPr>
        <w:t xml:space="preserve">: la selección coordinada de cláusulas del catálogo para un perfil de contrato, con sus corchetes y sus fichas prerrellenadas. No es un pliego ni un pliego-tipo, y no lo ha aprobado ningún órgano.</w:t>
      </w:r>
    </w:p>
    <w:p>
      <w:pPr>
        <w:pStyle w:val="ListParagraph"/>
        <w:numPr>
          <w:ilvl w:val="0"/>
          <w:numId w:val="2"/>
        </w:numPr>
        <w:spacing w:after="70" w:line="268"/>
      </w:pPr>
      <w:r>
        <w:rPr>
          <w:rFonts w:ascii="Calibri" w:cs="Calibri" w:eastAsia="Calibri" w:hAnsi="Calibri"/>
          <w:b/>
          <w:bCs/>
          <w:sz w:val="21"/>
          <w:szCs w:val="21"/>
        </w:rPr>
        <w:t xml:space="preserve">Se adapta y se motiva con datos propios.</w:t>
      </w:r>
      <w:r>
        <w:rPr>
          <w:rFonts w:ascii="Calibri" w:cs="Calibri" w:eastAsia="Calibri" w:hAnsi="Calibri"/>
          <w:sz w:val="21"/>
          <w:szCs w:val="21"/>
        </w:rPr>
        <w:t xml:space="preserve"> Cada cláusula entra sólo con la ficha del Anexo II firmada y su justificación individualizada de necesidad, proporcionalidad y vinculación con el objeto (Parte I, §1.3; Parte 0, §0.1). Lo marcado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no se rellena desde fuera.</w:t>
      </w:r>
    </w:p>
    <w:p>
      <w:pPr>
        <w:pStyle w:val="ListParagraph"/>
        <w:numPr>
          <w:ilvl w:val="0"/>
          <w:numId w:val="2"/>
        </w:numPr>
        <w:spacing w:after="70" w:line="268"/>
      </w:pPr>
      <w:r>
        <w:rPr>
          <w:rFonts w:ascii="Calibri" w:cs="Calibri" w:eastAsia="Calibri" w:hAnsi="Calibri"/>
          <w:b/>
          <w:bCs/>
          <w:sz w:val="21"/>
          <w:szCs w:val="21"/>
        </w:rPr>
        <w:t xml:space="preserve">No se invoca como justificación.</w:t>
      </w:r>
      <w:r>
        <w:rPr>
          <w:rFonts w:ascii="Calibri" w:cs="Calibri" w:eastAsia="Calibri" w:hAnsi="Calibri"/>
          <w:sz w:val="21"/>
          <w:szCs w:val="21"/>
        </w:rPr>
        <w:t xml:space="preserve"> Una memoria que se remita a este documento justifica por remisión, que el catálogo llama estereotipada (Parte I, §3.8, consecuencia 2). Donde discrepen, manda el catálogo.</w:t>
      </w:r>
    </w:p>
    <w:p>
      <w:pPr>
        <w:pBdr>
          <w:left w:val="single" w:color="BFBFBF" w:sz="12" w:space="8"/>
        </w:pBdr>
        <w:spacing w:after="140" w:line="264"/>
        <w:ind w:left="400"/>
      </w:pPr>
      <w:r>
        <w:rPr>
          <w:rFonts w:ascii="Georgia" w:cs="Georgia" w:eastAsia="Georgia" w:hAnsi="Georgia"/>
          <w:b/>
          <w:bCs/>
          <w:i/>
          <w:iCs/>
          <w:color w:val="595959"/>
          <w:sz w:val="20"/>
          <w:szCs w:val="20"/>
        </w:rPr>
        <w:t xml:space="preserve">Antes de abrir un expediente.</w:t>
      </w:r>
      <w:r>
        <w:rPr>
          <w:rFonts w:ascii="Georgia" w:cs="Georgia" w:eastAsia="Georgia" w:hAnsi="Georgia"/>
          <w:i/>
          <w:iCs/>
          <w:color w:val="595959"/>
          <w:sz w:val="20"/>
          <w:szCs w:val="20"/>
        </w:rPr>
        <w:t xml:space="preserve"> Las tres condiciones suspensivas de aplicación de la Parte IV, §M11, filas 1 a 3 —acuerdo del órgano de gobierno sobre el plan, el catálogo y el Anexo V; consulta preliminar del mercado con el contraste del Anexo V documentado; declaraciones de conflicto de interés firmadas— constan pendientes (caja de estado del catálogo), y cada entidad las cumple por sí (Parte I, §2.3, elementos 8 a 10). Mientras no se cumplan, ninguna cláusula entra en un expediente </w:t>
      </w:r>
      <w:r>
        <w:rPr>
          <w:rFonts w:ascii="Georgia" w:cs="Georgia" w:eastAsia="Georgia" w:hAnsi="Georgia"/>
          <w:b/>
          <w:bCs/>
          <w:i/>
          <w:iCs/>
          <w:color w:val="595959"/>
          <w:sz w:val="20"/>
          <w:szCs w:val="20"/>
        </w:rPr>
        <w:t xml:space="preserve">como cláusula de este catálogo</w:t>
      </w:r>
      <w:r>
        <w:rPr>
          <w:rFonts w:ascii="Georgia" w:cs="Georgia" w:eastAsia="Georgia" w:hAnsi="Georgia"/>
          <w:i/>
          <w:iCs/>
          <w:color w:val="595959"/>
          <w:sz w:val="20"/>
          <w:szCs w:val="20"/>
        </w:rPr>
        <w:t xml:space="preserve"> —citándolo como modelo o remitiéndose a él para justificarla—, y en particular en ninguno que supere el umbral del recurso especial; sí cabe usar sus soluciones de redacción con la justificación propia del expediente (§M11). Lo de origen normativo o funcional no necesita el acuerdo; lo institucional, sí, o una de las vías del §M1.2 bis. Este documento cumple el compromiso del catálogo de entregar pliegos ensamblados por perfil de contrato (§M10.3, punto 4; §M11, fila 14; nota de alcance de la Parte VII); no acredita que esas condiciones se hayan cumplido.</w:t>
      </w:r>
    </w:p>
    <w:p>
      <w:pPr>
        <w:spacing w:after="140" w:line="276"/>
      </w:pPr>
      <w:r>
        <w:rPr>
          <w:rFonts w:ascii="Calibri" w:cs="Calibri" w:eastAsia="Calibri" w:hAnsi="Calibri"/>
          <w:b/>
          <w:bCs/>
          <w:sz w:val="21"/>
          <w:szCs w:val="21"/>
        </w:rPr>
        <w:t xml:space="preserve">Cómo se lee.</w:t>
      </w:r>
      <w:r>
        <w:rPr>
          <w:rFonts w:ascii="Calibri" w:cs="Calibri" w:eastAsia="Calibri" w:hAnsi="Calibri"/>
          <w:sz w:val="21"/>
          <w:szCs w:val="21"/>
        </w:rPr>
        <w:t xml:space="preserve"> Los recuadros «Texto para el pliego» reproducen, tal como está en el catálogo vigente, el texto de cada cláusula o epígrafe seleccionado: no se ha reescrito nada. Lo propio de este documento es la selección, los ajustes y las fichas. Debajo van los </w:t>
      </w:r>
      <w:r>
        <w:rPr>
          <w:rFonts w:ascii="Calibri" w:cs="Calibri" w:eastAsia="Calibri" w:hAnsi="Calibri"/>
          <w:b/>
          <w:bCs/>
          <w:sz w:val="21"/>
          <w:szCs w:val="21"/>
        </w:rPr>
        <w:t xml:space="preserve">ajustes del perfil</w:t>
      </w:r>
      <w:r>
        <w:rPr>
          <w:rFonts w:ascii="Calibri" w:cs="Calibri" w:eastAsia="Calibri" w:hAnsi="Calibri"/>
          <w:sz w:val="21"/>
          <w:szCs w:val="21"/>
        </w:rPr>
        <w:t xml:space="preserve">: el valor de cada corchete con su fuente («fila n» es fila del Anexo X, apartado X.1), los apartados que se suprimen y su reflejo en el otro pliego. Lo marcado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no se rellena desde aquí. Las citas van por parte y epígrafe: «epígrafe» o «ep.» es el del comentario de una cláusula, y «apartado» o «ap.», el de su texto de pliego.</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2 · El perfil</w:t>
      </w:r>
    </w:p>
    <w:p>
      <w:pPr>
        <w:pStyle w:val="Heading2"/>
        <w:keepNext/>
        <w:spacing w:after="140" w:before="320"/>
      </w:pPr>
      <w:r>
        <w:rPr>
          <w:rFonts w:ascii="Georgia" w:cs="Georgia" w:eastAsia="Georgia" w:hAnsi="Georgia"/>
          <w:b/>
          <w:bCs/>
          <w:color w:val="1F3864"/>
          <w:sz w:val="26"/>
          <w:szCs w:val="26"/>
        </w:rPr>
        <w:t xml:space="preserve">2.1 Definición</w:t>
      </w:r>
    </w:p>
    <w:p>
      <w:pPr>
        <w:spacing w:after="140" w:line="276"/>
      </w:pPr>
      <w:r>
        <w:rPr>
          <w:rFonts w:ascii="Calibri" w:cs="Calibri" w:eastAsia="Calibri" w:hAnsi="Calibri"/>
          <w:sz w:val="21"/>
          <w:szCs w:val="21"/>
        </w:rPr>
        <w:t xml:space="preserve">Contrato de </w:t>
      </w:r>
      <w:r>
        <w:rPr>
          <w:rFonts w:ascii="Calibri" w:cs="Calibri" w:eastAsia="Calibri" w:hAnsi="Calibri"/>
          <w:b/>
          <w:bCs/>
          <w:sz w:val="21"/>
          <w:szCs w:val="21"/>
        </w:rPr>
        <w:t xml:space="preserve">servicios</w:t>
      </w:r>
      <w:r>
        <w:rPr>
          <w:rFonts w:ascii="Calibri" w:cs="Calibri" w:eastAsia="Calibri" w:hAnsi="Calibri"/>
          <w:sz w:val="21"/>
          <w:szCs w:val="21"/>
        </w:rPr>
        <w:t xml:space="preserve"> cuyo objeto principal es diseñar, construir, probar y poner en producción software confeccionado para la entidad: una aplicación nueva o módulos nuevos sobre una plataforma de la que ya dispone. Tres rasgos, y deben concurrir los tres:</w:t>
      </w:r>
    </w:p>
    <w:p>
      <w:pPr>
        <w:pStyle w:val="ListParagraph"/>
        <w:numPr>
          <w:ilvl w:val="0"/>
          <w:numId w:val="2"/>
        </w:numPr>
        <w:spacing w:after="70" w:line="268"/>
      </w:pPr>
      <w:r>
        <w:rPr>
          <w:rFonts w:ascii="Calibri" w:cs="Calibri" w:eastAsia="Calibri" w:hAnsi="Calibri"/>
          <w:b/>
          <w:bCs/>
          <w:sz w:val="21"/>
          <w:szCs w:val="21"/>
        </w:rPr>
        <w:t xml:space="preserve">Se contrata el desarrollo</w:t>
      </w:r>
      <w:r>
        <w:rPr>
          <w:rFonts w:ascii="Calibri" w:cs="Calibri" w:eastAsia="Calibri" w:hAnsi="Calibri"/>
          <w:sz w:val="21"/>
          <w:szCs w:val="21"/>
        </w:rPr>
        <w:t xml:space="preserve">: el resultado no existe antes del contrato. Por eso es servicio y no suministro: «sólo el software desarrollado a medida encaja en el contrato de servicios» (Parte I, §2.1; criterio de la Junta Consultiva de Contratación Pública del Estado, expediente 58/18, en ADM-8·v3, epígrafe 3).</w:t>
      </w:r>
    </w:p>
    <w:p>
      <w:pPr>
        <w:pStyle w:val="ListParagraph"/>
        <w:numPr>
          <w:ilvl w:val="0"/>
          <w:numId w:val="2"/>
        </w:numPr>
        <w:spacing w:after="70" w:line="268"/>
      </w:pPr>
      <w:r>
        <w:rPr>
          <w:rFonts w:ascii="Calibri" w:cs="Calibri" w:eastAsia="Calibri" w:hAnsi="Calibri"/>
          <w:b/>
          <w:bCs/>
          <w:sz w:val="21"/>
          <w:szCs w:val="21"/>
        </w:rPr>
        <w:t xml:space="preserve">Lo desarrollado es de la entidad.</w:t>
      </w:r>
      <w:r>
        <w:rPr>
          <w:rFonts w:ascii="Calibri" w:cs="Calibri" w:eastAsia="Calibri" w:hAnsi="Calibri"/>
          <w:sz w:val="21"/>
          <w:szCs w:val="21"/>
        </w:rPr>
        <w:t xml:space="preserve"> El art. 308.1 LCSP hace operar la cesión «salvo que se disponga otra cosa en los pliegos» (ADM-8·v3, epígrafe 3), y ADM-8·v3, apartado 2, la extiende a todas las modalidades, todo el plazo y todos los países; sin esas menciones, el art. 43.2 TRLPI la limita a cinco años (ADM-8·v3, nota al redactor).</w:t>
      </w:r>
    </w:p>
    <w:p>
      <w:pPr>
        <w:pStyle w:val="ListParagraph"/>
        <w:numPr>
          <w:ilvl w:val="0"/>
          <w:numId w:val="2"/>
        </w:numPr>
        <w:spacing w:after="70" w:line="268"/>
      </w:pPr>
      <w:r>
        <w:rPr>
          <w:rFonts w:ascii="Calibri" w:cs="Calibri" w:eastAsia="Calibri" w:hAnsi="Calibri"/>
          <w:b/>
          <w:bCs/>
          <w:sz w:val="21"/>
          <w:szCs w:val="21"/>
        </w:rPr>
        <w:t xml:space="preserve">Se entrega el código fuente de lo hecho a medida</w:t>
      </w:r>
      <w:r>
        <w:rPr>
          <w:rFonts w:ascii="Calibri" w:cs="Calibri" w:eastAsia="Calibri" w:hAnsi="Calibri"/>
          <w:sz w:val="21"/>
          <w:szCs w:val="21"/>
        </w:rPr>
        <w:t xml:space="preserve">, con su código objeto y su documentación (DT-8·v3, apartado 1, letras b, c y e); no el del producto base ni el de terceros, salvo desarrollo a medida para la entidad o licencia de fuentes abiertas (ADM-8·v3, apartado 4).</w:t>
      </w:r>
    </w:p>
    <w:p>
      <w:pPr>
        <w:pStyle w:val="Heading2"/>
        <w:keepNext/>
        <w:spacing w:after="140" w:before="320"/>
      </w:pPr>
      <w:r>
        <w:rPr>
          <w:rFonts w:ascii="Georgia" w:cs="Georgia" w:eastAsia="Georgia" w:hAnsi="Georgia"/>
          <w:b/>
          <w:bCs/>
          <w:color w:val="1F3864"/>
          <w:sz w:val="26"/>
          <w:szCs w:val="26"/>
        </w:rPr>
        <w:t xml:space="preserve">2.2 Cómo elegir el perfil</w:t>
      </w:r>
    </w:p>
    <w:p>
      <w:pPr>
        <w:spacing w:after="140" w:line="276"/>
      </w:pPr>
      <w:r>
        <w:rPr>
          <w:rFonts w:ascii="Calibri" w:cs="Calibri" w:eastAsia="Calibri" w:hAnsi="Calibri"/>
          <w:i/>
          <w:iCs/>
          <w:sz w:val="21"/>
          <w:szCs w:val="21"/>
        </w:rPr>
        <w:t xml:space="preserve">Cuadro común a los cuatro pliegos de referencia, idéntico en los cuatro.</w:t>
      </w:r>
      <w:r>
        <w:rPr>
          <w:rFonts w:ascii="Calibri" w:cs="Calibri" w:eastAsia="Calibri" w:hAnsi="Calibri"/>
          <w:sz w:val="21"/>
          <w:szCs w:val="21"/>
        </w:rPr>
        <w:t xml:space="preserve"> El perfil lo decide la </w:t>
      </w:r>
      <w:r>
        <w:rPr>
          <w:rFonts w:ascii="Calibri" w:cs="Calibri" w:eastAsia="Calibri" w:hAnsi="Calibri"/>
          <w:b/>
          <w:bCs/>
          <w:sz w:val="21"/>
          <w:szCs w:val="21"/>
        </w:rPr>
        <w:t xml:space="preserve">prestación principal</w:t>
      </w:r>
      <w:r>
        <w:rPr>
          <w:rFonts w:ascii="Calibri" w:cs="Calibri" w:eastAsia="Calibri" w:hAnsi="Calibri"/>
          <w:sz w:val="21"/>
          <w:szCs w:val="21"/>
        </w:rPr>
        <w:t xml:space="preserve"> del contrato, que el expediente determina y motiva cuando el contrato es mixto (Parte VI, VI.4.1). La calificación del contrato sale de su objeto (Parte I, §2.1); la criticidad del sistema gradúa la intensidad de aplicación (§2.2) y por eso se suma como capa, en la fila 5.</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Situación del contrato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Perfil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Regla del catálogo que lo decide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La prestación principal es crear software que no existe antes del contrato —una aplicación nueva o módulos nuevos—, cuya titularidad adquiere la entidad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Desarrollo a medida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el software hecho a medida es contrato de servicios (Parte I, §2.1; ADM-8·v3, epígrafe 3). ADM-9·v3 no se aplica (apartado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La prestación principal es el mantenimiento —correctivo, adaptativo o evolutivo— y el soporte de una aplicación ya implantada, instalada en la entidad o prestada como servicio, hecha a medida o estándar, con o sin la licencia o la suscripción como suministro accesorio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Mantenimiento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de mantenimiento de aplicaciones (VI.4.1). Junto con el desarrollo a medida, es el único perfil en que cabe la bolsa del art. 308.3 LCSP (ADM-3·v3, bloque 2, y epígrafe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La prestación principal es el uso de una aplicación estándar que el proveedor presta como servicio en la nube y opera él, por suscripción, con o sin configuración, parametrización, carga de datos, integraciones o formación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SaaS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Suministro, como la licencia, o contrato mixto si se le añaden servicios (Parte I, §2.1; párrafo «Calificación de un SaaS»). ADM-8·v3 y ADM-11·v3 lo tratan como supuesto propio (epígrafes 7). La bolsa no cabe: exige que la prestación principal sea el desarrollo o el mantenimiento de aplicaciones (ADM-3·v3, epígrafe 7), y entonces el perfil es el de la fila 1 o el de la 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Licencias de software estándar que instala y opera la propia entidad, solas o con su implantación; infraestructura o plataforma en la nube para aplicaciones propias; contrato menor, basado en acuerdo marco, adhesión a una central de compras o prórroga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Ninguno de los cuatro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licencia de software estándar es suministro: ADM-8·v3 se queda en sus apartados 4 y 5, y DT-8·v3 en 1.a), 4, 7 y 8 (Parte I, §2.1; epígrafes 7 de las dos). El menor, el basado y la prórroga tienen su alcance limitado (Parte I, §2.4; Parte V, §V.7). El pliego se compone con los bloques de las Partes I a III (nota de alcance de la Parte VII)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Además de una de las filas 1 a 3: el sistema tiene categoría ENS MEDIA o ALTA, determinada por la disponibilidad o la integridad, y el gestor declara con datos la necesidad de continuidad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perfil de la fila que corresponda, más la capa de plataformas críticas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sola ficha y un solo informe de necesidad; ninguna exigencia dos veces ni con dos instrumentos (Parte I, §7.3). ADM-11·v3 sólo entra con sus cuatro circunstancias acumulativas (apartado 1)</w:t>
            </w:r>
          </w:p>
        </w:tc>
      </w:tr>
    </w:tbl>
    <w:p>
      <w:pPr>
        <w:spacing w:after="200"/>
      </w:pPr>
    </w:p>
    <w:p>
      <w:pPr>
        <w:spacing w:after="140" w:line="276"/>
      </w:pPr>
      <w:r>
        <w:rPr>
          <w:rFonts w:ascii="Calibri" w:cs="Calibri" w:eastAsia="Calibri" w:hAnsi="Calibri"/>
          <w:b/>
          <w:bCs/>
          <w:sz w:val="21"/>
          <w:szCs w:val="21"/>
        </w:rPr>
        <w:t xml:space="preserve">Contrato mixto.</w:t>
      </w:r>
      <w:r>
        <w:rPr>
          <w:rFonts w:ascii="Calibri" w:cs="Calibri" w:eastAsia="Calibri" w:hAnsi="Calibri"/>
          <w:sz w:val="21"/>
          <w:szCs w:val="21"/>
        </w:rPr>
        <w:t xml:space="preserve"> Si el contrato reúne prestaciones de dos filas —implantar una aplicación y mantenerla con evolutivos, o desarrollar y después mantener—, el perfil es el de la prestación principal, determinada y motivada en el expediente (VI.4.1). La parametrización, aunque sea sustantiva, no cambia el perfil: es un servicio de implantación (VI.4.1), y lo que mueve es el alcance de ADM-8·v3, cuyo apartado 1 alcanza entonces las configuraciones, reglas y flujos diseñados para la entidad (epígrafe 7; §M4.2), y el de DT-8·v3, apartado 1.c).</w:t>
      </w:r>
    </w:p>
    <w:p>
      <w:pPr>
        <w:spacing w:after="140" w:line="276"/>
      </w:pPr>
      <w:r>
        <w:rPr>
          <w:rFonts w:ascii="Calibri" w:cs="Calibri" w:eastAsia="Calibri" w:hAnsi="Calibri"/>
          <w:b/>
          <w:bCs/>
          <w:sz w:val="21"/>
          <w:szCs w:val="21"/>
        </w:rPr>
        <w:t xml:space="preserve">Calificación de un SaaS.</w:t>
      </w:r>
      <w:r>
        <w:rPr>
          <w:rFonts w:ascii="Calibri" w:cs="Calibri" w:eastAsia="Calibri" w:hAnsi="Calibri"/>
          <w:sz w:val="21"/>
          <w:szCs w:val="21"/>
        </w:rPr>
        <w:t xml:space="preserve"> La suscripción de software en modalidad de servicio se califica igual que la licencia: es </w:t>
      </w:r>
      <w:r>
        <w:rPr>
          <w:rFonts w:ascii="Calibri" w:cs="Calibri" w:eastAsia="Calibri" w:hAnsi="Calibri"/>
          <w:b/>
          <w:bCs/>
          <w:sz w:val="21"/>
          <w:szCs w:val="21"/>
        </w:rPr>
        <w:t xml:space="preserve">suministro</w:t>
      </w:r>
      <w:r>
        <w:rPr>
          <w:rFonts w:ascii="Calibri" w:cs="Calibri" w:eastAsia="Calibri" w:hAnsi="Calibri"/>
          <w:sz w:val="21"/>
          <w:szCs w:val="21"/>
        </w:rPr>
        <w:t xml:space="preserve">, porque el art. 16.3.b) LCSP comprende la cesión del derecho de uso de programas de ordenador «en cualquiera de sus modalidades de puesta a disposición» (Parte I, §2.1). Si el contrato añade implantación, parametrización, desarrollo o mantenimiento de aplicaciones, es mixto, y la prestación principal es la de mayor valor estimado (art. 18.1.a), párrafo segundo, LCSP), que el expediente motiva con el desglose del presupuesto (VI.4.1). Dependen de la calificación cinco piezas (Parte I, §2.1). En el suministro, ADM-8·v3 se reduce a sus apartados 4 y 5 y, del 1, a datos, </w:t>
      </w:r>
      <w:r>
        <w:rPr>
          <w:rFonts w:ascii="Calibri" w:cs="Calibri" w:eastAsia="Calibri" w:hAnsi="Calibri"/>
          <w:i/>
          <w:iCs/>
          <w:sz w:val="21"/>
          <w:szCs w:val="21"/>
        </w:rPr>
        <w:t xml:space="preserve">prompts</w:t>
      </w:r>
      <w:r>
        <w:rPr>
          <w:rFonts w:ascii="Calibri" w:cs="Calibri" w:eastAsia="Calibri" w:hAnsi="Calibri"/>
          <w:sz w:val="21"/>
          <w:szCs w:val="21"/>
        </w:rPr>
        <w:t xml:space="preserve"> corporativos y bases de conocimiento municipales (epígrafe 7); DT-8·v3, a sus apartados 1.a), 4, 7 y 8, sin Inventario, Plan, ensayo, licencia de continuidad ni Dossier (epígrafe 7); y la modalidad B de ADM-1·v3, a las letras a), b) y d) de su apartado 1 (nota al redactor, punto cuarto). La bolsa de ADM-3·v3, bloque 2, sólo cabe en servicios de desarrollo o mantenimiento de aplicaciones (art. 308.3 LCSP), y el informe de insuficiencia de medios sólo se exige en servicios (art. 116.4.f) LCSP; Parte V, V.4.8). El perfil no depende de la calificación, y la bolsa no cabe en un SaaS con ninguna de las dos (ADM-3·v3, epígrafe 7).</w:t>
      </w:r>
    </w:p>
    <w:p>
      <w:pPr>
        <w:spacing w:after="140" w:line="276"/>
      </w:pPr>
      <w:r>
        <w:rPr>
          <w:rFonts w:ascii="Calibri" w:cs="Calibri" w:eastAsia="Calibri" w:hAnsi="Calibri"/>
          <w:b/>
          <w:bCs/>
          <w:sz w:val="21"/>
          <w:szCs w:val="21"/>
        </w:rPr>
        <w:t xml:space="preserve">En este perfil.</w:t>
      </w:r>
      <w:r>
        <w:rPr>
          <w:rFonts w:ascii="Calibri" w:cs="Calibri" w:eastAsia="Calibri" w:hAnsi="Calibri"/>
          <w:sz w:val="21"/>
          <w:szCs w:val="21"/>
        </w:rPr>
        <w:t xml:space="preserve"> Si el contrato encadena desarrollo y años de mantenimiento, rige la regla del contrato mixto: si la prestación principal es el desarrollo, es este perfil, con la bolsa de ADM-3·v3 para adaptar después lo desarrollado; si es el mantenimiento, el de mantenimiento de aplicaciones. La implantación de un producto de tercero con desarrollo accesorio no es este perfil: es SaaS si el proveedor lo presta como servicio y lo opera, y ninguno de los cuatro si lo instala la entidad (filas 3 y 4).</w:t>
      </w:r>
    </w:p>
    <w:p>
      <w:pPr>
        <w:pStyle w:val="Heading2"/>
        <w:keepNext/>
        <w:spacing w:after="140" w:before="320"/>
      </w:pPr>
      <w:r>
        <w:rPr>
          <w:rFonts w:ascii="Georgia" w:cs="Georgia" w:eastAsia="Georgia" w:hAnsi="Georgia"/>
          <w:b/>
          <w:bCs/>
          <w:color w:val="1F3864"/>
          <w:sz w:val="26"/>
          <w:szCs w:val="26"/>
        </w:rPr>
        <w:t xml:space="preserve">2.3 Desarrollo sobre el producto base de un tercero</w:t>
      </w:r>
    </w:p>
    <w:p>
      <w:pPr>
        <w:spacing w:after="140" w:line="276"/>
      </w:pPr>
      <w:r>
        <w:rPr>
          <w:rFonts w:ascii="Calibri" w:cs="Calibri" w:eastAsia="Calibri" w:hAnsi="Calibri"/>
          <w:sz w:val="21"/>
          <w:szCs w:val="21"/>
        </w:rPr>
        <w:t xml:space="preserve">Definiciones de la Parte I, §5.2. </w:t>
      </w:r>
      <w:r>
        <w:rPr>
          <w:rFonts w:ascii="Calibri" w:cs="Calibri" w:eastAsia="Calibri" w:hAnsi="Calibri"/>
          <w:b/>
          <w:bCs/>
          <w:sz w:val="21"/>
          <w:szCs w:val="21"/>
        </w:rPr>
        <w:t xml:space="preserve">Producto base</w:t>
      </w:r>
      <w:r>
        <w:rPr>
          <w:rFonts w:ascii="Calibri" w:cs="Calibri" w:eastAsia="Calibri" w:hAnsi="Calibri"/>
          <w:sz w:val="21"/>
          <w:szCs w:val="21"/>
        </w:rPr>
        <w:t xml:space="preserve"> (letra a): el programa que se comercializa con anterioridad e independencia del contrato; «no forma parte del producto base la parametrización, configuración o desarrollo realizados para el Ayuntamiento». </w:t>
      </w:r>
      <w:r>
        <w:rPr>
          <w:rFonts w:ascii="Calibri" w:cs="Calibri" w:eastAsia="Calibri" w:hAnsi="Calibri"/>
          <w:b/>
          <w:bCs/>
          <w:sz w:val="21"/>
          <w:szCs w:val="21"/>
        </w:rPr>
        <w:t xml:space="preserve">Desarrollo específico</w:t>
      </w:r>
      <w:r>
        <w:rPr>
          <w:rFonts w:ascii="Calibri" w:cs="Calibri" w:eastAsia="Calibri" w:hAnsi="Calibri"/>
          <w:sz w:val="21"/>
          <w:szCs w:val="21"/>
        </w:rPr>
        <w:t xml:space="preserve"> (letra b): código, reglas, algoritmos, flujos, integraciones, plantillas, modelos ajustados y documentación hechos para la entidad, fuente y objeto.</w:t>
      </w:r>
    </w:p>
    <w:p>
      <w:pPr>
        <w:spacing w:after="140" w:line="276"/>
      </w:pPr>
      <w:r>
        <w:rPr>
          <w:rFonts w:ascii="Calibri" w:cs="Calibri" w:eastAsia="Calibri" w:hAnsi="Calibri"/>
          <w:sz w:val="21"/>
          <w:szCs w:val="21"/>
        </w:rPr>
        <w:t xml:space="preserve">La frontera la fijan cuatro piezas:</w:t>
      </w:r>
    </w:p>
    <w:p>
      <w:pPr>
        <w:pStyle w:val="ListParagraph"/>
        <w:numPr>
          <w:ilvl w:val="0"/>
          <w:numId w:val="2"/>
        </w:numPr>
        <w:spacing w:after="70" w:line="268"/>
      </w:pPr>
      <w:r>
        <w:rPr>
          <w:rFonts w:ascii="Calibri" w:cs="Calibri" w:eastAsia="Calibri" w:hAnsi="Calibri"/>
          <w:b/>
          <w:bCs/>
          <w:sz w:val="21"/>
          <w:szCs w:val="21"/>
        </w:rPr>
        <w:t xml:space="preserve">Inventario de Componentes</w:t>
      </w:r>
      <w:r>
        <w:rPr>
          <w:rFonts w:ascii="Calibri" w:cs="Calibri" w:eastAsia="Calibri" w:hAnsi="Calibri"/>
          <w:sz w:val="21"/>
          <w:szCs w:val="21"/>
        </w:rPr>
        <w:t xml:space="preserve"> (DT-8·v3, apartado 2): separa producto base, desarrollos específicos, componentes de terceros con su licencia y configuraciones; a los [30] días de la formalización y con cada versión en producción. El plazo </w:t>
      </w:r>
      <w:r>
        <w:rPr>
          <w:rFonts w:ascii="Calibri" w:cs="Calibri" w:eastAsia="Calibri" w:hAnsi="Calibri"/>
          <w:b/>
          <w:bCs/>
          <w:sz w:val="21"/>
          <w:szCs w:val="21"/>
        </w:rPr>
        <w:t xml:space="preserve">no se amplía</w:t>
      </w:r>
      <w:r>
        <w:rPr>
          <w:rFonts w:ascii="Calibri" w:cs="Calibri" w:eastAsia="Calibri" w:hAnsi="Calibri"/>
          <w:sz w:val="21"/>
          <w:szCs w:val="21"/>
        </w:rPr>
        <w:t xml:space="preserve"> (Parte II, II.13): fija la frontera antes de que nadie tenga interés en moverla.</w:t>
      </w:r>
    </w:p>
    <w:p>
      <w:pPr>
        <w:pStyle w:val="ListParagraph"/>
        <w:numPr>
          <w:ilvl w:val="0"/>
          <w:numId w:val="2"/>
        </w:numPr>
        <w:spacing w:after="70" w:line="268"/>
      </w:pPr>
      <w:r>
        <w:rPr>
          <w:rFonts w:ascii="Calibri" w:cs="Calibri" w:eastAsia="Calibri" w:hAnsi="Calibri"/>
          <w:b/>
          <w:bCs/>
          <w:sz w:val="21"/>
          <w:szCs w:val="21"/>
        </w:rPr>
        <w:t xml:space="preserve">Delimitación negativa</w:t>
      </w:r>
      <w:r>
        <w:rPr>
          <w:rFonts w:ascii="Calibri" w:cs="Calibri" w:eastAsia="Calibri" w:hAnsi="Calibri"/>
          <w:sz w:val="21"/>
          <w:szCs w:val="21"/>
        </w:rPr>
        <w:t xml:space="preserve"> (ADM-8·v3, apartado 4), con sus dos excepciones: desarrollo a medida para la entidad o fuentes abiertas.</w:t>
      </w:r>
    </w:p>
    <w:p>
      <w:pPr>
        <w:pStyle w:val="ListParagraph"/>
        <w:numPr>
          <w:ilvl w:val="0"/>
          <w:numId w:val="2"/>
        </w:numPr>
        <w:spacing w:after="70" w:line="268"/>
      </w:pPr>
      <w:r>
        <w:rPr>
          <w:rFonts w:ascii="Calibri" w:cs="Calibri" w:eastAsia="Calibri" w:hAnsi="Calibri"/>
          <w:b/>
          <w:bCs/>
          <w:sz w:val="21"/>
          <w:szCs w:val="21"/>
        </w:rPr>
        <w:t xml:space="preserve">Licencia mínima supletoria</w:t>
      </w:r>
      <w:r>
        <w:rPr>
          <w:rFonts w:ascii="Calibri" w:cs="Calibri" w:eastAsia="Calibri" w:hAnsi="Calibri"/>
          <w:sz w:val="21"/>
          <w:szCs w:val="21"/>
        </w:rPr>
        <w:t xml:space="preserve"> (ADM-8·v3, apartado 5) y </w:t>
      </w:r>
      <w:r>
        <w:rPr>
          <w:rFonts w:ascii="Calibri" w:cs="Calibri" w:eastAsia="Calibri" w:hAnsi="Calibri"/>
          <w:b/>
          <w:bCs/>
          <w:sz w:val="21"/>
          <w:szCs w:val="21"/>
        </w:rPr>
        <w:t xml:space="preserve">licencia de continuidad</w:t>
      </w:r>
      <w:r>
        <w:rPr>
          <w:rFonts w:ascii="Calibri" w:cs="Calibri" w:eastAsia="Calibri" w:hAnsi="Calibri"/>
          <w:sz w:val="21"/>
          <w:szCs w:val="21"/>
        </w:rPr>
        <w:t xml:space="preserve"> (DT-8·v3, apartado 5): sin ellas lo desarrollado no arranca sin el producto base.</w:t>
      </w:r>
    </w:p>
    <w:p>
      <w:pPr>
        <w:pStyle w:val="ListParagraph"/>
        <w:numPr>
          <w:ilvl w:val="0"/>
          <w:numId w:val="2"/>
        </w:numPr>
        <w:spacing w:after="70" w:line="268"/>
      </w:pPr>
      <w:r>
        <w:rPr>
          <w:rFonts w:ascii="Calibri" w:cs="Calibri" w:eastAsia="Calibri" w:hAnsi="Calibri"/>
          <w:b/>
          <w:bCs/>
          <w:sz w:val="21"/>
          <w:szCs w:val="21"/>
        </w:rPr>
        <w:t xml:space="preserve">Regla en defecto de Inventario</w:t>
      </w:r>
      <w:r>
        <w:rPr>
          <w:rFonts w:ascii="Calibri" w:cs="Calibri" w:eastAsia="Calibri" w:hAnsi="Calibri"/>
          <w:sz w:val="21"/>
          <w:szCs w:val="21"/>
        </w:rPr>
        <w:t xml:space="preserve"> (ADM-8·v3, apartado 6): lo que el adjudicatario no acredite como preexistente es de la entidad.</w:t>
      </w:r>
    </w:p>
    <w:p>
      <w:pPr>
        <w:spacing w:after="140" w:line="276"/>
      </w:pPr>
      <w:r>
        <w:rPr>
          <w:rFonts w:ascii="Calibri" w:cs="Calibri" w:eastAsia="Calibri" w:hAnsi="Calibri"/>
          <w:sz w:val="21"/>
          <w:szCs w:val="21"/>
        </w:rPr>
        <w:t xml:space="preserve">Si la plataforma de los módulos es de la entidad, no hay producto base del adjudicatario; si la licencia un tercero, rigen las cuatro piezas. Con producto base de fuentes abiertas cabe exigir su código y se suprime DT-8·v3.5 (epígrafe 7). Con producto base cerrado, DT-8·v3.5 se conserva con su coste en el presupuesto base, y cederlo a otras administraciones exige pacto con el licenciante (ADM-8·v3, apartado 5). Si el producto base es lo principal, el contrato es de otro perfil.</w:t>
      </w:r>
    </w:p>
    <w:p>
      <w:pPr>
        <w:pStyle w:val="Heading2"/>
        <w:keepNext/>
        <w:spacing w:after="140" w:before="320"/>
      </w:pPr>
      <w:r>
        <w:rPr>
          <w:rFonts w:ascii="Georgia" w:cs="Georgia" w:eastAsia="Georgia" w:hAnsi="Georgia"/>
          <w:b/>
          <w:bCs/>
          <w:color w:val="1F3864"/>
          <w:sz w:val="26"/>
          <w:szCs w:val="26"/>
        </w:rPr>
        <w:t xml:space="preserve">2.4 Nivel del cuadro de intensidad: B</w:t>
      </w:r>
    </w:p>
    <w:p>
      <w:pPr>
        <w:pStyle w:val="ListParagraph"/>
        <w:numPr>
          <w:ilvl w:val="0"/>
          <w:numId w:val="1"/>
        </w:numPr>
        <w:spacing w:after="70" w:line="268"/>
      </w:pPr>
      <w:r>
        <w:rPr>
          <w:rFonts w:ascii="Calibri" w:cs="Calibri" w:eastAsia="Calibri" w:hAnsi="Calibri"/>
          <w:b/>
          <w:bCs/>
          <w:sz w:val="21"/>
          <w:szCs w:val="21"/>
        </w:rPr>
        <w:t xml:space="preserve">El perfil tiene siempre lo que el nivel B presupone</w:t>
      </w:r>
      <w:r>
        <w:rPr>
          <w:rFonts w:ascii="Calibri" w:cs="Calibri" w:eastAsia="Calibri" w:hAnsi="Calibri"/>
          <w:sz w:val="21"/>
          <w:szCs w:val="21"/>
        </w:rPr>
        <w:t xml:space="preserve"> —sistema de información municipal, datos y desarrollo específico—, que activa DT-5·v3, DT-8·v3 y ADM-8·v3 (Parte II, II.0; Parte IV, §M4.2).</w:t>
      </w:r>
    </w:p>
    <w:p>
      <w:pPr>
        <w:pStyle w:val="ListParagraph"/>
        <w:numPr>
          <w:ilvl w:val="0"/>
          <w:numId w:val="1"/>
        </w:numPr>
        <w:spacing w:after="70" w:line="268"/>
      </w:pPr>
      <w:r>
        <w:rPr>
          <w:rFonts w:ascii="Calibri" w:cs="Calibri" w:eastAsia="Calibri" w:hAnsi="Calibri"/>
          <w:b/>
          <w:bCs/>
          <w:sz w:val="21"/>
          <w:szCs w:val="21"/>
        </w:rPr>
        <w:t xml:space="preserve">El nivel C</w:t>
      </w:r>
      <w:r>
        <w:rPr>
          <w:rFonts w:ascii="Calibri" w:cs="Calibri" w:eastAsia="Calibri" w:hAnsi="Calibri"/>
          <w:sz w:val="21"/>
          <w:szCs w:val="21"/>
        </w:rPr>
        <w:t xml:space="preserve"> (valor estimado de 216.000 € o más en servicios, ENS MEDIA o ALTA, o servicio de ADM-11·v3.1.c) no activa por sí solo cláusulas con condiciones propias (Parte I, §2.2, notas), y aquí varias no encajan: ADM-9·v3 está excluida por su apartado 10; DT-9·v3 necesita Anexo V, y ADM-2·v3, además, [24] meses de duración; DT-7·v3 necesita el acuerdo del órgano de gobierno.</w:t>
      </w:r>
    </w:p>
    <w:p>
      <w:pPr>
        <w:pStyle w:val="ListParagraph"/>
        <w:numPr>
          <w:ilvl w:val="0"/>
          <w:numId w:val="1"/>
        </w:numPr>
        <w:spacing w:after="70" w:line="268"/>
      </w:pPr>
      <w:r>
        <w:rPr>
          <w:rFonts w:ascii="Calibri" w:cs="Calibri" w:eastAsia="Calibri" w:hAnsi="Calibri"/>
          <w:b/>
          <w:bCs/>
          <w:sz w:val="21"/>
          <w:szCs w:val="21"/>
        </w:rPr>
        <w:t xml:space="preserve">El nivel A</w:t>
      </w:r>
      <w:r>
        <w:rPr>
          <w:rFonts w:ascii="Calibri" w:cs="Calibri" w:eastAsia="Calibri" w:hAnsi="Calibri"/>
          <w:sz w:val="21"/>
          <w:szCs w:val="21"/>
        </w:rPr>
        <w:t xml:space="preserve">, por debajo de [50.000] €, deja fuera ADM-8·v3 y DT-8·v3, que es lo que el contrato compra. </w:t>
      </w:r>
      <w:r>
        <w:rPr>
          <w:rFonts w:ascii="Calibri" w:cs="Calibri" w:eastAsia="Calibri" w:hAnsi="Calibri"/>
          <w:b/>
          <w:bCs/>
          <w:sz w:val="21"/>
          <w:szCs w:val="21"/>
        </w:rPr>
        <w:t xml:space="preserve">Recomendación de este documento</w:t>
      </w:r>
      <w:r>
        <w:rPr>
          <w:rFonts w:ascii="Calibri" w:cs="Calibri" w:eastAsia="Calibri" w:hAnsi="Calibri"/>
          <w:sz w:val="21"/>
          <w:szCs w:val="21"/>
        </w:rPr>
        <w:t xml:space="preserve">, no regla del catálogo: incorporarlas también ahí, motivando la subida de nivel (§2.2). El §VI.2.2 dice de ADM-8·v3: «lo que se pierde por no ponerla no se recupera después».</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3 · Selección coordinada</w:t>
      </w:r>
    </w:p>
    <w:p>
      <w:pPr>
        <w:spacing w:after="140" w:line="276"/>
      </w:pPr>
      <w:r>
        <w:rPr>
          <w:rFonts w:ascii="Calibri" w:cs="Calibri" w:eastAsia="Calibri" w:hAnsi="Calibri"/>
          <w:sz w:val="21"/>
          <w:szCs w:val="21"/>
        </w:rPr>
        <w:t xml:space="preserve">Reglas de la Parte I, §7: un solo instrumento por exigencia (§7.3); esencialidad sólo en la lista de ADM-6·v3 (§7.5); cada NO APLICA arrastra todas sus menciones según el Anexo VI (§7.6.3); nada sin verificador, periodicidad y carga (§7.9); límites del §7.10 en los dos pliegos.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Decisión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 y razón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Dependencias (Anexo VI)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PPT tecnológico sin citas es «poco frecuente» (epígrafe 7); con una sola de estándar, producto, protocolo o metodología —un marco de desarrollo, una base de datos, una metodología de trabajo— no admite exclusión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exigen DT-7 y DT-9. Su ap. 7 cae si la tabla de DT-5.2 queda vacía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la solución incorpora o va a incorporar IA (epígrafe 7); los asistentes de programación del adjudicatario no la activan (los ordena ADM-13, nivel 2). Los incisos que dependen del proyecto de Ley de la Administración Digital e Inteligencia Artificial de la Comunidad de Madrid (PL-11/2026, BOAM núm. 171, de 17 de septiembre de 2026), texto anexo al Acuerdo del Consejo de Gobierno de 9 de septiembre de 2026, llevan el corchete del catálogo «[si la entidad está sujeta a la Ley de la Administración Digital e Inteligencia Artificial de la Comunidad de Madrid o a norma autonómica equivalente]»; con su valor por defecto, «no sujeta» (Anexo X, fila 50), se suprimen (Anexo XI.4)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criterio E, menciones en DT-4 y DT-7, Anexo VII, L6, L11, G10–G12, G23–G25, M9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(§2.2); integridad y fecha cierta, con firma, sello o archivo disponibles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Borrar L7 (anclaje), G13, M10,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(§2.2); sólo con categorías especiales o conservación de [5] años o más y material criptográfico propio (ap. 1;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Borrar L8 (cripto), G14, M11,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el gestor relaciona tres procesos con volumen y tiempo reales (epígrafe 3); desde [100.000] €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criterio H; Apéndice técnico 1 «No procede»; L8 (indicadores), G15, M12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 contrato con sistema de información (II.0). Ap. 2 sólo con servicios comunes; ap. 5, segundo inciso, sólo con tratamiento por cuenta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Tabla de 5.2 vacía: fuera ese ap., DT-0.7 y dos menciones del §7.10</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RD 311/2022; descartarla exige motivación (II.11)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 categoría decide la acreditación y ADM-11</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acuerdo del órgano de gobierno y módulos en el Apéndice técnico 2 (epígrafe 7). El umbral de [100.000] € baja «sólo si el contrato es de desarrollo del propio sistema» (§M4.2): éste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 DT-0. Si NA: criterios A y B, ET-1 a ET-3, L7 y G17 (interfaz), G19, M15, B.2 g), ADM-10, Anexo VII, remisión de DT-1.6.d)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Hay desarrollo específico y datos (§M4.2): aquí es, sobre todo, entregar lo construido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plazo de garantía, L10, G3, G20, M4, B.1 a), Inventario en ADM-8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Anexo V vigente, aprobado y contrastado para esta tipología (epígrafe 7); [100.000] € y [24] meses salvo acuerdo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 DT-0; la exige ADM-2. Si NA: Apéndice técnico 2 (ii), ADM-2, ADM-3 bloque 1, L2, G2, G5, G21, G22, M1, M2, B.2 e) y f)</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IA en la solución (epígrafe 7); modalidad B, y con el criterio E sólo sus letras a), d) y e), porque las b) y c) las puntúa E (VI.4.3; Anexo I, fila 17); A sólo armonizado con IA determinante; C con la A o la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Anexo VII, L3, G8 y M7 en lo suyo, Anexo XXI. No suprime 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DT-9 y [24] meses o más; si no, el Anexo V va al PPT como capacidad inicial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ADM-3 bloque 1, G2, M1, M2, B.2 e) y f), hitos de ADM-10</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1 sólo con ADM-2. Bloque 2 cabe (art. 308.3 LCSP: desarrollo de aplicaciones) con Cuadro de Precios Unitarios e informe jurídico previo; [100.000] € (epígrafe 7;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bolsa: criterio F, Cuadro de Precios Unitarios, partida del presupuesto y valor estimado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siempre (art. 62 LCSP); Comisión con [12] meses y [60.000] € o más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sustituir el valor de sus actas en ADM-2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consecuencia tipificada, lo demás son recomendaciones (VI.2.2)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Recibe los tipos de las DT incorporadas (§5.2)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 bloque A sólo si concurre su presupuesto; B.2 sin marcar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A: declarar en el PCAP cesión o tratamiento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Reglas del baremo siempre que haya baremo (cuadro de cierre de la Parte III), aunque el §2.2 la sitúe en el nivel C; su bloque «Innovación y tecnología» sólo existe aquí con DT-1, DT-4 o DT-7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y B, de DT-7; E, de DT-1; F, de la bolsa; H, de DT-4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 entera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Hay desarrollo específico (§M4.2): es la cláusula del perfil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DT-1.7, Inventario en DT-8, dos tipos, mención en ADM-6</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Fuera del desarrollo a medida pide valor estimado igual o superior a [200.000] € y comprobación justificada, nunca en la tramitación del art. 159.6 LCSP; aquí está excluida «cuando el objeto del contrato sea el desarrollo a medida de una solución que no preexiste» (apartado 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Borrar anexo de guion, frases sobre ADM-9 en C1, A, D y H, regla de momento. No arrastra criterios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Anexo V; no con [12] meses o menos sin prórroga (epígrafe 7); [100.000] € y [24] meses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Anexo XIV, L1, G9, B.2 h) e i), Anexo VII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Sólo con las cuatro circunstancias acumulativas de su apartado 1, acreditadas en la memoria: categoría ALTA en disponibilidad, valor estimado superior a [300.000] €, servicio de la lista de la letra c) y ninguna alternativa sustituible en menos de [6] meses. Si concurren, el contrato lleva la capa de plataformas críticas (§2.2, fila 5), y ADM-11·v3 entra con ella. Aquí pierde casi todo su objeto (§3.1)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Borrar G4, M3, B.1 b), partida, Anexo VII, mención en DT-8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Tres condiciones: que el adjudicatario opere el sistema —si los datos residen en sistemas de la entidad, basta dar usuario al interventor (epígrafe 7)—; que el sistema soporte información con reflejo presupuestario, contable o patrimonial (§M4.2); y que conste el informe firmado y fechado del órgano de control (epígrafe 3). En este perfil, lo desarrollado suele desplegarse en la infraestructura de la entidad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NA: G6, M6, B.1 c), accesos, apartado del PPT, Anexo VII, Anexo III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Código y documentación de los desarrollos son nivel 2; datos de producción, nivel 1 (ap. 1): siempre hay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faltara: B.1 d), G7, M5, Anexo VII; la política del Anexo XVI no decae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excluye módulos funcionales nuevos (ap. 2) y la bolsa es la vía preferente (nota al redactor)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Borrar casilla del cuadro-resumen, sumando del valor estimado, Anexo VII</w:t>
            </w:r>
          </w:p>
        </w:tc>
      </w:tr>
    </w:tbl>
    <w:p>
      <w:pPr>
        <w:spacing w:after="200"/>
      </w:pPr>
    </w:p>
    <w:p>
      <w:pPr>
        <w:spacing w:after="140" w:line="276"/>
      </w:pPr>
      <w:r>
        <w:rPr>
          <w:rFonts w:ascii="Calibri" w:cs="Calibri" w:eastAsia="Calibri" w:hAnsi="Calibri"/>
          <w:b/>
          <w:bCs/>
          <w:sz w:val="21"/>
          <w:szCs w:val="21"/>
        </w:rPr>
        <w:t xml:space="preserve">Recuento: 24 cláusulas · 10 SÍ · 9 CONDICIONAL · 5 NO APLICA.</w:t>
      </w:r>
    </w:p>
    <w:p>
      <w:pPr>
        <w:pStyle w:val="Heading2"/>
        <w:keepNext/>
        <w:spacing w:after="140" w:before="320"/>
      </w:pPr>
      <w:r>
        <w:rPr>
          <w:rFonts w:ascii="Georgia" w:cs="Georgia" w:eastAsia="Georgia" w:hAnsi="Georgia"/>
          <w:b/>
          <w:bCs/>
          <w:color w:val="1F3864"/>
          <w:sz w:val="26"/>
          <w:szCs w:val="26"/>
        </w:rPr>
        <w:t xml:space="preserve">3.1 Dos comprobaciones sobre las condiciones de las cláusulas</w:t>
      </w:r>
    </w:p>
    <w:p>
      <w:pPr>
        <w:spacing w:after="140" w:line="276"/>
      </w:pPr>
      <w:r>
        <w:rPr>
          <w:rFonts w:ascii="Calibri" w:cs="Calibri" w:eastAsia="Calibri" w:hAnsi="Calibri"/>
          <w:b/>
          <w:bCs/>
          <w:sz w:val="21"/>
          <w:szCs w:val="21"/>
        </w:rPr>
        <w:t xml:space="preserve">ADM-11·v3.</w:t>
      </w:r>
      <w:r>
        <w:rPr>
          <w:rFonts w:ascii="Calibri" w:cs="Calibri" w:eastAsia="Calibri" w:hAnsi="Calibri"/>
          <w:sz w:val="21"/>
          <w:szCs w:val="21"/>
        </w:rPr>
        <w:t xml:space="preserve"> Exige </w:t>
      </w:r>
      <w:r>
        <w:rPr>
          <w:rFonts w:ascii="Calibri" w:cs="Calibri" w:eastAsia="Calibri" w:hAnsi="Calibri"/>
          <w:b/>
          <w:bCs/>
          <w:sz w:val="21"/>
          <w:szCs w:val="21"/>
        </w:rPr>
        <w:t xml:space="preserve">las cuatro</w:t>
      </w:r>
      <w:r>
        <w:rPr>
          <w:rFonts w:ascii="Calibri" w:cs="Calibri" w:eastAsia="Calibri" w:hAnsi="Calibri"/>
          <w:sz w:val="21"/>
          <w:szCs w:val="21"/>
        </w:rPr>
        <w:t xml:space="preserve"> circunstancias de su apartado 1: ENS ALTA en disponibilidad, más de [300.000] €, servicio de la lista tasada y ninguna alternativa sustituible en menos de [6] meses. Un desarrollo de sede electrónica o de gestión de expedientes puede reunir tres, pero el depósito pierde casi todo su objeto: lo que su apartado 2 manda depositar —código, </w:t>
      </w:r>
      <w:r>
        <w:rPr>
          <w:rFonts w:ascii="Calibri" w:cs="Calibri" w:eastAsia="Calibri" w:hAnsi="Calibri"/>
          <w:i/>
          <w:iCs/>
          <w:sz w:val="21"/>
          <w:szCs w:val="21"/>
        </w:rPr>
        <w:t xml:space="preserve">scripts</w:t>
      </w:r>
      <w:r>
        <w:rPr>
          <w:rFonts w:ascii="Calibri" w:cs="Calibri" w:eastAsia="Calibri" w:hAnsi="Calibri"/>
          <w:sz w:val="21"/>
          <w:szCs w:val="21"/>
        </w:rPr>
        <w:t xml:space="preserve"> de construcción, infraestructura como código, esquema de datos, documentación— es, para lo hecho a medida, material de la entidad (ADM-8·v3, apartado 1) que DT-8·v3 obliga a entregar. Quedan dos riesgos. El primero, que el adjudicatario desaparezca </w:t>
      </w:r>
      <w:r>
        <w:rPr>
          <w:rFonts w:ascii="Calibri" w:cs="Calibri" w:eastAsia="Calibri" w:hAnsi="Calibri"/>
          <w:b/>
          <w:bCs/>
          <w:sz w:val="21"/>
          <w:szCs w:val="21"/>
        </w:rPr>
        <w:t xml:space="preserve">antes</w:t>
      </w:r>
      <w:r>
        <w:rPr>
          <w:rFonts w:ascii="Calibri" w:cs="Calibri" w:eastAsia="Calibri" w:hAnsi="Calibri"/>
          <w:sz w:val="21"/>
          <w:szCs w:val="21"/>
        </w:rPr>
        <w:t xml:space="preserve"> de la entrega, porque DT-8·v3 la exige «a la finalización del contrato»: el catálogo no obliga a entregar el repositorio en cada hito ni lo admite como medio de acreditación (ADM-8·v3, epígrafe 4, letra d); </w:t>
      </w:r>
      <w:r>
        <w:rPr>
          <w:rFonts w:ascii="Calibri" w:cs="Calibri" w:eastAsia="Calibri" w:hAnsi="Calibri"/>
          <w:b/>
          <w:bCs/>
          <w:sz w:val="21"/>
          <w:szCs w:val="21"/>
        </w:rPr>
        <w:t xml:space="preserve">si el cuerpo del PPT lo exige, como recomienda este documento y no el catálogo (§4.2, DT-8·v3), ese riesgo se cubre sin depósito</w:t>
      </w:r>
      <w:r>
        <w:rPr>
          <w:rFonts w:ascii="Calibri" w:cs="Calibri" w:eastAsia="Calibri" w:hAnsi="Calibri"/>
          <w:sz w:val="21"/>
          <w:szCs w:val="21"/>
        </w:rPr>
        <w:t xml:space="preserve">. El segundo, un producto base de tercero sin el que lo desarrollado no opera: para él están el depósito de tercero y el plan de continuidad equivalente (apartado 3, letras b y c), y si además concurren las cuatro circunstancias, el contrato lleva la capa de plataformas críticas (§2.2, fila 5), que es donde ADM-11·v3 se incorpora.</w:t>
      </w:r>
    </w:p>
    <w:p>
      <w:pPr>
        <w:spacing w:after="140" w:line="276"/>
      </w:pPr>
      <w:r>
        <w:rPr>
          <w:rFonts w:ascii="Calibri" w:cs="Calibri" w:eastAsia="Calibri" w:hAnsi="Calibri"/>
          <w:b/>
          <w:bCs/>
          <w:sz w:val="21"/>
          <w:szCs w:val="21"/>
        </w:rPr>
        <w:t xml:space="preserve">ADM-9·v3.</w:t>
      </w:r>
      <w:r>
        <w:rPr>
          <w:rFonts w:ascii="Calibri" w:cs="Calibri" w:eastAsia="Calibri" w:hAnsi="Calibri"/>
          <w:sz w:val="21"/>
          <w:szCs w:val="21"/>
        </w:rPr>
        <w:t xml:space="preserve"> Su epígrafe 7 da la razón de la exclusión: «no hay nada que verificar y exigirlo equivaldría a requerir un producto ya hecho». C1, A y H se comprueban por el medio documental de su fila (Anexo VI, fila ADM-9); D se valora sobre lo escrito; la carga A3 es cero.</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4 · Extracto para el Pliego de Prescripciones Técnicas</w:t>
      </w:r>
    </w:p>
    <w:p>
      <w:pPr>
        <w:pStyle w:val="Heading2"/>
        <w:keepNext/>
        <w:spacing w:after="140" w:before="320"/>
      </w:pPr>
      <w:r>
        <w:rPr>
          <w:rFonts w:ascii="Georgia" w:cs="Georgia" w:eastAsia="Georgia" w:hAnsi="Georgia"/>
          <w:b/>
          <w:bCs/>
          <w:color w:val="1F3864"/>
          <w:sz w:val="26"/>
          <w:szCs w:val="26"/>
        </w:rPr>
        <w:t xml:space="preserve">4.1 Composición</w:t>
      </w:r>
    </w:p>
    <w:p>
      <w:pPr>
        <w:spacing w:after="140" w:line="276"/>
      </w:pPr>
      <w:r>
        <w:rPr>
          <w:rFonts w:ascii="Calibri" w:cs="Calibri" w:eastAsia="Calibri" w:hAnsi="Calibri"/>
          <w:b/>
          <w:bCs/>
          <w:sz w:val="21"/>
          <w:szCs w:val="21"/>
        </w:rPr>
        <w:t xml:space="preserve">Interpretación e integración</w:t>
      </w:r>
      <w:r>
        <w:rPr>
          <w:rFonts w:ascii="Calibri" w:cs="Calibri" w:eastAsia="Calibri" w:hAnsi="Calibri"/>
          <w:sz w:val="21"/>
          <w:szCs w:val="21"/>
        </w:rPr>
        <w:t xml:space="preserve"> (Parte I, §7.10), siempre que se incorpore cualquier cláusula. Se reproducen los dos bloques del epígrafe: el primero va al PCAP (§5.1) y el segundo, al PPT.</w:t>
      </w:r>
    </w:p>
    <w:p>
      <w:pPr>
        <w:spacing w:after="140" w:line="276"/>
      </w:pPr>
      <w:r>
        <w:rPr>
          <w:rFonts w:ascii="Calibri" w:cs="Calibri" w:eastAsia="Calibri" w:hAnsi="Calibri"/>
          <w:i/>
          <w:iCs/>
          <w:sz w:val="21"/>
          <w:szCs w:val="21"/>
        </w:rPr>
        <w:t xml:space="preserve">Texto vigente de §7.10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Reglas de interpretación e integración de las cláusulas de contenido tecnológico.</w:t>
            </w:r>
          </w:p>
          <w:p>
            <w:pPr>
              <w:spacing w:after="100" w:line="264"/>
            </w:pPr>
            <w:r>
              <w:rPr>
                <w:rFonts w:ascii="Georgia" w:cs="Georgia" w:eastAsia="Georgia" w:hAnsi="Georgia"/>
                <w:i/>
                <w:iCs/>
                <w:sz w:val="20"/>
                <w:szCs w:val="20"/>
              </w:rPr>
              <w:t xml:space="preserve">[Sólo si la entidad ha aprobado el catálogo y se cumplen las condiciones de aplicación de su memoria justificativa. En otro caso, se suprime este apartado y, en el apartado 4, se emplea la fórmula alternativa.]</w:t>
            </w:r>
            <w:r>
              <w:rPr>
                <w:rFonts w:ascii="Georgia" w:cs="Georgia" w:eastAsia="Georgia" w:hAnsi="Georgia"/>
                <w:sz w:val="20"/>
                <w:szCs w:val="20"/>
              </w:rPr>
              <w:t xml:space="preserve"> </w:t>
            </w:r>
            <w:r>
              <w:rPr>
                <w:rFonts w:ascii="Georgia" w:cs="Georgia" w:eastAsia="Georgia" w:hAnsi="Georgia"/>
                <w:b/>
                <w:bCs/>
                <w:sz w:val="20"/>
                <w:szCs w:val="20"/>
              </w:rPr>
              <w:t xml:space="preserve">1. Identificación.</w:t>
            </w:r>
            <w:r>
              <w:rPr>
                <w:rFonts w:ascii="Georgia" w:cs="Georgia" w:eastAsia="Georgia" w:hAnsi="Georgia"/>
                <w:sz w:val="20"/>
                <w:szCs w:val="20"/>
              </w:rPr>
              <w:t xml:space="preserve"> Las cláusulas de contenido tecnológico y de inteligencia artificial de este pliego y del Pliego de Prescripciones Técnicas proceden del Clausulado de Inteligencia Artificial y Deep Tech, versión [ ], aprobado por [órgano] con fecha [fecha]. Las referencias a códigos de cláusula (DT-n·v3, ADM-n·v3) se entienden hechas a dicha versión. La aprobación de versiones posteriores del clausulado no afecta a este contrato.</w:t>
            </w:r>
          </w:p>
          <w:p>
            <w:pPr>
              <w:spacing w:after="100" w:line="264"/>
            </w:pPr>
            <w:r>
              <w:rPr>
                <w:rFonts w:ascii="Georgia" w:cs="Georgia" w:eastAsia="Georgia" w:hAnsi="Georgia"/>
                <w:b/>
                <w:bCs/>
                <w:sz w:val="20"/>
                <w:szCs w:val="20"/>
              </w:rPr>
              <w:t xml:space="preserve">2. Prevalencia funcional y equivalencia.</w:t>
            </w:r>
            <w:r>
              <w:rPr>
                <w:rFonts w:ascii="Georgia" w:cs="Georgia" w:eastAsia="Georgia" w:hAnsi="Georgia"/>
                <w:sz w:val="20"/>
                <w:szCs w:val="20"/>
              </w:rPr>
              <w:t xml:space="preserve"> Las prescripciones técnicas de este contrato se formulan en términos de rendimiento y de exigencias funcionales. Cuando este pliego o el de prescripciones técnicas mencionen un producto, marca, red, infraestructura, protocolo o metodología determinados, la mención se entiende efectuada a título ilustrativo y acompañada de la expresión «o equivalente». En caso de contradicción entre esa mención y la formulación funcional de la misma exigencia, prevalece la formulación funcional. El licitador que oferte una solución equivalente deberá acreditarlo en su oferta, por cualquier medio adecuado, conforme a los artículos 126.8 y 128.2 de la Ley 9/2017, de 8 de noviembre; el órgano de contratación motivará por escrito, en su caso, el rechazo de la equivalencia. Se exceptúan de esta regla los servicios comunes de obligada utilización relacionados en la cláusula [DT-5·v3], apartado 2, del Pliego de Prescripciones Técnicas, que no admiten solución equivalente, y las normas y reglamentos técnicos de obligado cumplimiento.</w:t>
            </w:r>
          </w:p>
          <w:p>
            <w:pPr>
              <w:spacing w:after="100" w:line="264"/>
            </w:pPr>
            <w:r>
              <w:rPr>
                <w:rFonts w:ascii="Georgia" w:cs="Georgia" w:eastAsia="Georgia" w:hAnsi="Georgia"/>
                <w:b/>
                <w:bCs/>
                <w:sz w:val="20"/>
                <w:szCs w:val="20"/>
              </w:rPr>
              <w:t xml:space="preserve">3. Alcance de las obligaciones de evolución tecnológica.</w:t>
            </w:r>
            <w:r>
              <w:rPr>
                <w:rFonts w:ascii="Georgia" w:cs="Georgia" w:eastAsia="Georgia" w:hAnsi="Georgia"/>
                <w:sz w:val="20"/>
                <w:szCs w:val="20"/>
              </w:rPr>
              <w:t xml:space="preserve"> Las obligaciones de evolución tecnológica del contratista se agotan en las exigencias relacionadas en el Anexo [V] del Pliego de Prescripciones Técnicas, en los plazos y con los criterios de aceptación que en él se establecen, y en la puesta a disposición de las versiones sucesoras del producto contratado. Fuera de dichas exigencias no existe obligación de incorporar tecnologías, funcionalidades o prestaciones distintas al amparo de este contrato. Toda ampliación se tramitará conforme a los artículos 203 y 204 de la Ley 9/2017 o se incorporará a una licitación posterior. </w:t>
            </w:r>
            <w:r>
              <w:rPr>
                <w:rFonts w:ascii="Georgia" w:cs="Georgia" w:eastAsia="Georgia" w:hAnsi="Georgia"/>
                <w:i/>
                <w:iCs/>
                <w:sz w:val="20"/>
                <w:szCs w:val="20"/>
              </w:rPr>
              <w:t xml:space="preserve">[Si el pliego no incorpora la cláusula DT-9·v3, no hay Anexo de Exigencias Tecnológicas Determinadas ni versiones sucesoras exigibles por esa cláusula, y este apartado dice: «</w:t>
            </w:r>
            <w:r>
              <w:rPr>
                <w:rFonts w:ascii="Georgia" w:cs="Georgia" w:eastAsia="Georgia" w:hAnsi="Georgia"/>
                <w:i/>
                <w:iCs/>
                <w:sz w:val="20"/>
                <w:szCs w:val="20"/>
              </w:rPr>
              <w:t xml:space="preserve">3. Alcance de las obligaciones de evolución tecnológica.</w:t>
            </w:r>
            <w:r>
              <w:rPr>
                <w:rFonts w:ascii="Georgia" w:cs="Georgia" w:eastAsia="Georgia" w:hAnsi="Georgia"/>
                <w:sz w:val="20"/>
                <w:szCs w:val="20"/>
              </w:rPr>
              <w:t xml:space="preserve">* Este contrato no incorpora Anexo de Exigencias Tecnológicas Determinadas. El contratista no está obligado a incorporar tecnologías, funcionalidades o prestaciones distintas de las descritas en el Pliego de Prescripciones Técnicas, en los plazos que en él se establecen. Toda ampliación se tramitará conforme a los artículos 203 y 204 de la Ley 9/2017 o se incorporará a una licitación posterior.»]*</w:t>
            </w:r>
          </w:p>
          <w:p>
            <w:pPr>
              <w:spacing w:after="100" w:line="264"/>
            </w:pPr>
            <w:r>
              <w:rPr>
                <w:rFonts w:ascii="Georgia" w:cs="Georgia" w:eastAsia="Georgia" w:hAnsi="Georgia"/>
                <w:b/>
                <w:bCs/>
                <w:sz w:val="20"/>
                <w:szCs w:val="20"/>
              </w:rPr>
              <w:t xml:space="preserve">4. Obligaciones esenciales.</w:t>
            </w:r>
            <w:r>
              <w:rPr>
                <w:rFonts w:ascii="Georgia" w:cs="Georgia" w:eastAsia="Georgia" w:hAnsi="Georgia"/>
                <w:sz w:val="20"/>
                <w:szCs w:val="20"/>
              </w:rPr>
              <w:t xml:space="preserve"> Únicamente tienen el carácter de obligación contractual esencial, a los efectos de la letra f) del apartado 1 del artículo 211 de la Ley 9/2017, los incumplimientos enumerados de manera expresa en la cláusula [ADM-6·v3] de este pliego. Ninguna otra de las obligaciones incorporadas en virtud del clausulado identificado en el apartado 1 </w:t>
            </w:r>
            <w:r>
              <w:rPr>
                <w:rFonts w:ascii="Georgia" w:cs="Georgia" w:eastAsia="Georgia" w:hAnsi="Georgia"/>
                <w:i/>
                <w:iCs/>
                <w:sz w:val="20"/>
                <w:szCs w:val="20"/>
              </w:rPr>
              <w:t xml:space="preserve">[si se ha suprimido el apartado 1: «Ninguna otra de las obligaciones de contenido tecnológico de este pliego y del de prescripciones técnicas»]</w:t>
            </w:r>
            <w:r>
              <w:rPr>
                <w:rFonts w:ascii="Georgia" w:cs="Georgia" w:eastAsia="Georgia" w:hAnsi="Georgia"/>
                <w:sz w:val="20"/>
                <w:szCs w:val="20"/>
              </w:rPr>
              <w:t xml:space="preserve"> tiene carácter esencial. Lo anterior se entiende sin perjuicio de las demás obligaciones que este pliego califique expresamente como esenciales por otro título y de las que deban ser calificadas como tales por mandato legal.</w:t>
            </w:r>
          </w:p>
          <w:p>
            <w:pPr>
              <w:spacing w:after="100" w:line="264"/>
            </w:pPr>
            <w:r>
              <w:rPr>
                <w:rFonts w:ascii="Georgia" w:cs="Georgia" w:eastAsia="Georgia" w:hAnsi="Georgia"/>
                <w:b/>
                <w:bCs/>
                <w:sz w:val="20"/>
                <w:szCs w:val="20"/>
              </w:rPr>
              <w:t xml:space="preserve">5. Separación de instrumentos.</w:t>
            </w:r>
            <w:r>
              <w:rPr>
                <w:rFonts w:ascii="Georgia" w:cs="Georgia" w:eastAsia="Georgia" w:hAnsi="Georgia"/>
                <w:sz w:val="20"/>
                <w:szCs w:val="20"/>
              </w:rPr>
              <w:t xml:space="preserve"> Las prestaciones exigidas en este contrato como prescripción técnica de obligado cumplimiento, como requisito de solvencia o como medio que el adjudicatario deba adscribir a la ejecución, no son objeto de valoración como criterio de adjudicación. Los criterios de adjudicación de este pliego valoran exclusivamente prestaciones adicionales o niveles de calidad superiores al mínimo exigido, en los términos que para cada criterio se establecen.</w:t>
            </w:r>
          </w:p>
          <w:p>
            <w:pPr>
              <w:spacing w:after="100" w:line="264"/>
            </w:pPr>
            <w:r>
              <w:rPr>
                <w:rFonts w:ascii="Georgia" w:cs="Georgia" w:eastAsia="Georgia" w:hAnsi="Georgia"/>
                <w:b/>
                <w:bCs/>
                <w:sz w:val="20"/>
                <w:szCs w:val="20"/>
              </w:rPr>
              <w:t xml:space="preserve">6. Separabilidad.</w:t>
            </w:r>
            <w:r>
              <w:rPr>
                <w:rFonts w:ascii="Georgia" w:cs="Georgia" w:eastAsia="Georgia" w:hAnsi="Georgia"/>
                <w:sz w:val="20"/>
                <w:szCs w:val="20"/>
              </w:rPr>
              <w:t xml:space="preserve"> La declaración de nulidad o la anulación de alguna de las cláusulas de contenido tecnológico de este pliego o del de prescripciones técnicas no afectará a la validez y eficacia de las restantes, salvo que la cláusula afectada constituya presupuesto necesario de otra, en cuyo caso decaerá igualmente esta última. Esta previsión no altera las ponderaciones de los criterios de adjudicación publicadas en este pliego, que no serán objeto de reescalado.</w:t>
            </w:r>
          </w:p>
          <w:p>
            <w:pPr>
              <w:spacing w:after="100" w:line="264"/>
            </w:pPr>
            <w:r>
              <w:rPr>
                <w:rFonts w:ascii="Georgia" w:cs="Georgia" w:eastAsia="Georgia" w:hAnsi="Georgia"/>
                <w:b/>
                <w:bCs/>
                <w:sz w:val="20"/>
                <w:szCs w:val="20"/>
              </w:rPr>
              <w:t xml:space="preserve">7. Valor de los principios.</w:t>
            </w:r>
            <w:r>
              <w:rPr>
                <w:rFonts w:ascii="Georgia" w:cs="Georgia" w:eastAsia="Georgia" w:hAnsi="Georgia"/>
                <w:sz w:val="20"/>
                <w:szCs w:val="20"/>
              </w:rPr>
              <w:t xml:space="preserve"> Los principios enunciados en [apartado del pliego] tienen valor interpretativo. No constituyen por sí solos obligaciones exigibles al contratista ni pueden fundar la imposición de penalidades ni la resolución del contrato. Las obligaciones del contratista son, exclusivamente, las expresamente establecidas en las cláusulas de este pliego y del Pliego de Prescripciones Técnicas.</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Interpretación de las prescripciones técnicas de contenido tecnológico.</w:t>
            </w:r>
          </w:p>
          <w:p>
            <w:pPr>
              <w:spacing w:after="100" w:line="264"/>
            </w:pPr>
            <w:r>
              <w:rPr>
                <w:rFonts w:ascii="Georgia" w:cs="Georgia" w:eastAsia="Georgia" w:hAnsi="Georgia"/>
                <w:b/>
                <w:bCs/>
                <w:sz w:val="20"/>
                <w:szCs w:val="20"/>
              </w:rPr>
              <w:t xml:space="preserve">1.</w:t>
            </w:r>
            <w:r>
              <w:rPr>
                <w:rFonts w:ascii="Georgia" w:cs="Georgia" w:eastAsia="Georgia" w:hAnsi="Georgia"/>
                <w:sz w:val="20"/>
                <w:szCs w:val="20"/>
              </w:rPr>
              <w:t xml:space="preserve"> Las prescripciones técnicas de este pliego relativas a inteligencia artificial, automatización, interoperabilidad, seguridad, servicios de confianza y reversibilidad se formulan en términos de rendimiento y de exigencias funcionales, conforme al artículo 126.5.a) de la Ley 9/2017, de 8 de noviembre. Toda mención a un producto, marca, red, infraestructura, protocolo o metodología determinados se entiende acompañada de la expresión «o equivalente» y no constituye medio de presunción de conformidad; el cumplimiento se acredita respecto de las exigencias funcionales de la cláusula correspondiente. Se exceptúan los servicios comunes de obligada utilización relacionados en la cláusula [DT-5·v3], apartado 2, que no admiten solución equivalente.</w:t>
            </w:r>
          </w:p>
          <w:p>
            <w:pPr>
              <w:spacing w:after="100" w:line="264"/>
            </w:pPr>
            <w:r>
              <w:rPr>
                <w:rFonts w:ascii="Georgia" w:cs="Georgia" w:eastAsia="Georgia" w:hAnsi="Georgia"/>
                <w:b/>
                <w:bCs/>
                <w:sz w:val="20"/>
                <w:szCs w:val="20"/>
              </w:rPr>
              <w:t xml:space="preserve">2.</w:t>
            </w:r>
            <w:r>
              <w:rPr>
                <w:rFonts w:ascii="Georgia" w:cs="Georgia" w:eastAsia="Georgia" w:hAnsi="Georgia"/>
                <w:sz w:val="20"/>
                <w:szCs w:val="20"/>
              </w:rPr>
              <w:t xml:space="preserve"> Las definiciones aplicables a estas prescripciones son las contenidas en el apartado [ ] de este pliego. En caso de discrepancia entre una definición y el texto de una cláusula, prevalece el texto de la cláusula.</w:t>
            </w:r>
          </w:p>
          <w:p>
            <w:pPr>
              <w:spacing w:after="100" w:line="264"/>
            </w:pPr>
            <w:r>
              <w:rPr>
                <w:rFonts w:ascii="Georgia" w:cs="Georgia" w:eastAsia="Georgia" w:hAnsi="Georgia"/>
                <w:b/>
                <w:bCs/>
                <w:sz w:val="20"/>
                <w:szCs w:val="20"/>
              </w:rPr>
              <w:t xml:space="preserve">3.</w:t>
            </w:r>
            <w:r>
              <w:rPr>
                <w:rFonts w:ascii="Georgia" w:cs="Georgia" w:eastAsia="Georgia" w:hAnsi="Georgia"/>
                <w:sz w:val="20"/>
                <w:szCs w:val="20"/>
              </w:rPr>
              <w:t xml:space="preserve"> Las obligaciones de evolución tecnológica se agotan en el Anexo [V] de este pliego, que se incorpora físicamente a él con número de versión y fecha y permanece invariable durante toda la vigencia del contrato y de sus prórrogas. Las revisiones posteriores del catálogo municipal de exigencias tecnológicas no producen efectos sobre este contrato. </w:t>
            </w:r>
            <w:r>
              <w:rPr>
                <w:rFonts w:ascii="Georgia" w:cs="Georgia" w:eastAsia="Georgia" w:hAnsi="Georgia"/>
                <w:i/>
                <w:iCs/>
                <w:sz w:val="20"/>
                <w:szCs w:val="20"/>
              </w:rPr>
              <w:t xml:space="preserve">[Si el pliego no incorpora la cláusula DT-9·v3, este apartado se suprime: el alcance de las obligaciones de evolución tecnológica lo fija el apartado 3 de la cláusula de interpretación del pliego de cláusulas administrativas particulares, en su redacción alternativa.]</w:t>
            </w:r>
          </w:p>
        </w:tc>
      </w:tr>
    </w:tbl>
    <w:p>
      <w:pPr>
        <w:spacing w:after="220"/>
      </w:pPr>
    </w:p>
    <w:p>
      <w:pPr>
        <w:spacing w:after="140" w:line="276"/>
      </w:pPr>
      <w:r>
        <w:rPr>
          <w:rFonts w:ascii="Calibri" w:cs="Calibri" w:eastAsia="Calibri" w:hAnsi="Calibri"/>
          <w:i/>
          <w:iCs/>
          <w:sz w:val="21"/>
          <w:szCs w:val="21"/>
        </w:rPr>
        <w:t xml:space="preserve">Apartado 3 de los dos bloques.</w:t>
      </w:r>
      <w:r>
        <w:rPr>
          <w:rFonts w:ascii="Calibri" w:cs="Calibri" w:eastAsia="Calibri" w:hAnsi="Calibri"/>
          <w:sz w:val="21"/>
          <w:szCs w:val="21"/>
        </w:rPr>
        <w:t xml:space="preserve"> Remite al Anexo [V] del pliego. Si el pliego no incorpora DT-9·v3, el bloque del PCAP trae entre corchetes la redacción alternativa del apartado, que conserva el agotamiento y la tramitación de toda ampliación por los artículos 203 y 204 LCSP, y en el del PPT el apartado se suprime (Parte I, §7.10; Anexo VI, fila DT-9·v3).</w:t>
      </w:r>
    </w:p>
    <w:p>
      <w:pPr>
        <w:spacing w:after="140" w:line="276"/>
      </w:pPr>
      <w:r>
        <w:rPr>
          <w:rFonts w:ascii="Calibri" w:cs="Calibri" w:eastAsia="Calibri" w:hAnsi="Calibri"/>
          <w:b/>
          <w:bCs/>
          <w:sz w:val="21"/>
          <w:szCs w:val="21"/>
        </w:rPr>
        <w:t xml:space="preserve">Referencias técnicas no normativas</w:t>
      </w:r>
      <w:r>
        <w:rPr>
          <w:rFonts w:ascii="Calibri" w:cs="Calibri" w:eastAsia="Calibri" w:hAnsi="Calibri"/>
          <w:sz w:val="21"/>
          <w:szCs w:val="21"/>
        </w:rPr>
        <w:t xml:space="preserve"> (§4.2), sólo si el PPT menciona un protocolo, una especificación, una infraestructura o una red.</w:t>
      </w:r>
    </w:p>
    <w:p>
      <w:pPr>
        <w:spacing w:after="140" w:line="276"/>
      </w:pPr>
      <w:r>
        <w:rPr>
          <w:rFonts w:ascii="Calibri" w:cs="Calibri" w:eastAsia="Calibri" w:hAnsi="Calibri"/>
          <w:i/>
          <w:iCs/>
          <w:sz w:val="21"/>
          <w:szCs w:val="21"/>
        </w:rPr>
        <w:t xml:space="preserve">Texto vigente de §4.2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Referencias técnicas no normativas.</w:t>
            </w:r>
            <w:r>
              <w:rPr>
                <w:rFonts w:ascii="Georgia" w:cs="Georgia" w:eastAsia="Georgia" w:hAnsi="Georgia"/>
                <w:sz w:val="20"/>
                <w:szCs w:val="20"/>
              </w:rPr>
              <w:t xml:space="preserve"> Las prescripciones técnicas de este pliego se formulan en términos de rendimiento y de exigencias funcionales, conforme al artículo 126.5.a) de la Ley 9/2017, de 8 de noviembre, de Contratos del Sector Público. Cuando este pliego mencione un protocolo, una especificación, una infraestructura o una red determinados, la mención se efectúa a título ilustrativo del estado del arte, se entiende acompañada de la expresión «o equivalente» y </w:t>
            </w:r>
            <w:r>
              <w:rPr>
                <w:rFonts w:ascii="Georgia" w:cs="Georgia" w:eastAsia="Georgia" w:hAnsi="Georgia"/>
                <w:b/>
                <w:bCs/>
                <w:sz w:val="20"/>
                <w:szCs w:val="20"/>
              </w:rPr>
              <w:t xml:space="preserve">no constituye medio de presunción de conformidad</w:t>
            </w:r>
            <w:r>
              <w:rPr>
                <w:rFonts w:ascii="Georgia" w:cs="Georgia" w:eastAsia="Georgia" w:hAnsi="Georgia"/>
                <w:sz w:val="20"/>
                <w:szCs w:val="20"/>
              </w:rPr>
              <w:t xml:space="preserve"> ni sustituye a la acreditación de las exigencias funcionales establecidas en la cláusula correspondiente. El cumplimiento se acredita respecto de dichas exigencias funcionales, cualquiera que sea la solución técnica empleada.</w:t>
            </w:r>
          </w:p>
        </w:tc>
      </w:tr>
    </w:tbl>
    <w:p>
      <w:pPr>
        <w:spacing w:after="220"/>
      </w:pPr>
    </w:p>
    <w:p>
      <w:pPr>
        <w:spacing w:after="140" w:line="276"/>
      </w:pPr>
      <w:r>
        <w:rPr>
          <w:rFonts w:ascii="Calibri" w:cs="Calibri" w:eastAsia="Calibri" w:hAnsi="Calibri"/>
          <w:b/>
          <w:bCs/>
          <w:sz w:val="21"/>
          <w:szCs w:val="21"/>
        </w:rPr>
        <w:t xml:space="preserve">Definiciones</w:t>
      </w:r>
      <w:r>
        <w:rPr>
          <w:rFonts w:ascii="Calibri" w:cs="Calibri" w:eastAsia="Calibri" w:hAnsi="Calibri"/>
          <w:sz w:val="21"/>
          <w:szCs w:val="21"/>
        </w:rPr>
        <w:t xml:space="preserve"> (§5.2), recortadas a las que sirvan a lo incorporado: a), d) y g) siempre; b) con desarrollo específico; c) con el Inventario de DT-8·v3; e) con DT-9, ADM-2 o ADM-10; f) y m) con el Anexo V; h) con DT-7; i) con DT-1, ADM-1 o ADM-13; j) con DT-7 o si la solución emplea agentes; k) y l) con ADM-13. En este perfil, b), c), k) y l) entran siempre, y el plazo de la d), [6] meses, es el de DT-8·v3, apartado 5 (Anexo X, fila 12).</w:t>
      </w:r>
    </w:p>
    <w:p>
      <w:pPr>
        <w:spacing w:after="140" w:line="276"/>
      </w:pPr>
      <w:r>
        <w:rPr>
          <w:rFonts w:ascii="Calibri" w:cs="Calibri" w:eastAsia="Calibri" w:hAnsi="Calibri"/>
          <w:i/>
          <w:iCs/>
          <w:sz w:val="21"/>
          <w:szCs w:val="21"/>
        </w:rPr>
        <w:t xml:space="preserve">Texto vigente de §5.2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Definiciones.</w:t>
            </w:r>
            <w:r>
              <w:rPr>
                <w:rFonts w:ascii="Georgia" w:cs="Georgia" w:eastAsia="Georgia" w:hAnsi="Georgia"/>
                <w:sz w:val="20"/>
                <w:szCs w:val="20"/>
              </w:rPr>
              <w:t xml:space="preserve"> A los efectos de este pliego se entiende por:</w:t>
            </w:r>
          </w:p>
          <w:p>
            <w:pPr>
              <w:spacing w:after="100" w:line="264"/>
            </w:pPr>
            <w:r>
              <w:rPr>
                <w:rFonts w:ascii="Georgia" w:cs="Georgia" w:eastAsia="Georgia" w:hAnsi="Georgia"/>
                <w:b/>
                <w:bCs/>
                <w:sz w:val="20"/>
                <w:szCs w:val="20"/>
              </w:rPr>
              <w:t xml:space="preserve">a) Producto base o estándar.</w:t>
            </w:r>
            <w:r>
              <w:rPr>
                <w:rFonts w:ascii="Georgia" w:cs="Georgia" w:eastAsia="Georgia" w:hAnsi="Georgia"/>
                <w:sz w:val="20"/>
                <w:szCs w:val="20"/>
              </w:rPr>
              <w:t xml:space="preserve"> El programa de ordenador, propiedad del adjudicatario o de un tercero licenciante, que se comercializa con anterioridad e independencia de este contrato, con sus actualizaciones y versiones sucesoras. No forma parte del producto base la parametrización, configuración o desarrollo realizados para el Ayuntamiento.</w:t>
            </w:r>
          </w:p>
          <w:p>
            <w:pPr>
              <w:spacing w:after="100" w:line="264"/>
            </w:pPr>
            <w:r>
              <w:rPr>
                <w:rFonts w:ascii="Georgia" w:cs="Georgia" w:eastAsia="Georgia" w:hAnsi="Georgia"/>
                <w:b/>
                <w:bCs/>
                <w:sz w:val="20"/>
                <w:szCs w:val="20"/>
              </w:rPr>
              <w:t xml:space="preserve">b) Desarrollo específico.</w:t>
            </w:r>
            <w:r>
              <w:rPr>
                <w:rFonts w:ascii="Georgia" w:cs="Georgia" w:eastAsia="Georgia" w:hAnsi="Georgia"/>
                <w:sz w:val="20"/>
                <w:szCs w:val="20"/>
              </w:rPr>
              <w:t xml:space="preserve"> El código, las reglas de negocio, los algoritmos de cálculo o de decisión, los flujos, las integraciones, las plantillas, los modelos ajustados con datos municipales y la documentación técnica correspondiente, diseñados o realizados específicamente para el Ayuntamiento en ejecución de este contrato, cualquiera que sea el soporte y comprendidos tanto el código fuente como el código objeto.</w:t>
            </w:r>
          </w:p>
          <w:p>
            <w:pPr>
              <w:spacing w:after="100" w:line="264"/>
            </w:pPr>
            <w:r>
              <w:rPr>
                <w:rFonts w:ascii="Georgia" w:cs="Georgia" w:eastAsia="Georgia" w:hAnsi="Georgia"/>
                <w:b/>
                <w:bCs/>
                <w:sz w:val="20"/>
                <w:szCs w:val="20"/>
              </w:rPr>
              <w:t xml:space="preserve">c) Inventario de Componentes.</w:t>
            </w:r>
            <w:r>
              <w:rPr>
                <w:rFonts w:ascii="Georgia" w:cs="Georgia" w:eastAsia="Georgia" w:hAnsi="Georgia"/>
                <w:sz w:val="20"/>
                <w:szCs w:val="20"/>
              </w:rPr>
              <w:t xml:space="preserve"> Relación, mantenida y actualizada por el adjudicatario desde el inicio de la ejecución y entregada al Ayuntamiento con la periodicidad que este pliego establece, que identifica y separa: el producto base; los desarrollos específicos; los componentes de terceros integrados, con su licencia y versión; y las configuraciones y parametrizaciones. Su función es delimitar, en cualquier momento de la ejecución, el objeto de la obligación de reversibilidad.</w:t>
            </w:r>
          </w:p>
          <w:p>
            <w:pPr>
              <w:spacing w:after="100" w:line="264"/>
            </w:pPr>
            <w:r>
              <w:rPr>
                <w:rFonts w:ascii="Georgia" w:cs="Georgia" w:eastAsia="Georgia" w:hAnsi="Georgia"/>
                <w:b/>
                <w:bCs/>
                <w:sz w:val="20"/>
                <w:szCs w:val="20"/>
              </w:rPr>
              <w:t xml:space="preserve">d) Reversibilidad.</w:t>
            </w:r>
            <w:r>
              <w:rPr>
                <w:rFonts w:ascii="Georgia" w:cs="Georgia" w:eastAsia="Georgia" w:hAnsi="Georgia"/>
                <w:sz w:val="20"/>
                <w:szCs w:val="20"/>
              </w:rPr>
              <w:t xml:space="preserve"> Conjunto de obligaciones del adjudicatario dirigidas a que el Ayuntamiento pueda continuar prestando el servicio por sí o por medio de otro contratista al término del contrato. Comprende la entrega ordenada, sin coste adicional y en formato abierto, reutilizable y documentado, de los datos y del material de titularidad municipal; la asistencia durante el período de transición; y, cuando el sistema no pueda operarse sin el producto base, una licencia de uso transitoria de éste, limitada a la finalidad de continuidad y migración, por plazo de </w:t>
            </w:r>
            <w:r>
              <w:rPr>
                <w:rFonts w:ascii="Georgia" w:cs="Georgia" w:eastAsia="Georgia" w:hAnsi="Georgia"/>
                <w:b/>
                <w:bCs/>
                <w:sz w:val="20"/>
                <w:szCs w:val="20"/>
              </w:rPr>
              <w:t xml:space="preserve">[X; se recomienda 6] meses</w:t>
            </w:r>
            <w:r>
              <w:rPr>
                <w:rFonts w:ascii="Georgia" w:cs="Georgia" w:eastAsia="Georgia" w:hAnsi="Georgia"/>
                <w:sz w:val="20"/>
                <w:szCs w:val="20"/>
              </w:rPr>
              <w:t xml:space="preserve"> a contar desde la extinción del contrato. El contenido concreto de la entrega, su alcance y sus plazos son los que establece la cláusula </w:t>
            </w:r>
            <w:r>
              <w:rPr>
                <w:rFonts w:ascii="Georgia" w:cs="Georgia" w:eastAsia="Georgia" w:hAnsi="Georgia"/>
                <w:b/>
                <w:bCs/>
                <w:sz w:val="20"/>
                <w:szCs w:val="20"/>
              </w:rPr>
              <w:t xml:space="preserve">[DT-8·v3], apartado 1</w:t>
            </w:r>
            <w:r>
              <w:rPr>
                <w:rFonts w:ascii="Georgia" w:cs="Georgia" w:eastAsia="Georgia" w:hAnsi="Georgia"/>
                <w:sz w:val="20"/>
                <w:szCs w:val="20"/>
              </w:rPr>
              <w:t xml:space="preserve">; los límites de la obligación en materia de derechos de propiedad intelectual, y en particular sobre el código fuente del producto base y el de terceros licenciantes, son los que establece la cláusula </w:t>
            </w:r>
            <w:r>
              <w:rPr>
                <w:rFonts w:ascii="Georgia" w:cs="Georgia" w:eastAsia="Georgia" w:hAnsi="Georgia"/>
                <w:b/>
                <w:bCs/>
                <w:sz w:val="20"/>
                <w:szCs w:val="20"/>
              </w:rPr>
              <w:t xml:space="preserve">[ADM-8·v3], apartado 4</w:t>
            </w:r>
            <w:r>
              <w:rPr>
                <w:rFonts w:ascii="Georgia" w:cs="Georgia" w:eastAsia="Georgia" w:hAnsi="Georgia"/>
                <w:sz w:val="20"/>
                <w:szCs w:val="20"/>
              </w:rPr>
              <w:t xml:space="preserve">. La devolución o supresión de los datos personales se regirá por lo previsto en el artículo 28.3.g) del Reglamento (UE) 2016/679.</w:t>
            </w:r>
          </w:p>
          <w:p>
            <w:pPr>
              <w:spacing w:after="100" w:line="264"/>
            </w:pPr>
            <w:r>
              <w:rPr>
                <w:rFonts w:ascii="Georgia" w:cs="Georgia" w:eastAsia="Georgia" w:hAnsi="Georgia"/>
                <w:b/>
                <w:bCs/>
                <w:sz w:val="20"/>
                <w:szCs w:val="20"/>
              </w:rPr>
              <w:t xml:space="preserve">e) Versión sucesora.</w:t>
            </w:r>
            <w:r>
              <w:rPr>
                <w:rFonts w:ascii="Georgia" w:cs="Georgia" w:eastAsia="Georgia" w:hAnsi="Georgia"/>
                <w:sz w:val="20"/>
                <w:szCs w:val="20"/>
              </w:rPr>
              <w:t xml:space="preserve"> La versión del producto base que, con independencia de su denominación comercial, presente continuidad funcional con el producto contratado, lo sustituya en el catálogo del fabricante o cuente con una ruta de migración ofrecida por el propio fabricante. La concurrencia de cualquiera de estas tres circunstancias se acredita mediante documentación del fabricante.</w:t>
            </w:r>
          </w:p>
          <w:p>
            <w:pPr>
              <w:spacing w:after="100" w:line="264"/>
            </w:pPr>
            <w:r>
              <w:rPr>
                <w:rFonts w:ascii="Georgia" w:cs="Georgia" w:eastAsia="Georgia" w:hAnsi="Georgia"/>
                <w:b/>
                <w:bCs/>
                <w:sz w:val="20"/>
                <w:szCs w:val="20"/>
              </w:rPr>
              <w:t xml:space="preserve">f) Obsolescencia tecnológica.</w:t>
            </w:r>
            <w:r>
              <w:rPr>
                <w:rFonts w:ascii="Georgia" w:cs="Georgia" w:eastAsia="Georgia" w:hAnsi="Georgia"/>
                <w:sz w:val="20"/>
                <w:szCs w:val="20"/>
              </w:rPr>
              <w:t xml:space="preserve"> A los efectos de este contrato, se entiende producida cuando concurra alguna de estas dos circunstancias, y sólo ellas: (i) que el adjudicatario no haya implantado, en el plazo establecido, una exigencia de las relacionadas en el Anexo [V] de este pliego; o (ii) que no haya puesto a disposición del Ayuntamiento, en el plazo comprometido, una versión sucesora del producto contratado. Fuera de estos dos supuestos no existe obligación de evolución exigible al amparo de este pliego. La calificación de estos incumplimientos y sus consecuencias son las que expresamente establece la cláusula [ADM-6·v3].</w:t>
            </w:r>
          </w:p>
          <w:p>
            <w:pPr>
              <w:spacing w:after="100" w:line="264"/>
            </w:pPr>
            <w:r>
              <w:rPr>
                <w:rFonts w:ascii="Georgia" w:cs="Georgia" w:eastAsia="Georgia" w:hAnsi="Georgia"/>
                <w:b/>
                <w:bCs/>
                <w:sz w:val="20"/>
                <w:szCs w:val="20"/>
              </w:rPr>
              <w:t xml:space="preserve">g) Solución equivalente.</w:t>
            </w:r>
            <w:r>
              <w:rPr>
                <w:rFonts w:ascii="Georgia" w:cs="Georgia" w:eastAsia="Georgia" w:hAnsi="Georgia"/>
                <w:sz w:val="20"/>
                <w:szCs w:val="20"/>
              </w:rPr>
              <w:t xml:space="preserve"> La que cumple de forma equivalente los requisitos funcionales exigidos en este pliego, conforme a los artículos 126.7 y 126.8 de la Ley 9/2017. La equivalencia se aprecia respecto de las exigencias funcionales expresadas en la cláusula correspondiente, y no respecto de un producto, marca, protocolo o infraestructura determinados. Corresponde al licitador acreditarla en su oferta, por cualquier medio adecuado, incluidos los medios de prueba supletorios admitidos por el artículo 128.2. El régimen y el trámite de acreditación son los de la cláusula [DT-0·v3].</w:t>
            </w:r>
          </w:p>
          <w:p>
            <w:pPr>
              <w:spacing w:after="100" w:line="264"/>
            </w:pPr>
            <w:r>
              <w:rPr>
                <w:rFonts w:ascii="Georgia" w:cs="Georgia" w:eastAsia="Georgia" w:hAnsi="Georgia"/>
                <w:b/>
                <w:bCs/>
                <w:sz w:val="20"/>
                <w:szCs w:val="20"/>
              </w:rPr>
              <w:t xml:space="preserve">h) Interfaz normalizada de acceso programático.</w:t>
            </w:r>
            <w:r>
              <w:rPr>
                <w:rFonts w:ascii="Georgia" w:cs="Georgia" w:eastAsia="Georgia" w:hAnsi="Georgia"/>
                <w:sz w:val="20"/>
                <w:szCs w:val="20"/>
              </w:rPr>
              <w:t xml:space="preserve"> Interfaz documentada, versionada, autenticada y auditable que expone de forma segura, para su consulta y, cuando el pliego lo prevea, para su operación, los datos y funciones de los módulos identificados en este pliego, con control de acceso diferenciado por módulo, por operación y por ámbito de datos, y con registro de auditoría de las consultas y acciones realizadas. La obligación se define por estas capacidades funcionales, cualquiera que sea el protocolo empleado para prestarlas.</w:t>
            </w:r>
          </w:p>
          <w:p>
            <w:pPr>
              <w:spacing w:after="100" w:line="264"/>
            </w:pPr>
            <w:r>
              <w:rPr>
                <w:rFonts w:ascii="Georgia" w:cs="Georgia" w:eastAsia="Georgia" w:hAnsi="Georgia"/>
                <w:b/>
                <w:bCs/>
                <w:sz w:val="20"/>
                <w:szCs w:val="20"/>
              </w:rPr>
              <w:t xml:space="preserve">i) Sistema de IA</w:t>
            </w:r>
            <w:r>
              <w:rPr>
                <w:rFonts w:ascii="Georgia" w:cs="Georgia" w:eastAsia="Georgia" w:hAnsi="Georgia"/>
                <w:sz w:val="20"/>
                <w:szCs w:val="20"/>
              </w:rPr>
              <w:t xml:space="preserve"> y </w:t>
            </w:r>
            <w:r>
              <w:rPr>
                <w:rFonts w:ascii="Georgia" w:cs="Georgia" w:eastAsia="Georgia" w:hAnsi="Georgia"/>
                <w:b/>
                <w:bCs/>
                <w:sz w:val="20"/>
                <w:szCs w:val="20"/>
              </w:rPr>
              <w:t xml:space="preserve">sistema de IA de alto riesgo.</w:t>
            </w:r>
            <w:r>
              <w:rPr>
                <w:rFonts w:ascii="Georgia" w:cs="Georgia" w:eastAsia="Georgia" w:hAnsi="Georgia"/>
                <w:sz w:val="20"/>
                <w:szCs w:val="20"/>
              </w:rPr>
              <w:t xml:space="preserve"> Los así definidos y clasificados por el Reglamento (UE) 2024/1689, en su redacción vigente.</w:t>
            </w:r>
          </w:p>
          <w:p>
            <w:pPr>
              <w:spacing w:after="100" w:line="264"/>
            </w:pPr>
            <w:r>
              <w:rPr>
                <w:rFonts w:ascii="Georgia" w:cs="Georgia" w:eastAsia="Georgia" w:hAnsi="Georgia"/>
                <w:b/>
                <w:bCs/>
                <w:sz w:val="20"/>
                <w:szCs w:val="20"/>
              </w:rPr>
              <w:t xml:space="preserve">j) Agente de IA.</w:t>
            </w:r>
            <w:r>
              <w:rPr>
                <w:rFonts w:ascii="Georgia" w:cs="Georgia" w:eastAsia="Georgia" w:hAnsi="Georgia"/>
                <w:sz w:val="20"/>
                <w:szCs w:val="20"/>
              </w:rPr>
              <w:t xml:space="preserve"> Sistema de IA que, sobre la base de instrucciones u objetivos, encadena y ejecuta operaciones sobre otros sistemas mediante interfaces, dentro de los límites configurados por el Ayuntamiento, con trazabilidad completa de sus actuaciones, con posibilidad de intervención y parada humana y con capacidad de revertir las actuaciones realizadas.</w:t>
            </w:r>
          </w:p>
          <w:p>
            <w:pPr>
              <w:spacing w:after="100" w:line="264"/>
            </w:pPr>
            <w:r>
              <w:rPr>
                <w:rFonts w:ascii="Georgia" w:cs="Georgia" w:eastAsia="Georgia" w:hAnsi="Georgia"/>
                <w:b/>
                <w:bCs/>
                <w:sz w:val="20"/>
                <w:szCs w:val="20"/>
              </w:rPr>
              <w:t xml:space="preserve">k) Información municipal no pública.</w:t>
            </w:r>
            <w:r>
              <w:rPr>
                <w:rFonts w:ascii="Georgia" w:cs="Georgia" w:eastAsia="Georgia" w:hAnsi="Georgia"/>
                <w:sz w:val="20"/>
                <w:szCs w:val="20"/>
              </w:rPr>
              <w:t xml:space="preserve"> Cualquier información de la que el Ayuntamiento sea responsable y que no haya sido objeto de publicación oficial, incluidos los datos personales, la información sometida a confidencialidad, la relativa a procedimientos en tramitación y la de seguridad de los sistemas.</w:t>
            </w:r>
          </w:p>
          <w:p>
            <w:pPr>
              <w:spacing w:after="100" w:line="264"/>
            </w:pPr>
            <w:r>
              <w:rPr>
                <w:rFonts w:ascii="Georgia" w:cs="Georgia" w:eastAsia="Georgia" w:hAnsi="Georgia"/>
                <w:b/>
                <w:bCs/>
                <w:sz w:val="20"/>
                <w:szCs w:val="20"/>
              </w:rPr>
              <w:t xml:space="preserve">l) Información municipal restringida (nivel 1).</w:t>
            </w:r>
            <w:r>
              <w:rPr>
                <w:rFonts w:ascii="Georgia" w:cs="Georgia" w:eastAsia="Georgia" w:hAnsi="Georgia"/>
                <w:sz w:val="20"/>
                <w:szCs w:val="20"/>
              </w:rPr>
              <w:t xml:space="preserve"> La comprendida en el nivel 1 de la cláusula [ADM-13], apartado 1: datos personales; expedientes en tramitación; documentación contractual no publicada; informes internos; datos de los entornos de producción; y cualquier información municipal clasificada como de acceso restringido por la política de seguridad del Ayuntamiento. Es un subconjunto de la información municipal no pública definida en la letra k) y no comprende los artefactos técnicos del nivel 2 cuando no contengan información de nivel 1.</w:t>
            </w:r>
          </w:p>
          <w:p>
            <w:pPr>
              <w:spacing w:after="100" w:line="264"/>
            </w:pPr>
            <w:r>
              <w:rPr>
                <w:rFonts w:ascii="Georgia" w:cs="Georgia" w:eastAsia="Georgia" w:hAnsi="Georgia"/>
                <w:b/>
                <w:bCs/>
                <w:sz w:val="20"/>
                <w:szCs w:val="20"/>
              </w:rPr>
              <w:t xml:space="preserve">m) Exigencias Tecnológicas Determinadas.</w:t>
            </w:r>
            <w:r>
              <w:rPr>
                <w:rFonts w:ascii="Georgia" w:cs="Georgia" w:eastAsia="Georgia" w:hAnsi="Georgia"/>
                <w:sz w:val="20"/>
                <w:szCs w:val="20"/>
              </w:rPr>
              <w:t xml:space="preserve"> Las capacidades concretas, con plazo y criterios de aceptación verificables, relacionadas en el Anexo [V] de este pliego, que forman parte del alcance ordinario del contrato y se entienden retribuidas con el precio ofertado. El régimen de incorporación física de dicho anexo y su invariabilidad durante la vigencia del contrato y de sus prórrogas son los de la cláusula </w:t>
            </w:r>
            <w:r>
              <w:rPr>
                <w:rFonts w:ascii="Georgia" w:cs="Georgia" w:eastAsia="Georgia" w:hAnsi="Georgia"/>
                <w:b/>
                <w:bCs/>
                <w:sz w:val="20"/>
                <w:szCs w:val="20"/>
              </w:rPr>
              <w:t xml:space="preserve">[DT-9·v3], apartado 2</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b/>
          <w:bCs/>
          <w:sz w:val="21"/>
          <w:szCs w:val="21"/>
        </w:rPr>
        <w:t xml:space="preserve">Vigencia normativa</w:t>
      </w:r>
      <w:r>
        <w:rPr>
          <w:rFonts w:ascii="Calibri" w:cs="Calibri" w:eastAsia="Calibri" w:hAnsi="Calibri"/>
          <w:sz w:val="21"/>
          <w:szCs w:val="21"/>
        </w:rPr>
        <w:t xml:space="preserve"> (Anexo XIX): el extracto, con su fecha de corte y recortado a las materias de las cláusulas incorporadas; con DT-1·v3 es su Apéndice técnico 3 (Anexo XXV). El proyecto de ley autonómico no entra en él mientras sea proyecto (Anexo XI.4, regla 2).</w:t>
      </w:r>
    </w:p>
    <w:p>
      <w:pPr>
        <w:spacing w:after="140" w:line="276"/>
      </w:pPr>
      <w:r>
        <w:rPr>
          <w:rFonts w:ascii="Calibri" w:cs="Calibri" w:eastAsia="Calibri" w:hAnsi="Calibri"/>
          <w:i/>
          <w:iCs/>
          <w:sz w:val="21"/>
          <w:szCs w:val="21"/>
        </w:rPr>
        <w:t xml:space="preserve">Texto vigente de ANEXO XIX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APÉNDICE TÉCNICO [N] · VIGENCIA NORMATIVA DE LAS EXIGENCIAS DE ESTE PLIEGO</w:t>
            </w:r>
          </w:p>
          <w:p>
            <w:pPr>
              <w:spacing w:after="100" w:line="264"/>
            </w:pPr>
            <w:r>
              <w:rPr>
                <w:rFonts w:ascii="Georgia" w:cs="Georgia" w:eastAsia="Georgia" w:hAnsi="Georgia"/>
                <w:i/>
                <w:iCs/>
                <w:sz w:val="20"/>
                <w:szCs w:val="20"/>
              </w:rPr>
              <w:t xml:space="preserve">(Fecha de corte: …… / …… / ……)</w:t>
            </w:r>
          </w:p>
          <w:p>
            <w:pPr>
              <w:spacing w:after="100" w:line="264"/>
            </w:pPr>
            <w:r>
              <w:rPr>
                <w:rFonts w:ascii="Georgia" w:cs="Georgia" w:eastAsia="Georgia" w:hAnsi="Georgia"/>
                <w:b/>
                <w:bCs/>
                <w:sz w:val="20"/>
                <w:szCs w:val="20"/>
              </w:rPr>
              <w:t xml:space="preserve">1. Objeto de este apéndice.</w:t>
            </w:r>
            <w:r>
              <w:rPr>
                <w:rFonts w:ascii="Georgia" w:cs="Georgia" w:eastAsia="Georgia" w:hAnsi="Georgia"/>
                <w:sz w:val="20"/>
                <w:szCs w:val="20"/>
              </w:rPr>
              <w:t xml:space="preserve"> Este pliego distingue expresamente entre las obligaciones que una norma en vigor ya impone y las que el Ayuntamiento anticipa como exigencia contractual. La distinción se hace para que el licitador pueda valorar el coste de cada una y para que ninguna exigencia se presente como obligación legal vigente sin serlo.</w:t>
            </w:r>
          </w:p>
          <w:p>
            <w:pPr>
              <w:spacing w:after="100" w:line="264"/>
            </w:pPr>
            <w:r>
              <w:rPr>
                <w:rFonts w:ascii="Georgia" w:cs="Georgia" w:eastAsia="Georgia" w:hAnsi="Georgia"/>
                <w:b/>
                <w:bCs/>
                <w:sz w:val="20"/>
                <w:szCs w:val="20"/>
              </w:rPr>
              <w:t xml:space="preserve">2. Cuadro de vigencia.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Materia exigida en este pliego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¿La impone hoy una norma en vigor?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Desde cuándo, o desde cuándo lo será</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Prácticas prohibidas de inteligencia artificial y alfabetización en materia de IA (arts. 4 y 5 del Reglamento (UE) 2024/1689, en su redacción vigente)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febrero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Modelos de IA de uso general, gobernanza y régimen sancionador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 sobre la interacción con sistemas de IA y sobre el contenido generado (art. 50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2026, con el régimen transitorio de su art. 111 para los sistemas ya introducidos en el mercado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Requisitos de los sistemas de alto riesgo y obligaciones del responsable del despliegue (capítulo III, secciones 1 a 3, arts. 26 y 27 incluidos)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2 de diciembre de 2027 para los sistemas del art. 6.2 y del anexo III, y el 2 de agosto de 2028 para los del art. 6.1 y del anexo I, conforme al Reglamento (UE) 2026/1744, de 8 de julio de 2026. </w:t>
                  </w:r>
                  <w:r>
                    <w:rPr>
                      <w:rFonts w:ascii="Calibri" w:cs="Calibri" w:eastAsia="Calibri" w:hAnsi="Calibri"/>
                      <w:b/>
                      <w:bCs/>
                      <w:sz w:val="18"/>
                      <w:szCs w:val="18"/>
                    </w:rPr>
                    <w:t xml:space="preserve">Lo que este pliego exige hoy es la entrega de la documentación y de los medios que permitirán cumplirlas: instrucciones de uso, información técnica, registros y capacidad de supervisión humana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de alto riesgo </w:t>
                  </w:r>
                  <w:r>
                    <w:rPr>
                      <w:rFonts w:ascii="Calibri" w:cs="Calibri" w:eastAsia="Calibri" w:hAnsi="Calibri"/>
                      <w:b/>
                      <w:bCs/>
                      <w:sz w:val="18"/>
                      <w:szCs w:val="18"/>
                    </w:rPr>
                    <w:t xml:space="preserve">destinados a ser utilizados por autoridades públicas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el 2 de agosto de 2030, conforme al art. 111, apartado 2, del Reglamento (UE) 2024/1689, en su redacción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 personales: encargo del tratamiento, devolución o supresión al término, evaluación de impacto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2016/679 y Ley Orgánica 3/2018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Actuación administrativa automatizada y decisiones individuales automatizadas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41 de la Ley 40/2015 y art. 22 del Reglamento (UE) 2016/679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Esquema Nacional de Seguridad, y su extensión a la cadena de suministro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del Real Decreto 311/2022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y utilización de los servicios comunes de obligada utilización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Real Decreto 4/2010 y Ley 39/2015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de las aplicaciones y su puesta a disposición de otras administraciones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157 y 158 de la Ley 40/2015; art. 308.1 de la Ley 9/2017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de ejecución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potestad de control </w:t>
                  </w:r>
                  <w:r>
                    <w:rPr>
                      <w:rFonts w:ascii="Calibri" w:cs="Calibri" w:eastAsia="Calibri" w:hAnsi="Calibri"/>
                      <w:b/>
                      <w:bCs/>
                      <w:sz w:val="18"/>
                      <w:szCs w:val="18"/>
                    </w:rPr>
                    <w:t xml:space="preserve">existe</w:t>
                  </w:r>
                  <w:r>
                    <w:rPr>
                      <w:rFonts w:ascii="Calibri" w:cs="Calibri" w:eastAsia="Calibri" w:hAnsi="Calibri"/>
                      <w:b w:val="false"/>
                      <w:bCs w:val="false"/>
                      <w:sz w:val="18"/>
                      <w:szCs w:val="18"/>
                    </w:rPr>
                    <w:t xml:space="preserve"> (art. 214 del texto refundido de la Ley reguladora de las Haciendas Locales y Real Decreto 424/2017). Su articulación frente al contratista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viene impuesta por norma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que es lo que la hace efectiva frente a un tercero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gestión de la inteligencia artificial conforme a la norma designada en este pliego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obliga a un contratista a certificarse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con las alternativas de acreditación que en él se establecen. Se hace constar que esta certificación </w:t>
                  </w:r>
                  <w:r>
                    <w:rPr>
                      <w:rFonts w:ascii="Calibri" w:cs="Calibri" w:eastAsia="Calibri" w:hAnsi="Calibri"/>
                      <w:b/>
                      <w:bCs/>
                      <w:sz w:val="18"/>
                      <w:szCs w:val="18"/>
                    </w:rPr>
                    <w:t xml:space="preserve">no otorga presunción de conformidad</w:t>
                  </w:r>
                  <w:r>
                    <w:rPr>
                      <w:rFonts w:ascii="Calibri" w:cs="Calibri" w:eastAsia="Calibri" w:hAnsi="Calibri"/>
                      <w:b w:val="false"/>
                      <w:bCs w:val="false"/>
                      <w:sz w:val="18"/>
                      <w:szCs w:val="18"/>
                    </w:rPr>
                    <w:t xml:space="preserve"> con el Reglamento (UE) 2024/1689: esa presunción corresponde a las normas armonizadas publicadas en el Diario Oficial de la Unión Europea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autónoma supervisada y su trazabilidad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la trazabilidad deriva del Esquema Nacional de Seguridad en la medida de la categoría del sistema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que exceda de esa medida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del uso de sistemas de inteligencia artificial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deriva del deber de confidencialidad y del régimen de encargo del tratamiento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relativo a la declaración de sistemas y a la autorización previa de altas</w:t>
                  </w:r>
                </w:p>
              </w:tc>
            </w:tr>
          </w:tbl>
          <w:p>
            <w:pPr>
              <w:spacing w:after="80"/>
            </w:pPr>
          </w:p>
          <w:p>
            <w:pPr>
              <w:spacing w:after="100" w:line="264"/>
            </w:pPr>
            <w:r>
              <w:rPr>
                <w:rFonts w:ascii="Georgia" w:cs="Georgia" w:eastAsia="Georgia" w:hAnsi="Georgia"/>
                <w:b/>
                <w:bCs/>
                <w:sz w:val="20"/>
                <w:szCs w:val="20"/>
              </w:rPr>
              <w:t xml:space="preserve">3. Regla de interpretación.</w:t>
            </w:r>
            <w:r>
              <w:rPr>
                <w:rFonts w:ascii="Georgia" w:cs="Georgia" w:eastAsia="Georgia" w:hAnsi="Georgia"/>
                <w:sz w:val="20"/>
                <w:szCs w:val="20"/>
              </w:rPr>
              <w:t xml:space="preserve"> Las obligaciones de la tercera columna que se identifican como exigencia contractual de este pliego se asumen por el contratista en virtud del contrato y no en virtud de la norma citada. Su incumplimiento produce los efectos previstos en este pliego, y no los que la norma anude a su propio incumplimiento.</w:t>
            </w:r>
          </w:p>
          <w:p>
            <w:pPr>
              <w:spacing w:after="100" w:line="264"/>
            </w:pPr>
            <w:r>
              <w:rPr>
                <w:rFonts w:ascii="Georgia" w:cs="Georgia" w:eastAsia="Georgia" w:hAnsi="Georgia"/>
                <w:b/>
                <w:bCs/>
                <w:sz w:val="20"/>
                <w:szCs w:val="20"/>
              </w:rPr>
              <w:t xml:space="preserve">4. Efecto de las modificaciones normativas posteriores.</w:t>
            </w:r>
            <w:r>
              <w:rPr>
                <w:rFonts w:ascii="Georgia" w:cs="Georgia" w:eastAsia="Georgia" w:hAnsi="Georgia"/>
                <w:sz w:val="20"/>
                <w:szCs w:val="20"/>
              </w:rPr>
              <w:t xml:space="preserve"> La entrada en vigor o la modificación posterior de cualquiera de las normas citadas </w:t>
            </w:r>
            <w:r>
              <w:rPr>
                <w:rFonts w:ascii="Georgia" w:cs="Georgia" w:eastAsia="Georgia" w:hAnsi="Georgia"/>
                <w:b/>
                <w:bCs/>
                <w:sz w:val="20"/>
                <w:szCs w:val="20"/>
              </w:rPr>
              <w:t xml:space="preserve">no altera el contenido de las obligaciones asumidas en este contrato</w:t>
            </w:r>
            <w:r>
              <w:rPr>
                <w:rFonts w:ascii="Georgia" w:cs="Georgia" w:eastAsia="Georgia" w:hAnsi="Georgia"/>
                <w:sz w:val="20"/>
                <w:szCs w:val="20"/>
              </w:rPr>
              <w:t xml:space="preserve">, sin perjuicio del deber general del contratista de cumplir la normativa que le sea aplicable en cada momento. Cuando el Ayuntamiento quiera que una obligación nueva resulte exigible, la incorporará a la licitación siguiente o tramitará la modificación que proceda.</w:t>
            </w:r>
          </w:p>
        </w:tc>
      </w:tr>
    </w:tbl>
    <w:p>
      <w:pPr>
        <w:spacing w:after="220"/>
      </w:pPr>
    </w:p>
    <w:p>
      <w:pPr>
        <w:spacing w:after="140" w:line="276"/>
      </w:pPr>
      <w:r>
        <w:rPr>
          <w:rFonts w:ascii="Calibri" w:cs="Calibri" w:eastAsia="Calibri" w:hAnsi="Calibri"/>
          <w:b/>
          <w:bCs/>
          <w:sz w:val="21"/>
          <w:szCs w:val="21"/>
        </w:rPr>
        <w:t xml:space="preserve">Cláusulas DT</w:t>
      </w:r>
      <w:r>
        <w:rPr>
          <w:rFonts w:ascii="Calibri" w:cs="Calibri" w:eastAsia="Calibri" w:hAnsi="Calibri"/>
          <w:sz w:val="21"/>
          <w:szCs w:val="21"/>
        </w:rPr>
        <w:t xml:space="preserve">, en la sede de su epígrafe 2, y </w:t>
      </w:r>
      <w:r>
        <w:rPr>
          <w:rFonts w:ascii="Calibri" w:cs="Calibri" w:eastAsia="Calibri" w:hAnsi="Calibri"/>
          <w:b/>
          <w:bCs/>
          <w:sz w:val="21"/>
          <w:szCs w:val="21"/>
        </w:rPr>
        <w:t xml:space="preserve">apéndices técnicos</w:t>
      </w:r>
      <w:r>
        <w:rPr>
          <w:rFonts w:ascii="Calibri" w:cs="Calibri" w:eastAsia="Calibri" w:hAnsi="Calibri"/>
          <w:sz w:val="21"/>
          <w:szCs w:val="21"/>
        </w:rPr>
        <w:t xml:space="preserve"> del Anexo XXV, sin renumerar los que no procedan (regla 1): </w:t>
      </w:r>
      <w:r>
        <w:rPr>
          <w:rFonts w:ascii="Calibri" w:cs="Calibri" w:eastAsia="Calibri" w:hAnsi="Calibri"/>
          <w:b/>
          <w:bCs/>
          <w:sz w:val="21"/>
          <w:szCs w:val="21"/>
        </w:rPr>
        <w:t xml:space="preserve">0</w:t>
      </w:r>
      <w:r>
        <w:rPr>
          <w:rFonts w:ascii="Calibri" w:cs="Calibri" w:eastAsia="Calibri" w:hAnsi="Calibri"/>
          <w:sz w:val="21"/>
          <w:szCs w:val="21"/>
        </w:rPr>
        <w:t xml:space="preserve"> Matriz de requisitos funcionales (C1); </w:t>
      </w:r>
      <w:r>
        <w:rPr>
          <w:rFonts w:ascii="Calibri" w:cs="Calibri" w:eastAsia="Calibri" w:hAnsi="Calibri"/>
          <w:b/>
          <w:bCs/>
          <w:sz w:val="21"/>
          <w:szCs w:val="21"/>
        </w:rPr>
        <w:t xml:space="preserve">1</w:t>
      </w:r>
      <w:r>
        <w:rPr>
          <w:rFonts w:ascii="Calibri" w:cs="Calibri" w:eastAsia="Calibri" w:hAnsi="Calibri"/>
          <w:sz w:val="21"/>
          <w:szCs w:val="21"/>
        </w:rPr>
        <w:t xml:space="preserve"> Procesos automatizables (DT-4); </w:t>
      </w:r>
      <w:r>
        <w:rPr>
          <w:rFonts w:ascii="Calibri" w:cs="Calibri" w:eastAsia="Calibri" w:hAnsi="Calibri"/>
          <w:b/>
          <w:bCs/>
          <w:sz w:val="21"/>
          <w:szCs w:val="21"/>
        </w:rPr>
        <w:t xml:space="preserve">2</w:t>
      </w:r>
      <w:r>
        <w:rPr>
          <w:rFonts w:ascii="Calibri" w:cs="Calibri" w:eastAsia="Calibri" w:hAnsi="Calibri"/>
          <w:sz w:val="21"/>
          <w:szCs w:val="21"/>
        </w:rPr>
        <w:t xml:space="preserve"> Exigencias tecnológicas determinadas (DT-7 y DT-9); </w:t>
      </w:r>
      <w:r>
        <w:rPr>
          <w:rFonts w:ascii="Calibri" w:cs="Calibri" w:eastAsia="Calibri" w:hAnsi="Calibri"/>
          <w:b/>
          <w:bCs/>
          <w:sz w:val="21"/>
          <w:szCs w:val="21"/>
        </w:rPr>
        <w:t xml:space="preserve">3</w:t>
      </w:r>
      <w:r>
        <w:rPr>
          <w:rFonts w:ascii="Calibri" w:cs="Calibri" w:eastAsia="Calibri" w:hAnsi="Calibri"/>
          <w:sz w:val="21"/>
          <w:szCs w:val="21"/>
        </w:rPr>
        <w:t xml:space="preserve"> Vigencia normativa (DT-1). Orden en este perfil: DT-0·v3 la primera de las disposiciones generales (su epígrafe 2); después el </w:t>
      </w:r>
      <w:r>
        <w:rPr>
          <w:rFonts w:ascii="Calibri" w:cs="Calibri" w:eastAsia="Calibri" w:hAnsi="Calibri"/>
          <w:b/>
          <w:bCs/>
          <w:sz w:val="21"/>
          <w:szCs w:val="21"/>
        </w:rPr>
        <w:t xml:space="preserve">cuerpo del PPT</w:t>
      </w:r>
      <w:r>
        <w:rPr>
          <w:rFonts w:ascii="Calibri" w:cs="Calibri" w:eastAsia="Calibri" w:hAnsi="Calibri"/>
          <w:sz w:val="21"/>
          <w:szCs w:val="21"/>
        </w:rPr>
        <w:t xml:space="preserve">, que el catálogo no entrega —alcance funcional, arquitectura, metodología y </w:t>
      </w:r>
      <w:r>
        <w:rPr>
          <w:rFonts w:ascii="Calibri" w:cs="Calibri" w:eastAsia="Calibri" w:hAnsi="Calibri"/>
          <w:b/>
          <w:bCs/>
          <w:sz w:val="21"/>
          <w:szCs w:val="21"/>
        </w:rPr>
        <w:t xml:space="preserve">entregables de cada hito</w:t>
      </w:r>
      <w:r>
        <w:rPr>
          <w:rFonts w:ascii="Calibri" w:cs="Calibri" w:eastAsia="Calibri" w:hAnsi="Calibri"/>
          <w:sz w:val="21"/>
          <w:szCs w:val="21"/>
        </w:rPr>
        <w:t xml:space="preserve"> (§3.1)—; y las cláusulas DT-1, DT-4, DT-5, DT-7 tras DT-5, DT-6, DT-9 y, al final, DT-8. El </w:t>
      </w:r>
      <w:r>
        <w:rPr>
          <w:rFonts w:ascii="Calibri" w:cs="Calibri" w:eastAsia="Calibri" w:hAnsi="Calibri"/>
          <w:b/>
          <w:bCs/>
          <w:sz w:val="21"/>
          <w:szCs w:val="21"/>
        </w:rPr>
        <w:t xml:space="preserve">Apéndice técnico 0</w:t>
      </w:r>
      <w:r>
        <w:rPr>
          <w:rFonts w:ascii="Calibri" w:cs="Calibri" w:eastAsia="Calibri" w:hAnsi="Calibri"/>
          <w:sz w:val="21"/>
          <w:szCs w:val="21"/>
        </w:rPr>
        <w:t xml:space="preserve"> es la columna vertebral de este perfil: bloque A, mínimos; bloque B, única base de C1.</w:t>
      </w:r>
    </w:p>
    <w:p>
      <w:pPr>
        <w:pStyle w:val="Heading2"/>
        <w:keepNext/>
        <w:spacing w:after="140" w:before="320"/>
      </w:pPr>
      <w:r>
        <w:rPr>
          <w:rFonts w:ascii="Georgia" w:cs="Georgia" w:eastAsia="Georgia" w:hAnsi="Georgia"/>
          <w:b/>
          <w:bCs/>
          <w:color w:val="1F3864"/>
          <w:sz w:val="26"/>
          <w:szCs w:val="26"/>
        </w:rPr>
        <w:t xml:space="preserve">4.2 Cláusulas técnicas que entran siempre</w:t>
      </w:r>
    </w:p>
    <w:p>
      <w:pPr>
        <w:pStyle w:val="Heading3"/>
        <w:keepNext/>
        <w:spacing w:after="140" w:before="320"/>
      </w:pPr>
      <w:r>
        <w:rPr>
          <w:rFonts w:ascii="Georgia" w:cs="Georgia" w:eastAsia="Georgia" w:hAnsi="Georgia"/>
          <w:b/>
          <w:bCs/>
          <w:color w:val="2F5496"/>
          <w:sz w:val="22"/>
          <w:szCs w:val="22"/>
        </w:rPr>
        <w:t xml:space="preserve">DT-0·v3 · Régimen de equivalencia y acreditación</w:t>
      </w:r>
    </w:p>
    <w:p>
      <w:pPr>
        <w:spacing w:after="140" w:line="276"/>
      </w:pPr>
      <w:r>
        <w:rPr>
          <w:rFonts w:ascii="Calibri" w:cs="Calibri" w:eastAsia="Calibri" w:hAnsi="Calibri"/>
          <w:i/>
          <w:iCs/>
          <w:sz w:val="21"/>
          <w:szCs w:val="21"/>
        </w:rPr>
        <w:t xml:space="preserve">Texto vigente de DT-0·v3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DT-0. Régimen de equivalencia y acreditación.</w:t>
            </w:r>
          </w:p>
          <w:p>
            <w:pPr>
              <w:spacing w:after="100" w:line="264"/>
            </w:pPr>
            <w:r>
              <w:rPr>
                <w:rFonts w:ascii="Georgia" w:cs="Georgia" w:eastAsia="Georgia" w:hAnsi="Georgia"/>
                <w:b/>
                <w:bCs/>
                <w:sz w:val="20"/>
                <w:szCs w:val="20"/>
              </w:rPr>
              <w:t xml:space="preserve">1. Formulación funcional.</w:t>
            </w:r>
            <w:r>
              <w:rPr>
                <w:rFonts w:ascii="Georgia" w:cs="Georgia" w:eastAsia="Georgia" w:hAnsi="Georgia"/>
                <w:sz w:val="20"/>
                <w:szCs w:val="20"/>
              </w:rPr>
              <w:t xml:space="preserve"> Todas las prescripciones técnicas de este pliego se formulan en términos de rendimiento y de exigencias funcionales, conforme al artículo 126.5.a) de la Ley 9/2017, de 8 de noviembre, de Contratos del Sector Público (LCSP). Cuando en alguna prescripción se cite un estándar, especificación, red, infraestructura, protocolo, marca, producto o metodología determinados, la cita se efectúa </w:t>
            </w:r>
            <w:r>
              <w:rPr>
                <w:rFonts w:ascii="Georgia" w:cs="Georgia" w:eastAsia="Georgia" w:hAnsi="Georgia"/>
                <w:b/>
                <w:bCs/>
                <w:sz w:val="20"/>
                <w:szCs w:val="20"/>
              </w:rPr>
              <w:t xml:space="preserve">a título ilustrativo y no excluyente</w:t>
            </w:r>
            <w:r>
              <w:rPr>
                <w:rFonts w:ascii="Georgia" w:cs="Georgia" w:eastAsia="Georgia" w:hAnsi="Georgia"/>
                <w:sz w:val="20"/>
                <w:szCs w:val="20"/>
              </w:rPr>
              <w:t xml:space="preserve">, irá acompañada en la propia prescripción de la mención «o equivalente», y no configura por sí sola requisito alguno.</w:t>
            </w:r>
          </w:p>
          <w:p>
            <w:pPr>
              <w:spacing w:after="100" w:line="264"/>
            </w:pPr>
            <w:r>
              <w:rPr>
                <w:rFonts w:ascii="Georgia" w:cs="Georgia" w:eastAsia="Georgia" w:hAnsi="Georgia"/>
                <w:b/>
                <w:bCs/>
                <w:sz w:val="20"/>
                <w:szCs w:val="20"/>
              </w:rPr>
              <w:t xml:space="preserve">2. Prevalencia de la formulación funcional.</w:t>
            </w:r>
            <w:r>
              <w:rPr>
                <w:rFonts w:ascii="Georgia" w:cs="Georgia" w:eastAsia="Georgia" w:hAnsi="Georgia"/>
                <w:sz w:val="20"/>
                <w:szCs w:val="20"/>
              </w:rPr>
              <w:t xml:space="preserve"> En caso de contradicción entre una prescripción que cite un producto, red, infraestructura o protocolo determinados y la formulación funcional de la exigencia, prevalecerá siempre la formulación funcional y la admisión de equivalentes.</w:t>
            </w:r>
          </w:p>
          <w:p>
            <w:pPr>
              <w:spacing w:after="100" w:line="264"/>
            </w:pPr>
            <w:r>
              <w:rPr>
                <w:rFonts w:ascii="Georgia" w:cs="Georgia" w:eastAsia="Georgia" w:hAnsi="Georgia"/>
                <w:b/>
                <w:bCs/>
                <w:sz w:val="20"/>
                <w:szCs w:val="20"/>
              </w:rPr>
              <w:t xml:space="preserve">3. Definición de equivalencia.</w:t>
            </w:r>
            <w:r>
              <w:rPr>
                <w:rFonts w:ascii="Georgia" w:cs="Georgia" w:eastAsia="Georgia" w:hAnsi="Georgia"/>
                <w:sz w:val="20"/>
                <w:szCs w:val="20"/>
              </w:rPr>
              <w:t xml:space="preserve"> Se apreciará que una solución incluida en la oferta de un licitador es equivalente a la citada en este pliego cuando concurran, de forma acumulativa, las tres condiciones siguientes:</w:t>
            </w:r>
          </w:p>
          <w:p>
            <w:pPr>
              <w:spacing w:after="100" w:line="264"/>
            </w:pPr>
            <w:r>
              <w:rPr>
                <w:rFonts w:ascii="Georgia" w:cs="Georgia" w:eastAsia="Georgia" w:hAnsi="Georgia"/>
                <w:sz w:val="20"/>
                <w:szCs w:val="20"/>
              </w:rPr>
              <w:t xml:space="preserve">a) La solución ofertada puede realizar todas las funciones exigidas en la prescripción técnica correspondiente.</w:t>
            </w:r>
          </w:p>
          <w:p>
            <w:pPr>
              <w:spacing w:after="100" w:line="264"/>
            </w:pPr>
            <w:r>
              <w:rPr>
                <w:rFonts w:ascii="Georgia" w:cs="Georgia" w:eastAsia="Georgia" w:hAnsi="Georgia"/>
                <w:sz w:val="20"/>
                <w:szCs w:val="20"/>
              </w:rPr>
              <w:t xml:space="preserve">b) La solución ofertada es interoperable con los sistemas municipales afectados que este pliego identifica, y es capaz de tratar toda la información que trataría la solución citada, sin pérdida de calidad, integridad ni trazabilidad.</w:t>
            </w:r>
          </w:p>
          <w:p>
            <w:pPr>
              <w:spacing w:after="100" w:line="264"/>
            </w:pPr>
            <w:r>
              <w:rPr>
                <w:rFonts w:ascii="Georgia" w:cs="Georgia" w:eastAsia="Georgia" w:hAnsi="Georgia"/>
                <w:sz w:val="20"/>
                <w:szCs w:val="20"/>
              </w:rPr>
              <w:t xml:space="preserve">c) Los costes y esfuerzos que la implantación, configuración, puesta en marcha y operación de la solución ofertada requieran </w:t>
            </w:r>
            <w:r>
              <w:rPr>
                <w:rFonts w:ascii="Georgia" w:cs="Georgia" w:eastAsia="Georgia" w:hAnsi="Georgia"/>
                <w:b/>
                <w:bCs/>
                <w:sz w:val="20"/>
                <w:szCs w:val="20"/>
              </w:rPr>
              <w:t xml:space="preserve">del Ayuntamiento</w:t>
            </w:r>
            <w:r>
              <w:rPr>
                <w:rFonts w:ascii="Georgia" w:cs="Georgia" w:eastAsia="Georgia" w:hAnsi="Georgia"/>
                <w:sz w:val="20"/>
                <w:szCs w:val="20"/>
              </w:rPr>
              <w:t xml:space="preserve"> no exceden de los previstos en este pliego y en su presupuesto base de licitación para la implantación de la prestación. </w:t>
            </w:r>
            <w:r>
              <w:rPr>
                <w:rFonts w:ascii="Georgia" w:cs="Georgia" w:eastAsia="Georgia" w:hAnsi="Georgia"/>
                <w:i/>
                <w:iCs/>
                <w:sz w:val="20"/>
                <w:szCs w:val="20"/>
              </w:rPr>
              <w:t xml:space="preserve">No se computarán como sobrecoste ni como sobreesfuerzo los trabajos de migración, conversión de datos, integración o formación que correspondan al adjudicatario conforme a este pliego, ni los derivados de sustituir una solución preexistente, salvo que este pliego imponga expresamente la continuidad de esa solución y lo justifique en la memoria del expediente.</w:t>
            </w:r>
          </w:p>
          <w:p>
            <w:pPr>
              <w:spacing w:after="100" w:line="264"/>
            </w:pPr>
            <w:r>
              <w:rPr>
                <w:rFonts w:ascii="Georgia" w:cs="Georgia" w:eastAsia="Georgia" w:hAnsi="Georgia"/>
                <w:b/>
                <w:bCs/>
                <w:sz w:val="20"/>
                <w:szCs w:val="20"/>
              </w:rPr>
              <w:t xml:space="preserve">4. Acreditación en la oferta.</w:t>
            </w:r>
            <w:r>
              <w:rPr>
                <w:rFonts w:ascii="Georgia" w:cs="Georgia" w:eastAsia="Georgia" w:hAnsi="Georgia"/>
                <w:sz w:val="20"/>
                <w:szCs w:val="20"/>
              </w:rPr>
              <w:t xml:space="preserve"> El licitador que oferte una solución equivalente deberá aportar </w:t>
            </w:r>
            <w:r>
              <w:rPr>
                <w:rFonts w:ascii="Georgia" w:cs="Georgia" w:eastAsia="Georgia" w:hAnsi="Georgia"/>
                <w:b/>
                <w:bCs/>
                <w:sz w:val="20"/>
                <w:szCs w:val="20"/>
              </w:rPr>
              <w:t xml:space="preserve">en su propia oferta</w:t>
            </w:r>
            <w:r>
              <w:rPr>
                <w:rFonts w:ascii="Georgia" w:cs="Georgia" w:eastAsia="Georgia" w:hAnsi="Georgia"/>
                <w:sz w:val="20"/>
                <w:szCs w:val="20"/>
              </w:rPr>
              <w:t xml:space="preserve"> la prueba de la equivalencia, conforme a los artículos 126.7 y 126.8 LCSP, por cualquier medio adecuado: informe técnico del fabricante, certificado de organismo de evaluación de la conformidad, documentación técnica de la interfaz, informes de ensayo o pruebas, o los resultados de la verificación prevista en el pliego de cláusulas administrativas particulares. Se aceptarán los certificados equivalentes expedidos por organismos establecidos en cualquier Estado miembro y, cuando el licitador no tenga acceso a ellos por causa que no le sea imputable, otros medios de prueba adecuados conforme al artículo 128.2 LCSP. La prueba deberá identificar, condición por condición, cuál de las tres del apartado 3 acredita.</w:t>
            </w:r>
          </w:p>
          <w:p>
            <w:pPr>
              <w:spacing w:after="100" w:line="264"/>
            </w:pPr>
            <w:r>
              <w:rPr>
                <w:rFonts w:ascii="Georgia" w:cs="Georgia" w:eastAsia="Georgia" w:hAnsi="Georgia"/>
                <w:b/>
                <w:bCs/>
                <w:sz w:val="20"/>
                <w:szCs w:val="20"/>
              </w:rPr>
              <w:t xml:space="preserve">5. Motivación del rechazo.</w:t>
            </w:r>
            <w:r>
              <w:rPr>
                <w:rFonts w:ascii="Georgia" w:cs="Georgia" w:eastAsia="Georgia" w:hAnsi="Georgia"/>
                <w:sz w:val="20"/>
                <w:szCs w:val="20"/>
              </w:rPr>
              <w:t xml:space="preserve"> El rechazo de una solución ofertada como equivalente deberá motivarse por escrito mediante informe técnico que identifique cuál de las tres condiciones del apartado 3 no concurre y con qué prueba se sustenta. La apreciación de la equivalencia corresponde al órgano de contratación.</w:t>
            </w:r>
          </w:p>
          <w:p>
            <w:pPr>
              <w:spacing w:after="100" w:line="264"/>
            </w:pPr>
            <w:r>
              <w:rPr>
                <w:rFonts w:ascii="Georgia" w:cs="Georgia" w:eastAsia="Georgia" w:hAnsi="Georgia"/>
                <w:b/>
                <w:bCs/>
                <w:sz w:val="20"/>
                <w:szCs w:val="20"/>
              </w:rPr>
              <w:t xml:space="preserve">6. Prohibición de exigencia nominativa.</w:t>
            </w:r>
            <w:r>
              <w:rPr>
                <w:rFonts w:ascii="Georgia" w:cs="Georgia" w:eastAsia="Georgia" w:hAnsi="Georgia"/>
                <w:sz w:val="20"/>
                <w:szCs w:val="20"/>
              </w:rPr>
              <w:t xml:space="preserve"> En ningún caso podrá configurarse la utilización de un producto, red, infraestructura o protocolo nominados como requisito de admisión, como criterio de solvencia, como condición excluyente ni como criterio de adjudicación referido a su denominación. Lo que se exige y, en su caso, se valora es la capacidad funcional acreditada.</w:t>
            </w:r>
          </w:p>
          <w:p>
            <w:pPr>
              <w:spacing w:after="100" w:line="264"/>
            </w:pPr>
            <w:r>
              <w:rPr>
                <w:rFonts w:ascii="Georgia" w:cs="Georgia" w:eastAsia="Georgia" w:hAnsi="Georgia"/>
                <w:b/>
                <w:bCs/>
                <w:sz w:val="20"/>
                <w:szCs w:val="20"/>
              </w:rPr>
              <w:t xml:space="preserve">7. Excepción: plataformas y servicios comunes de utilización obligatoria.</w:t>
            </w:r>
            <w:r>
              <w:rPr>
                <w:rFonts w:ascii="Georgia" w:cs="Georgia" w:eastAsia="Georgia" w:hAnsi="Georgia"/>
                <w:sz w:val="20"/>
                <w:szCs w:val="20"/>
              </w:rPr>
              <w:t xml:space="preserve"> El régimen de equivalencia de esta cláusula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a las plataformas y servicios comunes de administración electrónica cuya utilización venga impuesta al Ayuntamiento por norma, que este pliego relaciona de forma cerrada en la cláusula DT-5, apartado 2, con indicación de la norma que impone cada uno. Respecto de ellos la integración es obligatoria y no admite sustitución por servicio propio o de tercero.</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3.c): variante </w:t>
      </w:r>
      <w:r>
        <w:rPr>
          <w:rFonts w:ascii="Calibri" w:cs="Calibri" w:eastAsia="Calibri" w:hAnsi="Calibri"/>
          <w:b/>
          <w:bCs/>
          <w:sz w:val="21"/>
          <w:szCs w:val="21"/>
        </w:rPr>
        <w:t xml:space="preserve">abierta</w:t>
      </w:r>
      <w:r>
        <w:rPr>
          <w:rFonts w:ascii="Calibri" w:cs="Calibri" w:eastAsia="Calibri" w:hAnsi="Calibri"/>
          <w:sz w:val="21"/>
          <w:szCs w:val="21"/>
        </w:rPr>
        <w:t xml:space="preserve"> (Anexo X, fila 27); la de continuidad sólo para módulos sobre una plataforma ya implantada, con la continuidad justificada en la memoria (epígrafe 3). La compatibilidad con la plataforma de la entidad se exige por la condición b) del apartado 3, no nombrando una tecnología sin «o equivalente» (Parte I, §7.2). Apartado 7: se suprime sin servicios comunes obligatorios (epígrafe 7). En el PCAP, remisión en la documentación técnica de la oferta (epígrafe 2).</w:t>
      </w:r>
    </w:p>
    <w:p>
      <w:pPr>
        <w:pStyle w:val="Heading3"/>
        <w:keepNext/>
        <w:spacing w:after="140" w:before="320"/>
      </w:pPr>
      <w:r>
        <w:rPr>
          <w:rFonts w:ascii="Georgia" w:cs="Georgia" w:eastAsia="Georgia" w:hAnsi="Georgia"/>
          <w:b/>
          <w:bCs/>
          <w:color w:val="2F5496"/>
          <w:sz w:val="22"/>
          <w:szCs w:val="22"/>
        </w:rPr>
        <w:t xml:space="preserve">DT-5·v3 · Interoperabilidad, servicios comunes y soberanía del dato</w:t>
      </w:r>
    </w:p>
    <w:p>
      <w:pPr>
        <w:spacing w:after="140" w:line="276"/>
      </w:pPr>
      <w:r>
        <w:rPr>
          <w:rFonts w:ascii="Calibri" w:cs="Calibri" w:eastAsia="Calibri" w:hAnsi="Calibri"/>
          <w:i/>
          <w:iCs/>
          <w:sz w:val="21"/>
          <w:szCs w:val="21"/>
        </w:rPr>
        <w:t xml:space="preserve">Texto vigente de DT-5·v3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DT-5. Interoperabilidad, servicios comunes y soberanía del dato.</w:t>
            </w:r>
          </w:p>
          <w:p>
            <w:pPr>
              <w:spacing w:after="100" w:line="264"/>
            </w:pPr>
            <w:r>
              <w:rPr>
                <w:rFonts w:ascii="Georgia" w:cs="Georgia" w:eastAsia="Georgia" w:hAnsi="Georgia"/>
                <w:b/>
                <w:bCs/>
                <w:sz w:val="20"/>
                <w:szCs w:val="20"/>
              </w:rPr>
              <w:t xml:space="preserve">1. Interoperabilidad.</w:t>
            </w:r>
            <w:r>
              <w:rPr>
                <w:rFonts w:ascii="Georgia" w:cs="Georgia" w:eastAsia="Georgia" w:hAnsi="Georgia"/>
                <w:sz w:val="20"/>
                <w:szCs w:val="20"/>
              </w:rPr>
              <w:t xml:space="preserve"> La solución cumplirá el Esquema Nacional de Interoperabilidad (Real Decreto 4/2010, de 8 de enero) y las Normas Técnicas de Interoperabilidad que le resulten aplicables, y empleará formatos estándar y abiertos para el intercambio y la conservación de la información.</w:t>
            </w:r>
          </w:p>
          <w:p>
            <w:pPr>
              <w:spacing w:after="100" w:line="264"/>
            </w:pPr>
            <w:r>
              <w:rPr>
                <w:rFonts w:ascii="Georgia" w:cs="Georgia" w:eastAsia="Georgia" w:hAnsi="Georgia"/>
                <w:b/>
                <w:bCs/>
                <w:sz w:val="20"/>
                <w:szCs w:val="20"/>
              </w:rPr>
              <w:t xml:space="preserve">2. Servicios comunes de utilización obligatoria.</w:t>
            </w:r>
            <w:r>
              <w:rPr>
                <w:rFonts w:ascii="Georgia" w:cs="Georgia" w:eastAsia="Georgia" w:hAnsi="Georgia"/>
                <w:sz w:val="20"/>
                <w:szCs w:val="20"/>
              </w:rPr>
              <w:t xml:space="preserve"> La solución se integrará con las plataformas y servicios comunes de administración electrónica que se relacionan a continuación, cuya utilización viene impuesta al Ayuntamiento por la norma que en cada caso se indica: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Plataforma o servicio común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que impone su utilización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Alcance de la integración exigida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por el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[precepto concreto]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 envío / ambos]</w:t>
                  </w:r>
                </w:p>
              </w:tc>
            </w:tr>
          </w:tbl>
          <w:p>
            <w:pPr>
              <w:spacing w:after="80"/>
            </w:pPr>
          </w:p>
          <w:p>
            <w:pPr>
              <w:spacing w:after="100" w:line="264"/>
            </w:pPr>
            <w:r>
              <w:rPr>
                <w:rFonts w:ascii="Georgia" w:cs="Georgia" w:eastAsia="Georgia" w:hAnsi="Georgia"/>
                <w:sz w:val="20"/>
                <w:szCs w:val="20"/>
              </w:rPr>
              <w:t xml:space="preserve">Respecto de estos servicios </w:t>
            </w:r>
            <w:r>
              <w:rPr>
                <w:rFonts w:ascii="Georgia" w:cs="Georgia" w:eastAsia="Georgia" w:hAnsi="Georgia"/>
                <w:b/>
                <w:bCs/>
                <w:sz w:val="20"/>
                <w:szCs w:val="20"/>
              </w:rPr>
              <w:t xml:space="preserve">no será de aplicación el régimen de equivalencia de la cláusula DT-0</w:t>
            </w:r>
            <w:r>
              <w:rPr>
                <w:rFonts w:ascii="Georgia" w:cs="Georgia" w:eastAsia="Georgia" w:hAnsi="Georgia"/>
                <w:sz w:val="20"/>
                <w:szCs w:val="20"/>
              </w:rPr>
              <w:t xml:space="preserve">: la integración es obligatoria y no admite sustitución por servicio propio del adjudicatario o de tercero. El adjudicatario acreditará cada integración mediante prueba ejecutada sobre el entorno de pruebas y documentada en acta.</w:t>
            </w:r>
          </w:p>
          <w:p>
            <w:pPr>
              <w:spacing w:after="100" w:line="264"/>
            </w:pPr>
            <w:r>
              <w:rPr>
                <w:rFonts w:ascii="Georgia" w:cs="Georgia" w:eastAsia="Georgia" w:hAnsi="Georgia"/>
                <w:b/>
                <w:bCs/>
                <w:sz w:val="20"/>
                <w:szCs w:val="20"/>
              </w:rPr>
              <w:t xml:space="preserve">3. Interfaces de programación.</w:t>
            </w:r>
            <w:r>
              <w:rPr>
                <w:rFonts w:ascii="Georgia" w:cs="Georgia" w:eastAsia="Georgia" w:hAnsi="Georgia"/>
                <w:sz w:val="20"/>
                <w:szCs w:val="20"/>
              </w:rPr>
              <w:t xml:space="preserve"> El adjudicatario proveerá interfaces de programación documentadas, versionadas y autenticadas que permitan a los sistemas autorizados del Ayuntamiento consultar y extraer los datos de la solución y ejecutar las funciones que el pliego identifique, sin desarrollos a medida y sin coste por consulta. La documentación se entregará en el plazo de [X; se recomienda 30] días naturales desde la formalización o, si fuera posterior, desde la puesta en producción del módulo, y se mantendrá actualizada con cada versión.</w:t>
            </w:r>
          </w:p>
          <w:p>
            <w:pPr>
              <w:spacing w:after="100" w:line="264"/>
            </w:pPr>
            <w:r>
              <w:rPr>
                <w:rFonts w:ascii="Georgia" w:cs="Georgia" w:eastAsia="Georgia" w:hAnsi="Georgia"/>
                <w:b/>
                <w:bCs/>
                <w:sz w:val="20"/>
                <w:szCs w:val="20"/>
              </w:rPr>
              <w:t xml:space="preserve">4. Exportación de datos.</w:t>
            </w:r>
            <w:r>
              <w:rPr>
                <w:rFonts w:ascii="Georgia" w:cs="Georgia" w:eastAsia="Georgia" w:hAnsi="Georgia"/>
                <w:sz w:val="20"/>
                <w:szCs w:val="20"/>
              </w:rPr>
              <w:t xml:space="preserve"> El Ayuntamiento podrá extraer la totalidad de los datos de la solución, y sus metadatos, en formatos abiertos, documentados y reutilizables, mediante procedimiento autónomo que no requiera intervención del personal del adjudicatario, con la periodicidad que determine y, en todo caso, bajo demanda. El adjudicatario entregará y mantendrá actualizado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suficiente para interpretar la información exportada sin su asistencia.</w:t>
            </w:r>
          </w:p>
          <w:p>
            <w:pPr>
              <w:spacing w:after="100" w:line="264"/>
            </w:pPr>
            <w:r>
              <w:rPr>
                <w:rFonts w:ascii="Georgia" w:cs="Georgia" w:eastAsia="Georgia" w:hAnsi="Georgia"/>
                <w:b/>
                <w:bCs/>
                <w:sz w:val="20"/>
                <w:szCs w:val="20"/>
              </w:rPr>
              <w:t xml:space="preserve">5. Soberanía del dato y ubicación.</w:t>
            </w:r>
            <w:r>
              <w:rPr>
                <w:rFonts w:ascii="Georgia" w:cs="Georgia" w:eastAsia="Georgia" w:hAnsi="Georgia"/>
                <w:sz w:val="20"/>
                <w:szCs w:val="20"/>
              </w:rPr>
              <w:t xml:space="preserve"> Los datos son de titularidad municipal, cualquiera que sea el soporte y el lugar en que se alojen. Cuando la ejecución del contrato requiera el tratamiento por el contratista de datos personales por cuenta del Ayuntamiento, el licitador indicará en su oferta el país o países en que se ubicarán los servidores mediante los que se prestarán los servicios asociados al contrato y el lugar desde el que se prestarán dichos servicios, y se obligará a comunicar cualquier cambio que se produzca a lo largo de la ejecución, conforme al artículo 122.2 LCSP.</w:t>
            </w:r>
          </w:p>
          <w:p>
            <w:pPr>
              <w:spacing w:after="100" w:line="264"/>
            </w:pPr>
            <w:r>
              <w:rPr>
                <w:rFonts w:ascii="Georgia" w:cs="Georgia" w:eastAsia="Georgia" w:hAnsi="Georgia"/>
                <w:b/>
                <w:bCs/>
                <w:sz w:val="20"/>
                <w:szCs w:val="20"/>
              </w:rPr>
              <w:t xml:space="preserve">6. Entorno de pruebas.</w:t>
            </w:r>
            <w:r>
              <w:rPr>
                <w:rFonts w:ascii="Georgia" w:cs="Georgia" w:eastAsia="Georgia" w:hAnsi="Georgia"/>
                <w:sz w:val="20"/>
                <w:szCs w:val="20"/>
              </w:rPr>
              <w:t xml:space="preserve"> El adjudicatario mantendrá a disposición del Ayuntamiento, durante toda la vigencia del contrato y de sus prórrogas, un entorno de pruebas equivalente en funcionalidad al de producción, con datos ficticios o anonimizados, en el que puedan verificarse las integraciones, las exportaciones y las funcionalidades exigidas por este pliego.</w:t>
            </w:r>
          </w:p>
        </w:tc>
      </w:tr>
    </w:tbl>
    <w:p>
      <w:pPr>
        <w:spacing w:after="220"/>
      </w:pPr>
    </w:p>
    <w:p>
      <w:pPr>
        <w:spacing w:after="140" w:line="276"/>
      </w:pPr>
      <w:r>
        <w:rPr>
          <w:rFonts w:ascii="Calibri" w:cs="Calibri" w:eastAsia="Calibri" w:hAnsi="Calibri"/>
          <w:b/>
          <w:bCs/>
          <w:sz w:val="21"/>
          <w:szCs w:val="21"/>
        </w:rPr>
        <w:t xml:space="preserve">Ajustes del perfil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Corchete o apartado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Razón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tabla</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 cumplimentar con datos del expediente]</w:t>
            </w:r>
            <w:r>
              <w:rPr>
                <w:rFonts w:ascii="Calibri" w:cs="Calibri" w:eastAsia="Calibri" w:hAnsi="Calibri"/>
                <w:b w:val="false"/>
                <w:bCs w:val="false"/>
                <w:sz w:val="18"/>
                <w:szCs w:val="18"/>
              </w:rPr>
              <w:t xml:space="preserve">, con el precepto de cada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[30] días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w:t>
            </w:r>
            <w:r>
              <w:rPr>
                <w:rFonts w:ascii="Calibri" w:cs="Calibri" w:eastAsia="Calibri" w:hAnsi="Calibri"/>
                <w:b w:val="false"/>
                <w:bCs w:val="false"/>
                <w:sz w:val="18"/>
                <w:szCs w:val="18"/>
              </w:rPr>
              <w:t xml:space="preserve">; 60 con justificación técnica. Las interfaces se desarrollan aquí: el cuerpo del PPT las describe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fila 37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segundo inciso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tratamiento por cuenta (migración o pruebas con datos reales); entonces, esencial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(ADM-6·v3, 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conserva: DT-7·v3.3.e) y DT-9·v3.5 se apoyan en él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hay supresión prevista</w:t>
            </w:r>
          </w:p>
        </w:tc>
      </w:tr>
    </w:tbl>
    <w:p>
      <w:pPr>
        <w:spacing w:after="200"/>
      </w:pPr>
    </w:p>
    <w:p>
      <w:pPr>
        <w:pStyle w:val="Heading3"/>
        <w:keepNext/>
        <w:spacing w:after="140" w:before="320"/>
      </w:pPr>
      <w:r>
        <w:rPr>
          <w:rFonts w:ascii="Georgia" w:cs="Georgia" w:eastAsia="Georgia" w:hAnsi="Georgia"/>
          <w:b/>
          <w:bCs/>
          <w:color w:val="2F5496"/>
          <w:sz w:val="22"/>
          <w:szCs w:val="22"/>
        </w:rPr>
        <w:t xml:space="preserve">DT-6·v3 · Seguridad conforme al ENS y protección de datos desde el diseño</w:t>
      </w:r>
    </w:p>
    <w:p>
      <w:pPr>
        <w:spacing w:after="140" w:line="276"/>
      </w:pPr>
      <w:r>
        <w:rPr>
          <w:rFonts w:ascii="Calibri" w:cs="Calibri" w:eastAsia="Calibri" w:hAnsi="Calibri"/>
          <w:i/>
          <w:iCs/>
          <w:sz w:val="21"/>
          <w:szCs w:val="21"/>
        </w:rPr>
        <w:t xml:space="preserve">Texto vigente de DT-6·v3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DT-6. Seguridad conforme al Esquema Nacional de Seguridad en la categoría que corresponda y protección de datos desde el diseño.</w:t>
            </w:r>
          </w:p>
          <w:p>
            <w:pPr>
              <w:spacing w:after="100" w:line="264"/>
            </w:pPr>
            <w:r>
              <w:rPr>
                <w:rFonts w:ascii="Georgia" w:cs="Georgia" w:eastAsia="Georgia" w:hAnsi="Georgia"/>
                <w:b/>
                <w:bCs/>
                <w:sz w:val="20"/>
                <w:szCs w:val="20"/>
              </w:rPr>
              <w:t xml:space="preserve">1. Requisitos de conformidad.</w:t>
            </w:r>
            <w:r>
              <w:rPr>
                <w:rFonts w:ascii="Georgia" w:cs="Georgia" w:eastAsia="Georgia" w:hAnsi="Georgia"/>
                <w:sz w:val="20"/>
                <w:szCs w:val="20"/>
              </w:rPr>
              <w:t xml:space="preserve"> En cumplimiento del artículo 2.3 del Real Decreto 311/2022, de 3 de mayo, este pliego contempla los requisitos necesarios para asegurar la conformidad con el Esquema Nacional de Seguridad de los sistemas de información en los que se sustenten los servicios prestados por el contratista. Esta cautela se extiende a la cadena de suministro del contratista en la medida en que resulte necesario y de acuerdo con los resultados del análisis de riesgos incorporado al expediente.</w:t>
            </w:r>
          </w:p>
          <w:p>
            <w:pPr>
              <w:spacing w:after="100" w:line="264"/>
            </w:pPr>
            <w:r>
              <w:rPr>
                <w:rFonts w:ascii="Georgia" w:cs="Georgia" w:eastAsia="Georgia" w:hAnsi="Georgia"/>
                <w:b/>
                <w:bCs/>
                <w:sz w:val="20"/>
                <w:szCs w:val="20"/>
              </w:rPr>
              <w:t xml:space="preserve">2. Categoría de seguridad.</w:t>
            </w:r>
            <w:r>
              <w:rPr>
                <w:rFonts w:ascii="Georgia" w:cs="Georgia" w:eastAsia="Georgia" w:hAnsi="Georgia"/>
                <w:sz w:val="20"/>
                <w:szCs w:val="20"/>
              </w:rPr>
              <w:t xml:space="preserve"> La categoría de seguridad exigible es la que resulta de la aplicación del anexo I del Real Decreto 311/2022 al sistema objeto de este contrato y consta determinada y motivada en la memoria justificativa del expediente: </w:t>
            </w:r>
            <w:r>
              <w:rPr>
                <w:rFonts w:ascii="Georgia" w:cs="Georgia" w:eastAsia="Georgia" w:hAnsi="Georgia"/>
                <w:b/>
                <w:bCs/>
                <w:sz w:val="20"/>
                <w:szCs w:val="20"/>
              </w:rPr>
              <w:t xml:space="preserve">[BÁSICA / MEDIA / ALTA]</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Acreditación de la conformidad.</w:t>
            </w:r>
            <w:r>
              <w:rPr>
                <w:rFonts w:ascii="Georgia" w:cs="Georgia" w:eastAsia="Georgia" w:hAnsi="Georgia"/>
                <w:sz w:val="20"/>
                <w:szCs w:val="20"/>
              </w:rPr>
              <w:t xml:space="preserve"> El adjudicatario acreditará la conformidad con el Esquema Nacional de Seguridad mediante:</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Certificación de conformidad</w:t>
            </w:r>
            <w:r>
              <w:rPr>
                <w:rFonts w:ascii="Georgia" w:cs="Georgia" w:eastAsia="Georgia" w:hAnsi="Georgia"/>
                <w:sz w:val="20"/>
                <w:szCs w:val="20"/>
              </w:rPr>
              <w:t xml:space="preserve">, cuando la categoría determinada en el apartado 2 sea MEDIA o ALTA.</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Declaración de conformidad basada en autoevaluación</w:t>
            </w:r>
            <w:r>
              <w:rPr>
                <w:rFonts w:ascii="Georgia" w:cs="Georgia" w:eastAsia="Georgia" w:hAnsi="Georgia"/>
                <w:sz w:val="20"/>
                <w:szCs w:val="20"/>
              </w:rPr>
              <w:t xml:space="preserve">, cuando la categoría determinada en el apartado 2 sea BÁSICA.</w:t>
            </w:r>
          </w:p>
          <w:p>
            <w:pPr>
              <w:spacing w:after="100" w:line="264"/>
            </w:pPr>
            <w:r>
              <w:rPr>
                <w:rFonts w:ascii="Georgia" w:cs="Georgia" w:eastAsia="Georgia" w:hAnsi="Georgia"/>
                <w:sz w:val="20"/>
                <w:szCs w:val="20"/>
              </w:rPr>
              <w:t xml:space="preserve">Todo ello conforme al artículo 38.1 del Real Decreto 311/2022. Si el licitador no dispusiera de la acreditación exigible en el momento de la formalización, dispondrá de un plazo de [X; se recomienda 6] meses para obtenerla, aplicando entretanto las medidas de seguridad correspondientes a la categoría, documentadas y verificables.</w:t>
            </w:r>
          </w:p>
          <w:p>
            <w:pPr>
              <w:spacing w:after="100" w:line="264"/>
            </w:pPr>
            <w:r>
              <w:rPr>
                <w:rFonts w:ascii="Georgia" w:cs="Georgia" w:eastAsia="Georgia" w:hAnsi="Georgia"/>
                <w:b/>
                <w:bCs/>
                <w:sz w:val="20"/>
                <w:szCs w:val="20"/>
              </w:rPr>
              <w:t xml:space="preserve">4. Política de seguridad.</w:t>
            </w:r>
            <w:r>
              <w:rPr>
                <w:rFonts w:ascii="Georgia" w:cs="Georgia" w:eastAsia="Georgia" w:hAnsi="Georgia"/>
                <w:sz w:val="20"/>
                <w:szCs w:val="20"/>
              </w:rPr>
              <w:t xml:space="preserve"> El adjudicatario dispondrá de una política de seguridad de la información aprobada por el órgano que ostente sus máximas competencias ejecutivas, en los términos del artículo 12 del Real Decreto 311/2022, y la pondrá a disposición del Ayuntamiento.</w:t>
            </w:r>
          </w:p>
          <w:p>
            <w:pPr>
              <w:spacing w:after="100" w:line="264"/>
            </w:pPr>
            <w:r>
              <w:rPr>
                <w:rFonts w:ascii="Georgia" w:cs="Georgia" w:eastAsia="Georgia" w:hAnsi="Georgia"/>
                <w:b/>
                <w:bCs/>
                <w:sz w:val="20"/>
                <w:szCs w:val="20"/>
              </w:rPr>
              <w:t xml:space="preserve">5. Protección de datos desde el diseño.</w:t>
            </w:r>
            <w:r>
              <w:rPr>
                <w:rFonts w:ascii="Georgia" w:cs="Georgia" w:eastAsia="Georgia" w:hAnsi="Georgia"/>
                <w:sz w:val="20"/>
                <w:szCs w:val="20"/>
              </w:rPr>
              <w:t xml:space="preserve"> La solución cumplirá el Reglamento (UE) 2016/679 y la Ley Orgánica 3/2018, con protección de datos desde el diseño y por defecto, minimización, y realización de la evaluación de impacto relativa a la protección de datos cuando proceda, para la que el adjudicatario aportará la información técnica necesaria.</w:t>
            </w:r>
          </w:p>
          <w:p>
            <w:pPr>
              <w:spacing w:after="100" w:line="264"/>
            </w:pPr>
            <w:r>
              <w:rPr>
                <w:rFonts w:ascii="Georgia" w:cs="Georgia" w:eastAsia="Georgia" w:hAnsi="Georgia"/>
                <w:b/>
                <w:bCs/>
                <w:sz w:val="20"/>
                <w:szCs w:val="20"/>
              </w:rPr>
              <w:t xml:space="preserve">6. Gestión de vulnerabilidades.</w:t>
            </w:r>
            <w:r>
              <w:rPr>
                <w:rFonts w:ascii="Georgia" w:cs="Georgia" w:eastAsia="Georgia" w:hAnsi="Georgia"/>
                <w:sz w:val="20"/>
                <w:szCs w:val="20"/>
              </w:rPr>
              <w:t xml:space="preserve"> El adjudicatario mantendrá un proceso continuo de gestión de vulnerabilidades y las subsanará, desde su identificación o comunicación, en los plazos máximos siguientes: severidad crítica, [X; se recomienda 15] días naturales; severidad alta, [X; se recomienda 30] días naturales; severidad media, [X; se recomienda 90] días naturales. Comunicará al Ayuntamiento toda vulnerabilidad de severidad crítica o alta que afecte a la solución en el plazo de [X; se recomienda 48] horas desde su conocimiento.</w:t>
            </w:r>
          </w:p>
          <w:p>
            <w:pPr>
              <w:spacing w:after="100" w:line="264"/>
            </w:pPr>
            <w:r>
              <w:rPr>
                <w:rFonts w:ascii="Georgia" w:cs="Georgia" w:eastAsia="Georgia" w:hAnsi="Georgia"/>
                <w:b/>
                <w:bCs/>
                <w:sz w:val="20"/>
                <w:szCs w:val="20"/>
              </w:rPr>
              <w:t xml:space="preserve">7. Continuidad.</w:t>
            </w:r>
            <w:r>
              <w:rPr>
                <w:rFonts w:ascii="Georgia" w:cs="Georgia" w:eastAsia="Georgia" w:hAnsi="Georgia"/>
                <w:sz w:val="20"/>
                <w:szCs w:val="20"/>
              </w:rPr>
              <w:t xml:space="preserve"> El adjudicatario dispondrá de plan de continuidad y de recuperación de la solución, con objetivos de tiempo y de punto de recuperación acordes con la categoría del apartado 2, y lo probará con periodicidad [X; se recomienda anual], entregando al Ayuntamiento el informe de la prueba.</w:t>
            </w:r>
          </w:p>
          <w:p>
            <w:pPr>
              <w:spacing w:after="100" w:line="264"/>
            </w:pPr>
            <w:r>
              <w:rPr>
                <w:rFonts w:ascii="Georgia" w:cs="Georgia" w:eastAsia="Georgia" w:hAnsi="Georgia"/>
                <w:b/>
                <w:bCs/>
                <w:sz w:val="20"/>
                <w:szCs w:val="20"/>
              </w:rPr>
              <w:t xml:space="preserve">8. Auditorías.</w:t>
            </w:r>
            <w:r>
              <w:rPr>
                <w:rFonts w:ascii="Georgia" w:cs="Georgia" w:eastAsia="Georgia" w:hAnsi="Georgia"/>
                <w:sz w:val="20"/>
                <w:szCs w:val="20"/>
              </w:rPr>
              <w:t xml:space="preserve"> El Ayuntamiento podrá auditar, por sí o por tercero designado sujeto a idéntico deber de confidencialidad, el cumplimiento de esta cláusula, con preaviso de [X; se recomienda 15] días hábiles, salvo incidente de seguridad en curso, en cuyo caso el preaviso no será exigible. Cuando el adjudicatario trate datos personales por cuenta del Ayuntamiento, esta previsión se entiende sin perjuicio y en refuerzo de las obligaciones del encargado del tratamiento conforme al Reglamento (UE) 2016/679.</w:t>
            </w:r>
          </w:p>
        </w:tc>
      </w:tr>
    </w:tbl>
    <w:p>
      <w:pPr>
        <w:spacing w:after="220"/>
      </w:pPr>
    </w:p>
    <w:p>
      <w:pPr>
        <w:spacing w:after="140" w:line="276"/>
      </w:pPr>
      <w:r>
        <w:rPr>
          <w:rFonts w:ascii="Calibri" w:cs="Calibri" w:eastAsia="Calibri" w:hAnsi="Calibri"/>
          <w:b/>
          <w:bCs/>
          <w:sz w:val="21"/>
          <w:szCs w:val="21"/>
        </w:rPr>
        <w:t xml:space="preserve">Ajustes del perfil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Corchete o apartado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Razón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categoría</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 cumplimentar con datos del expediente]</w:t>
            </w:r>
            <w:r>
              <w:rPr>
                <w:rFonts w:ascii="Calibri" w:cs="Calibri" w:eastAsia="Calibri" w:hAnsi="Calibri"/>
                <w:b w:val="false"/>
                <w:bCs w:val="false"/>
                <w:sz w:val="18"/>
                <w:szCs w:val="18"/>
              </w:rPr>
              <w:t xml:space="preserve">: la del anexo I del RD 311/2022, </w:t>
            </w:r>
            <w:r>
              <w:rPr>
                <w:rFonts w:ascii="Calibri" w:cs="Calibri" w:eastAsia="Calibri" w:hAnsi="Calibri"/>
                <w:b/>
                <w:bCs/>
                <w:sz w:val="18"/>
                <w:szCs w:val="18"/>
              </w:rPr>
              <w:t xml:space="preserve">motivada en la memoria antes de aprobar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fila 1; precedente anulatorio (epígrafe 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a) o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sola: certificación en MEDIA o ALTA; autoevaluación en BÁSICA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[6] meses · 6 [15/30/90] días y [48] h · 7 [anual] · 8 [15] días hábiles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 15/30/90 y 48 · anual · 15</w:t>
            </w:r>
            <w:r>
              <w:rPr>
                <w:rFonts w:ascii="Calibri" w:cs="Calibri" w:eastAsia="Calibri" w:hAnsi="Calibri"/>
                <w:b w:val="false"/>
                <w:bCs w:val="false"/>
                <w:sz w:val="18"/>
                <w:szCs w:val="18"/>
              </w:rPr>
              <w:t xml:space="preserve">; más cortos en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filas 38 a 42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sin datos personales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7</w:t>
            </w:r>
          </w:p>
        </w:tc>
      </w:tr>
    </w:tbl>
    <w:p>
      <w:pPr>
        <w:spacing w:after="200"/>
      </w:pPr>
    </w:p>
    <w:p>
      <w:pPr>
        <w:pStyle w:val="Heading3"/>
        <w:keepNext/>
        <w:spacing w:after="140" w:before="320"/>
      </w:pPr>
      <w:r>
        <w:rPr>
          <w:rFonts w:ascii="Georgia" w:cs="Georgia" w:eastAsia="Georgia" w:hAnsi="Georgia"/>
          <w:b/>
          <w:bCs/>
          <w:color w:val="2F5496"/>
          <w:sz w:val="22"/>
          <w:szCs w:val="22"/>
        </w:rPr>
        <w:t xml:space="preserve">DT-8·v3 · Reversibilidad, Inventario de Componentes y Dossier de Reversibilidad</w:t>
      </w:r>
    </w:p>
    <w:p>
      <w:pPr>
        <w:spacing w:after="140" w:line="276"/>
      </w:pPr>
      <w:r>
        <w:rPr>
          <w:rFonts w:ascii="Calibri" w:cs="Calibri" w:eastAsia="Calibri" w:hAnsi="Calibri"/>
          <w:i/>
          <w:iCs/>
          <w:sz w:val="21"/>
          <w:szCs w:val="21"/>
        </w:rPr>
        <w:t xml:space="preserve">Texto vigente de DT-8·v3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DT-8. Reversibilidad, Inventario de Componentes y Dossier de Reversibilidad.</w:t>
            </w:r>
          </w:p>
          <w:p>
            <w:pPr>
              <w:spacing w:after="100" w:line="264"/>
            </w:pPr>
            <w:r>
              <w:rPr>
                <w:rFonts w:ascii="Georgia" w:cs="Georgia" w:eastAsia="Georgia" w:hAnsi="Georgia"/>
                <w:b/>
                <w:bCs/>
                <w:sz w:val="20"/>
                <w:szCs w:val="20"/>
              </w:rPr>
              <w:t xml:space="preserve">1. Objeto de la entrega.</w:t>
            </w:r>
            <w:r>
              <w:rPr>
                <w:rFonts w:ascii="Georgia" w:cs="Georgia" w:eastAsia="Georgia" w:hAnsi="Georgia"/>
                <w:sz w:val="20"/>
                <w:szCs w:val="20"/>
              </w:rPr>
              <w:t xml:space="preserve"> A la finalización del contrato por cualquier causa, el adjudicatario entregará de forma ordenada, sin coste adicional y en formatos abiertos, documentados y reutilizables conforme al Esquema Nacional de Interoperabilidad:</w:t>
            </w:r>
          </w:p>
          <w:p>
            <w:pPr>
              <w:spacing w:after="100" w:line="264"/>
            </w:pPr>
            <w:r>
              <w:rPr>
                <w:rFonts w:ascii="Georgia" w:cs="Georgia" w:eastAsia="Georgia" w:hAnsi="Georgia"/>
                <w:sz w:val="20"/>
                <w:szCs w:val="20"/>
              </w:rPr>
              <w:t xml:space="preserve">a) Los datos municipales y sus modelos, con el diccionario de datos previsto en la cláusula DT-5, apartado 4, actualizado a la fecha de la entrega.</w:t>
            </w:r>
          </w:p>
          <w:p>
            <w:pPr>
              <w:spacing w:after="100" w:line="264"/>
            </w:pPr>
            <w:r>
              <w:rPr>
                <w:rFonts w:ascii="Georgia" w:cs="Georgia" w:eastAsia="Georgia" w:hAnsi="Georgia"/>
                <w:sz w:val="20"/>
                <w:szCs w:val="20"/>
              </w:rPr>
              <w:t xml:space="preserve">b) El código fuente y el código objeto de los desarrollos realizados específicamente para el Ayuntamiento.</w:t>
            </w:r>
          </w:p>
          <w:p>
            <w:pPr>
              <w:spacing w:after="100" w:line="264"/>
            </w:pPr>
            <w:r>
              <w:rPr>
                <w:rFonts w:ascii="Georgia" w:cs="Georgia" w:eastAsia="Georgia" w:hAnsi="Georgia"/>
                <w:sz w:val="20"/>
                <w:szCs w:val="20"/>
              </w:rPr>
              <w:t xml:space="preserve">c) Las configuraciones, parametrizaciones, reglas de negocio, algoritmos de cálculo o de decisión diseñados específicamente para el Ayuntamiento, y su documentación técnica.</w:t>
            </w:r>
          </w:p>
          <w:p>
            <w:pPr>
              <w:spacing w:after="100" w:line="264"/>
            </w:pPr>
            <w:r>
              <w:rPr>
                <w:rFonts w:ascii="Georgia" w:cs="Georgia" w:eastAsia="Georgia" w:hAnsi="Georgia"/>
                <w:sz w:val="20"/>
                <w:szCs w:val="20"/>
              </w:rPr>
              <w:t xml:space="preserve">d) Los prompts corporativos, bases de conocimiento y modelos ajustados con datos municipales.</w:t>
            </w:r>
          </w:p>
          <w:p>
            <w:pPr>
              <w:spacing w:after="100" w:line="264"/>
            </w:pPr>
            <w:r>
              <w:rPr>
                <w:rFonts w:ascii="Georgia" w:cs="Georgia" w:eastAsia="Georgia" w:hAnsi="Georgia"/>
                <w:sz w:val="20"/>
                <w:szCs w:val="20"/>
              </w:rPr>
              <w:t xml:space="preserve">e) La documentación técnica, de construcción y de despliegue.</w:t>
            </w:r>
          </w:p>
          <w:p>
            <w:pPr>
              <w:spacing w:after="100" w:line="264"/>
            </w:pPr>
            <w:r>
              <w:rPr>
                <w:rFonts w:ascii="Georgia" w:cs="Georgia" w:eastAsia="Georgia" w:hAnsi="Georgia"/>
                <w:sz w:val="20"/>
                <w:szCs w:val="20"/>
              </w:rPr>
              <w:t xml:space="preserve">f) El Inventario de Componentes del apartado 2 y el Dossier de Reversibilidad del apartado 6.</w:t>
            </w:r>
          </w:p>
          <w:p>
            <w:pPr>
              <w:spacing w:after="100" w:line="264"/>
            </w:pPr>
            <w:r>
              <w:rPr>
                <w:rFonts w:ascii="Georgia" w:cs="Georgia" w:eastAsia="Georgia" w:hAnsi="Georgia"/>
                <w:b/>
                <w:bCs/>
                <w:sz w:val="20"/>
                <w:szCs w:val="20"/>
              </w:rPr>
              <w:t xml:space="preserve">Esta obligación no alcanza al código fuente del producto base, estándar o de mercado del adjudicatario ni al de terceros licenciantes</w:t>
            </w:r>
            <w:r>
              <w:rPr>
                <w:rFonts w:ascii="Georgia" w:cs="Georgia" w:eastAsia="Georgia" w:hAnsi="Georgia"/>
                <w:sz w:val="20"/>
                <w:szCs w:val="20"/>
              </w:rPr>
              <w:t xml:space="preserve">, en los términos y con la delimitación que establece la cláusula [ADM-8], apartado 4, del pliego de cláusulas administrativas particulares, a la que se remite íntegramente.</w:t>
            </w:r>
          </w:p>
          <w:p>
            <w:pPr>
              <w:spacing w:after="100" w:line="264"/>
            </w:pPr>
            <w:r>
              <w:rPr>
                <w:rFonts w:ascii="Georgia" w:cs="Georgia" w:eastAsia="Georgia" w:hAnsi="Georgia"/>
                <w:b/>
                <w:bCs/>
                <w:sz w:val="20"/>
                <w:szCs w:val="20"/>
              </w:rPr>
              <w:t xml:space="preserve">2. Inventario de Componentes.</w:t>
            </w:r>
            <w:r>
              <w:rPr>
                <w:rFonts w:ascii="Georgia" w:cs="Georgia" w:eastAsia="Georgia" w:hAnsi="Georgia"/>
                <w:sz w:val="20"/>
                <w:szCs w:val="20"/>
              </w:rPr>
              <w:t xml:space="preserve"> El adjudicatario mantendrá y entregará un Inventario de Componentes que identifique y separe: (a) el producto base o estándar; (b) los desarrollos realizados específicamente para el Ayuntamiento; (c) los componentes de terceros integrados, con su licencia y sus restricciones de uso; y (d) las configuraciones y parametrizaciones. Lo entregará por primera vez en el plazo de [X; se recomienda 30] días naturales desde la formalización del contrato y, a partir de entonces, actualizado </w:t>
            </w:r>
            <w:r>
              <w:rPr>
                <w:rFonts w:ascii="Georgia" w:cs="Georgia" w:eastAsia="Georgia" w:hAnsi="Georgia"/>
                <w:b/>
                <w:bCs/>
                <w:sz w:val="20"/>
                <w:szCs w:val="20"/>
              </w:rPr>
              <w:t xml:space="preserve">con cada versión puesta en producción</w:t>
            </w:r>
            <w:r>
              <w:rPr>
                <w:rFonts w:ascii="Georgia" w:cs="Georgia" w:eastAsia="Georgia" w:hAnsi="Georgia"/>
                <w:sz w:val="20"/>
                <w:szCs w:val="20"/>
              </w:rPr>
              <w:t xml:space="preserve">. </w:t>
            </w:r>
            <w:r>
              <w:rPr>
                <w:rFonts w:ascii="Georgia" w:cs="Georgia" w:eastAsia="Georgia" w:hAnsi="Georgia"/>
                <w:b/>
                <w:bCs/>
                <w:sz w:val="20"/>
                <w:szCs w:val="20"/>
              </w:rPr>
              <w:t xml:space="preserve">La falta de este inventario impide tener por cumplida la obligación de reversibilidad.</w:t>
            </w:r>
          </w:p>
          <w:p>
            <w:pPr>
              <w:spacing w:after="100" w:line="264"/>
            </w:pPr>
            <w:r>
              <w:rPr>
                <w:rFonts w:ascii="Georgia" w:cs="Georgia" w:eastAsia="Georgia" w:hAnsi="Georgia"/>
                <w:b/>
                <w:bCs/>
                <w:sz w:val="20"/>
                <w:szCs w:val="20"/>
              </w:rPr>
              <w:t xml:space="preserve">3. Plan de Reversibilidad y ensayo.</w:t>
            </w:r>
            <w:r>
              <w:rPr>
                <w:rFonts w:ascii="Georgia" w:cs="Georgia" w:eastAsia="Georgia" w:hAnsi="Georgia"/>
                <w:sz w:val="20"/>
                <w:szCs w:val="20"/>
              </w:rPr>
              <w:t xml:space="preserve"> El adjudicatario entregará un Plan de Reversibilidad en los [X; se recomienda 3] primeros meses de ejecución, lo actualizará anualmente y realizará, a su costa, al menos [X; se recomienda 1] ensayo de reversibilidad por cada [X; se recomienda 24] meses de vigencia y, en todo caso, uno durante el último año del contrato. El ensayo consistirá en la extracción y restitución efectivas de una muestra representativa de datos y configuraciones en un entorno ajeno a la infraestructura del adjudicatario, y se documentará en acta con el resultado y el tiempo empleado. Cuando el contrato comprenda desarrollos realizados específicamente para el Ayuntamiento, el ensayo comprobará además que el código fuente de la versión en producción de esos desarrollos, con su documentación de construcción y despliegue (letras b) y e) del apartado 1), compila y se despliega en un entorno funcional siguiendo únicamente esa documentación; el acta identificará el entorno y el resultado.</w:t>
            </w:r>
          </w:p>
          <w:p>
            <w:pPr>
              <w:spacing w:after="100" w:line="264"/>
            </w:pPr>
            <w:r>
              <w:rPr>
                <w:rFonts w:ascii="Georgia" w:cs="Georgia" w:eastAsia="Georgia" w:hAnsi="Georgia"/>
                <w:b/>
                <w:bCs/>
                <w:sz w:val="20"/>
                <w:szCs w:val="20"/>
              </w:rPr>
              <w:t xml:space="preserve">4. Calendario de la reversión.</w:t>
            </w:r>
            <w:r>
              <w:rPr>
                <w:rFonts w:ascii="Georgia" w:cs="Georgia" w:eastAsia="Georgia" w:hAnsi="Georgia"/>
                <w:sz w:val="20"/>
                <w:szCs w:val="20"/>
              </w:rPr>
              <w:t xml:space="preserve"> El período de reversión comenzará [X; se recomienda 3] meses antes de la fecha prevista de finalización del contrato o, en caso de resolución anticipada, desde la notificación del acuerdo de resolución. La entrega íntegra del apartado 1 deberá completarse dentro de ese período y, en todo caso, en el plazo máximo de [X; se recomienda 30] días naturales desde la finalización del contrato. </w:t>
            </w:r>
            <w:r>
              <w:rPr>
                <w:rFonts w:ascii="Georgia" w:cs="Georgia" w:eastAsia="Georgia" w:hAnsi="Georgia"/>
                <w:b/>
                <w:bCs/>
                <w:sz w:val="20"/>
                <w:szCs w:val="20"/>
              </w:rPr>
              <w:t xml:space="preserve">El período de reversión se computa dentro del plazo de ejecución del contrato, que este pliego fija incluyéndolo.</w:t>
            </w:r>
          </w:p>
          <w:p>
            <w:pPr>
              <w:spacing w:after="100" w:line="264"/>
            </w:pPr>
            <w:r>
              <w:rPr>
                <w:rFonts w:ascii="Georgia" w:cs="Georgia" w:eastAsia="Georgia" w:hAnsi="Georgia"/>
                <w:b/>
                <w:bCs/>
                <w:sz w:val="20"/>
                <w:szCs w:val="20"/>
              </w:rPr>
              <w:t xml:space="preserve">5. Licencia de continuidad.</w:t>
            </w:r>
            <w:r>
              <w:rPr>
                <w:rFonts w:ascii="Georgia" w:cs="Georgia" w:eastAsia="Georgia" w:hAnsi="Georgia"/>
                <w:sz w:val="20"/>
                <w:szCs w:val="20"/>
              </w:rPr>
              <w:t xml:space="preserve"> Durante el período de reversión y hasta [X; se recomienda 6] meses desde la finalización del contrato, el adjudicatario mantendrá vigente a favor del Ayuntamiento la licencia de uso del producto base estrictamente necesaria para continuar operando la solución hasta completar la migración. Esta licencia forma parte del objeto del contrato y se entiende retribuida con el precio de éste, habiéndose computado su coste en el presupuesto base de licitación conforme al artículo 100.2 LCSP.</w:t>
            </w:r>
          </w:p>
          <w:p>
            <w:pPr>
              <w:spacing w:after="100" w:line="264"/>
            </w:pPr>
            <w:r>
              <w:rPr>
                <w:rFonts w:ascii="Georgia" w:cs="Georgia" w:eastAsia="Georgia" w:hAnsi="Georgia"/>
                <w:b/>
                <w:bCs/>
                <w:sz w:val="20"/>
                <w:szCs w:val="20"/>
              </w:rPr>
              <w:t xml:space="preserve">6. Dossier de Reversibilidad.</w:t>
            </w:r>
            <w:r>
              <w:rPr>
                <w:rFonts w:ascii="Georgia" w:cs="Georgia" w:eastAsia="Georgia" w:hAnsi="Georgia"/>
                <w:sz w:val="20"/>
                <w:szCs w:val="20"/>
              </w:rPr>
              <w:t xml:space="preserve"> El adjudicatario mantendrá actualizado y entregará un Dossier de Reversibilidad que comprenda el modelo de datos, la relación de interfaces, el Inventario de Componentes, el procedimiento de migración y la estimación de esfuerzo de migración. El Ayuntamiento podrá incorporar dicho Dossier, depurado de información confidencial y de secretos técnicos o comerciales, al pliego de la licitación siguiente.</w:t>
            </w:r>
          </w:p>
          <w:p>
            <w:pPr>
              <w:spacing w:after="100" w:line="264"/>
            </w:pPr>
            <w:r>
              <w:rPr>
                <w:rFonts w:ascii="Georgia" w:cs="Georgia" w:eastAsia="Georgia" w:hAnsi="Georgia"/>
                <w:b/>
                <w:bCs/>
                <w:sz w:val="20"/>
                <w:szCs w:val="20"/>
              </w:rPr>
              <w:t xml:space="preserve">7. Datos personales.</w:t>
            </w:r>
            <w:r>
              <w:rPr>
                <w:rFonts w:ascii="Georgia" w:cs="Georgia" w:eastAsia="Georgia" w:hAnsi="Georgia"/>
                <w:sz w:val="20"/>
                <w:szCs w:val="20"/>
              </w:rPr>
              <w:t xml:space="preserve"> La devolución o supresión de los datos personales tratados por cuenta del Ayuntamiento se realizará conforme al artículo 28.3.g) del Reglamento (UE) 2016/679, con entrega de certificación de supresión de las copias existentes.</w:t>
            </w:r>
          </w:p>
          <w:p>
            <w:pPr>
              <w:spacing w:after="100" w:line="264"/>
            </w:pPr>
            <w:r>
              <w:rPr>
                <w:rFonts w:ascii="Georgia" w:cs="Georgia" w:eastAsia="Georgia" w:hAnsi="Georgia"/>
                <w:b/>
                <w:bCs/>
                <w:sz w:val="20"/>
                <w:szCs w:val="20"/>
              </w:rPr>
              <w:t xml:space="preserve">8. Acta de reversión y efectos.</w:t>
            </w:r>
            <w:r>
              <w:rPr>
                <w:rFonts w:ascii="Georgia" w:cs="Georgia" w:eastAsia="Georgia" w:hAnsi="Georgia"/>
                <w:sz w:val="20"/>
                <w:szCs w:val="20"/>
              </w:rPr>
              <w:t xml:space="preserve"> Completada la entrega, el Ayuntamiento levantará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en el plazo de [X; se recomienda 15] días hábiles desde que el adjudicatario comunique la entrega íntegra, haciendo constar en ella los defectos apreciados y el plazo de subsanación. Transcurrido dicho plazo sin que el Ayuntamiento levante el acta ni formule objeciones, la reversión se tendrá por conforme a todos los efectos. </w:t>
            </w:r>
            <w:r>
              <w:rPr>
                <w:rFonts w:ascii="Georgia" w:cs="Georgia" w:eastAsia="Georgia" w:hAnsi="Georgia"/>
                <w:b/>
                <w:bCs/>
                <w:sz w:val="20"/>
                <w:szCs w:val="20"/>
              </w:rPr>
              <w:t xml:space="preserve">El plazo de garantía del contrato es de [X; se recomienda 12] meses y se computa desde la fecha del acta de reversión o, en su defecto, desde el día siguiente al vencimiento del plazo previsto en este apartado para levantarla.</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Aquí la reversibilidad es casi entera </w:t>
      </w:r>
      <w:r>
        <w:rPr>
          <w:rFonts w:ascii="Calibri" w:cs="Calibri" w:eastAsia="Calibri" w:hAnsi="Calibri"/>
          <w:b/>
          <w:bCs/>
          <w:sz w:val="21"/>
          <w:szCs w:val="21"/>
        </w:rPr>
        <w:t xml:space="preserve">entrega de lo construido</w:t>
      </w:r>
      <w:r>
        <w:rPr>
          <w:rFonts w:ascii="Calibri" w:cs="Calibri" w:eastAsia="Calibri" w:hAnsi="Calibri"/>
          <w:sz w:val="21"/>
          <w:szCs w:val="21"/>
        </w:rPr>
        <w:t xml:space="preserve">: código fuente y objeto (1.b), configuraciones y reglas (1.c), documentación técnica, de construcción y de despliegue (1.e), Inventario y Dossier (1.f), y datos con diccionario (1.a). La letra d) no tiene supresión prevista; sin IA queda sin objeto.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Corchete o apartado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Razón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[30] días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w:t>
            </w:r>
            <w:r>
              <w:rPr>
                <w:rFonts w:ascii="Calibri" w:cs="Calibri" w:eastAsia="Calibri" w:hAnsi="Calibri"/>
                <w:b w:val="false"/>
                <w:bCs w:val="false"/>
                <w:sz w:val="18"/>
                <w:szCs w:val="18"/>
              </w:rPr>
              <w:t xml:space="preserve">, sin ampliar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fila 10; II.13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[3] meses; [1] ensayo cada [24] meses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w:t>
            </w:r>
            <w:r>
              <w:rPr>
                <w:rFonts w:ascii="Calibri" w:cs="Calibri" w:eastAsia="Calibri" w:hAnsi="Calibri"/>
                <w:b w:val="false"/>
                <w:bCs w:val="false"/>
                <w:sz w:val="18"/>
                <w:szCs w:val="18"/>
              </w:rPr>
              <w:t xml:space="preserve"> (6 si la implantación pasa de un año); </w:t>
            </w:r>
            <w:r>
              <w:rPr>
                <w:rFonts w:ascii="Calibri" w:cs="Calibri" w:eastAsia="Calibri" w:hAnsi="Calibri"/>
                <w:b/>
                <w:bCs/>
                <w:sz w:val="18"/>
                <w:szCs w:val="18"/>
              </w:rPr>
              <w:t xml:space="preserve">1 cada 24</w:t>
            </w:r>
            <w:r>
              <w:rPr>
                <w:rFonts w:ascii="Calibri" w:cs="Calibri" w:eastAsia="Calibri" w:hAnsi="Calibri"/>
                <w:b w:val="false"/>
                <w:bCs w:val="false"/>
                <w:sz w:val="18"/>
                <w:szCs w:val="18"/>
              </w:rPr>
              <w:t xml:space="preserve"> y uno en el último año, anual en ALTA. En contratos de 24 meses o menos, el del último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filas 9 y 11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[3] meses y [30] días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w:t>
            </w:r>
            <w:r>
              <w:rPr>
                <w:rFonts w:ascii="Calibri" w:cs="Calibri" w:eastAsia="Calibri" w:hAnsi="Calibri"/>
                <w:b w:val="false"/>
                <w:bCs w:val="false"/>
                <w:sz w:val="18"/>
                <w:szCs w:val="18"/>
              </w:rPr>
              <w:t xml:space="preserve"> (6 si la migración es compleja) y </w:t>
            </w:r>
            <w:r>
              <w:rPr>
                <w:rFonts w:ascii="Calibri" w:cs="Calibri" w:eastAsia="Calibri" w:hAnsi="Calibri"/>
                <w:b/>
                <w:bCs/>
                <w:sz w:val="18"/>
                <w:szCs w:val="18"/>
              </w:rPr>
              <w:t xml:space="preserve">30</w:t>
            </w:r>
            <w:r>
              <w:rPr>
                <w:rFonts w:ascii="Calibri" w:cs="Calibri" w:eastAsia="Calibri" w:hAnsi="Calibri"/>
                <w:b w:val="false"/>
                <w:bCs w:val="false"/>
                <w:sz w:val="18"/>
                <w:szCs w:val="18"/>
              </w:rPr>
              <w:t xml:space="preserve">, sin ampliar: fija el día inicial de la garantía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filas 44 y 45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[6] meses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 suprime</w:t>
            </w:r>
            <w:r>
              <w:rPr>
                <w:rFonts w:ascii="Calibri" w:cs="Calibri" w:eastAsia="Calibri" w:hAnsi="Calibri"/>
                <w:b w:val="false"/>
                <w:bCs w:val="false"/>
                <w:sz w:val="18"/>
                <w:szCs w:val="18"/>
              </w:rPr>
              <w:t xml:space="preserve"> si todo es de la entidad o de fuentes abiertas; con producto base cerrado, </w:t>
            </w:r>
            <w:r>
              <w:rPr>
                <w:rFonts w:ascii="Calibri" w:cs="Calibri" w:eastAsia="Calibri" w:hAnsi="Calibri"/>
                <w:b/>
                <w:bCs/>
                <w:sz w:val="18"/>
                <w:szCs w:val="18"/>
              </w:rPr>
              <w:t xml:space="preserve">6</w:t>
            </w:r>
            <w:r>
              <w:rPr>
                <w:rFonts w:ascii="Calibri" w:cs="Calibri" w:eastAsia="Calibri" w:hAnsi="Calibri"/>
                <w:b w:val="false"/>
                <w:bCs w:val="false"/>
                <w:sz w:val="18"/>
                <w:szCs w:val="18"/>
              </w:rPr>
              <w:t xml:space="preserve">, con coste en el presupuesto base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7; Anexo X, fila 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sin tratamiento por cuenta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 [15] días hábiles y [12] meses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15</w:t>
            </w:r>
            <w:r>
              <w:rPr>
                <w:rFonts w:ascii="Calibri" w:cs="Calibri" w:eastAsia="Calibri" w:hAnsi="Calibri"/>
                <w:b w:val="false"/>
                <w:bCs w:val="false"/>
                <w:sz w:val="18"/>
                <w:szCs w:val="18"/>
              </w:rPr>
              <w:t xml:space="preserve">, sin ampliar; </w:t>
            </w:r>
            <w:r>
              <w:rPr>
                <w:rFonts w:ascii="Calibri" w:cs="Calibri" w:eastAsia="Calibri" w:hAnsi="Calibri"/>
                <w:b/>
                <w:bCs/>
                <w:sz w:val="18"/>
                <w:szCs w:val="18"/>
              </w:rPr>
              <w:t xml:space="preserve">12</w:t>
            </w:r>
            <w:r>
              <w:rPr>
                <w:rFonts w:ascii="Calibri" w:cs="Calibri" w:eastAsia="Calibri" w:hAnsi="Calibri"/>
                <w:b w:val="false"/>
                <w:bCs w:val="false"/>
                <w:sz w:val="18"/>
                <w:szCs w:val="18"/>
              </w:rPr>
              <w:t xml:space="preserve">, igual al plazo de garantía general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filas 46 y 47</w:t>
            </w:r>
          </w:p>
        </w:tc>
      </w:tr>
    </w:tbl>
    <w:p>
      <w:pPr>
        <w:spacing w:after="200"/>
      </w:pPr>
    </w:p>
    <w:p>
      <w:pPr>
        <w:spacing w:after="140" w:line="276"/>
      </w:pPr>
      <w:r>
        <w:rPr>
          <w:rFonts w:ascii="Calibri" w:cs="Calibri" w:eastAsia="Calibri" w:hAnsi="Calibri"/>
          <w:sz w:val="21"/>
          <w:szCs w:val="21"/>
        </w:rPr>
        <w:t xml:space="preserve">En el PCAP, obligatoriamente: plazo de ejecución con el período de reversión, presupuesto con la licencia y el mismo plazo de garantía; si difieren, prevalece el PCAP (epígrafe 2). El Dossier, depurado, sirve al pliego siguiente, que aquí suele ser el del mantenimiento de lo desarrollado (apartado 6).</w:t>
      </w:r>
    </w:p>
    <w:p>
      <w:pPr>
        <w:pBdr>
          <w:left w:val="single" w:color="BFBFBF" w:sz="12" w:space="8"/>
        </w:pBdr>
        <w:spacing w:after="140" w:line="264"/>
        <w:ind w:left="400"/>
      </w:pPr>
      <w:r>
        <w:rPr>
          <w:rFonts w:ascii="Georgia" w:cs="Georgia" w:eastAsia="Georgia" w:hAnsi="Georgia"/>
          <w:b/>
          <w:bCs/>
          <w:i/>
          <w:iCs/>
          <w:color w:val="595959"/>
          <w:sz w:val="20"/>
          <w:szCs w:val="20"/>
        </w:rPr>
        <w:t xml:space="preserve">El código, comprobado en el ensayo.</w:t>
      </w:r>
      <w:r>
        <w:rPr>
          <w:rFonts w:ascii="Georgia" w:cs="Georgia" w:eastAsia="Georgia" w:hAnsi="Georgia"/>
          <w:i/>
          <w:iCs/>
          <w:color w:val="595959"/>
          <w:sz w:val="20"/>
          <w:szCs w:val="20"/>
        </w:rPr>
        <w:t xml:space="preserve"> DT-8·v3 exige «la documentación técnica, de construcción y de despliegue» (1.e). Con desarrollos específicos, el ensayo del apartado 3 comprueba además que el código fuente de la versión en producción compila y se despliega en un entorno funcional siguiendo sólo esa documentación (letras b) y e) del apartado 1), y el acta lo hace constar (Anexo XVIII, modelos B y C); si no, es M4 (§5.2, ADM-5·v3). La relación detallada —dependencias, </w:t>
      </w:r>
      <w:r>
        <w:rPr>
          <w:rFonts w:ascii="Georgia" w:cs="Georgia" w:eastAsia="Georgia" w:hAnsi="Georgia"/>
          <w:i/>
          <w:iCs/>
          <w:color w:val="595959"/>
          <w:sz w:val="20"/>
          <w:szCs w:val="20"/>
        </w:rPr>
        <w:t xml:space="preserve">scripts</w:t>
      </w:r>
      <w:r>
        <w:rPr>
          <w:rFonts w:ascii="Georgia" w:cs="Georgia" w:eastAsia="Georgia" w:hAnsi="Georgia"/>
          <w:i/>
          <w:iCs/>
          <w:color w:val="595959"/>
          <w:sz w:val="20"/>
          <w:szCs w:val="20"/>
        </w:rPr>
        <w:t xml:space="preserve"> de construcción, infraestructura como código, esquema y </w:t>
      </w:r>
      <w:r>
        <w:rPr>
          <w:rFonts w:ascii="Georgia" w:cs="Georgia" w:eastAsia="Georgia" w:hAnsi="Georgia"/>
          <w:i/>
          <w:iCs/>
          <w:color w:val="595959"/>
          <w:sz w:val="20"/>
          <w:szCs w:val="20"/>
        </w:rPr>
        <w:t xml:space="preserve">scripts</w:t>
      </w:r>
      <w:r>
        <w:rPr>
          <w:rFonts w:ascii="Georgia" w:cs="Georgia" w:eastAsia="Georgia" w:hAnsi="Georgia"/>
          <w:i/>
          <w:iCs/>
          <w:color w:val="595959"/>
          <w:sz w:val="20"/>
          <w:szCs w:val="20"/>
        </w:rPr>
        <w:t xml:space="preserve"> de migración— sigue estando sólo en el depósito (ADM-11·v3, apartado 2). El catálogo no exige entregar el repositorio en cada hito (ADM-8·v3, epígrafe 4). </w:t>
      </w:r>
      <w:r>
        <w:rPr>
          <w:rFonts w:ascii="Georgia" w:cs="Georgia" w:eastAsia="Georgia" w:hAnsi="Georgia"/>
          <w:b/>
          <w:bCs/>
          <w:i/>
          <w:iCs/>
          <w:color w:val="595959"/>
          <w:sz w:val="20"/>
          <w:szCs w:val="20"/>
        </w:rPr>
        <w:t xml:space="preserve">Recomendación de este pliego de referencia, no regla del catálogo:</w:t>
      </w:r>
      <w:r>
        <w:rPr>
          <w:rFonts w:ascii="Georgia" w:cs="Georgia" w:eastAsia="Georgia" w:hAnsi="Georgia"/>
          <w:i/>
          <w:iCs/>
          <w:color w:val="595959"/>
          <w:sz w:val="20"/>
          <w:szCs w:val="20"/>
        </w:rPr>
        <w:t xml:space="preserve"> en un desarrollo por fases, que el cuerpo del PPT fije como entregable de cada hito el código fuente con su documentación de construcción, para no esperar al ensayo —uno cada [24] meses y otro en el último año— para saber si lo entregado se reconstruye. Si se adopta, se motiva en la memoria; su incumplimiento no tiene tipo propio en ADM-5·v3, que tipifica «exclusivamente».</w:t>
      </w:r>
    </w:p>
    <w:p>
      <w:pPr>
        <w:pStyle w:val="Heading2"/>
        <w:keepNext/>
        <w:spacing w:after="140" w:before="320"/>
      </w:pPr>
      <w:r>
        <w:rPr>
          <w:rFonts w:ascii="Georgia" w:cs="Georgia" w:eastAsia="Georgia" w:hAnsi="Georgia"/>
          <w:b/>
          <w:bCs/>
          <w:color w:val="1F3864"/>
          <w:sz w:val="26"/>
          <w:szCs w:val="26"/>
        </w:rPr>
        <w:t xml:space="preserve">4.3 Cláusulas técnicas condicionadas</w:t>
      </w:r>
    </w:p>
    <w:p>
      <w:pPr>
        <w:pStyle w:val="Heading3"/>
        <w:keepNext/>
        <w:spacing w:after="140" w:before="320"/>
      </w:pPr>
      <w:r>
        <w:rPr>
          <w:rFonts w:ascii="Georgia" w:cs="Georgia" w:eastAsia="Georgia" w:hAnsi="Georgia"/>
          <w:b/>
          <w:bCs/>
          <w:color w:val="2F5496"/>
          <w:sz w:val="22"/>
          <w:szCs w:val="22"/>
        </w:rPr>
        <w:t xml:space="preserve">DT-1·v3 · IA, IA generativa y agentes — sólo si la solución incorpora IA</w:t>
      </w:r>
    </w:p>
    <w:p>
      <w:pPr>
        <w:spacing w:after="140" w:line="276"/>
      </w:pPr>
      <w:r>
        <w:rPr>
          <w:rFonts w:ascii="Calibri" w:cs="Calibri" w:eastAsia="Calibri" w:hAnsi="Calibri"/>
          <w:i/>
          <w:iCs/>
          <w:sz w:val="21"/>
          <w:szCs w:val="21"/>
        </w:rPr>
        <w:t xml:space="preserve">Texto vigente de DT-1·v3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DT-1. Sistemas de inteligencia artificial: clasificación, obligaciones y reparto de papeles.</w:t>
            </w:r>
          </w:p>
          <w:p>
            <w:pPr>
              <w:spacing w:after="100" w:line="264"/>
            </w:pPr>
            <w:r>
              <w:rPr>
                <w:rFonts w:ascii="Georgia" w:cs="Georgia" w:eastAsia="Georgia" w:hAnsi="Georgia"/>
                <w:b/>
                <w:bCs/>
                <w:sz w:val="20"/>
                <w:szCs w:val="20"/>
              </w:rPr>
              <w:t xml:space="preserve">1. Ámbito.</w:t>
            </w:r>
            <w:r>
              <w:rPr>
                <w:rFonts w:ascii="Georgia" w:cs="Georgia" w:eastAsia="Georgia" w:hAnsi="Georgia"/>
                <w:sz w:val="20"/>
                <w:szCs w:val="20"/>
              </w:rPr>
              <w:t xml:space="preserve"> Esta cláusula se aplica a los sistemas de inteligencia artificial que el adjudicatario emplee o entregue en ejecución del contrato, y a las funcionalidades de la solución basadas en tales sistemas. Las referencias al Reglamento (UE) 2024/1689 se entienden hechas </w:t>
            </w:r>
            <w:r>
              <w:rPr>
                <w:rFonts w:ascii="Georgia" w:cs="Georgia" w:eastAsia="Georgia" w:hAnsi="Georgia"/>
                <w:b/>
                <w:bCs/>
                <w:sz w:val="20"/>
                <w:szCs w:val="20"/>
              </w:rPr>
              <w:t xml:space="preserve">en su redacción vigente</w:t>
            </w:r>
            <w:r>
              <w:rPr>
                <w:rFonts w:ascii="Georgia" w:cs="Georgia" w:eastAsia="Georgia" w:hAnsi="Georgia"/>
                <w:sz w:val="20"/>
                <w:szCs w:val="20"/>
              </w:rPr>
              <w:t xml:space="preserve">. El calendario de exigibilidad de cada obligación consta en el Anexo de Vigencia Normativa de este pliego, que distingue entre obligación legal ya exigible en la fecha de la licitación y exigencia contractual anticipada por el Ayuntamiento.</w:t>
            </w:r>
          </w:p>
          <w:p>
            <w:pPr>
              <w:spacing w:after="100" w:line="264"/>
            </w:pPr>
            <w:r>
              <w:rPr>
                <w:rFonts w:ascii="Georgia" w:cs="Georgia" w:eastAsia="Georgia" w:hAnsi="Georgia"/>
                <w:b/>
                <w:bCs/>
                <w:sz w:val="20"/>
                <w:szCs w:val="20"/>
              </w:rPr>
              <w:t xml:space="preserve">2. Inventario y clasificación.</w:t>
            </w:r>
            <w:r>
              <w:rPr>
                <w:rFonts w:ascii="Georgia" w:cs="Georgia" w:eastAsia="Georgia" w:hAnsi="Georgia"/>
                <w:sz w:val="20"/>
                <w:szCs w:val="20"/>
              </w:rPr>
              <w:t xml:space="preserve"> El licitador relacionará en su oferta los sistemas de inteligencia artificial que intervendrán en la prestación, indicando para cada uno su finalidad, su proveedor, si actúa como proveedor o como distribuidor de dicho sistema, y su clasificación conforme al Reglamento (UE) 2024/1689. El adjudicatario mantendrá esa relación actualizada durante toda la vigencia del contrato y de sus prórrogas, y comunicará al responsable del contrato, con una antelación mínima de [X; se recomienda 30] días naturales, cualquier cambio que pueda alterar la clasificación de riesgo de un sistema.</w:t>
            </w:r>
          </w:p>
          <w:p>
            <w:pPr>
              <w:spacing w:after="100" w:line="264"/>
            </w:pP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w:t>
            </w:r>
            <w:r>
              <w:rPr>
                <w:rFonts w:ascii="Georgia" w:cs="Georgia" w:eastAsia="Georgia" w:hAnsi="Georgia"/>
                <w:sz w:val="20"/>
                <w:szCs w:val="20"/>
              </w:rPr>
              <w:t xml:space="preserve"> Para que el Ayuntamiento asigne a cada sistema el nivel de impacto o riesgo previsto en [norma autonómica aplicable, con su precepto], la relación incluirá además, para cada sistema, los extremos siguientes: [relación cerrada; se recomienda: los que enumeren los criterios de asignación publicados a la fecha de la licitación o, si no se han publicado, la finalidad y el ámbito de aplicación, el tipo de datos que trata, el grado de automatización y la modalidad de supervisión humana que admite]. La asignación corresponde al Ayuntamiento. El preaviso del párrafo anterior se extiende a todo cambio que pueda alterar esa asignación.</w:t>
            </w:r>
          </w:p>
          <w:p>
            <w:pPr>
              <w:spacing w:after="100" w:line="264"/>
            </w:pPr>
            <w:r>
              <w:rPr>
                <w:rFonts w:ascii="Georgia" w:cs="Georgia" w:eastAsia="Georgia" w:hAnsi="Georgia"/>
                <w:b/>
                <w:bCs/>
                <w:sz w:val="20"/>
                <w:szCs w:val="20"/>
              </w:rPr>
              <w:t xml:space="preserve">3. Prácticas prohibidas.</w:t>
            </w:r>
            <w:r>
              <w:rPr>
                <w:rFonts w:ascii="Georgia" w:cs="Georgia" w:eastAsia="Georgia" w:hAnsi="Georgia"/>
                <w:sz w:val="20"/>
                <w:szCs w:val="20"/>
              </w:rPr>
              <w:t xml:space="preserve"> Queda prohibido el empleo, en la ejecución del contrato, de sistemas o usos de inteligencia artificial incursos en las prácticas prohibidas del Reglamento (UE) 2024/1689 en su redacción vigente. Esta obligación es exigible desde la formalización del contrato.</w:t>
            </w:r>
          </w:p>
          <w:p>
            <w:pPr>
              <w:spacing w:after="100" w:line="264"/>
            </w:pPr>
            <w:r>
              <w:rPr>
                <w:rFonts w:ascii="Georgia" w:cs="Georgia" w:eastAsia="Georgia" w:hAnsi="Georgia"/>
                <w:b/>
                <w:bCs/>
                <w:sz w:val="20"/>
                <w:szCs w:val="20"/>
              </w:rPr>
              <w:t xml:space="preserve">4. Transparencia.</w:t>
            </w:r>
            <w:r>
              <w:rPr>
                <w:rFonts w:ascii="Georgia" w:cs="Georgia" w:eastAsia="Georgia" w:hAnsi="Georgia"/>
                <w:sz w:val="20"/>
                <w:szCs w:val="20"/>
              </w:rPr>
              <w:t xml:space="preserve"> Cuando la solución interactúe con personas físicas o genere contenido sintético de audio, imagen, vídeo o texto, el adjudicatario garantizará el cumplimiento de las obligaciones de transparencia y de marcado de contenido que resulten exigibles conforme al Reglamento (UE) 2024/1689 en su redacción vigente y al Anexo de Vigencia Normativa de este pliego.</w:t>
            </w:r>
          </w:p>
          <w:p>
            <w:pPr>
              <w:spacing w:after="100" w:line="264"/>
            </w:pPr>
            <w:r>
              <w:rPr>
                <w:rFonts w:ascii="Georgia" w:cs="Georgia" w:eastAsia="Georgia" w:hAnsi="Georgia"/>
                <w:b/>
                <w:bCs/>
                <w:sz w:val="20"/>
                <w:szCs w:val="20"/>
              </w:rPr>
              <w:t xml:space="preserve">5. Alto riesgo.</w:t>
            </w:r>
            <w:r>
              <w:rPr>
                <w:rFonts w:ascii="Georgia" w:cs="Georgia" w:eastAsia="Georgia" w:hAnsi="Georgia"/>
                <w:sz w:val="20"/>
                <w:szCs w:val="20"/>
              </w:rPr>
              <w:t xml:space="preserve"> Cuando un sistema tenga la consideración de alto riesgo, el adjudicatario garantizará, en su condición de proveedor o respecto del proveedor del que sea distribuidor, el cumplimiento de las obligaciones que le correspondan conforme al Reglamento (UE) 2024/1689 en su redacción vigente y en los plazos del Anexo de Vigencia Normativa: sistema de gestión de riesgos, gobernanza y calidad de los datos, documentación técnica y registros, transparencia e información a las personas usuarias, supervisión humana, y niveles adecuados de exactitud, solidez y ciberseguridad.</w:t>
            </w:r>
          </w:p>
          <w:p>
            <w:pPr>
              <w:spacing w:after="100" w:line="264"/>
            </w:pPr>
            <w:r>
              <w:rPr>
                <w:rFonts w:ascii="Georgia" w:cs="Georgia" w:eastAsia="Georgia" w:hAnsi="Georgia"/>
                <w:b/>
                <w:bCs/>
                <w:sz w:val="20"/>
                <w:szCs w:val="20"/>
              </w:rPr>
              <w:t xml:space="preserve">6. Reparto de papeles.</w:t>
            </w:r>
            <w:r>
              <w:rPr>
                <w:rFonts w:ascii="Georgia" w:cs="Georgia" w:eastAsia="Georgia" w:hAnsi="Georgia"/>
                <w:sz w:val="20"/>
                <w:szCs w:val="20"/>
              </w:rPr>
              <w:t xml:space="preserve"> El Ayuntamiento actúa como </w:t>
            </w:r>
            <w:r>
              <w:rPr>
                <w:rFonts w:ascii="Georgia" w:cs="Georgia" w:eastAsia="Georgia" w:hAnsi="Georgia"/>
                <w:b/>
                <w:bCs/>
                <w:sz w:val="20"/>
                <w:szCs w:val="20"/>
              </w:rPr>
              <w:t xml:space="preserve">responsable del despliegue</w:t>
            </w:r>
            <w:r>
              <w:rPr>
                <w:rFonts w:ascii="Georgia" w:cs="Georgia" w:eastAsia="Georgia" w:hAnsi="Georgia"/>
                <w:sz w:val="20"/>
                <w:szCs w:val="20"/>
              </w:rPr>
              <w:t xml:space="preserve">. Le corresponden de forma indelegable las obligaciones que el Reglamento (UE) 2024/1689 atribuye a esa condición, y en particular el uso conforme a las instrucciones, la encomienda de la supervisión humana a personas con la competencia, la formación y la autoridad necesarias, la pertinencia de los datos de entrada, la vigilancia del funcionamiento y la suspensión del uso ante riesgo, la conservación de los archivos de registro, la obligación de registro que corresponde a las autoridades públicas y, cuando proceda, la evaluación de impacto en los derechos fundamentales. </w:t>
            </w:r>
            <w:r>
              <w:rPr>
                <w:rFonts w:ascii="Georgia" w:cs="Georgia" w:eastAsia="Georgia" w:hAnsi="Georgia"/>
                <w:b/>
                <w:bCs/>
                <w:sz w:val="20"/>
                <w:szCs w:val="20"/>
              </w:rPr>
              <w:t xml:space="preserve">El adjudicatario no asume estas obligaciones.</w:t>
            </w:r>
            <w:r>
              <w:rPr>
                <w:rFonts w:ascii="Georgia" w:cs="Georgia" w:eastAsia="Georgia" w:hAnsi="Georgia"/>
                <w:sz w:val="20"/>
                <w:szCs w:val="20"/>
              </w:rPr>
              <w:t xml:space="preserve"> El adjudicatario se obliga a </w:t>
            </w:r>
            <w:r>
              <w:rPr>
                <w:rFonts w:ascii="Georgia" w:cs="Georgia" w:eastAsia="Georgia" w:hAnsi="Georgia"/>
                <w:b/>
                <w:bCs/>
                <w:sz w:val="20"/>
                <w:szCs w:val="20"/>
              </w:rPr>
              <w:t xml:space="preserve">aportar los medios</w:t>
            </w:r>
            <w:r>
              <w:rPr>
                <w:rFonts w:ascii="Georgia" w:cs="Georgia" w:eastAsia="Georgia" w:hAnsi="Georgia"/>
                <w:sz w:val="20"/>
                <w:szCs w:val="20"/>
              </w:rPr>
              <w:t xml:space="preserve"> sin los cuales el Ayuntamiento no puede cumplirlas, y en particular:</w:t>
            </w:r>
          </w:p>
          <w:p>
            <w:pPr>
              <w:spacing w:after="100" w:line="264"/>
            </w:pPr>
            <w:r>
              <w:rPr>
                <w:rFonts w:ascii="Georgia" w:cs="Georgia" w:eastAsia="Georgia" w:hAnsi="Georgia"/>
                <w:sz w:val="20"/>
                <w:szCs w:val="20"/>
              </w:rPr>
              <w:t xml:space="preserve">a) Las instrucciones de uso del sistema, en castellano, con el contenido exigido por el Reglamento.</w:t>
            </w:r>
          </w:p>
          <w:p>
            <w:pPr>
              <w:spacing w:after="100" w:line="264"/>
            </w:pPr>
            <w:r>
              <w:rPr>
                <w:rFonts w:ascii="Georgia" w:cs="Georgia" w:eastAsia="Georgia" w:hAnsi="Georgia"/>
                <w:sz w:val="20"/>
                <w:szCs w:val="20"/>
              </w:rPr>
              <w:t xml:space="preserve">b) La información técnica precisa para que el Ayuntamiento realice la evaluación de impacto en los derechos fundamentales y la evaluación de impacto relativa a la protección de datos, admitiéndose referencias cruzadas entre ambas.</w:t>
            </w:r>
          </w:p>
          <w:p>
            <w:pPr>
              <w:spacing w:after="100" w:line="264"/>
            </w:pPr>
            <w:r>
              <w:rPr>
                <w:rFonts w:ascii="Georgia" w:cs="Georgia" w:eastAsia="Georgia" w:hAnsi="Georgia"/>
                <w:sz w:val="20"/>
                <w:szCs w:val="20"/>
              </w:rPr>
              <w:t xml:space="preserve">c) Archivos de registro exportables en formato abierto y documentado, conservados y entregables por un plazo no inferior a [X; se recomienda 12, con un mínimo de 6] meses.</w:t>
            </w:r>
          </w:p>
          <w:p>
            <w:pPr>
              <w:spacing w:after="100" w:line="264"/>
            </w:pPr>
            <w:r>
              <w:rPr>
                <w:rFonts w:ascii="Georgia" w:cs="Georgia" w:eastAsia="Georgia" w:hAnsi="Georgia"/>
                <w:sz w:val="20"/>
                <w:szCs w:val="20"/>
              </w:rPr>
              <w:t xml:space="preserve">d) Un control propio del Ayuntamiento, accionable con credenciales municipales desde la interfaz de administración de la solución, que suspenda, de forma total o por funcionalidad, cada funcionalidad de la solución basada en inteligencia artificial que no esté sujeta a otro mecanismo de suspensión de este pliego, sin que sea necesaria solicitud, autorización, ticket ni actuación alguna del personal del adjudicatario, sin afectar a las funcionalidades que no dependan del sistema suspendido y con efecto en un plazo máximo de [X; se recomienda 4] horas desde su activación. Están sujetos a otro mecanismo los agentes de inteligencia artificial (apartado 8) y, cuando este pliego incorpore las cláusulas correspondientes, las operaciones a través de la interfaz normalizada de acceso programático (cláusula DT-7, apartado 3, letra f)), las automatizaciones de procesos (cláusula DT-4, apartado 3, letra a)) y la actuación de sistemas o agentes sujeta a la cláusula DT-9, apartado 8.5. </w:t>
            </w:r>
            <w:r>
              <w:rPr>
                <w:rFonts w:ascii="Georgia" w:cs="Georgia" w:eastAsia="Georgia" w:hAnsi="Georgia"/>
                <w:i/>
                <w:iCs/>
                <w:sz w:val="20"/>
                <w:szCs w:val="20"/>
              </w:rPr>
              <w:t xml:space="preserve">[Se suprimen las menciones de las cláusulas que este pliego no incorpore.]</w:t>
            </w:r>
            <w:r>
              <w:rPr>
                <w:rFonts w:ascii="Georgia" w:cs="Georgia" w:eastAsia="Georgia" w:hAnsi="Georgia"/>
                <w:sz w:val="20"/>
                <w:szCs w:val="20"/>
              </w:rPr>
              <w:t xml:space="preserve"> Toda activación quedará registrada en los archivos de la letra c). </w:t>
            </w:r>
            <w:r>
              <w:rPr>
                <w:rFonts w:ascii="Georgia" w:cs="Georgia" w:eastAsia="Georgia" w:hAnsi="Georgia"/>
                <w:i/>
                <w:iCs/>
                <w:sz w:val="20"/>
                <w:szCs w:val="20"/>
              </w:rPr>
              <w:t xml:space="preserve">[Se conserva en contratos de nivel A o B de la Parte I, §2.2, del catálogo; en los de nivel C, sólo si el Informe de Necesidad lo motiva.]</w:t>
            </w:r>
            <w:r>
              <w:rPr>
                <w:rFonts w:ascii="Georgia" w:cs="Georgia" w:eastAsia="Georgia" w:hAnsi="Georgia"/>
                <w:sz w:val="20"/>
                <w:szCs w:val="20"/>
              </w:rPr>
              <w:t xml:space="preserve"> Cuando el licitador declare en su oferta, identificándola, que una funcionalidad determinada no admite ese control por razón de su arquitectura, su suspensión la ejecutará el adjudicatario a requerimiento del responsable del contrato cursado por el canal de la letra e), con efecto en un plazo máximo de [X; se recomienda 24] horas. El funcionamiento del control, o del procedimiento sustitutivo, se comprobará en la aceptación del apartado 9: lo activará personal municipal y se medirá el tiempo transcurrido hasta que la funcionalidad deje de producir resultados.</w:t>
            </w:r>
          </w:p>
          <w:p>
            <w:pPr>
              <w:spacing w:after="100" w:line="264"/>
            </w:pPr>
            <w:r>
              <w:rPr>
                <w:rFonts w:ascii="Georgia" w:cs="Georgia" w:eastAsia="Georgia" w:hAnsi="Georgia"/>
                <w:sz w:val="20"/>
                <w:szCs w:val="20"/>
              </w:rPr>
              <w:t xml:space="preserve">e) Un punto de contacto único, con identificación nominal y canal de comunicación, para incidentes graves, con un plazo máximo de respuesta de [X; se recomienda 24] horas hábiles.</w:t>
            </w:r>
          </w:p>
          <w:p>
            <w:pPr>
              <w:spacing w:after="100" w:line="264"/>
            </w:pPr>
            <w:r>
              <w:rPr>
                <w:rFonts w:ascii="Georgia" w:cs="Georgia" w:eastAsia="Georgia" w:hAnsi="Georgia"/>
                <w:sz w:val="20"/>
                <w:szCs w:val="20"/>
              </w:rPr>
              <w:t xml:space="preserve">f) La formación necesaria para que el personal municipal designado pueda ejercer de forma efectiva la supervisión humana.</w:t>
            </w:r>
          </w:p>
          <w:p>
            <w:pPr>
              <w:spacing w:after="100" w:line="264"/>
            </w:pPr>
            <w:r>
              <w:rPr>
                <w:rFonts w:ascii="Georgia" w:cs="Georgia" w:eastAsia="Georgia" w:hAnsi="Georgia"/>
                <w:b/>
                <w:bCs/>
                <w:sz w:val="20"/>
                <w:szCs w:val="20"/>
              </w:rPr>
              <w:t xml:space="preserve">7. Decisiones automatizadas.</w:t>
            </w:r>
            <w:r>
              <w:rPr>
                <w:rFonts w:ascii="Georgia" w:cs="Georgia" w:eastAsia="Georgia" w:hAnsi="Georgia"/>
                <w:sz w:val="20"/>
                <w:szCs w:val="20"/>
              </w:rPr>
              <w:t xml:space="preserve"> La solución no adoptará decisiones basadas únicamente en el tratamiento automatizado que produzcan efectos jurídicos sobre las personas o las afecten significativamente de modo similar, en el sentido del artículo 22 del Reglamento (UE) 2016/679, salvo que concurra alguna de las habilitaciones de dicho precepto y, cuando se trate de actuación administrativa automatizada, se haya aprobado previamente conforme al artículo 41 de la Ley 40/2015, de 1 de octubre. En tal caso, el adjudicatario facilitará cuanto sea necesario para que el Ayuntamiento pueda determinar y publicar los órganos competentes para la definición de especificaciones, programación, mantenimiento, supervisión, control de calidad y, en su caso, auditoría del sistema de información y de su código fuente, así como el órgano responsable a efectos de impugnación. A tal fin garantizará al Ayuntamiento y a los auditores que éste designe, sujetos a idéntico deber de confidencialidad, el acceso a la lógica, la parametrización, las reglas de decisión y el código fuente </w:t>
            </w:r>
            <w:r>
              <w:rPr>
                <w:rFonts w:ascii="Georgia" w:cs="Georgia" w:eastAsia="Georgia" w:hAnsi="Georgia"/>
                <w:b/>
                <w:bCs/>
                <w:sz w:val="20"/>
                <w:szCs w:val="20"/>
              </w:rPr>
              <w:t xml:space="preserve">de los componentes desarrollados específicamente para el Ayuntamiento</w:t>
            </w:r>
            <w:r>
              <w:rPr>
                <w:rFonts w:ascii="Georgia" w:cs="Georgia" w:eastAsia="Georgia" w:hAnsi="Georgia"/>
                <w:sz w:val="20"/>
                <w:szCs w:val="20"/>
              </w:rPr>
              <w:t xml:space="preserve">, con la exclusiva finalidad de auditoría y sin facultad alguna de explotación. </w:t>
            </w: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 o si el Ayuntamiento publica en su sede electrónica la descripción de sus actuaciones automatizadas.]</w:t>
            </w:r>
            <w:r>
              <w:rPr>
                <w:rFonts w:ascii="Georgia" w:cs="Georgia" w:eastAsia="Georgia" w:hAnsi="Georgia"/>
                <w:sz w:val="20"/>
                <w:szCs w:val="20"/>
              </w:rPr>
              <w:t xml:space="preserve"> El adjudicatario entregará además, antes de la aceptación del apartado 9, una descripción del diseño y del funcionamiento del sistema en esa actuación y de los mecanismos de supervisión, control, trazabilidad y suspensión que la solución ofrece, redactada para su publicación en la sede electrónica y depurada de secretos técnicos o comerciales, que el Ayuntamiento podrá incorporar a la resolución que determine la actuación automatizada. En todo caso se garantizará el derecho a obtener intervención humana, a expresar el punto de vista y a impugnar la decisión.</w:t>
            </w:r>
          </w:p>
          <w:p>
            <w:pPr>
              <w:spacing w:after="100" w:line="264"/>
            </w:pPr>
            <w:r>
              <w:rPr>
                <w:rFonts w:ascii="Georgia" w:cs="Georgia" w:eastAsia="Georgia" w:hAnsi="Georgia"/>
                <w:b/>
                <w:bCs/>
                <w:sz w:val="20"/>
                <w:szCs w:val="20"/>
              </w:rPr>
              <w:t xml:space="preserve">8. Agentes: límites y reversibilidad.</w:t>
            </w:r>
            <w:r>
              <w:rPr>
                <w:rFonts w:ascii="Georgia" w:cs="Georgia" w:eastAsia="Georgia" w:hAnsi="Georgia"/>
                <w:sz w:val="20"/>
                <w:szCs w:val="20"/>
              </w:rPr>
              <w:t xml:space="preserve"> Cuando se empleen agentes de inteligencia artificial, su actuación estará sujeta a límites configurables por el Ayuntamiento, con trazabilidad completa de consultas, propuestas y acciones, registro de auditoría, mecanismos de intervención y suspensión humana y capacidad de revertir las actuaciones ejecutadas o, cuando la reversión automática no sea técnicamente posible, procedimiento documentado de reversión con indicación del tiempo estimado y del responsable de ejecutarlo.</w:t>
            </w:r>
          </w:p>
          <w:p>
            <w:pPr>
              <w:spacing w:after="100" w:line="264"/>
            </w:pPr>
            <w:r>
              <w:rPr>
                <w:rFonts w:ascii="Georgia" w:cs="Georgia" w:eastAsia="Georgia" w:hAnsi="Georgia"/>
                <w:b/>
                <w:bCs/>
                <w:sz w:val="20"/>
                <w:szCs w:val="20"/>
              </w:rPr>
              <w:t xml:space="preserve">9. Aceptación previa.</w:t>
            </w:r>
            <w:r>
              <w:rPr>
                <w:rFonts w:ascii="Georgia" w:cs="Georgia" w:eastAsia="Georgia" w:hAnsi="Georgia"/>
                <w:sz w:val="20"/>
                <w:szCs w:val="20"/>
              </w:rPr>
              <w:t xml:space="preserve"> Antes de su puesta en producción, toda funcionalidad basada en inteligencia artificial deberá ser aceptada expresamente por el Ayuntamiento, previas las pruebas técnicas, funcionales, de seguridad y de integración que se estimen necesarias, documentadas en acta. La aceptación no exime de responsabilidad por defectos, errores, sesgos, vulnerabilidades, incumplimientos normativos, uso inadecuado de datos o degradación posterior del servicio. No podrá otorgarse mientras no consten en el expediente los informes, consultas o autorizaciones que la normativa aplicable al Ayuntamiento exija con carácter previo a la implantación del sistema —[relación y precepto que los exige; se recomienda relacionar, cuando proceda, la consulta previa a la autoridad de control del artículo 36 del Reglamento (UE) 2016/679 y, si la entidad está sujeta a la Ley de la Administración Digital e Inteligencia Artificial de la Comunidad de Madrid o a norma autonómica equivalente, el informe preceptivo y vinculante previo a la implantación que esa norma prevea]— ni, cuando el informe sea vinculante, mientras su sentido no sea favorable. El adjudicatario aportará, de entre la información que este pliego le obliga a entregar, la que se precise para solicitarlos. El tiempo que medie hasta su emisión no se computará en los plazos de este pliego que dependan de la puesta en producción. Si el informe vinculante es desfavorable, la supresión de la funcionalidad y su efecto sobre el precio se rigen por la cláusula de reducción prevista del pliego de cláusulas administrativas particulares [cláusula complementaria de ADM-14, si se incorpora].</w:t>
            </w:r>
          </w:p>
          <w:p>
            <w:pPr>
              <w:spacing w:after="100" w:line="264"/>
            </w:pPr>
            <w:r>
              <w:rPr>
                <w:rFonts w:ascii="Georgia" w:cs="Georgia" w:eastAsia="Georgia" w:hAnsi="Georgia"/>
                <w:b/>
                <w:bCs/>
                <w:sz w:val="20"/>
                <w:szCs w:val="20"/>
              </w:rPr>
              <w:t xml:space="preserve">10. Alfabetización.</w:t>
            </w:r>
            <w:r>
              <w:rPr>
                <w:rFonts w:ascii="Georgia" w:cs="Georgia" w:eastAsia="Georgia" w:hAnsi="Georgia"/>
                <w:sz w:val="20"/>
                <w:szCs w:val="20"/>
              </w:rPr>
              <w:t xml:space="preserve"> El adjudicatario adoptará medidas para promover la alfabetización en materia de inteligencia artificial del personal que, por su cuenta, se encargue del funcionamiento y la utilización de los sistemas objeto del contrato. Esta obligación no exige garantizar un nivel específico de alfabetización de ninguna persona en particular.</w:t>
            </w:r>
          </w:p>
          <w:p>
            <w:pPr>
              <w:spacing w:after="100" w:line="264"/>
            </w:pPr>
            <w:r>
              <w:rPr>
                <w:rFonts w:ascii="Georgia" w:cs="Georgia" w:eastAsia="Georgia" w:hAnsi="Georgia"/>
                <w:b/>
                <w:bCs/>
                <w:sz w:val="20"/>
                <w:szCs w:val="20"/>
              </w:rPr>
              <w:t xml:space="preserve">11. Criterios aplicados en cada resultado.</w:t>
            </w:r>
            <w:r>
              <w:rPr>
                <w:rFonts w:ascii="Georgia" w:cs="Georgia" w:eastAsia="Georgia" w:hAnsi="Georgia"/>
                <w:sz w:val="20"/>
                <w:szCs w:val="20"/>
              </w:rPr>
              <w:t xml:space="preserve"> </w:t>
            </w:r>
            <w:r>
              <w:rPr>
                <w:rFonts w:ascii="Georgia" w:cs="Georgia" w:eastAsia="Georgia" w:hAnsi="Georgia"/>
                <w:i/>
                <w:iCs/>
                <w:sz w:val="20"/>
                <w:szCs w:val="20"/>
              </w:rPr>
              <w:t xml:space="preserve">[Sólo si algún sistema de inteligencia artificial interviene en la tramitación de procedimientos administrativos.]</w:t>
            </w:r>
            <w:r>
              <w:rPr>
                <w:rFonts w:ascii="Georgia" w:cs="Georgia" w:eastAsia="Georgia" w:hAnsi="Georgia"/>
                <w:sz w:val="20"/>
                <w:szCs w:val="20"/>
              </w:rPr>
              <w:t xml:space="preserve"> Cuando un sistema de inteligencia artificial produzca, en la tramitación de un procedimiento administrativo, una propuesta, una clasificación, una puntuación, un borrador o cualquier otro resultado que pueda servir de fundamento a un acto, la solución dejará constancia, por cada resultado, de los criterios, reglas o factores que lo han determinado, expresados de forma comprensible y con el detalle que la técnica del sistema permita, para que el órgano competente pueda motivar el acto, </w:t>
            </w:r>
            <w:r>
              <w:rPr>
                <w:rFonts w:ascii="Georgia" w:cs="Georgia" w:eastAsia="Georgia" w:hAnsi="Georgia"/>
                <w:b/>
                <w:bCs/>
                <w:sz w:val="20"/>
                <w:szCs w:val="20"/>
              </w:rPr>
              <w:t xml:space="preserve">también cuando el sistema sólo proponga y la decisión la adopte una persona</w:t>
            </w:r>
            <w:r>
              <w:rPr>
                <w:rFonts w:ascii="Georgia" w:cs="Georgia" w:eastAsia="Georgia" w:hAnsi="Georgia"/>
                <w:sz w:val="20"/>
                <w:szCs w:val="20"/>
              </w:rPr>
              <w:t xml:space="preserve">. Cuando el sistema no pueda identificarlos para un resultado concreto, lo hará constar expresamente.</w:t>
            </w:r>
          </w:p>
          <w:p>
            <w:pPr>
              <w:spacing w:after="100" w:line="264"/>
            </w:pPr>
            <w:r>
              <w:rPr>
                <w:rFonts w:ascii="Georgia" w:cs="Georgia" w:eastAsia="Georgia" w:hAnsi="Georgia"/>
                <w:sz w:val="20"/>
                <w:szCs w:val="20"/>
              </w:rPr>
              <w:t xml:space="preserve">La constancia se integrará en los archivos de registro del apartado 6, letra c), o en el registro de ejecución que este pliego exija para la automatización o el agente de que se trate, y quedará vinculada al expediente, a la versión del sistema y a los datos de entrada empleados, que el registro identificará cuando no consten ya en él. El personal municipal podrá exportarla por expediente, junto con esos datos, en formato abierto y documentado y sin intervención del adjudicatario. Se conservará, como mínimo, durante el plazo del apartado 6, letra c). Su generación y su exportación se comprobarán en la aceptación del apartado 9. Esta obligación no comprende la entrega del código fuente del producto base ni de los componentes de terceros, que se rige por la cláusula [ADM-8], apartado 4, del pliego de cláusulas administrativas particulares.</w:t>
            </w:r>
          </w:p>
          <w:p>
            <w:pPr>
              <w:spacing w:after="100" w:line="264"/>
            </w:pPr>
            <w:r>
              <w:rPr>
                <w:rFonts w:ascii="Georgia" w:cs="Georgia" w:eastAsia="Georgia" w:hAnsi="Georgia"/>
                <w:b/>
                <w:bCs/>
                <w:sz w:val="20"/>
                <w:szCs w:val="20"/>
              </w:rPr>
              <w:t xml:space="preserve">12. Recogida y etiquetado de los datos.</w:t>
            </w:r>
            <w:r>
              <w:rPr>
                <w:rFonts w:ascii="Georgia" w:cs="Georgia" w:eastAsia="Georgia" w:hAnsi="Georgia"/>
                <w:sz w:val="20"/>
                <w:szCs w:val="20"/>
              </w:rPr>
              <w:t xml:space="preserve"> Antes de la aceptación del apartado 9 de la primera funcionalidad que lo emplee, el adjudicatario entregará, para cada sistema de inteligencia artificial de la relación del apartado 2, una descripción de los datos con que se ha entrenado, ajustado o configurado y de los que emplea como entrada en este contrato, que indique su origen y su tipo y, cuando consten al adjudicatario o a su proveedor, el modo en que se recogieron y se etiquetaron.</w:t>
            </w:r>
          </w:p>
          <w:p>
            <w:pPr>
              <w:spacing w:after="100" w:line="264"/>
            </w:pPr>
            <w:r>
              <w:rPr>
                <w:rFonts w:ascii="Georgia" w:cs="Georgia" w:eastAsia="Georgia" w:hAnsi="Georgia"/>
                <w:sz w:val="20"/>
                <w:szCs w:val="20"/>
              </w:rPr>
              <w:t xml:space="preserve">La descripción se redactará con el detalle que el adjudicatario pueda dar sin revelar secretos técnicos o comerciales propios o de su proveedor. Cuando un extremo no conste al adjudicatario, o no pueda facilitarse por esa razón, la descripción lo dirá expresamente y, en el segundo caso, identificará la parte reservada. Lo que el adjudicatario identifique de forma motivada como secreto técnico o comercial no será publicado ni divulgado por el Ayuntamiento, con el alcance que el artículo 133 de la LCSP da a los secretos técnicos o comerciales y sin perjuicio de la legislación de acceso a la información pública y del acceso de los órganos de control y de los auditores del apartado 7; el resto podrá publicarse. Se actualizará antes de poner en producción cualquier cambio que altere su contenido.</w:t>
            </w:r>
          </w:p>
          <w:p>
            <w:pPr>
              <w:spacing w:after="100" w:line="264"/>
            </w:pPr>
            <w:r>
              <w:rPr>
                <w:rFonts w:ascii="Georgia" w:cs="Georgia" w:eastAsia="Georgia" w:hAnsi="Georgia"/>
                <w:b/>
                <w:bCs/>
                <w:sz w:val="20"/>
                <w:szCs w:val="20"/>
              </w:rPr>
              <w:t xml:space="preserve">13. Prevención y detección de sesgos.</w:t>
            </w:r>
            <w:r>
              <w:rPr>
                <w:rFonts w:ascii="Georgia" w:cs="Georgia" w:eastAsia="Georgia" w:hAnsi="Georgia"/>
                <w:sz w:val="20"/>
                <w:szCs w:val="20"/>
              </w:rPr>
              <w:t xml:space="preserve"> </w:t>
            </w:r>
            <w:r>
              <w:rPr>
                <w:rFonts w:ascii="Georgia" w:cs="Georgia" w:eastAsia="Georgia" w:hAnsi="Georgia"/>
                <w:i/>
                <w:iCs/>
                <w:sz w:val="20"/>
                <w:szCs w:val="20"/>
              </w:rPr>
              <w:t xml:space="preserve">[Sólo si algún sistema produce resultados referidos a personas físicas.]</w:t>
            </w:r>
            <w:r>
              <w:rPr>
                <w:rFonts w:ascii="Georgia" w:cs="Georgia" w:eastAsia="Georgia" w:hAnsi="Georgia"/>
                <w:sz w:val="20"/>
                <w:szCs w:val="20"/>
              </w:rPr>
              <w:t xml:space="preserve"> Cuando un sistema de inteligencia artificial, sea o no de alto riesgo, produzca propuestas, clasificaciones, priorizaciones, puntuaciones u otros resultados referidos a personas físicas, el adjudicatario:</w:t>
            </w:r>
          </w:p>
          <w:p>
            <w:pPr>
              <w:spacing w:after="100" w:line="264"/>
            </w:pPr>
            <w:r>
              <w:rPr>
                <w:rFonts w:ascii="Georgia" w:cs="Georgia" w:eastAsia="Georgia" w:hAnsi="Georgia"/>
                <w:sz w:val="20"/>
                <w:szCs w:val="20"/>
              </w:rPr>
              <w:t xml:space="preserve">a) Documentará, junto con la descripción del apartado 12, las medidas adoptadas por él o por su proveedor para prevenir sesgos discriminatorios en los datos, en la configuración y en los resultados, y los riesgos de sesgo que conozca para el uso previsto en este contrato.</w:t>
            </w:r>
          </w:p>
          <w:p>
            <w:pPr>
              <w:spacing w:after="100" w:line="264"/>
            </w:pPr>
            <w:r>
              <w:rPr>
                <w:rFonts w:ascii="Georgia" w:cs="Georgia" w:eastAsia="Georgia" w:hAnsi="Georgia"/>
                <w:sz w:val="20"/>
                <w:szCs w:val="20"/>
              </w:rPr>
              <w:t xml:space="preserve">b) Permitirá al Ayuntamiento ejecutar una muestra de verificación de, como mínimo, [X; se recomienda 50] casos que el Ayuntamiento elija o elabore, sobre el entorno de pruebas del contrato o, en su defecto, sobre un entorno sin datos de producción que el adjudicatario habilite a tal fin, y exportar sus resultados en formato reutilizable, para compararlos entre grupos de personas o con la revisión humana. La muestra se ejecutará en la aceptación del apartado 9 y cada vez que se modifique el sistema o su configuración de forma que pueda alterar sus resultados.</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el Informe de Necesidad lo motiva; por defecto, en contratos de nivel C de la Parte I, §2.2, del catálogo.]</w:t>
            </w:r>
            <w:r>
              <w:rPr>
                <w:rFonts w:ascii="Georgia" w:cs="Georgia" w:eastAsia="Georgia" w:hAnsi="Georgia"/>
                <w:sz w:val="20"/>
                <w:szCs w:val="20"/>
              </w:rPr>
              <w:t xml:space="preserve"> Entregará con periodicidad [X; se recomienda semestral] indicadores de los resultados del sistema desagregados por las variables que el Ayuntamiento indique de entre las que consten en los datos tratados en el contrato.</w:t>
            </w:r>
          </w:p>
          <w:p>
            <w:pPr>
              <w:spacing w:after="100" w:line="264"/>
            </w:pPr>
            <w:r>
              <w:rPr>
                <w:rFonts w:ascii="Georgia" w:cs="Georgia" w:eastAsia="Georgia" w:hAnsi="Georgia"/>
                <w:sz w:val="20"/>
                <w:szCs w:val="20"/>
              </w:rPr>
              <w:t xml:space="preserve">d) Comunicará al responsable del contrato, en el plazo de [X; se recomienda 15] días naturales desde que los conozca, los sesgos que detecte o que le comunique su proveedor, con las medidas correctoras que proponga.</w:t>
            </w:r>
          </w:p>
          <w:p>
            <w:pPr>
              <w:spacing w:after="100" w:line="264"/>
            </w:pPr>
            <w:r>
              <w:rPr>
                <w:rFonts w:ascii="Georgia" w:cs="Georgia" w:eastAsia="Georgia" w:hAnsi="Georgia"/>
                <w:sz w:val="20"/>
                <w:szCs w:val="20"/>
              </w:rPr>
              <w:t xml:space="preserve">Este apartado es exigible desde la formalización del contrato, con independencia del apartado 5 y de sus plazos. No habilita el tratamiento de categorías especiales de datos personales ni el de datos que el Ayuntamiento no haya puesto a disposición del adjudicatario para esta finalidad, y no obliga a garantizar la ausencia de todo sesgo: obliga a documentar, a permitir la comprobación y a comunicar.</w:t>
            </w:r>
          </w:p>
        </w:tc>
      </w:tr>
    </w:tbl>
    <w:p>
      <w:pPr>
        <w:spacing w:after="220"/>
      </w:pPr>
    </w:p>
    <w:p>
      <w:pPr>
        <w:spacing w:after="140" w:line="276"/>
      </w:pPr>
      <w:r>
        <w:rPr>
          <w:rFonts w:ascii="Calibri" w:cs="Calibri" w:eastAsia="Calibri" w:hAnsi="Calibri"/>
          <w:b/>
          <w:bCs/>
          <w:sz w:val="21"/>
          <w:szCs w:val="21"/>
        </w:rPr>
        <w:t xml:space="preserve">Ajustes del perfil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Corchete o apartado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Razón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[30] días · 6.c) [12] meses · 6.e) [24] h hábiles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w:t>
            </w:r>
            <w:r>
              <w:rPr>
                <w:rFonts w:ascii="Calibri" w:cs="Calibri" w:eastAsia="Calibri" w:hAnsi="Calibri"/>
                <w:b w:val="false"/>
                <w:bCs w:val="false"/>
                <w:sz w:val="18"/>
                <w:szCs w:val="18"/>
              </w:rPr>
              <w:t xml:space="preserve"> (nunca menos de 10) · </w:t>
            </w:r>
            <w:r>
              <w:rPr>
                <w:rFonts w:ascii="Calibri" w:cs="Calibri" w:eastAsia="Calibri" w:hAnsi="Calibri"/>
                <w:b/>
                <w:bCs/>
                <w:sz w:val="18"/>
                <w:szCs w:val="18"/>
              </w:rPr>
              <w:t xml:space="preserve">12</w:t>
            </w:r>
            <w:r>
              <w:rPr>
                <w:rFonts w:ascii="Calibri" w:cs="Calibri" w:eastAsia="Calibri" w:hAnsi="Calibri"/>
                <w:b w:val="false"/>
                <w:bCs w:val="false"/>
                <w:sz w:val="18"/>
                <w:szCs w:val="18"/>
              </w:rPr>
              <w:t xml:space="preserve"> (24 con impugnaciones largas) · </w:t>
            </w:r>
            <w:r>
              <w:rPr>
                <w:rFonts w:ascii="Calibri" w:cs="Calibri" w:eastAsia="Calibri" w:hAnsi="Calibri"/>
                <w:b/>
                <w:bCs/>
                <w:sz w:val="18"/>
                <w:szCs w:val="18"/>
              </w:rPr>
              <w:t xml:space="preserve">24</w:t>
            </w:r>
            <w:r>
              <w:rPr>
                <w:rFonts w:ascii="Calibri" w:cs="Calibri" w:eastAsia="Calibri" w:hAnsi="Calibri"/>
                <w:b w:val="false"/>
                <w:bCs w:val="false"/>
                <w:sz w:val="18"/>
                <w:szCs w:val="18"/>
              </w:rPr>
              <w:t xml:space="preserve"> (4 en disponibilidad crítica)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filas 28 a 30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sin sistemas de alto riesgo, constándolo en la ficha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 desde el segundo inciso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sin actuación automatizada. Aquí puede ser el objeto: si lo desarrollado dictará actos automatizados, se conserva, con ADM-8·v3.7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Epígrafes 2 y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Apartados graduados por nivel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la tabla del epígrafe 7 de 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Incisos con el corchete del proyecto de ley autonómico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suprimen mientras la entidad no esté sujeta, que es el valor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fila 50; Anexo XI.4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de Vigencia Normativa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Apéndice técnico 3, con el extracto del Anexo XIX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2; Anexo XXV</w:t>
            </w:r>
          </w:p>
        </w:tc>
      </w:tr>
    </w:tbl>
    <w:p>
      <w:pPr>
        <w:spacing w:after="200"/>
      </w:pPr>
    </w:p>
    <w:p>
      <w:pPr>
        <w:pStyle w:val="Heading3"/>
        <w:keepNext/>
        <w:spacing w:after="140" w:before="320"/>
      </w:pPr>
      <w:r>
        <w:rPr>
          <w:rFonts w:ascii="Georgia" w:cs="Georgia" w:eastAsia="Georgia" w:hAnsi="Georgia"/>
          <w:b/>
          <w:bCs/>
          <w:color w:val="2F5496"/>
          <w:sz w:val="22"/>
          <w:szCs w:val="22"/>
        </w:rPr>
        <w:t xml:space="preserve">DT-4·v3 · Automatización de procesos identificados — sólo con lista cerrada con datos reales</w:t>
      </w:r>
    </w:p>
    <w:p>
      <w:pPr>
        <w:spacing w:after="140" w:line="276"/>
      </w:pPr>
      <w:r>
        <w:rPr>
          <w:rFonts w:ascii="Calibri" w:cs="Calibri" w:eastAsia="Calibri" w:hAnsi="Calibri"/>
          <w:i/>
          <w:iCs/>
          <w:sz w:val="21"/>
          <w:szCs w:val="21"/>
        </w:rPr>
        <w:t xml:space="preserve">Texto vigente de DT-4·v3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DT-4. Automatización de procesos municipales identificados.</w:t>
            </w:r>
          </w:p>
          <w:p>
            <w:pPr>
              <w:spacing w:after="100" w:line="264"/>
            </w:pPr>
            <w:r>
              <w:rPr>
                <w:rFonts w:ascii="Georgia" w:cs="Georgia" w:eastAsia="Georgia" w:hAnsi="Georgia"/>
                <w:b/>
                <w:bCs/>
                <w:sz w:val="20"/>
                <w:szCs w:val="20"/>
              </w:rPr>
              <w:t xml:space="preserve">1. Objeto y lista cerrada.</w:t>
            </w:r>
            <w:r>
              <w:rPr>
                <w:rFonts w:ascii="Georgia" w:cs="Georgia" w:eastAsia="Georgia" w:hAnsi="Georgia"/>
                <w:sz w:val="20"/>
                <w:szCs w:val="20"/>
              </w:rPr>
              <w:t xml:space="preserve"> La solución permitirá automatizar, total o parcialmente, los procesos administrativos que se relacionan de forma cerrada y numerada en el </w:t>
            </w:r>
            <w:r>
              <w:rPr>
                <w:rFonts w:ascii="Georgia" w:cs="Georgia" w:eastAsia="Georgia" w:hAnsi="Georgia"/>
                <w:b/>
                <w:bCs/>
                <w:sz w:val="20"/>
                <w:szCs w:val="20"/>
              </w:rPr>
              <w:t xml:space="preserve">Apéndice [núm.] de este pliego</w:t>
            </w:r>
            <w:r>
              <w:rPr>
                <w:rFonts w:ascii="Georgia" w:cs="Georgia" w:eastAsia="Georgia" w:hAnsi="Georgia"/>
                <w:sz w:val="20"/>
                <w:szCs w:val="20"/>
              </w:rPr>
              <w:t xml:space="preserve">. El licitador indicará en su oferta, sobre esa relación y proceso por proceso, cuáles se compromete a automatizar, con qué alcance y en qué plazo. No se admitirán propuestas de automatización referidas a procesos ajenos a dicha relación.</w:t>
            </w:r>
          </w:p>
          <w:p>
            <w:pPr>
              <w:spacing w:after="100" w:line="264"/>
            </w:pPr>
            <w:r>
              <w:rPr>
                <w:rFonts w:ascii="Georgia" w:cs="Georgia" w:eastAsia="Georgia" w:hAnsi="Georgia"/>
                <w:b/>
                <w:bCs/>
                <w:sz w:val="20"/>
                <w:szCs w:val="20"/>
              </w:rPr>
              <w:t xml:space="preserve">2. Número mínimo.</w:t>
            </w:r>
            <w:r>
              <w:rPr>
                <w:rFonts w:ascii="Georgia" w:cs="Georgia" w:eastAsia="Georgia" w:hAnsi="Georgia"/>
                <w:sz w:val="20"/>
                <w:szCs w:val="20"/>
              </w:rPr>
              <w:t xml:space="preserve"> El adjudicatario automatizará, como mínimo, [X; se recomienda 3] de los procesos relacionados en el Apéndice [núm.], en el plazo máximo de [X; se recomienda 6] meses desde la formalización del contrato o, si fuera posterior, desde la puesta en producción del módulo correspondiente.</w:t>
            </w:r>
          </w:p>
          <w:p>
            <w:pPr>
              <w:spacing w:after="100" w:line="264"/>
            </w:pPr>
            <w:r>
              <w:rPr>
                <w:rFonts w:ascii="Georgia" w:cs="Georgia" w:eastAsia="Georgia" w:hAnsi="Georgia"/>
                <w:b/>
                <w:bCs/>
                <w:sz w:val="20"/>
                <w:szCs w:val="20"/>
              </w:rPr>
              <w:t xml:space="preserve">3. Requisitos de toda automatización.</w:t>
            </w:r>
            <w:r>
              <w:rPr>
                <w:rFonts w:ascii="Georgia" w:cs="Georgia" w:eastAsia="Georgia" w:hAnsi="Georgia"/>
                <w:sz w:val="20"/>
                <w:szCs w:val="20"/>
              </w:rPr>
              <w:t xml:space="preserve"> Cada automatización deberá cumplir:</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Supervisión humana.</w:t>
            </w:r>
            <w:r>
              <w:rPr>
                <w:rFonts w:ascii="Georgia" w:cs="Georgia" w:eastAsia="Georgia" w:hAnsi="Georgia"/>
                <w:sz w:val="20"/>
                <w:szCs w:val="20"/>
              </w:rPr>
              <w:t xml:space="preserve"> Identificación del puesto responsable de supervisar la ejecución, con capacidad efectiva de intervenir, detener y corregir.</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Trazabilidad.</w:t>
            </w:r>
            <w:r>
              <w:rPr>
                <w:rFonts w:ascii="Georgia" w:cs="Georgia" w:eastAsia="Georgia" w:hAnsi="Georgia"/>
                <w:sz w:val="20"/>
                <w:szCs w:val="20"/>
              </w:rPr>
              <w:t xml:space="preserve"> Registro de cada ejecución, con marca temporal, datos de entrada y de salida, resultado e incidencias, exportable en formato abierto y documentado.</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Reversibilidad.</w:t>
            </w:r>
            <w:r>
              <w:rPr>
                <w:rFonts w:ascii="Georgia" w:cs="Georgia" w:eastAsia="Georgia" w:hAnsi="Georgia"/>
                <w:sz w:val="20"/>
                <w:szCs w:val="20"/>
              </w:rPr>
              <w:t xml:space="preserve"> Posibilidad de revertir los efectos de una ejecución errónea o, cuando la reversión automática no sea técnicamente posible, procedimiento documentado de reversión con indicación del tiempo estimado y del puesto responsable de ejecutarlo.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Puntos de parada y tratamiento de errores.</w:t>
            </w:r>
            <w:r>
              <w:rPr>
                <w:rFonts w:ascii="Georgia" w:cs="Georgia" w:eastAsia="Georgia" w:hAnsi="Georgia"/>
                <w:sz w:val="20"/>
                <w:szCs w:val="20"/>
              </w:rPr>
              <w:t xml:space="preserve"> Condiciones de terminación definidas, límites de reintentos, y comportamiento explícito ante error, sin que la automatización pueda quedar en ejecución indefinida.</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Respeto del procedimiento administrativo.</w:t>
            </w:r>
            <w:r>
              <w:rPr>
                <w:rFonts w:ascii="Georgia" w:cs="Georgia" w:eastAsia="Georgia" w:hAnsi="Georgia"/>
                <w:sz w:val="20"/>
                <w:szCs w:val="20"/>
              </w:rPr>
              <w:t xml:space="preserve"> Cuando la automatización afecte a un procedimiento administrativo, se ajustará a lo dispuesto en las Leyes 39/2015 y 40/2015; si constituye actuación administrativa automatizada, requerirá su aprobación previa conforme al artículo 41 de la Ley 40/2015, de 1 de octubre, y el adjudicatario facilitará cuanto sea necesario para que el Ayuntamiento determine y publique los órganos que ese precepto exige y, en su caso, audite el sistema. </w:t>
            </w:r>
            <w:r>
              <w:rPr>
                <w:rFonts w:ascii="Georgia" w:cs="Georgia" w:eastAsia="Georgia" w:hAnsi="Georgia"/>
                <w:i/>
                <w:iCs/>
                <w:sz w:val="20"/>
                <w:szCs w:val="20"/>
              </w:rPr>
              <w:t xml:space="preserve">[Si este pliego incorpora la cláusula DT-1, se añade: «En lo demás, se estará a lo previsto en la cláusula DT-1, apartado 7.»]</w:t>
            </w:r>
            <w:r>
              <w:rPr>
                <w:rFonts w:ascii="Georgia" w:cs="Georgia" w:eastAsia="Georgia" w:hAnsi="Georgia"/>
                <w:sz w:val="20"/>
                <w:szCs w:val="20"/>
              </w:rPr>
              <w:t xml:space="preserve"> </w:t>
            </w: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 o si el Ayuntamiento publica en su sede electrónica la descripción de sus actuaciones automatizadas.]</w:t>
            </w:r>
            <w:r>
              <w:rPr>
                <w:rFonts w:ascii="Georgia" w:cs="Georgia" w:eastAsia="Georgia" w:hAnsi="Georgia"/>
                <w:sz w:val="20"/>
                <w:szCs w:val="20"/>
              </w:rPr>
              <w:t xml:space="preserve"> Cuando la automatización constituya actuación administrativa automatizada, el adjudicatario entregará, antes de la aceptación del apartado 5, una descripción del diseño y del funcionamiento de la automatización y de los mecanismos de las letras a) a d), redactada para su publicación en la sede electrónica y depurada de secretos técnicos o comerciales.</w:t>
            </w:r>
          </w:p>
          <w:p>
            <w:pPr>
              <w:spacing w:after="100" w:line="264"/>
            </w:pPr>
            <w:r>
              <w:rPr>
                <w:rFonts w:ascii="Georgia" w:cs="Georgia" w:eastAsia="Georgia" w:hAnsi="Georgia"/>
                <w:b/>
                <w:bCs/>
                <w:sz w:val="20"/>
                <w:szCs w:val="20"/>
              </w:rPr>
              <w:t xml:space="preserve">4. Medición.</w:t>
            </w:r>
            <w:r>
              <w:rPr>
                <w:rFonts w:ascii="Georgia" w:cs="Georgia" w:eastAsia="Georgia" w:hAnsi="Georgia"/>
                <w:sz w:val="20"/>
                <w:szCs w:val="20"/>
              </w:rPr>
              <w:t xml:space="preserve"> Para cada proceso automatizado se medirán, con periodicidad [X; se recomienda trimestral], al menos los siguientes indicadores, cuyo valor de partida se fijará antes de la automatización: número de ejecuciones, tasa de ejecuciones que requieren intervención humana, tiempo medio de tramitación antes y después, y tasa de error. El adjudicatario entregará los indicadores en formato reutilizable.</w:t>
            </w:r>
          </w:p>
          <w:p>
            <w:pPr>
              <w:spacing w:after="100" w:line="264"/>
            </w:pPr>
            <w:r>
              <w:rPr>
                <w:rFonts w:ascii="Georgia" w:cs="Georgia" w:eastAsia="Georgia" w:hAnsi="Georgia"/>
                <w:b/>
                <w:bCs/>
                <w:sz w:val="20"/>
                <w:szCs w:val="20"/>
              </w:rPr>
              <w:t xml:space="preserve">5. Aceptación.</w:t>
            </w:r>
            <w:r>
              <w:rPr>
                <w:rFonts w:ascii="Georgia" w:cs="Georgia" w:eastAsia="Georgia" w:hAnsi="Georgia"/>
                <w:sz w:val="20"/>
                <w:szCs w:val="20"/>
              </w:rPr>
              <w:t xml:space="preserve"> Cada automatización se aceptará expresamente previa prueba sobre el entorno de pruebas, documentada en acta, en la que se verificarán las letras a) a e) del apartado 3. La aceptación no exime de responsabilidad por degradación posterior.</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Apéndice [núm.]: </w:t>
      </w:r>
      <w:r>
        <w:rPr>
          <w:rFonts w:ascii="Calibri" w:cs="Calibri" w:eastAsia="Calibri" w:hAnsi="Calibri"/>
          <w:b/>
          <w:bCs/>
          <w:sz w:val="21"/>
          <w:szCs w:val="21"/>
        </w:rPr>
        <w:t xml:space="preserve">Apéndice técnico 1 · Procesos automatizables</w:t>
      </w:r>
      <w:r>
        <w:rPr>
          <w:rFonts w:ascii="Calibri" w:cs="Calibri" w:eastAsia="Calibri" w:hAnsi="Calibri"/>
          <w:sz w:val="21"/>
          <w:szCs w:val="21"/>
        </w:rPr>
        <w:t xml:space="preserve">, en dos bloques (Anexo XXV). Apartado 2: </w:t>
      </w:r>
      <w:r>
        <w:rPr>
          <w:rFonts w:ascii="Calibri" w:cs="Calibri" w:eastAsia="Calibri" w:hAnsi="Calibri"/>
          <w:b/>
          <w:bCs/>
          <w:sz w:val="21"/>
          <w:szCs w:val="21"/>
        </w:rPr>
        <w:t xml:space="preserve">3</w:t>
      </w:r>
      <w:r>
        <w:rPr>
          <w:rFonts w:ascii="Calibri" w:cs="Calibri" w:eastAsia="Calibri" w:hAnsi="Calibri"/>
          <w:sz w:val="21"/>
          <w:szCs w:val="21"/>
        </w:rPr>
        <w:t xml:space="preserve"> procesos (1 en menor cuantía) en </w:t>
      </w:r>
      <w:r>
        <w:rPr>
          <w:rFonts w:ascii="Calibri" w:cs="Calibri" w:eastAsia="Calibri" w:hAnsi="Calibri"/>
          <w:b/>
          <w:bCs/>
          <w:sz w:val="21"/>
          <w:szCs w:val="21"/>
        </w:rPr>
        <w:t xml:space="preserve">6</w:t>
      </w:r>
      <w:r>
        <w:rPr>
          <w:rFonts w:ascii="Calibri" w:cs="Calibri" w:eastAsia="Calibri" w:hAnsi="Calibri"/>
          <w:sz w:val="21"/>
          <w:szCs w:val="21"/>
        </w:rPr>
        <w:t xml:space="preserve"> meses (12 si dependen de terceros), contados desde la puesta en producción del módulo cuando sea posterior, como el propio apartado prevé (Anexo X, filas 34 y 35). Apartado 4: </w:t>
      </w:r>
      <w:r>
        <w:rPr>
          <w:rFonts w:ascii="Calibri" w:cs="Calibri" w:eastAsia="Calibri" w:hAnsi="Calibri"/>
          <w:b/>
          <w:bCs/>
          <w:sz w:val="21"/>
          <w:szCs w:val="21"/>
        </w:rPr>
        <w:t xml:space="preserve">trimestral</w:t>
      </w:r>
      <w:r>
        <w:rPr>
          <w:rFonts w:ascii="Calibri" w:cs="Calibri" w:eastAsia="Calibri" w:hAnsi="Calibri"/>
          <w:sz w:val="21"/>
          <w:szCs w:val="21"/>
        </w:rPr>
        <w:t xml:space="preserve">, semestral en bajo volumen (fila 36). El compromiso del licitador, en el índice del sobre (epígrafe 2).</w:t>
      </w:r>
    </w:p>
    <w:p>
      <w:pPr>
        <w:pStyle w:val="Heading3"/>
        <w:keepNext/>
        <w:spacing w:after="140" w:before="320"/>
      </w:pPr>
      <w:r>
        <w:rPr>
          <w:rFonts w:ascii="Georgia" w:cs="Georgia" w:eastAsia="Georgia" w:hAnsi="Georgia"/>
          <w:b/>
          <w:bCs/>
          <w:color w:val="2F5496"/>
          <w:sz w:val="22"/>
          <w:szCs w:val="22"/>
        </w:rPr>
        <w:t xml:space="preserve">DT-7·v3 · Interfaz normalizada para agentes de IA — sólo con acuerdo del órgano de gobierno</w:t>
      </w:r>
    </w:p>
    <w:p>
      <w:pPr>
        <w:spacing w:after="140" w:line="276"/>
      </w:pPr>
      <w:r>
        <w:rPr>
          <w:rFonts w:ascii="Calibri" w:cs="Calibri" w:eastAsia="Calibri" w:hAnsi="Calibri"/>
          <w:i/>
          <w:iCs/>
          <w:sz w:val="21"/>
          <w:szCs w:val="21"/>
        </w:rPr>
        <w:t xml:space="preserve">Texto vigente de DT-7·v3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DT-7. Interfaz normalizada de acceso programático para agentes de inteligencia artificial.</w:t>
            </w:r>
          </w:p>
          <w:p>
            <w:pPr>
              <w:spacing w:after="100" w:line="264"/>
            </w:pPr>
            <w:r>
              <w:rPr>
                <w:rFonts w:ascii="Georgia" w:cs="Georgia" w:eastAsia="Georgia" w:hAnsi="Georgia"/>
                <w:b/>
                <w:bCs/>
                <w:sz w:val="20"/>
                <w:szCs w:val="20"/>
              </w:rPr>
              <w:t xml:space="preserve">1. Objeto.</w:t>
            </w:r>
            <w:r>
              <w:rPr>
                <w:rFonts w:ascii="Georgia" w:cs="Georgia" w:eastAsia="Georgia" w:hAnsi="Georgia"/>
                <w:sz w:val="20"/>
                <w:szCs w:val="20"/>
              </w:rPr>
              <w:t xml:space="preserve"> El adjudicatario entregará una interfaz normalizada de acceso programático que exponga, de forma segura, controlada y trazable, los datos y las funciones de los módulos objeto de este contrato, de modo que puedan ser consultados y operados por sistemas y agentes de inteligencia artificial autorizados por el Ayuntamiento, bajo supervisión humana.</w:t>
            </w:r>
          </w:p>
          <w:p>
            <w:pPr>
              <w:spacing w:after="100" w:line="264"/>
            </w:pPr>
            <w:r>
              <w:rPr>
                <w:rFonts w:ascii="Georgia" w:cs="Georgia" w:eastAsia="Georgia" w:hAnsi="Georgia"/>
                <w:b/>
                <w:bCs/>
                <w:sz w:val="20"/>
                <w:szCs w:val="20"/>
              </w:rPr>
              <w:t xml:space="preserve">2. Ámbito.</w:t>
            </w:r>
            <w:r>
              <w:rPr>
                <w:rFonts w:ascii="Georgia" w:cs="Georgia" w:eastAsia="Georgia" w:hAnsi="Georgia"/>
                <w:sz w:val="20"/>
                <w:szCs w:val="20"/>
              </w:rPr>
              <w:t xml:space="preserve"> La exigencia se aplica exclusivamente a los módulos y funcionalidades relacionados en el </w:t>
            </w:r>
            <w:r>
              <w:rPr>
                <w:rFonts w:ascii="Georgia" w:cs="Georgia" w:eastAsia="Georgia" w:hAnsi="Georgia"/>
                <w:b/>
                <w:bCs/>
                <w:sz w:val="20"/>
                <w:szCs w:val="20"/>
              </w:rPr>
              <w:t xml:space="preserve">Apéndice técnico 2 · Exigencias tecnológicas determinadas</w:t>
            </w:r>
            <w:r>
              <w:rPr>
                <w:rFonts w:ascii="Georgia" w:cs="Georgia" w:eastAsia="Georgia" w:hAnsi="Georgia"/>
                <w:sz w:val="20"/>
                <w:szCs w:val="20"/>
              </w:rPr>
              <w:t xml:space="preserve"> de este pliego, apartado de módulos y funciones de la interfaz normalizada, atendiendo a la relación directa, clara y proporcional con el objeto del contrato exigida por el artículo 116.4.e) LCSP. No se extiende a otras aplicaciones municipales, ni a prestaciones ajenas al objeto de este contrato. </w:t>
            </w:r>
            <w:r>
              <w:rPr>
                <w:rFonts w:ascii="Georgia" w:cs="Georgia" w:eastAsia="Georgia" w:hAnsi="Georgia"/>
                <w:b/>
                <w:bCs/>
                <w:sz w:val="20"/>
                <w:szCs w:val="20"/>
              </w:rPr>
              <w:t xml:space="preserve">Ese apartado del Apéndice técnico 2 es la única relación de este pliego sobre los módulos y las funciones de la interfaz</w:t>
            </w:r>
            <w:r>
              <w:rPr>
                <w:rFonts w:ascii="Georgia" w:cs="Georgia" w:eastAsia="Georgia" w:hAnsi="Georgia"/>
                <w:sz w:val="20"/>
                <w:szCs w:val="20"/>
              </w:rPr>
              <w:t xml:space="preserve">; ningún otro documento del pliego contiene una relación distinta sobre la misma interfaz.</w:t>
            </w:r>
          </w:p>
          <w:p>
            <w:pPr>
              <w:spacing w:after="100" w:line="264"/>
            </w:pPr>
            <w:r>
              <w:rPr>
                <w:rFonts w:ascii="Georgia" w:cs="Georgia" w:eastAsia="Georgia" w:hAnsi="Georgia"/>
                <w:b/>
                <w:bCs/>
                <w:sz w:val="20"/>
                <w:szCs w:val="20"/>
              </w:rPr>
              <w:t xml:space="preserve">3. Exigencias funcionales.</w:t>
            </w:r>
            <w:r>
              <w:rPr>
                <w:rFonts w:ascii="Georgia" w:cs="Georgia" w:eastAsia="Georgia" w:hAnsi="Georgia"/>
                <w:sz w:val="20"/>
                <w:szCs w:val="20"/>
              </w:rPr>
              <w:t xml:space="preserve"> La interfaz cumplirá, como mínimo:</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Inventario de funciones.</w:t>
            </w:r>
            <w:r>
              <w:rPr>
                <w:rFonts w:ascii="Georgia" w:cs="Georgia" w:eastAsia="Georgia" w:hAnsi="Georgia"/>
                <w:sz w:val="20"/>
                <w:szCs w:val="20"/>
              </w:rPr>
              <w:t xml:space="preserve"> Expone, como mínimo, las </w:t>
            </w:r>
            <w:r>
              <w:rPr>
                <w:rFonts w:ascii="Georgia" w:cs="Georgia" w:eastAsia="Georgia" w:hAnsi="Georgia"/>
                <w:b/>
                <w:bCs/>
                <w:sz w:val="20"/>
                <w:szCs w:val="20"/>
              </w:rPr>
              <w:t xml:space="preserve">funciones mínimas</w:t>
            </w:r>
            <w:r>
              <w:rPr>
                <w:rFonts w:ascii="Georgia" w:cs="Georgia" w:eastAsia="Georgia" w:hAnsi="Georgia"/>
                <w:sz w:val="20"/>
                <w:szCs w:val="20"/>
              </w:rPr>
              <w:t xml:space="preserve"> relacionadas en el apartado de módulos y funciones del Apéndice técnico 2 sobre los módulos allí identificados y, cuando ese apartado lo indique, las funciones de escritura que en él se relacionen; además, las </w:t>
            </w:r>
            <w:r>
              <w:rPr>
                <w:rFonts w:ascii="Georgia" w:cs="Georgia" w:eastAsia="Georgia" w:hAnsi="Georgia"/>
                <w:b/>
                <w:bCs/>
                <w:sz w:val="20"/>
                <w:szCs w:val="20"/>
              </w:rPr>
              <w:t xml:space="preserve">funciones adicionales</w:t>
            </w:r>
            <w:r>
              <w:rPr>
                <w:rFonts w:ascii="Georgia" w:cs="Georgia" w:eastAsia="Georgia" w:hAnsi="Georgia"/>
                <w:sz w:val="20"/>
                <w:szCs w:val="20"/>
              </w:rPr>
              <w:t xml:space="preserve"> de ese mismo apartado que el adjudicatario haya comprometido en su oferta. El adjudicatario entregará el inventario de funciones expuestas, con su descripción y sus parámetros.</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Autenticación y autorización.</w:t>
            </w:r>
            <w:r>
              <w:rPr>
                <w:rFonts w:ascii="Georgia" w:cs="Georgia" w:eastAsia="Georgia" w:hAnsi="Georgia"/>
                <w:sz w:val="20"/>
                <w:szCs w:val="20"/>
              </w:rPr>
              <w:t xml:space="preserve"> Integradas con el directorio corporativo del Ayuntamiento, con control de acceso diferenciado por módulo, por operación y por ámbito de datos, y con distinción efectiva entre operaciones de consulta y de escritura.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Registro de auditoría.</w:t>
            </w:r>
            <w:r>
              <w:rPr>
                <w:rFonts w:ascii="Georgia" w:cs="Georgia" w:eastAsia="Georgia" w:hAnsi="Georgia"/>
                <w:sz w:val="20"/>
                <w:szCs w:val="20"/>
              </w:rPr>
              <w:t xml:space="preserve"> De todas las consultas y acciones realizadas a través de la interfaz, con identificación del sistema o agente actuante, de la persona usuaria responsable, marca temporal y datos afectados; exportable en formato abierto y documentado, y conservado durante [X; se recomienda 24] meses.</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Documentación.</w:t>
            </w:r>
            <w:r>
              <w:rPr>
                <w:rFonts w:ascii="Georgia" w:cs="Georgia" w:eastAsia="Georgia" w:hAnsi="Georgia"/>
                <w:sz w:val="20"/>
                <w:szCs w:val="20"/>
              </w:rPr>
              <w:t xml:space="preserve"> Especificación técnica de la interfaz, modelo de permisos e instrucciones de despliegue, publicadas y versionadas, actualizadas con cada versión.</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Entorno de pruebas.</w:t>
            </w:r>
            <w:r>
              <w:rPr>
                <w:rFonts w:ascii="Georgia" w:cs="Georgia" w:eastAsia="Georgia" w:hAnsi="Georgia"/>
                <w:sz w:val="20"/>
                <w:szCs w:val="20"/>
              </w:rPr>
              <w:t xml:space="preserve"> El previsto en la cláusula DT-5, apartado 6, que permitirá verificar las letras a) a h) de este apartado y estará operativo, respecto de la interfaz, como mínimo [X; se recomienda 60] días naturales antes de la fecha comprometida de puesta en producción.</w:t>
            </w:r>
          </w:p>
          <w:p>
            <w:pPr>
              <w:spacing w:after="100" w:line="264"/>
            </w:pPr>
            <w:r>
              <w:rPr>
                <w:rFonts w:ascii="Georgia" w:cs="Georgia" w:eastAsia="Georgia" w:hAnsi="Georgia"/>
                <w:sz w:val="20"/>
                <w:szCs w:val="20"/>
              </w:rPr>
              <w:t xml:space="preserve">f) </w:t>
            </w:r>
            <w:r>
              <w:rPr>
                <w:rFonts w:ascii="Georgia" w:cs="Georgia" w:eastAsia="Georgia" w:hAnsi="Georgia"/>
                <w:b/>
                <w:bCs/>
                <w:sz w:val="20"/>
                <w:szCs w:val="20"/>
              </w:rPr>
              <w:t xml:space="preserve">Límites y suspensión.</w:t>
            </w:r>
            <w:r>
              <w:rPr>
                <w:rFonts w:ascii="Georgia" w:cs="Georgia" w:eastAsia="Georgia" w:hAnsi="Georgia"/>
                <w:sz w:val="20"/>
                <w:szCs w:val="20"/>
              </w:rPr>
              <w:t xml:space="preserve"> Los límites de actuación son configurables por el Ayuntamiento y permiten habilitar y deshabilitar de forma independiente cada operación. El Ayuntamiento dispondrá de un control propio, accionable con credenciales municipales desde la interfaz de administración de la solución, que suspenda la ejecución de operaciones a través de la interfaz,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y cuyo efecto se producirá en un plazo máximo de [X; se recomienda 5] minutos. Toda activación de ese control quedará registrada conforme a la letra c).</w:t>
            </w:r>
          </w:p>
          <w:p>
            <w:pPr>
              <w:spacing w:after="100" w:line="264"/>
            </w:pPr>
            <w:r>
              <w:rPr>
                <w:rFonts w:ascii="Georgia" w:cs="Georgia" w:eastAsia="Georgia" w:hAnsi="Georgia"/>
                <w:sz w:val="20"/>
                <w:szCs w:val="20"/>
              </w:rPr>
              <w:t xml:space="preserve">g) </w:t>
            </w:r>
            <w:r>
              <w:rPr>
                <w:rFonts w:ascii="Georgia" w:cs="Georgia" w:eastAsia="Georgia" w:hAnsi="Georgia"/>
                <w:b/>
                <w:bCs/>
                <w:sz w:val="20"/>
                <w:szCs w:val="20"/>
              </w:rPr>
              <w:t xml:space="preserve">Seguridad y protección de datos.</w:t>
            </w:r>
            <w:r>
              <w:rPr>
                <w:rFonts w:ascii="Georgia" w:cs="Georgia" w:eastAsia="Georgia" w:hAnsi="Georgia"/>
                <w:sz w:val="20"/>
                <w:szCs w:val="20"/>
              </w:rPr>
              <w:t xml:space="preserve"> Conformidad con el Esquema Nacional de Seguridad en la categoría determinada conforme a la cláusula DT-6, y con el Reglamento (UE) 2016/679.</w:t>
            </w:r>
          </w:p>
          <w:p>
            <w:pPr>
              <w:spacing w:after="100" w:line="264"/>
            </w:pPr>
            <w:r>
              <w:rPr>
                <w:rFonts w:ascii="Georgia" w:cs="Georgia" w:eastAsia="Georgia" w:hAnsi="Georgia"/>
                <w:sz w:val="20"/>
                <w:szCs w:val="20"/>
              </w:rPr>
              <w:t xml:space="preserve">h) </w:t>
            </w:r>
            <w:r>
              <w:rPr>
                <w:rFonts w:ascii="Georgia" w:cs="Georgia" w:eastAsia="Georgia" w:hAnsi="Georgia"/>
                <w:b/>
                <w:bCs/>
                <w:sz w:val="20"/>
                <w:szCs w:val="20"/>
              </w:rPr>
              <w:t xml:space="preserve">Titularidad y portabilidad.</w:t>
            </w:r>
            <w:r>
              <w:rPr>
                <w:rFonts w:ascii="Georgia" w:cs="Georgia" w:eastAsia="Georgia" w:hAnsi="Georgia"/>
                <w:sz w:val="20"/>
                <w:szCs w:val="20"/>
              </w:rPr>
              <w:t xml:space="preserve"> La interfaz entregada, su documentación y su configuración son de titularidad municipal en los términos del pliego de cláusulas administrativas particulares, y quedan sujetas al régimen de reversibilidad de la cláusula DT-8.</w:t>
            </w:r>
          </w:p>
          <w:p>
            <w:pPr>
              <w:spacing w:after="100" w:line="264"/>
            </w:pPr>
            <w:r>
              <w:rPr>
                <w:rFonts w:ascii="Georgia" w:cs="Georgia" w:eastAsia="Georgia" w:hAnsi="Georgia"/>
                <w:b/>
                <w:bCs/>
                <w:sz w:val="20"/>
                <w:szCs w:val="20"/>
              </w:rPr>
              <w:t xml:space="preserve">4. Neutralidad tecnológica.</w:t>
            </w:r>
            <w:r>
              <w:rPr>
                <w:rFonts w:ascii="Georgia" w:cs="Georgia" w:eastAsia="Georgia" w:hAnsi="Georgia"/>
                <w:sz w:val="20"/>
                <w:szCs w:val="20"/>
              </w:rPr>
              <w:t xml:space="preserve"> Este pliego </w:t>
            </w:r>
            <w:r>
              <w:rPr>
                <w:rFonts w:ascii="Georgia" w:cs="Georgia" w:eastAsia="Georgia" w:hAnsi="Georgia"/>
                <w:b/>
                <w:bCs/>
                <w:sz w:val="20"/>
                <w:szCs w:val="20"/>
              </w:rPr>
              <w:t xml:space="preserve">no impone protocolo, especificación ni producto alguno</w:t>
            </w:r>
            <w:r>
              <w:rPr>
                <w:rFonts w:ascii="Georgia" w:cs="Georgia" w:eastAsia="Georgia" w:hAnsi="Georgia"/>
                <w:sz w:val="20"/>
                <w:szCs w:val="20"/>
              </w:rPr>
              <w:t xml:space="preserve">. El licitador describirá en su oferta el protocolo o mecanismo técnico mediante el cual satisface las letras a) a h) del apartado 3, y acreditará ese cumplimiento por los medios previstos en el apartado 6. La valoración y la aceptación se refieren exclusivamente al cumplimiento de dichas letras.</w:t>
            </w:r>
          </w:p>
          <w:p>
            <w:pPr>
              <w:spacing w:after="100" w:line="264"/>
            </w:pPr>
            <w:r>
              <w:rPr>
                <w:rFonts w:ascii="Georgia" w:cs="Georgia" w:eastAsia="Georgia" w:hAnsi="Georgia"/>
                <w:b/>
                <w:bCs/>
                <w:sz w:val="20"/>
                <w:szCs w:val="20"/>
              </w:rPr>
              <w:t xml:space="preserve">5. Plazo.</w:t>
            </w:r>
            <w:r>
              <w:rPr>
                <w:rFonts w:ascii="Georgia" w:cs="Georgia" w:eastAsia="Georgia" w:hAnsi="Georgia"/>
                <w:sz w:val="20"/>
                <w:szCs w:val="20"/>
              </w:rPr>
              <w:t xml:space="preserve"> La interfaz se entregará en el plazo máximo de [X; se recomienda 12] meses desde la formalización del contrato o, si fuera posterior, desde la puesta en producción del módulo correspondiente. El plazo que el licitador oferte por debajo de ese máximo se incorpora al contrato como obligación.</w:t>
            </w:r>
          </w:p>
          <w:p>
            <w:pPr>
              <w:spacing w:after="100" w:line="264"/>
            </w:pPr>
            <w:r>
              <w:rPr>
                <w:rFonts w:ascii="Georgia" w:cs="Georgia" w:eastAsia="Georgia" w:hAnsi="Georgia"/>
                <w:b/>
                <w:bCs/>
                <w:sz w:val="20"/>
                <w:szCs w:val="20"/>
              </w:rPr>
              <w:t xml:space="preserve">6. Comprobación.</w:t>
            </w:r>
            <w:r>
              <w:rPr>
                <w:rFonts w:ascii="Georgia" w:cs="Georgia" w:eastAsia="Georgia" w:hAnsi="Georgia"/>
                <w:sz w:val="20"/>
                <w:szCs w:val="20"/>
              </w:rPr>
              <w:t xml:space="preserve"> El cumplimiento de las letras a) a h) del apartado 3 se comprobará mediante prueba de aceptación ejecutada por los servicios municipales sobre el entorno de pruebas, documentada en acta, en la que se verificará expresamente cada letra. La prueba de la letra f) incluirá la activación del control de suspensión por personal municipal y la medición del tiempo transcurrido hasta que la siguiente invocación es rechazada.</w:t>
            </w:r>
          </w:p>
          <w:p>
            <w:pPr>
              <w:spacing w:after="100" w:line="264"/>
            </w:pPr>
            <w:r>
              <w:rPr>
                <w:rFonts w:ascii="Georgia" w:cs="Georgia" w:eastAsia="Georgia" w:hAnsi="Georgia"/>
                <w:b/>
                <w:bCs/>
                <w:sz w:val="20"/>
                <w:szCs w:val="20"/>
              </w:rPr>
              <w:t xml:space="preserve">7. Disponibilidad previa.</w:t>
            </w:r>
            <w:r>
              <w:rPr>
                <w:rFonts w:ascii="Georgia" w:cs="Georgia" w:eastAsia="Georgia" w:hAnsi="Georgia"/>
                <w:sz w:val="20"/>
                <w:szCs w:val="20"/>
              </w:rPr>
              <w:t xml:space="preserve"> La disponibilidad de una interfaz de estas características con anterioridad a la licitación </w:t>
            </w:r>
            <w:r>
              <w:rPr>
                <w:rFonts w:ascii="Georgia" w:cs="Georgia" w:eastAsia="Georgia" w:hAnsi="Georgia"/>
                <w:b/>
                <w:bCs/>
                <w:sz w:val="20"/>
                <w:szCs w:val="20"/>
              </w:rPr>
              <w:t xml:space="preserve">no será objeto de valoración</w:t>
            </w:r>
            <w:r>
              <w:rPr>
                <w:rFonts w:ascii="Georgia" w:cs="Georgia" w:eastAsia="Georgia" w:hAnsi="Georgia"/>
                <w:sz w:val="20"/>
                <w:szCs w:val="20"/>
              </w:rPr>
              <w:t xml:space="preserve">. Lo que se valora, en su caso, es el alcance funcional comprometido para este contrato y el plazo ofertado, conforme al pliego de cláusulas administrativas particulares.</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Ámbito: </w:t>
      </w:r>
      <w:r>
        <w:rPr>
          <w:rFonts w:ascii="Calibri" w:cs="Calibri" w:eastAsia="Calibri" w:hAnsi="Calibri"/>
          <w:b/>
          <w:bCs/>
          <w:sz w:val="21"/>
          <w:szCs w:val="21"/>
        </w:rPr>
        <w:t xml:space="preserve">Apéndice técnico 2</w:t>
      </w:r>
      <w:r>
        <w:rPr>
          <w:rFonts w:ascii="Calibri" w:cs="Calibri" w:eastAsia="Calibri" w:hAnsi="Calibri"/>
          <w:sz w:val="21"/>
          <w:szCs w:val="21"/>
        </w:rPr>
        <w:t xml:space="preserve">, apartado de módulos y funciones, bloques A y B, sin otra sede (apartado 2; Anexo XXV). Corchetes: 3.c) </w:t>
      </w:r>
      <w:r>
        <w:rPr>
          <w:rFonts w:ascii="Calibri" w:cs="Calibri" w:eastAsia="Calibri" w:hAnsi="Calibri"/>
          <w:b/>
          <w:bCs/>
          <w:sz w:val="21"/>
          <w:szCs w:val="21"/>
        </w:rPr>
        <w:t xml:space="preserve">24</w:t>
      </w:r>
      <w:r>
        <w:rPr>
          <w:rFonts w:ascii="Calibri" w:cs="Calibri" w:eastAsia="Calibri" w:hAnsi="Calibri"/>
          <w:sz w:val="21"/>
          <w:szCs w:val="21"/>
        </w:rPr>
        <w:t xml:space="preserve"> meses, el mismo en ET-1 si entra DT-9 (Anexo X, fila 4; regla V.A.1.7); 3.e) </w:t>
      </w:r>
      <w:r>
        <w:rPr>
          <w:rFonts w:ascii="Calibri" w:cs="Calibri" w:eastAsia="Calibri" w:hAnsi="Calibri"/>
          <w:b/>
          <w:bCs/>
          <w:sz w:val="21"/>
          <w:szCs w:val="21"/>
        </w:rPr>
        <w:t xml:space="preserve">60</w:t>
      </w:r>
      <w:r>
        <w:rPr>
          <w:rFonts w:ascii="Calibri" w:cs="Calibri" w:eastAsia="Calibri" w:hAnsi="Calibri"/>
          <w:sz w:val="21"/>
          <w:szCs w:val="21"/>
        </w:rPr>
        <w:t xml:space="preserve"> días, 30 en baja complejidad (fila 43); 3.f) </w:t>
      </w:r>
      <w:r>
        <w:rPr>
          <w:rFonts w:ascii="Calibri" w:cs="Calibri" w:eastAsia="Calibri" w:hAnsi="Calibri"/>
          <w:b/>
          <w:bCs/>
          <w:sz w:val="21"/>
          <w:szCs w:val="21"/>
        </w:rPr>
        <w:t xml:space="preserve">5</w:t>
      </w:r>
      <w:r>
        <w:rPr>
          <w:rFonts w:ascii="Calibri" w:cs="Calibri" w:eastAsia="Calibri" w:hAnsi="Calibri"/>
          <w:sz w:val="21"/>
          <w:szCs w:val="21"/>
        </w:rPr>
        <w:t xml:space="preserve"> minutos, 1 con escritura sobre terceros, y 5) </w:t>
      </w:r>
      <w:r>
        <w:rPr>
          <w:rFonts w:ascii="Calibri" w:cs="Calibri" w:eastAsia="Calibri" w:hAnsi="Calibri"/>
          <w:b/>
          <w:bCs/>
          <w:sz w:val="21"/>
          <w:szCs w:val="21"/>
        </w:rPr>
        <w:t xml:space="preserve">12</w:t>
      </w:r>
      <w:r>
        <w:rPr>
          <w:rFonts w:ascii="Calibri" w:cs="Calibri" w:eastAsia="Calibri" w:hAnsi="Calibri"/>
          <w:sz w:val="21"/>
          <w:szCs w:val="21"/>
        </w:rPr>
        <w:t xml:space="preserve"> meses, nunca menos de 6 (II.13). Esencial sólo si los módulos son parte nuclear del objeto y la memoria lo justifica: ADM-6·v3, B.2 g) (epígrafe 6).</w:t>
      </w:r>
    </w:p>
    <w:p>
      <w:pPr>
        <w:pStyle w:val="Heading3"/>
        <w:keepNext/>
        <w:spacing w:after="140" w:before="320"/>
      </w:pPr>
      <w:r>
        <w:rPr>
          <w:rFonts w:ascii="Georgia" w:cs="Georgia" w:eastAsia="Georgia" w:hAnsi="Georgia"/>
          <w:b/>
          <w:bCs/>
          <w:color w:val="2F5496"/>
          <w:sz w:val="22"/>
          <w:szCs w:val="22"/>
        </w:rPr>
        <w:t xml:space="preserve">DT-9·v3 · Exigencias tecnológicas determinadas — sólo con Anexo V aplicable</w:t>
      </w:r>
    </w:p>
    <w:p>
      <w:pPr>
        <w:spacing w:after="140" w:line="276"/>
      </w:pPr>
      <w:r>
        <w:rPr>
          <w:rFonts w:ascii="Calibri" w:cs="Calibri" w:eastAsia="Calibri" w:hAnsi="Calibri"/>
          <w:i/>
          <w:iCs/>
          <w:sz w:val="21"/>
          <w:szCs w:val="21"/>
        </w:rPr>
        <w:t xml:space="preserve">Texto vigente de DT-9·v3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DT-9. Exigencias tecnológicas determinadas del ejercicio.</w:t>
            </w:r>
          </w:p>
          <w:p>
            <w:pPr>
              <w:spacing w:after="100" w:line="264"/>
            </w:pPr>
            <w:r>
              <w:rPr>
                <w:rFonts w:ascii="Georgia" w:cs="Georgia" w:eastAsia="Georgia" w:hAnsi="Georgia"/>
                <w:b/>
                <w:bCs/>
                <w:sz w:val="20"/>
                <w:szCs w:val="20"/>
              </w:rPr>
              <w:t xml:space="preserve">1. Objeto y alcance.</w:t>
            </w:r>
            <w:r>
              <w:rPr>
                <w:rFonts w:ascii="Georgia" w:cs="Georgia" w:eastAsia="Georgia" w:hAnsi="Georgia"/>
                <w:sz w:val="20"/>
                <w:szCs w:val="20"/>
              </w:rPr>
              <w:t xml:space="preserve"> La solución objeto del contrato incorporará las capacidades tecnológicas relacionadas en el </w:t>
            </w:r>
            <w:r>
              <w:rPr>
                <w:rFonts w:ascii="Georgia" w:cs="Georgia" w:eastAsia="Georgia" w:hAnsi="Georgia"/>
                <w:b/>
                <w:bCs/>
                <w:sz w:val="20"/>
                <w:szCs w:val="20"/>
              </w:rPr>
              <w:t xml:space="preserve">Anexo de Exigencias Tecnológicas Determinadas, versión [núm.], de [fecha], aprobado por [órgano]</w:t>
            </w:r>
            <w:r>
              <w:rPr>
                <w:rFonts w:ascii="Georgia" w:cs="Georgia" w:eastAsia="Georgia" w:hAnsi="Georgia"/>
                <w:sz w:val="20"/>
                <w:szCs w:val="20"/>
              </w:rPr>
              <w:t xml:space="preserve">, que se transcribe íntegramente en el Apéndice [núm.] de este pliego, en los plazos y con los criterios de aceptación que en él se establecen. Dichas exigencias forman parte del alcance ordinario del contrato y se entienden retribuidas con el precio ofertado, sin que su cumplimiento dé lugar a facturación adicional ni requiera modificación contractual alguna.</w:t>
            </w:r>
          </w:p>
          <w:p>
            <w:pPr>
              <w:spacing w:after="100" w:line="264"/>
            </w:pPr>
            <w:r>
              <w:rPr>
                <w:rFonts w:ascii="Georgia" w:cs="Georgia" w:eastAsia="Georgia" w:hAnsi="Georgia"/>
                <w:b/>
                <w:bCs/>
                <w:sz w:val="20"/>
                <w:szCs w:val="20"/>
              </w:rPr>
              <w:t xml:space="preserve">2. Invariabilidad.</w:t>
            </w:r>
            <w:r>
              <w:rPr>
                <w:rFonts w:ascii="Georgia" w:cs="Georgia" w:eastAsia="Georgia" w:hAnsi="Georgia"/>
                <w:sz w:val="20"/>
                <w:szCs w:val="20"/>
              </w:rPr>
              <w:t xml:space="preserve"> El contenido del Apéndice [núm.] se determina en el momento de la licitación y </w:t>
            </w:r>
            <w:r>
              <w:rPr>
                <w:rFonts w:ascii="Georgia" w:cs="Georgia" w:eastAsia="Georgia" w:hAnsi="Georgia"/>
                <w:b/>
                <w:bCs/>
                <w:sz w:val="20"/>
                <w:szCs w:val="20"/>
              </w:rPr>
              <w:t xml:space="preserve">permanece invariable durante toda la vigencia del contrato y de sus prórrogas</w:t>
            </w:r>
            <w:r>
              <w:rPr>
                <w:rFonts w:ascii="Georgia" w:cs="Georgia" w:eastAsia="Georgia" w:hAnsi="Georgia"/>
                <w:sz w:val="20"/>
                <w:szCs w:val="20"/>
              </w:rPr>
              <w:t xml:space="preserve">. Las revisiones posteriores del Anexo de Exigencias Tecnológicas Determinadas no resultan exigibles a este contrato. Este pliego no remite a versiones futuras de dicho Anexo.</w:t>
            </w:r>
          </w:p>
          <w:p>
            <w:pPr>
              <w:spacing w:after="100" w:line="264"/>
            </w:pPr>
            <w:r>
              <w:rPr>
                <w:rFonts w:ascii="Georgia" w:cs="Georgia" w:eastAsia="Georgia" w:hAnsi="Georgia"/>
                <w:b/>
                <w:bCs/>
                <w:sz w:val="20"/>
                <w:szCs w:val="20"/>
              </w:rPr>
              <w:t xml:space="preserve">3. Agotamiento.</w:t>
            </w:r>
            <w:r>
              <w:rPr>
                <w:rFonts w:ascii="Georgia" w:cs="Georgia" w:eastAsia="Georgia" w:hAnsi="Georgia"/>
                <w:sz w:val="20"/>
                <w:szCs w:val="20"/>
              </w:rPr>
              <w:t xml:space="preserve"> Fuera del Apéndice [núm.] no existe obligación de evolución tecnológica exigible al amparo de este pliego. Lo que exceda de él se tramitará, en su caso, conforme a los artículos 203 y 204 LCSP o mediante nueva licitación.</w:t>
            </w:r>
          </w:p>
          <w:p>
            <w:pPr>
              <w:spacing w:after="100" w:line="264"/>
            </w:pPr>
            <w:r>
              <w:rPr>
                <w:rFonts w:ascii="Georgia" w:cs="Georgia" w:eastAsia="Georgia" w:hAnsi="Georgia"/>
                <w:b/>
                <w:bCs/>
                <w:sz w:val="20"/>
                <w:szCs w:val="20"/>
              </w:rPr>
              <w:t xml:space="preserve">4. Criterios de aceptación.</w:t>
            </w:r>
            <w:r>
              <w:rPr>
                <w:rFonts w:ascii="Georgia" w:cs="Georgia" w:eastAsia="Georgia" w:hAnsi="Georgia"/>
                <w:sz w:val="20"/>
                <w:szCs w:val="20"/>
              </w:rPr>
              <w:t xml:space="preserve"> Cada exigencia del Apéndice [núm.] va acompañada de criterios de aceptación </w:t>
            </w:r>
            <w:r>
              <w:rPr>
                <w:rFonts w:ascii="Georgia" w:cs="Georgia" w:eastAsia="Georgia" w:hAnsi="Georgia"/>
                <w:b/>
                <w:bCs/>
                <w:sz w:val="20"/>
                <w:szCs w:val="20"/>
              </w:rPr>
              <w:t xml:space="preserve">binarios y comprobables</w:t>
            </w:r>
            <w:r>
              <w:rPr>
                <w:rFonts w:ascii="Georgia" w:cs="Georgia" w:eastAsia="Georgia" w:hAnsi="Georgia"/>
                <w:sz w:val="20"/>
                <w:szCs w:val="20"/>
              </w:rPr>
              <w:t xml:space="preserve">, formulados de modo que su cumplimiento pueda determinarse mediante una prueba con resultado inequívoco. No se admiten criterios cuyo cumplimiento dependa de una apreciación de grado.</w:t>
            </w:r>
          </w:p>
          <w:p>
            <w:pPr>
              <w:spacing w:after="100" w:line="264"/>
            </w:pPr>
            <w:r>
              <w:rPr>
                <w:rFonts w:ascii="Georgia" w:cs="Georgia" w:eastAsia="Georgia" w:hAnsi="Georgia"/>
                <w:b/>
                <w:bCs/>
                <w:sz w:val="20"/>
                <w:szCs w:val="20"/>
              </w:rPr>
              <w:t xml:space="preserve">5. Verificación y aceptación.</w:t>
            </w:r>
            <w:r>
              <w:rPr>
                <w:rFonts w:ascii="Georgia" w:cs="Georgia" w:eastAsia="Georgia" w:hAnsi="Georgia"/>
                <w:sz w:val="20"/>
                <w:szCs w:val="20"/>
              </w:rPr>
              <w:t xml:space="preserve"> El cumplimiento de cada exigencia se verificará sobre el entorno de pruebas previsto en la cláusula DT-5, apartado 6, mediante las pruebas técnicas, funcionales y de seguridad que se estimen necesarias, y se documentará en </w:t>
            </w:r>
            <w:r>
              <w:rPr>
                <w:rFonts w:ascii="Georgia" w:cs="Georgia" w:eastAsia="Georgia" w:hAnsi="Georgia"/>
                <w:b/>
                <w:bCs/>
                <w:sz w:val="20"/>
                <w:szCs w:val="20"/>
              </w:rPr>
              <w:t xml:space="preserve">acta suscrita por el responsable del contrato</w:t>
            </w:r>
            <w:r>
              <w:rPr>
                <w:rFonts w:ascii="Georgia" w:cs="Georgia" w:eastAsia="Georgia" w:hAnsi="Georgia"/>
                <w:sz w:val="20"/>
                <w:szCs w:val="20"/>
              </w:rPr>
              <w:t xml:space="preserve">, con una fila por criterio y el resultado de cada uno. La exigencia cuya acta no recoja el resultado de todos sus criterios no se tiene por cumplida.</w:t>
            </w:r>
          </w:p>
          <w:p>
            <w:pPr>
              <w:spacing w:after="100" w:line="264"/>
            </w:pPr>
            <w:r>
              <w:rPr>
                <w:rFonts w:ascii="Georgia" w:cs="Georgia" w:eastAsia="Georgia" w:hAnsi="Georgia"/>
                <w:b/>
                <w:bCs/>
                <w:sz w:val="20"/>
                <w:szCs w:val="20"/>
              </w:rPr>
              <w:t xml:space="preserve">6. Mantenimiento de la capacidad.</w:t>
            </w:r>
            <w:r>
              <w:rPr>
                <w:rFonts w:ascii="Georgia" w:cs="Georgia" w:eastAsia="Georgia" w:hAnsi="Georgia"/>
                <w:sz w:val="20"/>
                <w:szCs w:val="20"/>
              </w:rPr>
              <w:t xml:space="preserve"> La aceptación no exime al adjudicatario de responsabilidad por defectos, errores, vulnerabilidades, incumplimientos normativos o degradación posterior de la capacidad verificada, que deberá mantenerse operativa durante el resto de la vigencia del contrato y de sus prórrogas. La degradación de una capacidad ya aceptada se tratará como incumplimiento sobrevenido de la exigencia correspondiente.</w:t>
            </w:r>
          </w:p>
          <w:p>
            <w:pPr>
              <w:spacing w:after="100" w:line="264"/>
            </w:pPr>
            <w:r>
              <w:rPr>
                <w:rFonts w:ascii="Georgia" w:cs="Georgia" w:eastAsia="Georgia" w:hAnsi="Georgia"/>
                <w:b/>
                <w:bCs/>
                <w:sz w:val="20"/>
                <w:szCs w:val="20"/>
              </w:rPr>
              <w:t xml:space="preserve">7. Versiones sucesoras.</w:t>
            </w:r>
            <w:r>
              <w:rPr>
                <w:rFonts w:ascii="Georgia" w:cs="Georgia" w:eastAsia="Georgia" w:hAnsi="Georgia"/>
                <w:sz w:val="20"/>
                <w:szCs w:val="20"/>
              </w:rPr>
              <w:t xml:space="preserve"> El adjudicatario pondrá a disposición del Ayuntamiento, sin coste adicional durante la vigencia del contrato y de sus prórrogas, las versiones sucesoras del producto contratado, con independencia de su denominación comercial, según la definición de «versión sucesora» del cuadro de definiciones de este pliego. El adjudicatario comunicará al Ayuntamiento la publicación de cada versión sucesora en el plazo de [X; se recomienda 30] días naturales desde su disponibilidad general.</w:t>
            </w:r>
          </w:p>
          <w:p>
            <w:pPr>
              <w:spacing w:after="100" w:line="264"/>
            </w:pPr>
            <w:r>
              <w:rPr>
                <w:rFonts w:ascii="Georgia" w:cs="Georgia" w:eastAsia="Georgia" w:hAnsi="Georgia"/>
                <w:b/>
                <w:bCs/>
                <w:sz w:val="20"/>
                <w:szCs w:val="20"/>
              </w:rPr>
              <w:t xml:space="preserve">8. Criterios de aceptación de aplicación general.</w:t>
            </w:r>
            <w:r>
              <w:rPr>
                <w:rFonts w:ascii="Georgia" w:cs="Georgia" w:eastAsia="Georgia" w:hAnsi="Georgia"/>
                <w:sz w:val="20"/>
                <w:szCs w:val="20"/>
              </w:rPr>
              <w:t xml:space="preserve"> Cuando el Apéndice [núm.] exija registro de la actuación de sistemas o agentes de inteligencia artificial, o mecanismos de suspensión de dicha actuación, los criterios de aceptación correspondientes serán, como mínimo, los siguientes:</w:t>
            </w:r>
          </w:p>
          <w:p>
            <w:pPr>
              <w:spacing w:after="100" w:line="264"/>
            </w:pPr>
            <w:r>
              <w:rPr>
                <w:rFonts w:ascii="Georgia" w:cs="Georgia" w:eastAsia="Georgia" w:hAnsi="Georgia"/>
                <w:b/>
                <w:bCs/>
                <w:sz w:val="20"/>
                <w:szCs w:val="20"/>
              </w:rPr>
              <w:t xml:space="preserve">8.1. Integridad verificable del registro.</w:t>
            </w:r>
            <w:r>
              <w:rPr>
                <w:rFonts w:ascii="Georgia" w:cs="Georgia" w:eastAsia="Georgia" w:hAnsi="Georgia"/>
                <w:sz w:val="20"/>
                <w:szCs w:val="20"/>
              </w:rPr>
              <w:t xml:space="preserve"> El registro incorpora, por cada asiento o por cada bloque de asientos correspondiente a un período no superior a [X; se recomienda 24] horas, un valor de integridad criptográfico encadenado con el anterior, de modo que cualquier alteración o supresión posterior de un asiento sea </w:t>
            </w:r>
            <w:r>
              <w:rPr>
                <w:rFonts w:ascii="Georgia" w:cs="Georgia" w:eastAsia="Georgia" w:hAnsi="Georgia"/>
                <w:b/>
                <w:bCs/>
                <w:sz w:val="20"/>
                <w:szCs w:val="20"/>
              </w:rPr>
              <w:t xml:space="preserve">detectable por el Ayuntamiento con herramienta propia y sin intervención del adjudicatario</w:t>
            </w:r>
            <w:r>
              <w:rPr>
                <w:rFonts w:ascii="Georgia" w:cs="Georgia" w:eastAsia="Georgia" w:hAnsi="Georgia"/>
                <w:sz w:val="20"/>
                <w:szCs w:val="20"/>
              </w:rPr>
              <w:t xml:space="preserve">. Se acredita ejecutando la verificación sobre una muestra y sobre una muestra deliberadamente alterada en el entorno de pruebas.</w:t>
            </w:r>
          </w:p>
          <w:p>
            <w:pPr>
              <w:spacing w:after="100" w:line="264"/>
            </w:pPr>
            <w:r>
              <w:rPr>
                <w:rFonts w:ascii="Georgia" w:cs="Georgia" w:eastAsia="Georgia" w:hAnsi="Georgia"/>
                <w:b/>
                <w:bCs/>
                <w:sz w:val="20"/>
                <w:szCs w:val="20"/>
              </w:rPr>
              <w:t xml:space="preserve">8.2. Retención garantizada.</w:t>
            </w:r>
            <w:r>
              <w:rPr>
                <w:rFonts w:ascii="Georgia" w:cs="Georgia" w:eastAsia="Georgia" w:hAnsi="Georgia"/>
                <w:sz w:val="20"/>
                <w:szCs w:val="20"/>
              </w:rPr>
              <w:t xml:space="preserve"> El registro se conserva por un plazo no inferior a [X; se recomienda 24] meses y no puede ser purgado antes de ese plazo mediante operación ordinaria del servicio. Se acredita mediante la configuración documentada de la política de retención y la comprobación de que la operación de purga anticipada no está disponible en los perfiles de operación.</w:t>
            </w:r>
          </w:p>
          <w:p>
            <w:pPr>
              <w:spacing w:after="100" w:line="264"/>
            </w:pPr>
            <w:r>
              <w:rPr>
                <w:rFonts w:ascii="Georgia" w:cs="Georgia" w:eastAsia="Georgia" w:hAnsi="Georgia"/>
                <w:b/>
                <w:bCs/>
                <w:sz w:val="20"/>
                <w:szCs w:val="20"/>
              </w:rPr>
              <w:t xml:space="preserve">8.3. Segregación de funciones.</w:t>
            </w:r>
            <w:r>
              <w:rPr>
                <w:rFonts w:ascii="Georgia" w:cs="Georgia" w:eastAsia="Georgia" w:hAnsi="Georgia"/>
                <w:sz w:val="20"/>
                <w:szCs w:val="20"/>
              </w:rPr>
              <w:t xml:space="preserve"> La modificación o supresión de asientos del registro requiere un perfil administrativo distinto del empleado para operar el servicio; toda actuación con ese perfil queda a su vez registrada y se notifica automáticamente al Ayuntamiento. Se acredita mediante la matriz de perfiles y una prueba de notificación.</w:t>
            </w:r>
          </w:p>
          <w:p>
            <w:pPr>
              <w:spacing w:after="100" w:line="264"/>
            </w:pPr>
            <w:r>
              <w:rPr>
                <w:rFonts w:ascii="Georgia" w:cs="Georgia" w:eastAsia="Georgia" w:hAnsi="Georgia"/>
                <w:b/>
                <w:bCs/>
                <w:sz w:val="20"/>
                <w:szCs w:val="20"/>
              </w:rPr>
              <w:t xml:space="preserve">8.4. Copia fuera del ámbito de operación.</w:t>
            </w:r>
            <w:r>
              <w:rPr>
                <w:rFonts w:ascii="Georgia" w:cs="Georgia" w:eastAsia="Georgia" w:hAnsi="Georgia"/>
                <w:sz w:val="20"/>
                <w:szCs w:val="20"/>
              </w:rPr>
              <w:t xml:space="preserve"> El registro se exporta automáticamente, con periodicidad [X; se recomienda diaria], a un repositorio designado por el Ayuntamiento, o se pone a disposición mediante interfaz que permita al Ayuntamiento extraerlo de forma autónoma. Se acredita mediante la ejecución de una exportación por personal municipal.</w:t>
            </w:r>
          </w:p>
          <w:p>
            <w:pPr>
              <w:spacing w:after="100" w:line="264"/>
            </w:pPr>
            <w:r>
              <w:rPr>
                <w:rFonts w:ascii="Georgia" w:cs="Georgia" w:eastAsia="Georgia" w:hAnsi="Georgia"/>
                <w:b/>
                <w:bCs/>
                <w:sz w:val="20"/>
                <w:szCs w:val="20"/>
              </w:rPr>
              <w:t xml:space="preserve">8.5. Suspensión accionable por el Ayuntamiento.</w:t>
            </w:r>
            <w:r>
              <w:rPr>
                <w:rFonts w:ascii="Georgia" w:cs="Georgia" w:eastAsia="Georgia" w:hAnsi="Georgia"/>
                <w:sz w:val="20"/>
                <w:szCs w:val="20"/>
              </w:rPr>
              <w:t xml:space="preserve"> Existe un control accionable con credenciales municipales, desde la interfaz de administración de la solución, que suspende la actuación de sistemas o agentes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con efecto en un plazo máximo de [X; se recomienda 5] minutos. Se acredita activando el control con usuario municipal en el entorno de pruebas y midiendo el tiempo transcurrido hasta que la siguiente invocación es rechazada.</w:t>
            </w:r>
          </w:p>
          <w:p>
            <w:pPr>
              <w:spacing w:after="100" w:line="264"/>
            </w:pPr>
            <w:r>
              <w:rPr>
                <w:rFonts w:ascii="Georgia" w:cs="Georgia" w:eastAsia="Georgia" w:hAnsi="Georgia"/>
                <w:b/>
                <w:bCs/>
                <w:sz w:val="20"/>
                <w:szCs w:val="20"/>
              </w:rPr>
              <w:t xml:space="preserve">8.6. Reversibilidad de las actuaciones.</w:t>
            </w:r>
            <w:r>
              <w:rPr>
                <w:rFonts w:ascii="Georgia" w:cs="Georgia" w:eastAsia="Georgia" w:hAnsi="Georgia"/>
                <w:sz w:val="20"/>
                <w:szCs w:val="20"/>
              </w:rPr>
              <w:t xml:space="preserve"> Toda operación ejecutada por un sistema o agente de inteligencia artificial es reversible </w:t>
            </w:r>
            <w:r>
              <w:rPr>
                <w:rFonts w:ascii="Georgia" w:cs="Georgia" w:eastAsia="Georgia" w:hAnsi="Georgia"/>
                <w:b/>
                <w:bCs/>
                <w:sz w:val="20"/>
                <w:szCs w:val="20"/>
              </w:rPr>
              <w:t xml:space="preserve">desde la propia solución</w:t>
            </w:r>
            <w:r>
              <w:rPr>
                <w:rFonts w:ascii="Georgia" w:cs="Georgia" w:eastAsia="Georgia" w:hAnsi="Georgia"/>
                <w:sz w:val="20"/>
                <w:szCs w:val="20"/>
              </w:rPr>
              <w:t xml:space="preserve">, sin intervención del personal del adjudicatario. Se acredita revirtiendo efectivamente, sobre el entorno de pruebas, al menos una operación de cada tipo, y documentándolo en acta.</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Con menos de [24] meses de contrato, el Anexo V entra como capacidad inicial, sin ADM-2 (ADM-2·v3, epígrafe 7). Apéndice: Apéndice técnico 2, apartado (ii), recortado y transcrito (epígrafe 2). Apartado 7, </w:t>
      </w:r>
      <w:r>
        <w:rPr>
          <w:rFonts w:ascii="Calibri" w:cs="Calibri" w:eastAsia="Calibri" w:hAnsi="Calibri"/>
          <w:b/>
          <w:bCs/>
          <w:sz w:val="21"/>
          <w:szCs w:val="21"/>
        </w:rPr>
        <w:t xml:space="preserve">30</w:t>
      </w:r>
      <w:r>
        <w:rPr>
          <w:rFonts w:ascii="Calibri" w:cs="Calibri" w:eastAsia="Calibri" w:hAnsi="Calibri"/>
          <w:sz w:val="21"/>
          <w:szCs w:val="21"/>
        </w:rPr>
        <w:t xml:space="preserve"> días: sin más producto de fabricante que el producto base, si lo hay, la obligación de poner a disposición lo publicado no nace sin publicación (ADM-2·v3, apartado 6). Apartado 8, sólo si el Apéndice exige registro o suspensión de IA (epígrafe 7): </w:t>
      </w:r>
      <w:r>
        <w:rPr>
          <w:rFonts w:ascii="Calibri" w:cs="Calibri" w:eastAsia="Calibri" w:hAnsi="Calibri"/>
          <w:b/>
          <w:bCs/>
          <w:sz w:val="21"/>
          <w:szCs w:val="21"/>
        </w:rPr>
        <w:t xml:space="preserve">24 h · 24 meses · diaria · 5 min</w:t>
      </w:r>
      <w:r>
        <w:rPr>
          <w:rFonts w:ascii="Calibri" w:cs="Calibri" w:eastAsia="Calibri" w:hAnsi="Calibri"/>
          <w:sz w:val="21"/>
          <w:szCs w:val="21"/>
        </w:rPr>
        <w:t xml:space="preserve">, alineados con DT-7 (II.13).</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5 · Extracto para el Pliego de Cláusulas Administrativas Particulares</w:t>
      </w:r>
    </w:p>
    <w:p>
      <w:pPr>
        <w:pStyle w:val="Heading2"/>
        <w:keepNext/>
        <w:spacing w:after="140" w:before="320"/>
      </w:pPr>
      <w:r>
        <w:rPr>
          <w:rFonts w:ascii="Georgia" w:cs="Georgia" w:eastAsia="Georgia" w:hAnsi="Georgia"/>
          <w:b/>
          <w:bCs/>
          <w:color w:val="1F3864"/>
          <w:sz w:val="26"/>
          <w:szCs w:val="26"/>
        </w:rPr>
        <w:t xml:space="preserve">5.1 Composición</w:t>
      </w:r>
    </w:p>
    <w:p>
      <w:pPr>
        <w:spacing w:after="140" w:line="276"/>
      </w:pPr>
      <w:r>
        <w:rPr>
          <w:rFonts w:ascii="Calibri" w:cs="Calibri" w:eastAsia="Calibri" w:hAnsi="Calibri"/>
          <w:b/>
          <w:bCs/>
          <w:sz w:val="21"/>
          <w:szCs w:val="21"/>
        </w:rPr>
        <w:t xml:space="preserve">Interpretación e integración</w:t>
      </w:r>
      <w:r>
        <w:rPr>
          <w:rFonts w:ascii="Calibri" w:cs="Calibri" w:eastAsia="Calibri" w:hAnsi="Calibri"/>
          <w:sz w:val="21"/>
          <w:szCs w:val="21"/>
        </w:rPr>
        <w:t xml:space="preserve"> (Parte I, §7.10), siempre que se incorpore cualquier cláusula: el primero de los dos bloques que se reproducen en el §4.1. Su apartado 1 sólo va si la entidad ha aprobado el catálogo y se cumplen las condiciones de aplicación del §M11; si no, se suprime y el apartado 4 emplea la fórmula alternativa que trae el propio bloque.</w:t>
      </w:r>
    </w:p>
    <w:p>
      <w:pPr>
        <w:spacing w:after="140" w:line="276"/>
      </w:pPr>
      <w:r>
        <w:rPr>
          <w:rFonts w:ascii="Calibri" w:cs="Calibri" w:eastAsia="Calibri" w:hAnsi="Calibri"/>
          <w:b/>
          <w:bCs/>
          <w:sz w:val="21"/>
          <w:szCs w:val="21"/>
        </w:rPr>
        <w:t xml:space="preserve">Identificación del catálogo aplicado</w:t>
      </w:r>
      <w:r>
        <w:rPr>
          <w:rFonts w:ascii="Calibri" w:cs="Calibri" w:eastAsia="Calibri" w:hAnsi="Calibri"/>
          <w:sz w:val="21"/>
          <w:szCs w:val="21"/>
        </w:rPr>
        <w:t xml:space="preserve"> (Parte V, V.8.4), con el mismo corchete: sin catálogo aprobado, el pliego no lo cita, y la versión y la fecha del Anexo V constan en su propia transcripción.</w:t>
      </w:r>
    </w:p>
    <w:p>
      <w:pPr>
        <w:spacing w:after="140" w:line="276"/>
      </w:pPr>
      <w:r>
        <w:rPr>
          <w:rFonts w:ascii="Calibri" w:cs="Calibri" w:eastAsia="Calibri" w:hAnsi="Calibri"/>
          <w:i/>
          <w:iCs/>
          <w:sz w:val="21"/>
          <w:szCs w:val="21"/>
        </w:rPr>
        <w:t xml:space="preserve">Texto vigente de V.8.4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i/>
                <w:iCs/>
                <w:sz w:val="20"/>
                <w:szCs w:val="20"/>
              </w:rPr>
              <w:t xml:space="preserve">[Sólo si la entidad ha aprobado el catálogo y se cumplen las condiciones de aplicación de su memoria justificativa. En otro caso, el pliego no cita el catálogo y la versión y la fecha del Anexo V constan en su propia transcripción (V.8.5).]</w:t>
            </w:r>
            <w:r>
              <w:rPr>
                <w:rFonts w:ascii="Georgia" w:cs="Georgia" w:eastAsia="Georgia" w:hAnsi="Georgia"/>
                <w:sz w:val="20"/>
                <w:szCs w:val="20"/>
              </w:rPr>
              <w:t xml:space="preserve"> </w:t>
            </w:r>
            <w:r>
              <w:rPr>
                <w:rFonts w:ascii="Georgia" w:cs="Georgia" w:eastAsia="Georgia" w:hAnsi="Georgia"/>
                <w:b/>
                <w:bCs/>
                <w:sz w:val="20"/>
                <w:szCs w:val="20"/>
              </w:rPr>
              <w:t xml:space="preserve">Identificación del catálogo aplicado.</w:t>
            </w:r>
            <w:r>
              <w:rPr>
                <w:rFonts w:ascii="Georgia" w:cs="Georgia" w:eastAsia="Georgia" w:hAnsi="Georgia"/>
                <w:sz w:val="20"/>
                <w:szCs w:val="20"/>
              </w:rPr>
              <w:t xml:space="preserve"> Las cláusulas [códigos] del presente pliego se han redactado a partir del </w:t>
            </w:r>
            <w:r>
              <w:rPr>
                <w:rFonts w:ascii="Georgia" w:cs="Georgia" w:eastAsia="Georgia" w:hAnsi="Georgia"/>
                <w:i/>
                <w:iCs/>
                <w:sz w:val="20"/>
                <w:szCs w:val="20"/>
              </w:rPr>
              <w:t xml:space="preserve">Clausulado de Inteligencia Artificial y Deep Tech</w:t>
            </w:r>
            <w:r>
              <w:rPr>
                <w:rFonts w:ascii="Georgia" w:cs="Georgia" w:eastAsia="Georgia" w:hAnsi="Georgia"/>
                <w:sz w:val="20"/>
                <w:szCs w:val="20"/>
              </w:rPr>
              <w:t xml:space="preserve"> de [entidad], </w:t>
            </w:r>
            <w:r>
              <w:rPr>
                <w:rFonts w:ascii="Georgia" w:cs="Georgia" w:eastAsia="Georgia" w:hAnsi="Georgia"/>
                <w:b/>
                <w:bCs/>
                <w:sz w:val="20"/>
                <w:szCs w:val="20"/>
              </w:rPr>
              <w:t xml:space="preserve">versión [n.º], aprobada por [órgano] con fecha [dd/mm/aaaa]</w:t>
            </w:r>
            <w:r>
              <w:rPr>
                <w:rFonts w:ascii="Georgia" w:cs="Georgia" w:eastAsia="Georgia" w:hAnsi="Georgia"/>
                <w:sz w:val="20"/>
                <w:szCs w:val="20"/>
              </w:rPr>
              <w:t xml:space="preserve">, y del Anexo V </w:t>
            </w:r>
            <w:r>
              <w:rPr>
                <w:rFonts w:ascii="Georgia" w:cs="Georgia" w:eastAsia="Georgia" w:hAnsi="Georgia"/>
                <w:i/>
                <w:iCs/>
                <w:sz w:val="20"/>
                <w:szCs w:val="20"/>
              </w:rPr>
              <w:t xml:space="preserve">Exigencias Tecnológicas Determinadas</w:t>
            </w:r>
            <w:r>
              <w:rPr>
                <w:rFonts w:ascii="Georgia" w:cs="Georgia" w:eastAsia="Georgia" w:hAnsi="Georgia"/>
                <w:sz w:val="20"/>
                <w:szCs w:val="20"/>
              </w:rPr>
              <w:t xml:space="preserve"> del ejercicio [año], </w:t>
            </w:r>
            <w:r>
              <w:rPr>
                <w:rFonts w:ascii="Georgia" w:cs="Georgia" w:eastAsia="Georgia" w:hAnsi="Georgia"/>
                <w:b/>
                <w:bCs/>
                <w:sz w:val="20"/>
                <w:szCs w:val="20"/>
              </w:rPr>
              <w:t xml:space="preserve">versión [n.º], de fecha [dd/mm/aaaa]</w:t>
            </w:r>
            <w:r>
              <w:rPr>
                <w:rFonts w:ascii="Georgia" w:cs="Georgia" w:eastAsia="Georgia" w:hAnsi="Georgia"/>
                <w:sz w:val="20"/>
                <w:szCs w:val="20"/>
              </w:rPr>
              <w:t xml:space="preserve">, que se transcribe íntegramente en el [apartado/anexo] de este pliego. Las revisiones posteriores de dicho catálogo o de su Anexo V no afectarán al presente contrato.</w:t>
            </w:r>
          </w:p>
        </w:tc>
      </w:tr>
    </w:tbl>
    <w:p>
      <w:pPr>
        <w:spacing w:after="220"/>
      </w:pPr>
    </w:p>
    <w:p>
      <w:pPr>
        <w:spacing w:after="140" w:line="276"/>
      </w:pPr>
      <w:r>
        <w:rPr>
          <w:rFonts w:ascii="Calibri" w:cs="Calibri" w:eastAsia="Calibri" w:hAnsi="Calibri"/>
          <w:b/>
          <w:bCs/>
          <w:sz w:val="21"/>
          <w:szCs w:val="21"/>
        </w:rPr>
        <w:t xml:space="preserve">Cierre de versión</w:t>
      </w:r>
      <w:r>
        <w:rPr>
          <w:rFonts w:ascii="Calibri" w:cs="Calibri" w:eastAsia="Calibri" w:hAnsi="Calibri"/>
          <w:sz w:val="21"/>
          <w:szCs w:val="21"/>
        </w:rPr>
        <w:t xml:space="preserve"> (V.8.5), sólo con el Anexo V transcrito.</w:t>
      </w:r>
    </w:p>
    <w:p>
      <w:pPr>
        <w:spacing w:after="140" w:line="276"/>
      </w:pPr>
      <w:r>
        <w:rPr>
          <w:rFonts w:ascii="Calibri" w:cs="Calibri" w:eastAsia="Calibri" w:hAnsi="Calibri"/>
          <w:i/>
          <w:iCs/>
          <w:sz w:val="21"/>
          <w:szCs w:val="21"/>
        </w:rPr>
        <w:t xml:space="preserve">Texto vigente de V.8.5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Cierre de versión.</w:t>
            </w:r>
            <w:r>
              <w:rPr>
                <w:rFonts w:ascii="Georgia" w:cs="Georgia" w:eastAsia="Georgia" w:hAnsi="Georgia"/>
                <w:sz w:val="20"/>
                <w:szCs w:val="20"/>
              </w:rPr>
              <w:t xml:space="preserve"> Las exigencias tecnológicas que rigen este contrato son exclusivamente las transcritas en el [apartado/anexo] de este pliego, correspondientes a la versión [n.º], de fecha [dd/mm/aaaa], del Anexo V del catálogo municipal. Fuera de ellas no existe obligación de evolución tecnológica exigible al contratista al amparo de dicho catálogo.</w:t>
            </w:r>
          </w:p>
        </w:tc>
      </w:tr>
    </w:tbl>
    <w:p>
      <w:pPr>
        <w:spacing w:after="220"/>
      </w:pPr>
    </w:p>
    <w:p>
      <w:pPr>
        <w:spacing w:after="140" w:line="276"/>
      </w:pPr>
      <w:r>
        <w:rPr>
          <w:rFonts w:ascii="Calibri" w:cs="Calibri" w:eastAsia="Calibri" w:hAnsi="Calibri"/>
          <w:b/>
          <w:bCs/>
          <w:sz w:val="21"/>
          <w:szCs w:val="21"/>
        </w:rPr>
        <w:t xml:space="preserve">Método de cálculo del valor estimado</w:t>
      </w:r>
      <w:r>
        <w:rPr>
          <w:rFonts w:ascii="Calibri" w:cs="Calibri" w:eastAsia="Calibri" w:hAnsi="Calibri"/>
          <w:sz w:val="21"/>
          <w:szCs w:val="21"/>
        </w:rPr>
        <w:t xml:space="preserve"> (V.4.10), que va al PCAP (art. 101.5 LCSP). En este perfil la letra c) recoge la bolsa, si la hay, y la d) lleva </w:t>
      </w:r>
      <w:r>
        <w:rPr>
          <w:rFonts w:ascii="Calibri" w:cs="Calibri" w:eastAsia="Calibri" w:hAnsi="Calibri"/>
          <w:b/>
          <w:bCs/>
          <w:sz w:val="21"/>
          <w:szCs w:val="21"/>
        </w:rPr>
        <w:t xml:space="preserve">[0] %</w:t>
      </w:r>
      <w:r>
        <w:rPr>
          <w:rFonts w:ascii="Calibri" w:cs="Calibri" w:eastAsia="Calibri" w:hAnsi="Calibri"/>
          <w:sz w:val="21"/>
          <w:szCs w:val="21"/>
        </w:rPr>
        <w:t xml:space="preserve">, porque ADM-14·v3 no se incorpora.</w:t>
      </w:r>
    </w:p>
    <w:p>
      <w:pPr>
        <w:spacing w:after="140" w:line="276"/>
      </w:pPr>
      <w:r>
        <w:rPr>
          <w:rFonts w:ascii="Calibri" w:cs="Calibri" w:eastAsia="Calibri" w:hAnsi="Calibri"/>
          <w:i/>
          <w:iCs/>
          <w:sz w:val="21"/>
          <w:szCs w:val="21"/>
        </w:rPr>
        <w:t xml:space="preserve">Texto vigente de V.4.10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Método de cálculo del valor estimado</w:t>
            </w:r>
            <w:r>
              <w:rPr>
                <w:rFonts w:ascii="Georgia" w:cs="Georgia" w:eastAsia="Georgia" w:hAnsi="Georgia"/>
                <w:sz w:val="20"/>
                <w:szCs w:val="20"/>
              </w:rPr>
              <w:t xml:space="preserve"> (artículo 101.5 de la Ley 9/2017).</w:t>
            </w:r>
          </w:p>
          <w:p>
            <w:pPr>
              <w:spacing w:after="100" w:line="264"/>
            </w:pPr>
            <w:r>
              <w:rPr>
                <w:rFonts w:ascii="Georgia" w:cs="Georgia" w:eastAsia="Georgia" w:hAnsi="Georgia"/>
                <w:sz w:val="20"/>
                <w:szCs w:val="20"/>
              </w:rPr>
              <w:t xml:space="preserve">El valor estimado del contrato asciende a [importe] euros, IVA excluido, y se ha calculado como suma de los conceptos de las letras a), b) y d). Los importes de las letras c) y c bis) forman parte del presupuesto base de licitación y de las prórrogas, ya están comprendidos en las letras a) y b) y se desglosan para que conste su cuantía: no se suman de nuevo.</w:t>
            </w:r>
          </w:p>
          <w:p>
            <w:pPr>
              <w:spacing w:after="100" w:line="264"/>
            </w:pPr>
            <w:r>
              <w:rPr>
                <w:rFonts w:ascii="Georgia" w:cs="Georgia" w:eastAsia="Georgia" w:hAnsi="Georgia"/>
                <w:sz w:val="20"/>
                <w:szCs w:val="20"/>
              </w:rPr>
              <w:t xml:space="preserve">a) Presupuesto base de licitación del periodo inicial, sin IVA: [importe] euros, del que corresponden a costes directos de personal [importe] euros, a otros costes directos [importe] euros, a gastos generales de estructura [importe] euros y a beneficio industrial [importe] euros. Comprende la bolsa de la letra c) y, en su caso, los accesos de la letra c bis) correspondientes a ese periodo.</w:t>
            </w:r>
          </w:p>
          <w:p>
            <w:pPr>
              <w:spacing w:after="100" w:line="264"/>
            </w:pPr>
            <w:r>
              <w:rPr>
                <w:rFonts w:ascii="Georgia" w:cs="Georgia" w:eastAsia="Georgia" w:hAnsi="Georgia"/>
                <w:sz w:val="20"/>
                <w:szCs w:val="20"/>
              </w:rPr>
              <w:t xml:space="preserve">b) Prórrogas previstas: [número] prórroga(s) de [duración] cada una, por importe de [importe] euros, que comprende la bolsa y los accesos adicionales cuando el cuadro de características los dote también para las anualidades prorrogadas.</w:t>
            </w:r>
          </w:p>
          <w:p>
            <w:pPr>
              <w:spacing w:after="100" w:line="264"/>
            </w:pPr>
            <w:r>
              <w:rPr>
                <w:rFonts w:ascii="Georgia" w:cs="Georgia" w:eastAsia="Georgia" w:hAnsi="Georgia"/>
                <w:sz w:val="20"/>
                <w:szCs w:val="20"/>
              </w:rPr>
              <w:t xml:space="preserve">c) Bolsa de servicios evolutivos prevista en la cláusula [código], comprendida en las letras a) y b): [importe] euros en el periodo inicial y [importe] euros en las prórrogas. c bis) [Si la cláusula de acceso de los órganos de control interno prevé accesos adicionales: su importe máximo, comprendido en las letras a) y b), [número] accesos por [número] años al precio máximo por acceso y año del cuadro de características: [importe] euros.]</w:t>
            </w:r>
          </w:p>
          <w:p>
            <w:pPr>
              <w:spacing w:after="100" w:line="264"/>
            </w:pPr>
            <w:r>
              <w:rPr>
                <w:rFonts w:ascii="Georgia" w:cs="Georgia" w:eastAsia="Georgia" w:hAnsi="Georgia"/>
                <w:sz w:val="20"/>
                <w:szCs w:val="20"/>
              </w:rPr>
              <w:t xml:space="preserve">d) Importe máximo de las modificaciones al alza previstas al amparo del artículo 204 de la Ley 9/2017: [X; se recomienda 0 —la modificación prevista no se utiliza por defecto—; si se utiliza, en ningún caso superior al VEINTE] por ciento del precio inicial, equivalente a [importe] euros.</w:t>
            </w:r>
          </w:p>
          <w:p>
            <w:pPr>
              <w:spacing w:after="100" w:line="264"/>
            </w:pPr>
            <w:r>
              <w:rPr>
                <w:rFonts w:ascii="Georgia" w:cs="Georgia" w:eastAsia="Georgia" w:hAnsi="Georgia"/>
                <w:sz w:val="20"/>
                <w:szCs w:val="20"/>
              </w:rPr>
              <w:t xml:space="preserve">No se han previsto opciones eventuales distintas de las anteriores ni primas o pagos a los licitadores.</w:t>
            </w:r>
          </w:p>
        </w:tc>
      </w:tr>
    </w:tbl>
    <w:p>
      <w:pPr>
        <w:spacing w:after="220"/>
      </w:pPr>
    </w:p>
    <w:p>
      <w:pPr>
        <w:spacing w:after="140" w:line="276"/>
      </w:pPr>
      <w:r>
        <w:rPr>
          <w:rFonts w:ascii="Calibri" w:cs="Calibri" w:eastAsia="Calibri" w:hAnsi="Calibri"/>
          <w:b/>
          <w:bCs/>
          <w:sz w:val="21"/>
          <w:szCs w:val="21"/>
        </w:rPr>
        <w:t xml:space="preserve">Cuadro de características</w:t>
      </w:r>
      <w:r>
        <w:rPr>
          <w:rFonts w:ascii="Calibri" w:cs="Calibri" w:eastAsia="Calibri" w:hAnsi="Calibri"/>
          <w:sz w:val="21"/>
          <w:szCs w:val="21"/>
        </w:rPr>
        <w:t xml:space="preserve">: responsable del contrato; cesión y alcance de la licencia mínima (ADM-8); plazo de ejecución con reversión, desglose del presupuesto y garantía (DT-8); cuantías de penalidades; casillas de B.2; bolsa, si la hay.</w:t>
      </w:r>
    </w:p>
    <w:p>
      <w:pPr>
        <w:spacing w:after="140" w:line="276"/>
      </w:pPr>
      <w:r>
        <w:rPr>
          <w:rFonts w:ascii="Calibri" w:cs="Calibri" w:eastAsia="Calibri" w:hAnsi="Calibri"/>
          <w:b/>
          <w:bCs/>
          <w:sz w:val="21"/>
          <w:szCs w:val="21"/>
        </w:rPr>
        <w:t xml:space="preserve">Índice de sobres</w:t>
      </w:r>
      <w:r>
        <w:rPr>
          <w:rFonts w:ascii="Calibri" w:cs="Calibri" w:eastAsia="Calibri" w:hAnsi="Calibri"/>
          <w:sz w:val="21"/>
          <w:szCs w:val="21"/>
        </w:rPr>
        <w:t xml:space="preserve">: prueba de equivalencia (DT-0), inventario de IA (DT-1.2), compromiso sobre procesos (DT-4), relación de sistemas de IA (ADM-13.4) y Anexo VII depurado.</w:t>
      </w:r>
    </w:p>
    <w:p>
      <w:pPr>
        <w:pStyle w:val="Heading2"/>
        <w:keepNext/>
        <w:spacing w:after="140" w:before="320"/>
      </w:pPr>
      <w:r>
        <w:rPr>
          <w:rFonts w:ascii="Georgia" w:cs="Georgia" w:eastAsia="Georgia" w:hAnsi="Georgia"/>
          <w:b/>
          <w:bCs/>
          <w:color w:val="1F3864"/>
          <w:sz w:val="26"/>
          <w:szCs w:val="26"/>
        </w:rPr>
        <w:t xml:space="preserve">5.2 Cláusulas administrativas que entran siempre</w:t>
      </w:r>
    </w:p>
    <w:p>
      <w:pPr>
        <w:pStyle w:val="Heading3"/>
        <w:keepNext/>
        <w:spacing w:after="140" w:before="320"/>
      </w:pPr>
      <w:r>
        <w:rPr>
          <w:rFonts w:ascii="Georgia" w:cs="Georgia" w:eastAsia="Georgia" w:hAnsi="Georgia"/>
          <w:b/>
          <w:bCs/>
          <w:color w:val="2F5496"/>
          <w:sz w:val="22"/>
          <w:szCs w:val="22"/>
        </w:rPr>
        <w:t xml:space="preserve">ADM-8·v3 · Propiedad intelectual, algoritmos y lógica de negocio</w:t>
      </w:r>
    </w:p>
    <w:p>
      <w:pPr>
        <w:spacing w:after="140" w:line="276"/>
      </w:pPr>
      <w:r>
        <w:rPr>
          <w:rFonts w:ascii="Calibri" w:cs="Calibri" w:eastAsia="Calibri" w:hAnsi="Calibri"/>
          <w:i/>
          <w:iCs/>
          <w:sz w:val="21"/>
          <w:szCs w:val="21"/>
        </w:rPr>
        <w:t xml:space="preserve">Texto vigente de ADM-8·v3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Propiedad intelectual, algoritmos y lógica de negocio.</w:t>
            </w:r>
          </w:p>
          <w:p>
            <w:pPr>
              <w:pStyle w:val="ListParagraph"/>
              <w:numPr>
                <w:ilvl w:val="0"/>
                <w:numId w:val="2"/>
              </w:numPr>
              <w:spacing w:after="60" w:line="264"/>
            </w:pPr>
            <w:r>
              <w:rPr>
                <w:rFonts w:ascii="Georgia" w:cs="Georgia" w:eastAsia="Georgia" w:hAnsi="Georgia"/>
                <w:b/>
                <w:bCs/>
                <w:sz w:val="20"/>
                <w:szCs w:val="20"/>
              </w:rPr>
              <w:t xml:space="preserve">Objeto de la titularidad municipal.</w:t>
            </w:r>
            <w:r>
              <w:rPr>
                <w:rFonts w:ascii="Georgia" w:cs="Georgia" w:eastAsia="Georgia" w:hAnsi="Georgia"/>
                <w:sz w:val="20"/>
                <w:szCs w:val="20"/>
              </w:rPr>
              <w:t xml:space="preserve"> Corresponderá al Ayuntamiento la titularidad de los desarrollos, configuraciones, parametrizaciones, </w:t>
            </w:r>
            <w:r>
              <w:rPr>
                <w:rFonts w:ascii="Georgia" w:cs="Georgia" w:eastAsia="Georgia" w:hAnsi="Georgia"/>
                <w:i/>
                <w:iCs/>
                <w:sz w:val="20"/>
                <w:szCs w:val="20"/>
              </w:rPr>
              <w:t xml:space="preserve">scripts</w:t>
            </w:r>
            <w:r>
              <w:rPr>
                <w:rFonts w:ascii="Georgia" w:cs="Georgia" w:eastAsia="Georgia" w:hAnsi="Georgia"/>
                <w:sz w:val="20"/>
                <w:szCs w:val="20"/>
              </w:rPr>
              <w:t xml:space="preserve">, flujos, reglas de negocio y algoritmos de cálculo o de decisión diseñados específicamente para el Ayuntamiento, junto con su lógica funcional, su codificación —</w:t>
            </w:r>
            <w:r>
              <w:rPr>
                <w:rFonts w:ascii="Georgia" w:cs="Georgia" w:eastAsia="Georgia" w:hAnsi="Georgia"/>
                <w:b/>
                <w:bCs/>
                <w:sz w:val="20"/>
                <w:szCs w:val="20"/>
              </w:rPr>
              <w:t xml:space="preserve">tanto el programa fuente como el programa objeto</w:t>
            </w:r>
            <w:r>
              <w:rPr>
                <w:rFonts w:ascii="Georgia" w:cs="Georgia" w:eastAsia="Georgia" w:hAnsi="Georgia"/>
                <w:sz w:val="20"/>
                <w:szCs w:val="20"/>
              </w:rPr>
              <w:t xml:space="preserve">, en la terminología del artículo 97.4 del texto refundido de la Ley de Propiedad Intelectual— y su documentación técnica; así como de los </w:t>
            </w:r>
            <w:r>
              <w:rPr>
                <w:rFonts w:ascii="Georgia" w:cs="Georgia" w:eastAsia="Georgia" w:hAnsi="Georgia"/>
                <w:i/>
                <w:iCs/>
                <w:sz w:val="20"/>
                <w:szCs w:val="20"/>
              </w:rPr>
              <w:t xml:space="preserve">prompts</w:t>
            </w:r>
            <w:r>
              <w:rPr>
                <w:rFonts w:ascii="Georgia" w:cs="Georgia" w:eastAsia="Georgia" w:hAnsi="Georgia"/>
                <w:sz w:val="20"/>
                <w:szCs w:val="20"/>
              </w:rPr>
              <w:t xml:space="preserve"> corporativos, bases de conocimiento, modelos ajustados con datos municipales, datos y documentación generados en ejecución del contrato.</w:t>
            </w:r>
          </w:p>
          <w:p>
            <w:pPr>
              <w:pStyle w:val="ListParagraph"/>
              <w:numPr>
                <w:ilvl w:val="0"/>
                <w:numId w:val="2"/>
              </w:numPr>
              <w:spacing w:after="60" w:line="264"/>
            </w:pPr>
            <w:r>
              <w:rPr>
                <w:rFonts w:ascii="Georgia" w:cs="Georgia" w:eastAsia="Georgia" w:hAnsi="Georgia"/>
                <w:b/>
                <w:bCs/>
                <w:sz w:val="20"/>
                <w:szCs w:val="20"/>
              </w:rPr>
              <w:t xml:space="preserve">Extensión de la cesión.</w:t>
            </w:r>
            <w:r>
              <w:rPr>
                <w:rFonts w:ascii="Georgia" w:cs="Georgia" w:eastAsia="Georgia" w:hAnsi="Georgia"/>
                <w:sz w:val="20"/>
                <w:szCs w:val="20"/>
              </w:rPr>
              <w:t xml:space="preserve"> La cesión se entiende otorgada con carácter exclusivo, para </w:t>
            </w:r>
            <w:r>
              <w:rPr>
                <w:rFonts w:ascii="Georgia" w:cs="Georgia" w:eastAsia="Georgia" w:hAnsi="Georgia"/>
                <w:b/>
                <w:bCs/>
                <w:sz w:val="20"/>
                <w:szCs w:val="20"/>
              </w:rPr>
              <w:t xml:space="preserve">todas las modalidades de explotación</w:t>
            </w:r>
            <w:r>
              <w:rPr>
                <w:rFonts w:ascii="Georgia" w:cs="Georgia" w:eastAsia="Georgia" w:hAnsi="Georgia"/>
                <w:sz w:val="20"/>
                <w:szCs w:val="20"/>
              </w:rPr>
              <w:t xml:space="preserve"> —reproducción, distribución, comunicación pública y transformación—, por </w:t>
            </w:r>
            <w:r>
              <w:rPr>
                <w:rFonts w:ascii="Georgia" w:cs="Georgia" w:eastAsia="Georgia" w:hAnsi="Georgia"/>
                <w:b/>
                <w:bCs/>
                <w:sz w:val="20"/>
                <w:szCs w:val="20"/>
              </w:rPr>
              <w:t xml:space="preserve">todo el plazo de protección legal</w:t>
            </w:r>
            <w:r>
              <w:rPr>
                <w:rFonts w:ascii="Georgia" w:cs="Georgia" w:eastAsia="Georgia" w:hAnsi="Georgia"/>
                <w:sz w:val="20"/>
                <w:szCs w:val="20"/>
              </w:rPr>
              <w:t xml:space="preserve">, para </w:t>
            </w:r>
            <w:r>
              <w:rPr>
                <w:rFonts w:ascii="Georgia" w:cs="Georgia" w:eastAsia="Georgia" w:hAnsi="Georgia"/>
                <w:b/>
                <w:bCs/>
                <w:sz w:val="20"/>
                <w:szCs w:val="20"/>
              </w:rPr>
              <w:t xml:space="preserve">todos los países</w:t>
            </w:r>
            <w:r>
              <w:rPr>
                <w:rFonts w:ascii="Georgia" w:cs="Georgia" w:eastAsia="Georgia" w:hAnsi="Georgia"/>
                <w:sz w:val="20"/>
                <w:szCs w:val="20"/>
              </w:rPr>
              <w:t xml:space="preserve">, y con facultad de cesión a terceros y a otras entidades del sector público, en los términos del artículo 308.1, último inciso, de la LCSP y de los artículos 157 y 158 de la Ley 40/2015. Esta mención expresa se realiza a los efectos del artículo 43.2 del texto refundido de la Ley de Propiedad Intelectual.</w:t>
            </w:r>
          </w:p>
          <w:p>
            <w:pPr>
              <w:pStyle w:val="ListParagraph"/>
              <w:numPr>
                <w:ilvl w:val="0"/>
                <w:numId w:val="2"/>
              </w:numPr>
              <w:spacing w:after="60" w:line="264"/>
            </w:pPr>
            <w:r>
              <w:rPr>
                <w:rFonts w:ascii="Georgia" w:cs="Georgia" w:eastAsia="Georgia" w:hAnsi="Georgia"/>
                <w:b/>
                <w:bCs/>
                <w:sz w:val="20"/>
                <w:szCs w:val="20"/>
              </w:rPr>
              <w:t xml:space="preserve">Límites legales de la cesión.</w:t>
            </w:r>
            <w:r>
              <w:rPr>
                <w:rFonts w:ascii="Georgia" w:cs="Georgia" w:eastAsia="Georgia" w:hAnsi="Georgia"/>
                <w:sz w:val="20"/>
                <w:szCs w:val="20"/>
              </w:rPr>
              <w:t xml:space="preserve"> El alcance, contenido e interpretación de esta cesión se ajustarán en todo caso a la legislación específica de propiedad intelectual e industrial. La cesión </w:t>
            </w:r>
            <w:r>
              <w:rPr>
                <w:rFonts w:ascii="Georgia" w:cs="Georgia" w:eastAsia="Georgia" w:hAnsi="Georgia"/>
                <w:b/>
                <w:bCs/>
                <w:sz w:val="20"/>
                <w:szCs w:val="20"/>
              </w:rPr>
              <w:t xml:space="preserve">no alcanza a los derechos morales de autor</w:t>
            </w:r>
            <w:r>
              <w:rPr>
                <w:rFonts w:ascii="Georgia" w:cs="Georgia" w:eastAsia="Georgia" w:hAnsi="Georgia"/>
                <w:sz w:val="20"/>
                <w:szCs w:val="20"/>
              </w:rPr>
              <w:t xml:space="preserve">, que son irrenunciables e inalienables. No se excluye contractualmente el límite del artículo 100.1 del texto refundido de la Ley de Propiedad Intelectual: el Ayuntamiento, como usuario legítimo, queda facultado para la reproducción y transformación necesarias para el uso de la solución, incluida la corrección de errores.</w:t>
            </w:r>
          </w:p>
          <w:p>
            <w:pPr>
              <w:pStyle w:val="ListParagraph"/>
              <w:numPr>
                <w:ilvl w:val="0"/>
                <w:numId w:val="2"/>
              </w:numPr>
              <w:spacing w:after="60" w:line="264"/>
            </w:pPr>
            <w:r>
              <w:rPr>
                <w:rFonts w:ascii="Georgia" w:cs="Georgia" w:eastAsia="Georgia" w:hAnsi="Georgia"/>
                <w:b/>
                <w:bCs/>
                <w:sz w:val="20"/>
                <w:szCs w:val="20"/>
              </w:rPr>
              <w:t xml:space="preserve">Delimitación negativa.</w:t>
            </w:r>
            <w:r>
              <w:rPr>
                <w:rFonts w:ascii="Georgia" w:cs="Georgia" w:eastAsia="Georgia" w:hAnsi="Georgia"/>
                <w:sz w:val="20"/>
                <w:szCs w:val="20"/>
              </w:rPr>
              <w:t xml:space="preserve"> La titularidad municipal </w:t>
            </w:r>
            <w:r>
              <w:rPr>
                <w:rFonts w:ascii="Georgia" w:cs="Georgia" w:eastAsia="Georgia" w:hAnsi="Georgia"/>
                <w:b/>
                <w:bCs/>
                <w:sz w:val="20"/>
                <w:szCs w:val="20"/>
              </w:rPr>
              <w:t xml:space="preserve">no alcanza</w:t>
            </w:r>
            <w:r>
              <w:rPr>
                <w:rFonts w:ascii="Georgia" w:cs="Georgia" w:eastAsia="Georgia" w:hAnsi="Georgia"/>
                <w:sz w:val="20"/>
                <w:szCs w:val="20"/>
              </w:rPr>
              <w:t xml:space="preserve"> al producto base, estándar o de mercado del adjudicatario, ni a los componentes de terceros integrados en la solución. </w:t>
            </w:r>
            <w:r>
              <w:rPr>
                <w:rFonts w:ascii="Georgia" w:cs="Georgia" w:eastAsia="Georgia" w:hAnsi="Georgia"/>
                <w:b/>
                <w:bCs/>
                <w:sz w:val="20"/>
                <w:szCs w:val="20"/>
              </w:rPr>
              <w:t xml:space="preserve">No se exige la entrega del código fuente de dicho producto base ni de dichos componentes</w:t>
            </w:r>
            <w:r>
              <w:rPr>
                <w:rFonts w:ascii="Georgia" w:cs="Georgia" w:eastAsia="Georgia" w:hAnsi="Georgia"/>
                <w:sz w:val="20"/>
                <w:szCs w:val="20"/>
              </w:rPr>
              <w:t xml:space="preserve">, cuya propiedad intelectual queda expresamente salvaguardada, salvo que el producto haya sido desarrollado a medida para el Ayuntamiento o esté sujeto a licencia de fuentes abiertas.</w:t>
            </w:r>
          </w:p>
          <w:p>
            <w:pPr>
              <w:pStyle w:val="ListParagraph"/>
              <w:numPr>
                <w:ilvl w:val="0"/>
                <w:numId w:val="2"/>
              </w:numPr>
              <w:spacing w:after="60" w:line="264"/>
            </w:pPr>
            <w:r>
              <w:rPr>
                <w:rFonts w:ascii="Georgia" w:cs="Georgia" w:eastAsia="Georgia" w:hAnsi="Georgia"/>
                <w:b/>
                <w:bCs/>
                <w:sz w:val="20"/>
                <w:szCs w:val="20"/>
              </w:rPr>
              <w:t xml:space="preserve">Licencia mínima supletoria sobre el producto base.</w:t>
            </w:r>
            <w:r>
              <w:rPr>
                <w:rFonts w:ascii="Georgia" w:cs="Georgia" w:eastAsia="Georgia" w:hAnsi="Georgia"/>
                <w:sz w:val="20"/>
                <w:szCs w:val="20"/>
              </w:rPr>
              <w:t xml:space="preserve"> Respecto del producto base, estándar o de mercado, y como mínimo aunque este pliego no disponga otra cosa, el Ayuntamiento ostentará una licencia de uso no exclusiva para todos los fines propios de sus competencias, para el número de personas usuarias, instalaciones o unidades de consumo que este pliego fije en su cuadro de características, durante la vigencia del contrato, sus prórrogas y el período de reversión. Respecto de los componentes de terceros integrados en la solución, la obligación del adjudicatario se limita a mantener vigentes, con cargo al precio del contrato, las licencias necesarias para el uso de la solución por el Ayuntamiento en ese mismo alcance, y a identificarlas en el Inventario de Componentes. La facultad de poner la aplicación a disposición de otras entidades del sector público a los efectos de los artículos 157 y 158 de la Ley 40/2015 se refiere exclusivamente a los elementos de titularidad municipal conforme al apartado 1; cuando el Ayuntamiento pretenda extenderla al producto base, deberá pactarlo expresamente con el licenciante y consignarlo en el cuadro de características.</w:t>
            </w:r>
          </w:p>
          <w:p>
            <w:pPr>
              <w:pStyle w:val="ListParagraph"/>
              <w:numPr>
                <w:ilvl w:val="0"/>
                <w:numId w:val="2"/>
              </w:numPr>
              <w:spacing w:after="60" w:line="264"/>
            </w:pPr>
            <w:r>
              <w:rPr>
                <w:rFonts w:ascii="Georgia" w:cs="Georgia" w:eastAsia="Georgia" w:hAnsi="Georgia"/>
                <w:b/>
                <w:bCs/>
                <w:sz w:val="20"/>
                <w:szCs w:val="20"/>
              </w:rPr>
              <w:t xml:space="preserve">Delimitación documentada.</w:t>
            </w:r>
            <w:r>
              <w:rPr>
                <w:rFonts w:ascii="Georgia" w:cs="Georgia" w:eastAsia="Georgia" w:hAnsi="Georgia"/>
                <w:sz w:val="20"/>
                <w:szCs w:val="20"/>
              </w:rPr>
              <w:t xml:space="preserve"> La separación entre lo que es titularidad municipal y lo que es producto base se acredita mediante el </w:t>
            </w:r>
            <w:r>
              <w:rPr>
                <w:rFonts w:ascii="Georgia" w:cs="Georgia" w:eastAsia="Georgia" w:hAnsi="Georgia"/>
                <w:b/>
                <w:bCs/>
                <w:sz w:val="20"/>
                <w:szCs w:val="20"/>
              </w:rPr>
              <w:t xml:space="preserve">Inventario de Componentes</w:t>
            </w:r>
            <w:r>
              <w:rPr>
                <w:rFonts w:ascii="Georgia" w:cs="Georgia" w:eastAsia="Georgia" w:hAnsi="Georgia"/>
                <w:sz w:val="20"/>
                <w:szCs w:val="20"/>
              </w:rPr>
              <w:t xml:space="preserve"> exigido en la cláusula [DT-8] del pliego de prescripciones técnicas, mantenido desde el inicio de la ejecución y actualizado con cada versión puesta en producción. En defecto de Inventario, la delimitación se entenderá efectuada a favor del Ayuntamiento respecto de todo elemento que el adjudicatario no acredite documentalmente como preexistente al contrato.</w:t>
            </w:r>
          </w:p>
          <w:p>
            <w:pPr>
              <w:pStyle w:val="ListParagraph"/>
              <w:numPr>
                <w:ilvl w:val="0"/>
                <w:numId w:val="2"/>
              </w:numPr>
              <w:spacing w:after="60" w:line="264"/>
            </w:pPr>
            <w:r>
              <w:rPr>
                <w:rFonts w:ascii="Georgia" w:cs="Georgia" w:eastAsia="Georgia" w:hAnsi="Georgia"/>
                <w:b/>
                <w:bCs/>
                <w:sz w:val="20"/>
                <w:szCs w:val="20"/>
              </w:rPr>
              <w:t xml:space="preserve">Auditoría en actuación administrativa automatizada.</w:t>
            </w:r>
            <w:r>
              <w:rPr>
                <w:rFonts w:ascii="Georgia" w:cs="Georgia" w:eastAsia="Georgia" w:hAnsi="Georgia"/>
                <w:sz w:val="20"/>
                <w:szCs w:val="20"/>
              </w:rPr>
              <w:t xml:space="preserve"> Cuando el Ayuntamiento acuerde una actuación administrativa automatizada al amparo del artículo 41 de la Ley 40/2015, el adjudicatario garantizará al Ayuntamiento y a los auditores que este designe, sujetos a idéntico deber de confidencialidad, el acceso a la lógica, la parametrización y el código fuente de los componentes desarrollados específicamente para el Ayuntamiento, con la exclusiva finalidad de auditoría y sin facultad alguna de explotación comercial.</w:t>
            </w:r>
          </w:p>
          <w:p>
            <w:pPr>
              <w:pStyle w:val="ListParagraph"/>
              <w:numPr>
                <w:ilvl w:val="0"/>
                <w:numId w:val="2"/>
              </w:numPr>
              <w:spacing w:after="60" w:line="264"/>
            </w:pPr>
            <w:r>
              <w:rPr>
                <w:rFonts w:ascii="Georgia" w:cs="Georgia" w:eastAsia="Georgia" w:hAnsi="Georgia"/>
                <w:b/>
                <w:bCs/>
                <w:sz w:val="20"/>
                <w:szCs w:val="20"/>
              </w:rPr>
              <w:t xml:space="preserve">Coherencia con el pliego técnico.</w:t>
            </w:r>
            <w:r>
              <w:rPr>
                <w:rFonts w:ascii="Georgia" w:cs="Georgia" w:eastAsia="Georgia" w:hAnsi="Georgia"/>
                <w:sz w:val="20"/>
                <w:szCs w:val="20"/>
              </w:rPr>
              <w:t xml:space="preserve"> Esta cláusula se corresponde con el apartado 7 de la cláusula [DT-1] del pliego de prescripciones técnicas y debe interpretarse conjuntamente con ella y con la cláusula [DT-8] de reversibilidad.</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Se copia </w:t>
      </w:r>
      <w:r>
        <w:rPr>
          <w:rFonts w:ascii="Calibri" w:cs="Calibri" w:eastAsia="Calibri" w:hAnsi="Calibri"/>
          <w:b/>
          <w:bCs/>
          <w:sz w:val="21"/>
          <w:szCs w:val="21"/>
        </w:rPr>
        <w:t xml:space="preserve">entera</w:t>
      </w:r>
      <w:r>
        <w:rPr>
          <w:rFonts w:ascii="Calibri" w:cs="Calibri" w:eastAsia="Calibri" w:hAnsi="Calibri"/>
          <w:sz w:val="21"/>
          <w:szCs w:val="21"/>
        </w:rPr>
        <w:t xml:space="preserve">. Apartado 5: personas usuarias, instalaciones o unidades de la licencia mínima,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 en el cuadro de características; su último inciso sólo si se cede también el producto base, pactado con el licenciante. Apartado 7: se conserva, sólo opera con actuación automatizada. Apartado 8: sin DT-1, su remisión a DT-1.7 se depura; el Anexo VI no la recoge, pero la regla es eliminar «todas sus menciones» (Parte I, §7.6.3). Acreditación: Anexo VII, Inventario, licencias de terceros, y acta de ensayo y acta de reversión, que hacen constar si el código compila y se despliega (epígrafe 4, letras a) a d); Anexo XVIII, modelos B y C). Si el cuerpo del PPT fija entregables de código por hito (recomendación del §4.2, no regla del catálogo), su acta de entrega se añade como documento del expediente.</w:t>
      </w:r>
    </w:p>
    <w:p>
      <w:pPr>
        <w:spacing w:after="140" w:line="276"/>
      </w:pPr>
      <w:r>
        <w:rPr>
          <w:rFonts w:ascii="Calibri" w:cs="Calibri" w:eastAsia="Calibri" w:hAnsi="Calibri"/>
          <w:sz w:val="21"/>
          <w:szCs w:val="21"/>
        </w:rPr>
        <w:t xml:space="preserve">Consecuencias: Inventario ausente o desactualizado, grave (G3); negativa a entregar el código, entrega incompleta o entrega de un código que no compile o no se despliegue conforme a la documentación, muy grave (epígrafe 6), que en ADM-5·v3 es M4 (§5.2, ADM-5·v3). </w:t>
      </w:r>
      <w:r>
        <w:rPr>
          <w:rFonts w:ascii="Calibri" w:cs="Calibri" w:eastAsia="Calibri" w:hAnsi="Calibri"/>
          <w:b/>
          <w:bCs/>
          <w:sz w:val="21"/>
          <w:szCs w:val="21"/>
        </w:rPr>
        <w:t xml:space="preserve">Esencial</w:t>
      </w:r>
      <w:r>
        <w:rPr>
          <w:rFonts w:ascii="Calibri" w:cs="Calibri" w:eastAsia="Calibri" w:hAnsi="Calibri"/>
          <w:sz w:val="21"/>
          <w:szCs w:val="21"/>
        </w:rPr>
        <w:t xml:space="preserve">: sólo la entrega íntegra en la reversión (ADM-6·v3, B.1 a).</w:t>
      </w:r>
    </w:p>
    <w:p>
      <w:pPr>
        <w:pStyle w:val="Heading3"/>
        <w:keepNext/>
        <w:spacing w:after="140" w:before="320"/>
      </w:pPr>
      <w:r>
        <w:rPr>
          <w:rFonts w:ascii="Georgia" w:cs="Georgia" w:eastAsia="Georgia" w:hAnsi="Georgia"/>
          <w:b/>
          <w:bCs/>
          <w:color w:val="2F5496"/>
          <w:sz w:val="22"/>
          <w:szCs w:val="22"/>
        </w:rPr>
        <w:t xml:space="preserve">ADM-13·v3 · Uso de herramientas de IA sobre información municipal</w:t>
      </w:r>
    </w:p>
    <w:p>
      <w:pPr>
        <w:spacing w:after="140" w:line="276"/>
      </w:pPr>
      <w:r>
        <w:rPr>
          <w:rFonts w:ascii="Calibri" w:cs="Calibri" w:eastAsia="Calibri" w:hAnsi="Calibri"/>
          <w:i/>
          <w:iCs/>
          <w:sz w:val="21"/>
          <w:szCs w:val="21"/>
        </w:rPr>
        <w:t xml:space="preserve">Texto vigente de ADM-13·v3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Uso de sistemas de inteligencia artificial sobre información municipal.</w:t>
            </w:r>
          </w:p>
          <w:p>
            <w:pPr>
              <w:pStyle w:val="ListParagraph"/>
              <w:numPr>
                <w:ilvl w:val="0"/>
                <w:numId w:val="2"/>
              </w:numPr>
              <w:spacing w:after="60" w:line="264"/>
            </w:pPr>
            <w:r>
              <w:rPr>
                <w:rFonts w:ascii="Georgia" w:cs="Georgia" w:eastAsia="Georgia" w:hAnsi="Georgia"/>
                <w:b/>
                <w:bCs/>
                <w:sz w:val="20"/>
                <w:szCs w:val="20"/>
              </w:rPr>
              <w:t xml:space="preserve">Ámbito y niveles.</w:t>
            </w:r>
            <w:r>
              <w:rPr>
                <w:rFonts w:ascii="Georgia" w:cs="Georgia" w:eastAsia="Georgia" w:hAnsi="Georgia"/>
                <w:sz w:val="20"/>
                <w:szCs w:val="20"/>
              </w:rPr>
              <w:t xml:space="preserve"> Esta cláusula se aplica exclusivamente al tratamiento de información municipal por sistemas de inteligencia artificial. A tal efecto se distinguen tres niveles:</w:t>
            </w:r>
          </w:p>
          <w:p>
            <w:pPr>
              <w:spacing w:after="100" w:line="264"/>
            </w:pPr>
            <w:r>
              <w:rPr>
                <w:rFonts w:ascii="Georgia" w:cs="Georgia" w:eastAsia="Georgia" w:hAnsi="Georgia"/>
                <w:b/>
                <w:bCs/>
                <w:sz w:val="20"/>
                <w:szCs w:val="20"/>
              </w:rPr>
              <w:t xml:space="preserve">Nivel 1 — Información municipal restringida.</w:t>
            </w:r>
            <w:r>
              <w:rPr>
                <w:rFonts w:ascii="Georgia" w:cs="Georgia" w:eastAsia="Georgia" w:hAnsi="Georgia"/>
                <w:sz w:val="20"/>
                <w:szCs w:val="20"/>
              </w:rPr>
              <w:t xml:space="preserve"> Datos personales; expedientes en tramitación; documentación contractual no publicada; informes internos; datos de los entornos de producción; y cualquier información municipal clasificada como de acceso restringido por la política de seguridad del Ayuntamiento.</w:t>
            </w:r>
          </w:p>
          <w:p>
            <w:pPr>
              <w:spacing w:after="100" w:line="264"/>
            </w:pPr>
            <w:r>
              <w:rPr>
                <w:rFonts w:ascii="Georgia" w:cs="Georgia" w:eastAsia="Georgia" w:hAnsi="Georgia"/>
                <w:b/>
                <w:bCs/>
                <w:sz w:val="20"/>
                <w:szCs w:val="20"/>
              </w:rPr>
              <w:t xml:space="preserve">Nivel 2 — Artefactos técnicos del contrato.</w:t>
            </w:r>
            <w:r>
              <w:rPr>
                <w:rFonts w:ascii="Georgia" w:cs="Georgia" w:eastAsia="Georgia" w:hAnsi="Georgia"/>
                <w:sz w:val="20"/>
                <w:szCs w:val="20"/>
              </w:rPr>
              <w:t xml:space="preserve"> Código fuente y objeto de los desarrollos específicos, configuraciones, parametrizaciones, esquemas de datos y documentación técnica generados en ejecución del contrato, sin contenido de nivel 1.</w:t>
            </w:r>
          </w:p>
          <w:p>
            <w:pPr>
              <w:spacing w:after="100" w:line="264"/>
            </w:pPr>
            <w:r>
              <w:rPr>
                <w:rFonts w:ascii="Georgia" w:cs="Georgia" w:eastAsia="Georgia" w:hAnsi="Georgia"/>
                <w:b/>
                <w:bCs/>
                <w:sz w:val="20"/>
                <w:szCs w:val="20"/>
              </w:rPr>
              <w:t xml:space="preserve">Nivel 3 — Información propia del contratista.</w:t>
            </w:r>
            <w:r>
              <w:rPr>
                <w:rFonts w:ascii="Georgia" w:cs="Georgia" w:eastAsia="Georgia" w:hAnsi="Georgia"/>
                <w:sz w:val="20"/>
                <w:szCs w:val="20"/>
              </w:rPr>
              <w:t xml:space="preserve"> Cualquier información que no sea municipal. </w:t>
            </w:r>
            <w:r>
              <w:rPr>
                <w:rFonts w:ascii="Georgia" w:cs="Georgia" w:eastAsia="Georgia" w:hAnsi="Georgia"/>
                <w:b/>
                <w:bCs/>
                <w:sz w:val="20"/>
                <w:szCs w:val="20"/>
              </w:rPr>
              <w:t xml:space="preserve">Queda expresamente fuera del ámbito de esta cláusula</w:t>
            </w:r>
            <w:r>
              <w:rPr>
                <w:rFonts w:ascii="Georgia" w:cs="Georgia" w:eastAsia="Georgia" w:hAnsi="Georgia"/>
                <w:sz w:val="20"/>
                <w:szCs w:val="20"/>
              </w:rPr>
              <w:t xml:space="preserve">, que no impone al adjudicatario restricción alguna sobre las herramientas que emplee para su propia organización interna.</w:t>
            </w:r>
          </w:p>
          <w:p>
            <w:pPr>
              <w:pStyle w:val="ListParagraph"/>
              <w:numPr>
                <w:ilvl w:val="0"/>
                <w:numId w:val="2"/>
              </w:numPr>
              <w:spacing w:after="60" w:line="264"/>
            </w:pPr>
            <w:r>
              <w:rPr>
                <w:rFonts w:ascii="Georgia" w:cs="Georgia" w:eastAsia="Georgia" w:hAnsi="Georgia"/>
                <w:b/>
                <w:bCs/>
                <w:sz w:val="20"/>
                <w:szCs w:val="20"/>
              </w:rPr>
              <w:t xml:space="preserve">Régimen del nivel 1.</w:t>
            </w:r>
            <w:r>
              <w:rPr>
                <w:rFonts w:ascii="Georgia" w:cs="Georgia" w:eastAsia="Georgia" w:hAnsi="Georgia"/>
                <w:sz w:val="20"/>
                <w:szCs w:val="20"/>
              </w:rPr>
              <w:t xml:space="preserve"> El adjudicatario, su personal y su cadena de subcontratación </w:t>
            </w:r>
            <w:r>
              <w:rPr>
                <w:rFonts w:ascii="Georgia" w:cs="Georgia" w:eastAsia="Georgia" w:hAnsi="Georgia"/>
                <w:b/>
                <w:bCs/>
                <w:sz w:val="20"/>
                <w:szCs w:val="20"/>
              </w:rPr>
              <w:t xml:space="preserve">no introducirán información de nivel 1 en sistemas de inteligencia artificial que no estén expresamente autorizados</w:t>
            </w:r>
            <w:r>
              <w:rPr>
                <w:rFonts w:ascii="Georgia" w:cs="Georgia" w:eastAsia="Georgia" w:hAnsi="Georgia"/>
                <w:sz w:val="20"/>
                <w:szCs w:val="20"/>
              </w:rPr>
              <w:t xml:space="preserve"> en este contrato. Toda incorporación de un sistema nuevo requiere </w:t>
            </w:r>
            <w:r>
              <w:rPr>
                <w:rFonts w:ascii="Georgia" w:cs="Georgia" w:eastAsia="Georgia" w:hAnsi="Georgia"/>
                <w:b/>
                <w:bCs/>
                <w:sz w:val="20"/>
                <w:szCs w:val="20"/>
              </w:rPr>
              <w:t xml:space="preserve">autorización previa y escrita</w:t>
            </w:r>
            <w:r>
              <w:rPr>
                <w:rFonts w:ascii="Georgia" w:cs="Georgia" w:eastAsia="Georgia" w:hAnsi="Georgia"/>
                <w:sz w:val="20"/>
                <w:szCs w:val="20"/>
              </w:rPr>
              <w:t xml:space="preserve"> del responsable del contrato, solicitada con una antelación mínima de </w:t>
            </w:r>
            <w:r>
              <w:rPr>
                <w:rFonts w:ascii="Georgia" w:cs="Georgia" w:eastAsia="Georgia" w:hAnsi="Georgia"/>
                <w:b/>
                <w:bCs/>
                <w:sz w:val="20"/>
                <w:szCs w:val="20"/>
              </w:rPr>
              <w:t xml:space="preserve">[X; se recomienda 15] días naturales</w:t>
            </w:r>
            <w:r>
              <w:rPr>
                <w:rFonts w:ascii="Georgia" w:cs="Georgia" w:eastAsia="Georgia" w:hAnsi="Georgia"/>
                <w:sz w:val="20"/>
                <w:szCs w:val="20"/>
              </w:rPr>
              <w:t xml:space="preserve">. Cuando el uso implique tratamiento de datos personales por cuenta del Ayuntamiento, se formalizará el correspondiente encargo del tratamiento conforme al artículo 28 del Reglamento (UE) 2016/679, </w:t>
            </w:r>
            <w:r>
              <w:rPr>
                <w:rFonts w:ascii="Georgia" w:cs="Georgia" w:eastAsia="Georgia" w:hAnsi="Georgia"/>
                <w:b/>
                <w:bCs/>
                <w:sz w:val="20"/>
                <w:szCs w:val="20"/>
              </w:rPr>
              <w:t xml:space="preserve">sin que la sola aceptación de los términos de servicio del proveedor pueda ampararlo</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Régimen del nivel 2.</w:t>
            </w:r>
            <w:r>
              <w:rPr>
                <w:rFonts w:ascii="Georgia" w:cs="Georgia" w:eastAsia="Georgia" w:hAnsi="Georgia"/>
                <w:sz w:val="20"/>
                <w:szCs w:val="20"/>
              </w:rPr>
              <w:t xml:space="preserve"> El adjudicatario podrá emplear sistemas de inteligencia artificial sobre artefactos técnicos del contrato </w:t>
            </w:r>
            <w:r>
              <w:rPr>
                <w:rFonts w:ascii="Georgia" w:cs="Georgia" w:eastAsia="Georgia" w:hAnsi="Georgia"/>
                <w:b/>
                <w:bCs/>
                <w:sz w:val="20"/>
                <w:szCs w:val="20"/>
              </w:rPr>
              <w:t xml:space="preserve">sin autorización individual previa</w:t>
            </w:r>
            <w:r>
              <w:rPr>
                <w:rFonts w:ascii="Georgia" w:cs="Georgia" w:eastAsia="Georgia" w:hAnsi="Georgia"/>
                <w:sz w:val="20"/>
                <w:szCs w:val="20"/>
              </w:rPr>
              <w:t xml:space="preserve">, siempre que el sistema empleado cumpla, y el adjudicatario pueda acreditarlo, las tres condiciones siguientes:</w:t>
            </w:r>
          </w:p>
          <w:p>
            <w:pPr>
              <w:spacing w:after="100" w:line="264"/>
            </w:pPr>
            <w:r>
              <w:rPr>
                <w:rFonts w:ascii="Georgia" w:cs="Georgia" w:eastAsia="Georgia" w:hAnsi="Georgia"/>
                <w:sz w:val="20"/>
                <w:szCs w:val="20"/>
              </w:rPr>
              <w:t xml:space="preserve">a) que el contenido introducido </w:t>
            </w:r>
            <w:r>
              <w:rPr>
                <w:rFonts w:ascii="Georgia" w:cs="Georgia" w:eastAsia="Georgia" w:hAnsi="Georgia"/>
                <w:b/>
                <w:bCs/>
                <w:sz w:val="20"/>
                <w:szCs w:val="20"/>
              </w:rPr>
              <w:t xml:space="preserve">quede excluido del entrenamiento de modelos</w:t>
            </w:r>
            <w:r>
              <w:rPr>
                <w:rFonts w:ascii="Georgia" w:cs="Georgia" w:eastAsia="Georgia" w:hAnsi="Georgia"/>
                <w:sz w:val="20"/>
                <w:szCs w:val="20"/>
              </w:rPr>
              <w:t xml:space="preserve"> mediante una configuración establecida a nivel de organización o de suscripción empresarial, no dependiente de la elección de cada persona usuaria;</w:t>
            </w:r>
          </w:p>
          <w:p>
            <w:pPr>
              <w:spacing w:after="100" w:line="264"/>
            </w:pPr>
            <w:r>
              <w:rPr>
                <w:rFonts w:ascii="Georgia" w:cs="Georgia" w:eastAsia="Georgia" w:hAnsi="Georgia"/>
                <w:sz w:val="20"/>
                <w:szCs w:val="20"/>
              </w:rPr>
              <w:t xml:space="preserve">b) que el tratamiento se realice en el Espacio Económico Europeo o, en su defecto, con las garantías del capítulo V del Reglamento (UE) 2016/679;</w:t>
            </w:r>
          </w:p>
          <w:p>
            <w:pPr>
              <w:spacing w:after="100" w:line="264"/>
            </w:pPr>
            <w:r>
              <w:rPr>
                <w:rFonts w:ascii="Georgia" w:cs="Georgia" w:eastAsia="Georgia" w:hAnsi="Georgia"/>
                <w:sz w:val="20"/>
                <w:szCs w:val="20"/>
              </w:rPr>
              <w:t xml:space="preserve">c) que el sistema figure en la </w:t>
            </w:r>
            <w:r>
              <w:rPr>
                <w:rFonts w:ascii="Georgia" w:cs="Georgia" w:eastAsia="Georgia" w:hAnsi="Georgia"/>
                <w:b/>
                <w:bCs/>
                <w:sz w:val="20"/>
                <w:szCs w:val="20"/>
              </w:rPr>
              <w:t xml:space="preserve">relación declarada</w:t>
            </w:r>
            <w:r>
              <w:rPr>
                <w:rFonts w:ascii="Georgia" w:cs="Georgia" w:eastAsia="Georgia" w:hAnsi="Georgia"/>
                <w:sz w:val="20"/>
                <w:szCs w:val="20"/>
              </w:rPr>
              <w:t xml:space="preserve"> conforme al apartado 4.</w:t>
            </w:r>
          </w:p>
          <w:p>
            <w:pPr>
              <w:pStyle w:val="ListParagraph"/>
              <w:numPr>
                <w:ilvl w:val="0"/>
                <w:numId w:val="2"/>
              </w:numPr>
              <w:spacing w:after="60" w:line="264"/>
            </w:pPr>
            <w:r>
              <w:rPr>
                <w:rFonts w:ascii="Georgia" w:cs="Georgia" w:eastAsia="Georgia" w:hAnsi="Georgia"/>
                <w:b/>
                <w:bCs/>
                <w:sz w:val="20"/>
                <w:szCs w:val="20"/>
              </w:rPr>
              <w:t xml:space="preserve">Relación de sistemas.</w:t>
            </w:r>
            <w:r>
              <w:rPr>
                <w:rFonts w:ascii="Georgia" w:cs="Georgia" w:eastAsia="Georgia" w:hAnsi="Georgia"/>
                <w:sz w:val="20"/>
                <w:szCs w:val="20"/>
              </w:rPr>
              <w:t xml:space="preserve"> El licitador declarará en su oferta la relación de sistemas de inteligencia artificial que prevé emplear en la ejecución, indicando para cada uno: proveedor; ubicación de almacenamiento y tratamiento; plazo y criterios de retención de contenidos; tratamiento de metadatos y telemetría; existencia y alcance del mecanismo de exclusión del contenido para el entrenamiento de modelos; y posibilidad de configuración administrativa de las revisiones manuales por el proveedor. La relación se mantiene actualizada durante toda la vigencia del contrato y se comunica cualquier alta o baja en el plazo del apartado 2. </w:t>
            </w:r>
            <w:r>
              <w:rPr>
                <w:rFonts w:ascii="Georgia" w:cs="Georgia" w:eastAsia="Georgia" w:hAnsi="Georgia"/>
                <w:b/>
                <w:bCs/>
                <w:sz w:val="20"/>
                <w:szCs w:val="20"/>
              </w:rPr>
              <w:t xml:space="preserve">A solicitud del licitador, esta relación tendrá el tratamiento de información confidencial en los términos del artículo 133 de la LCSP.</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de las condiciones del apartado 3 se acredita mediante evidencia de la configuración a nivel de organización —captura del panel de administración con fecha, o certificado del proveedor— y mediante la política interna de uso del adjudicatario. El Ayuntamiento podrá requerir esta evidencia una vez al año y ante cualquier alta.</w:t>
            </w:r>
          </w:p>
          <w:p>
            <w:pPr>
              <w:pStyle w:val="ListParagraph"/>
              <w:numPr>
                <w:ilvl w:val="0"/>
                <w:numId w:val="2"/>
              </w:numPr>
              <w:spacing w:after="60" w:line="264"/>
            </w:pPr>
            <w:r>
              <w:rPr>
                <w:rFonts w:ascii="Georgia" w:cs="Georgia" w:eastAsia="Georgia" w:hAnsi="Georgia"/>
                <w:b/>
                <w:bCs/>
                <w:sz w:val="20"/>
                <w:szCs w:val="20"/>
              </w:rPr>
              <w:t xml:space="preserve">Consecuencias.</w:t>
            </w:r>
            <w:r>
              <w:rPr>
                <w:rFonts w:ascii="Georgia" w:cs="Georgia" w:eastAsia="Georgia" w:hAnsi="Georgia"/>
                <w:sz w:val="20"/>
                <w:szCs w:val="20"/>
              </w:rPr>
              <w:t xml:space="preserve"> El incumplimiento del régimen del </w:t>
            </w:r>
            <w:r>
              <w:rPr>
                <w:rFonts w:ascii="Georgia" w:cs="Georgia" w:eastAsia="Georgia" w:hAnsi="Georgia"/>
                <w:b/>
                <w:bCs/>
                <w:sz w:val="20"/>
                <w:szCs w:val="20"/>
              </w:rPr>
              <w:t xml:space="preserve">nivel 1</w:t>
            </w:r>
            <w:r>
              <w:rPr>
                <w:rFonts w:ascii="Georgia" w:cs="Georgia" w:eastAsia="Georgia" w:hAnsi="Georgia"/>
                <w:sz w:val="20"/>
                <w:szCs w:val="20"/>
              </w:rPr>
              <w:t xml:space="preserve"> tiene la consideración de </w:t>
            </w:r>
            <w:r>
              <w:rPr>
                <w:rFonts w:ascii="Georgia" w:cs="Georgia" w:eastAsia="Georgia" w:hAnsi="Georgia"/>
                <w:b/>
                <w:bCs/>
                <w:sz w:val="20"/>
                <w:szCs w:val="20"/>
              </w:rPr>
              <w:t xml:space="preserve">obligación contractual esencial</w:t>
            </w:r>
            <w:r>
              <w:rPr>
                <w:rFonts w:ascii="Georgia" w:cs="Georgia" w:eastAsia="Georgia" w:hAnsi="Georgia"/>
                <w:sz w:val="20"/>
                <w:szCs w:val="20"/>
              </w:rPr>
              <w:t xml:space="preserve"> a los efectos del artículo 211.1.f) de la LCSP, en los términos de la cláusula [ADM-6], bloque B. El incumplimiento del régimen del </w:t>
            </w:r>
            <w:r>
              <w:rPr>
                <w:rFonts w:ascii="Georgia" w:cs="Georgia" w:eastAsia="Georgia" w:hAnsi="Georgia"/>
                <w:b/>
                <w:bCs/>
                <w:sz w:val="20"/>
                <w:szCs w:val="20"/>
              </w:rPr>
              <w:t xml:space="preserve">nivel 2</w:t>
            </w:r>
            <w:r>
              <w:rPr>
                <w:rFonts w:ascii="Georgia" w:cs="Georgia" w:eastAsia="Georgia" w:hAnsi="Georgia"/>
                <w:sz w:val="20"/>
                <w:szCs w:val="20"/>
              </w:rPr>
              <w:t xml:space="preserve"> da lugar a las penalidades tipificadas en la cláusula [ADM-5], sin carácter esencial. El nivel 3 no genera obligación alguna.</w:t>
            </w:r>
          </w:p>
          <w:p>
            <w:pPr>
              <w:pStyle w:val="ListParagraph"/>
              <w:numPr>
                <w:ilvl w:val="0"/>
                <w:numId w:val="2"/>
              </w:numPr>
              <w:spacing w:after="60" w:line="264"/>
            </w:pPr>
            <w:r>
              <w:rPr>
                <w:rFonts w:ascii="Georgia" w:cs="Georgia" w:eastAsia="Georgia" w:hAnsi="Georgia"/>
                <w:b/>
                <w:bCs/>
                <w:sz w:val="20"/>
                <w:szCs w:val="20"/>
              </w:rPr>
              <w:t xml:space="preserve">Compromiso recíproco del Ayuntamiento.</w:t>
            </w:r>
            <w:r>
              <w:rPr>
                <w:rFonts w:ascii="Georgia" w:cs="Georgia" w:eastAsia="Georgia" w:hAnsi="Georgia"/>
                <w:sz w:val="20"/>
                <w:szCs w:val="20"/>
              </w:rPr>
              <w:t xml:space="preserve"> El Ayuntamiento aprobará y mantendrá una política interna de uso de inteligencia artificial generativa por su personal, que contendrá al menos: inventario de sistemas autorizados; prohibición de utilizar sistemas no inventariados; formación previa del personal usuario; revisión humana de todo resultado antes de su incorporación a un expediente; doble revisión cuando el resultado se dirija a un superior jerárquico o vaya a publicarse; minimización del uso de información institucional sensible en sistemas externos; y registro de las interacciones. Esta política se incorpora como </w:t>
            </w:r>
            <w:r>
              <w:rPr>
                <w:rFonts w:ascii="Georgia" w:cs="Georgia" w:eastAsia="Georgia" w:hAnsi="Georgia"/>
                <w:b/>
                <w:bCs/>
                <w:sz w:val="20"/>
                <w:szCs w:val="20"/>
              </w:rPr>
              <w:t xml:space="preserve">Anexo [ ] de este pliego</w:t>
            </w:r>
            <w:r>
              <w:rPr>
                <w:rFonts w:ascii="Georgia" w:cs="Georgia" w:eastAsia="Georgia" w:hAnsi="Georgia"/>
                <w:sz w:val="20"/>
                <w:szCs w:val="20"/>
              </w:rPr>
              <w:t xml:space="preserve"> y se comunica al adjudicatario.</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Código, configuraciones, esquemas y documentación de los desarrollos son </w:t>
      </w:r>
      <w:r>
        <w:rPr>
          <w:rFonts w:ascii="Calibri" w:cs="Calibri" w:eastAsia="Calibri" w:hAnsi="Calibri"/>
          <w:b/>
          <w:bCs/>
          <w:sz w:val="21"/>
          <w:szCs w:val="21"/>
        </w:rPr>
        <w:t xml:space="preserve">nivel 2</w:t>
      </w:r>
      <w:r>
        <w:rPr>
          <w:rFonts w:ascii="Calibri" w:cs="Calibri" w:eastAsia="Calibri" w:hAnsi="Calibri"/>
          <w:sz w:val="21"/>
          <w:szCs w:val="21"/>
        </w:rPr>
        <w:t xml:space="preserve">; datos de producción, datos personales o informes internos, </w:t>
      </w:r>
      <w:r>
        <w:rPr>
          <w:rFonts w:ascii="Calibri" w:cs="Calibri" w:eastAsia="Calibri" w:hAnsi="Calibri"/>
          <w:b/>
          <w:bCs/>
          <w:sz w:val="21"/>
          <w:szCs w:val="21"/>
        </w:rPr>
        <w:t xml:space="preserve">nivel 1</w:t>
      </w:r>
      <w:r>
        <w:rPr>
          <w:rFonts w:ascii="Calibri" w:cs="Calibri" w:eastAsia="Calibri" w:hAnsi="Calibri"/>
          <w:sz w:val="21"/>
          <w:szCs w:val="21"/>
        </w:rPr>
        <w:t xml:space="preserve"> (apartado 1). Permite programar con asistentes de IA sobre el código de la entidad sin autorización individual si el sistema excluye el contenido del entrenamiento a nivel de organización, trata en el Espacio Económico Europeo o con las garantías del capítulo V del RGPD y figura en la relación declarada (apartado 3). Su nota al redactor explica por qué tres niveles: con la prohibición única de la versión anterior, cualquier desarrollador con un asistente incorporado la incumpliría. Corchetes: apartado 2, </w:t>
      </w:r>
      <w:r>
        <w:rPr>
          <w:rFonts w:ascii="Calibri" w:cs="Calibri" w:eastAsia="Calibri" w:hAnsi="Calibri"/>
          <w:b/>
          <w:bCs/>
          <w:sz w:val="21"/>
          <w:szCs w:val="21"/>
        </w:rPr>
        <w:t xml:space="preserve">15</w:t>
      </w:r>
      <w:r>
        <w:rPr>
          <w:rFonts w:ascii="Calibri" w:cs="Calibri" w:eastAsia="Calibri" w:hAnsi="Calibri"/>
          <w:sz w:val="21"/>
          <w:szCs w:val="21"/>
        </w:rPr>
        <w:t xml:space="preserve"> días. La relación del apartado 4 va con la oferta (Anexo VII), confidencial a solicitud (art. 133 LCSP). Apartado 7: política municipal de uso de IA generativa, aprobada por resolución propia (modelo: Anexo XVI), que no decae aunque la cláusula se marque NO APLICA (epígrafes 2 y 7). Esencial sólo el nivel 1 (ADM-6·v3, B.1 d). Va al anuncio.</w:t>
      </w:r>
    </w:p>
    <w:p>
      <w:pPr>
        <w:pStyle w:val="Heading3"/>
        <w:keepNext/>
        <w:spacing w:after="140" w:before="320"/>
      </w:pPr>
      <w:r>
        <w:rPr>
          <w:rFonts w:ascii="Georgia" w:cs="Georgia" w:eastAsia="Georgia" w:hAnsi="Georgia"/>
          <w:b/>
          <w:bCs/>
          <w:color w:val="2F5496"/>
          <w:sz w:val="22"/>
          <w:szCs w:val="22"/>
        </w:rPr>
        <w:t xml:space="preserve">ADM-4·v3 · Seguimiento: responsable del contrato, Comisión y verificación anual</w:t>
      </w:r>
    </w:p>
    <w:p>
      <w:pPr>
        <w:spacing w:after="140" w:line="276"/>
      </w:pPr>
      <w:r>
        <w:rPr>
          <w:rFonts w:ascii="Calibri" w:cs="Calibri" w:eastAsia="Calibri" w:hAnsi="Calibri"/>
          <w:i/>
          <w:iCs/>
          <w:sz w:val="21"/>
          <w:szCs w:val="21"/>
        </w:rPr>
        <w:t xml:space="preserve">Texto vigente de ADM-4·v3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Seguimiento de la ejecución.</w:t>
            </w:r>
          </w:p>
          <w:p>
            <w:pPr>
              <w:pStyle w:val="ListParagraph"/>
              <w:numPr>
                <w:ilvl w:val="0"/>
                <w:numId w:val="2"/>
              </w:numPr>
              <w:spacing w:after="60" w:line="264"/>
            </w:pPr>
            <w:r>
              <w:rPr>
                <w:rFonts w:ascii="Georgia" w:cs="Georgia" w:eastAsia="Georgia" w:hAnsi="Georgia"/>
                <w:b/>
                <w:bCs/>
                <w:sz w:val="20"/>
                <w:szCs w:val="20"/>
              </w:rPr>
              <w:t xml:space="preserve">Responsable del contrato.</w:t>
            </w:r>
            <w:r>
              <w:rPr>
                <w:rFonts w:ascii="Georgia" w:cs="Georgia" w:eastAsia="Georgia" w:hAnsi="Georgia"/>
                <w:sz w:val="20"/>
                <w:szCs w:val="20"/>
              </w:rPr>
              <w:t xml:space="preserve"> El órgano de contratación designa responsable del contrato a [órgano o puesto], al que corresponde supervisar la ejecución, adoptar las decisiones y dictar las instrucciones necesarias para asegurar la correcta realización de la prestación, y emitir los informes previstos en este pliego. La designación se notifica al contratista en la formalización.</w:t>
            </w:r>
          </w:p>
          <w:p>
            <w:pPr>
              <w:pStyle w:val="ListParagraph"/>
              <w:numPr>
                <w:ilvl w:val="0"/>
                <w:numId w:val="2"/>
              </w:numPr>
              <w:spacing w:after="60" w:line="264"/>
            </w:pPr>
            <w:r>
              <w:rPr>
                <w:rFonts w:ascii="Georgia" w:cs="Georgia" w:eastAsia="Georgia" w:hAnsi="Georgia"/>
                <w:b/>
                <w:bCs/>
                <w:sz w:val="20"/>
                <w:szCs w:val="20"/>
              </w:rPr>
              <w:t xml:space="preserve">Comisión de Seguimiento.</w:t>
            </w:r>
            <w:r>
              <w:rPr>
                <w:rFonts w:ascii="Georgia" w:cs="Georgia" w:eastAsia="Georgia" w:hAnsi="Georgia"/>
                <w:sz w:val="20"/>
                <w:szCs w:val="20"/>
              </w:rPr>
              <w:t xml:space="preserve"> Se constituye una Comisión de Seguimiento integrada por el responsable del contrato, que la preside, un técnico del servicio de informática municipal, un representante de la unidad gestora y, cuando el contrato incorpore la condición especial de acceso de los órganos de control, un representante del órgano interventor. Por parte del contratista asistirá el jefe de proyecto y las personas que éste designe.</w:t>
            </w:r>
          </w:p>
          <w:p>
            <w:pPr>
              <w:spacing w:after="100" w:line="264"/>
            </w:pPr>
            <w:r>
              <w:rPr>
                <w:rFonts w:ascii="Georgia" w:cs="Georgia" w:eastAsia="Georgia" w:hAnsi="Georgia"/>
                <w:sz w:val="20"/>
                <w:szCs w:val="20"/>
              </w:rPr>
              <w:t xml:space="preserve">a) Se reunirá </w:t>
            </w:r>
            <w:r>
              <w:rPr>
                <w:rFonts w:ascii="Georgia" w:cs="Georgia" w:eastAsia="Georgia" w:hAnsi="Georgia"/>
                <w:b/>
                <w:bCs/>
                <w:sz w:val="20"/>
                <w:szCs w:val="20"/>
              </w:rPr>
              <w:t xml:space="preserve">[X; se recomienda 2] veces al año</w:t>
            </w:r>
            <w:r>
              <w:rPr>
                <w:rFonts w:ascii="Georgia" w:cs="Georgia" w:eastAsia="Georgia" w:hAnsi="Georgia"/>
                <w:sz w:val="20"/>
                <w:szCs w:val="20"/>
              </w:rPr>
              <w:t xml:space="preserve"> y, además, a petición de cualquiera de las partes cuando concurra un hecho relevante para la ejecución.</w:t>
            </w:r>
          </w:p>
          <w:p>
            <w:pPr>
              <w:spacing w:after="100" w:line="264"/>
            </w:pPr>
            <w:r>
              <w:rPr>
                <w:rFonts w:ascii="Georgia" w:cs="Georgia" w:eastAsia="Georgia" w:hAnsi="Georgia"/>
                <w:sz w:val="20"/>
                <w:szCs w:val="20"/>
              </w:rPr>
              <w:t xml:space="preserve">b) De cada sesión se levantará </w:t>
            </w:r>
            <w:r>
              <w:rPr>
                <w:rFonts w:ascii="Georgia" w:cs="Georgia" w:eastAsia="Georgia" w:hAnsi="Georgia"/>
                <w:b/>
                <w:bCs/>
                <w:sz w:val="20"/>
                <w:szCs w:val="20"/>
              </w:rPr>
              <w:t xml:space="preserve">acta</w:t>
            </w:r>
            <w:r>
              <w:rPr>
                <w:rFonts w:ascii="Georgia" w:cs="Georgia" w:eastAsia="Georgia" w:hAnsi="Georgia"/>
                <w:sz w:val="20"/>
                <w:szCs w:val="20"/>
              </w:rPr>
              <w:t xml:space="preserve">, suscrita por ambas partes, que se incorporará al expediente de ejecución del contrato.</w:t>
            </w:r>
          </w:p>
          <w:p>
            <w:pPr>
              <w:spacing w:after="100" w:line="264"/>
            </w:pPr>
            <w:r>
              <w:rPr>
                <w:rFonts w:ascii="Georgia" w:cs="Georgia" w:eastAsia="Georgia" w:hAnsi="Georgia"/>
                <w:sz w:val="20"/>
                <w:szCs w:val="20"/>
              </w:rPr>
              <w:t xml:space="preserve">c) Las actas de la Comisión constituyen uno de los medios tasados de acreditación del cumplimiento previstos en la cláusula de evolución tecnológica determinada de este pliego.</w:t>
            </w:r>
          </w:p>
          <w:p>
            <w:pPr>
              <w:spacing w:after="100" w:line="264"/>
            </w:pPr>
            <w:r>
              <w:rPr>
                <w:rFonts w:ascii="Georgia" w:cs="Georgia" w:eastAsia="Georgia" w:hAnsi="Georgia"/>
                <w:sz w:val="20"/>
                <w:szCs w:val="20"/>
              </w:rPr>
              <w:t xml:space="preserve">d) La inasistencia no justificada del contratista a una sesión convocada con [X; se recomienda 10] días de antelación tendrá la consideración de incumplimiento leve.</w:t>
            </w:r>
          </w:p>
          <w:p>
            <w:pPr>
              <w:pStyle w:val="ListParagraph"/>
              <w:numPr>
                <w:ilvl w:val="0"/>
                <w:numId w:val="2"/>
              </w:numPr>
              <w:spacing w:after="60" w:line="264"/>
            </w:pPr>
            <w:r>
              <w:rPr>
                <w:rFonts w:ascii="Georgia" w:cs="Georgia" w:eastAsia="Georgia" w:hAnsi="Georgia"/>
                <w:b/>
                <w:bCs/>
                <w:sz w:val="20"/>
                <w:szCs w:val="20"/>
              </w:rPr>
              <w:t xml:space="preserve">Verificación anual.</w:t>
            </w:r>
            <w:r>
              <w:rPr>
                <w:rFonts w:ascii="Georgia" w:cs="Georgia" w:eastAsia="Georgia" w:hAnsi="Georgia"/>
                <w:sz w:val="20"/>
                <w:szCs w:val="20"/>
              </w:rPr>
              <w:t xml:space="preserve"> Dentro de los [X; se recomienda 60] días naturales siguientes al cumplimiento de cada anualidad, el responsable del contrato emitirá un </w:t>
            </w:r>
            <w:r>
              <w:rPr>
                <w:rFonts w:ascii="Georgia" w:cs="Georgia" w:eastAsia="Georgia" w:hAnsi="Georgia"/>
                <w:b/>
                <w:bCs/>
                <w:sz w:val="20"/>
                <w:szCs w:val="20"/>
              </w:rPr>
              <w:t xml:space="preserve">informe anual de ejecución</w:t>
            </w:r>
            <w:r>
              <w:rPr>
                <w:rFonts w:ascii="Georgia" w:cs="Georgia" w:eastAsia="Georgia" w:hAnsi="Georgia"/>
                <w:sz w:val="20"/>
                <w:szCs w:val="20"/>
              </w:rPr>
              <w:t xml:space="preserve"> que se pronunciará expresamente sobre:</w:t>
            </w:r>
          </w:p>
          <w:p>
            <w:pPr>
              <w:spacing w:after="100" w:line="264"/>
            </w:pPr>
            <w:r>
              <w:rPr>
                <w:rFonts w:ascii="Georgia" w:cs="Georgia" w:eastAsia="Georgia" w:hAnsi="Georgia"/>
                <w:sz w:val="20"/>
                <w:szCs w:val="20"/>
              </w:rPr>
              <w:t xml:space="preserve">a) El estado de cumplimiento de cada exigencia del Anexo de Exigencias Tecnológicas Determinadas.</w:t>
            </w:r>
          </w:p>
          <w:p>
            <w:pPr>
              <w:spacing w:after="100" w:line="264"/>
            </w:pPr>
            <w:r>
              <w:rPr>
                <w:rFonts w:ascii="Georgia" w:cs="Georgia" w:eastAsia="Georgia" w:hAnsi="Georgia"/>
                <w:sz w:val="20"/>
                <w:szCs w:val="20"/>
              </w:rPr>
              <w:t xml:space="preserve">b) El cumplimiento de las condiciones especiales de ejecución incorporadas a este pliego, una por una.</w:t>
            </w:r>
          </w:p>
          <w:p>
            <w:pPr>
              <w:spacing w:after="100" w:line="264"/>
            </w:pPr>
            <w:r>
              <w:rPr>
                <w:rFonts w:ascii="Georgia" w:cs="Georgia" w:eastAsia="Georgia" w:hAnsi="Georgia"/>
                <w:sz w:val="20"/>
                <w:szCs w:val="20"/>
              </w:rPr>
              <w:t xml:space="preserve">c) La vigencia de las certificaciones o sistemas de gestión exigidos.</w:t>
            </w:r>
          </w:p>
          <w:p>
            <w:pPr>
              <w:spacing w:after="100" w:line="264"/>
            </w:pPr>
            <w:r>
              <w:rPr>
                <w:rFonts w:ascii="Georgia" w:cs="Georgia" w:eastAsia="Georgia" w:hAnsi="Georgia"/>
                <w:sz w:val="20"/>
                <w:szCs w:val="20"/>
              </w:rPr>
              <w:t xml:space="preserve">d) Los indicadores de servicio del Pliego de Prescripciones Técnicas.</w:t>
            </w:r>
          </w:p>
          <w:p>
            <w:pPr>
              <w:spacing w:after="100" w:line="264"/>
            </w:pPr>
            <w:r>
              <w:rPr>
                <w:rFonts w:ascii="Georgia" w:cs="Georgia" w:eastAsia="Georgia" w:hAnsi="Georgia"/>
                <w:sz w:val="20"/>
                <w:szCs w:val="20"/>
              </w:rPr>
              <w:t xml:space="preserve">e) El consumo de la bolsa de servicios evolutivos, si se hubiera previsto.</w:t>
            </w:r>
          </w:p>
          <w:p>
            <w:pPr>
              <w:spacing w:after="100" w:line="264"/>
            </w:pPr>
            <w:r>
              <w:rPr>
                <w:rFonts w:ascii="Georgia" w:cs="Georgia" w:eastAsia="Georgia" w:hAnsi="Georgia"/>
                <w:sz w:val="20"/>
                <w:szCs w:val="20"/>
              </w:rPr>
              <w:t xml:space="preserve">f) Las incidencias registradas y su tratamiento.</w:t>
            </w:r>
          </w:p>
          <w:p>
            <w:pPr>
              <w:spacing w:after="100" w:line="264"/>
            </w:pPr>
            <w:r>
              <w:rPr>
                <w:rFonts w:ascii="Georgia" w:cs="Georgia" w:eastAsia="Georgia" w:hAnsi="Georgia"/>
                <w:sz w:val="20"/>
                <w:szCs w:val="20"/>
              </w:rPr>
              <w:t xml:space="preserve">g) La propuesta motivada, en su caso, de imposición de penalidades o de incoación del procedimiento de resolución. El informe se notifica al contratista, que dispondrá de [X; se recomienda 10] días hábiles para formular alegaciones antes de que el órgano de contratación adopte acuerdo.</w:t>
            </w:r>
          </w:p>
          <w:p>
            <w:pPr>
              <w:pStyle w:val="ListParagraph"/>
              <w:numPr>
                <w:ilvl w:val="0"/>
                <w:numId w:val="2"/>
              </w:numPr>
              <w:spacing w:after="60" w:line="264"/>
            </w:pPr>
            <w:r>
              <w:rPr>
                <w:rFonts w:ascii="Georgia" w:cs="Georgia" w:eastAsia="Georgia" w:hAnsi="Georgia"/>
                <w:b/>
                <w:bCs/>
                <w:sz w:val="20"/>
                <w:szCs w:val="20"/>
              </w:rPr>
              <w:t xml:space="preserve">Comprobación material.</w:t>
            </w:r>
            <w:r>
              <w:rPr>
                <w:rFonts w:ascii="Georgia" w:cs="Georgia" w:eastAsia="Georgia" w:hAnsi="Georgia"/>
                <w:sz w:val="20"/>
                <w:szCs w:val="20"/>
              </w:rPr>
              <w:t xml:space="preserve"> Cuando proceda la comprobación material de la inversión conforme a la normativa de control interno, el responsable del contrato lo hará constar y se estará a lo dispuesto en dicha normativa. Los actos de recepción previstos en este pliego se documentan de modo que resulten utilizables a esos efectos.</w:t>
            </w:r>
          </w:p>
          <w:p>
            <w:pPr>
              <w:pStyle w:val="ListParagraph"/>
              <w:numPr>
                <w:ilvl w:val="0"/>
                <w:numId w:val="2"/>
              </w:numPr>
              <w:spacing w:after="60" w:line="264"/>
            </w:pPr>
            <w:r>
              <w:rPr>
                <w:rFonts w:ascii="Georgia" w:cs="Georgia" w:eastAsia="Georgia" w:hAnsi="Georgia"/>
                <w:b/>
                <w:bCs/>
                <w:sz w:val="20"/>
                <w:szCs w:val="20"/>
              </w:rPr>
              <w:t xml:space="preserve">Obligación de colaboración del contratista.</w:t>
            </w:r>
            <w:r>
              <w:rPr>
                <w:rFonts w:ascii="Georgia" w:cs="Georgia" w:eastAsia="Georgia" w:hAnsi="Georgia"/>
                <w:sz w:val="20"/>
                <w:szCs w:val="20"/>
              </w:rPr>
              <w:t xml:space="preserve"> El contratista facilitará, en el plazo de [X; se recomienda 10] días hábiles desde su requerimiento, la documentación y los accesos necesarios para las comprobaciones previstas en este pliego, sin coste adicional.</w:t>
            </w:r>
          </w:p>
        </w:tc>
      </w:tr>
    </w:tbl>
    <w:p>
      <w:pPr>
        <w:spacing w:after="220"/>
      </w:pPr>
    </w:p>
    <w:p>
      <w:pPr>
        <w:spacing w:after="140" w:line="276"/>
      </w:pPr>
      <w:r>
        <w:rPr>
          <w:rFonts w:ascii="Calibri" w:cs="Calibri" w:eastAsia="Calibri" w:hAnsi="Calibri"/>
          <w:b/>
          <w:bCs/>
          <w:sz w:val="21"/>
          <w:szCs w:val="21"/>
        </w:rPr>
        <w:t xml:space="preserve">Ajustes del perfil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Corchete o apartado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Razón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[órgano o puesto]</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 cumplimentar con datos del expediente]</w:t>
            </w:r>
            <w:r>
              <w:rPr>
                <w:rFonts w:ascii="Calibri" w:cs="Calibri" w:eastAsia="Calibri" w:hAnsi="Calibri"/>
                <w:b w:val="false"/>
                <w:bCs w:val="false"/>
                <w:sz w:val="18"/>
                <w:szCs w:val="18"/>
              </w:rPr>
              <w:t xml:space="preserve">; puesto, no persona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§7.9.1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constituye con menos de [12] meses o [60.000] €: informe único a la finalización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2.a), [2] sesiones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w:t>
            </w:r>
            <w:r>
              <w:rPr>
                <w:rFonts w:ascii="Calibri" w:cs="Calibri" w:eastAsia="Calibri" w:hAnsi="Calibri"/>
                <w:b w:val="false"/>
                <w:bCs w:val="false"/>
                <w:sz w:val="18"/>
                <w:szCs w:val="18"/>
              </w:rPr>
              <w:t xml:space="preserve">, también el primer año; anual en menor cuantía. Cuatro el primer año es el ajuste al alza tras una implantación o con un Anexo V exigente, con 6 h más por sesión en C1 (Anexo X, fila 23; §M4.2; §8.2)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Catálogo y cláusula coinciden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2.d) [10] · 3 [60] y [10] · 5 [10]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 · 60 · 10 · 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Texto de la cláusula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letras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fuera sin Anexo V; e) fuera sin bolsa; c) se conserva por la acreditación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Epígrafe 7</w:t>
            </w:r>
          </w:p>
        </w:tc>
      </w:tr>
    </w:tbl>
    <w:p>
      <w:pPr>
        <w:spacing w:after="200"/>
      </w:pPr>
    </w:p>
    <w:p>
      <w:pPr>
        <w:spacing w:after="140" w:line="276"/>
      </w:pPr>
      <w:r>
        <w:rPr>
          <w:rFonts w:ascii="Calibri" w:cs="Calibri" w:eastAsia="Calibri" w:hAnsi="Calibri"/>
          <w:sz w:val="21"/>
          <w:szCs w:val="21"/>
        </w:rPr>
        <w:t xml:space="preserve">El representante del órgano interventor en la Comisión, sólo con ADM-12 (apartado 2).</w:t>
      </w:r>
    </w:p>
    <w:p>
      <w:pPr>
        <w:pStyle w:val="Heading3"/>
        <w:keepNext/>
        <w:spacing w:after="140" w:before="320"/>
      </w:pPr>
      <w:r>
        <w:rPr>
          <w:rFonts w:ascii="Georgia" w:cs="Georgia" w:eastAsia="Georgia" w:hAnsi="Georgia"/>
          <w:b/>
          <w:bCs/>
          <w:color w:val="2F5496"/>
          <w:sz w:val="22"/>
          <w:szCs w:val="22"/>
        </w:rPr>
        <w:t xml:space="preserve">ADM-5·v3 · Penalidades</w:t>
      </w:r>
    </w:p>
    <w:p>
      <w:pPr>
        <w:spacing w:after="140" w:line="276"/>
      </w:pPr>
      <w:r>
        <w:rPr>
          <w:rFonts w:ascii="Calibri" w:cs="Calibri" w:eastAsia="Calibri" w:hAnsi="Calibri"/>
          <w:i/>
          <w:iCs/>
          <w:sz w:val="21"/>
          <w:szCs w:val="21"/>
        </w:rPr>
        <w:t xml:space="preserve">Texto vigente de ADM-5·v3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Penalidades por incumplimiento.</w:t>
            </w:r>
          </w:p>
          <w:p>
            <w:pPr>
              <w:pStyle w:val="ListParagraph"/>
              <w:numPr>
                <w:ilvl w:val="0"/>
                <w:numId w:val="2"/>
              </w:numPr>
              <w:spacing w:after="60" w:line="264"/>
            </w:pPr>
            <w:r>
              <w:rPr>
                <w:rFonts w:ascii="Georgia" w:cs="Georgia" w:eastAsia="Georgia" w:hAnsi="Georgia"/>
                <w:b/>
                <w:bCs/>
                <w:sz w:val="20"/>
                <w:szCs w:val="20"/>
              </w:rPr>
              <w:t xml:space="preserve">Régimen y límites.</w:t>
            </w:r>
            <w:r>
              <w:rPr>
                <w:rFonts w:ascii="Georgia" w:cs="Georgia" w:eastAsia="Georgia" w:hAnsi="Georgia"/>
                <w:sz w:val="20"/>
                <w:szCs w:val="20"/>
              </w:rPr>
              <w:t xml:space="preserve"> El incumplimiento de las obligaciones y condiciones especiales de ejecución establecidas en este pliego dará lugar a la imposición de penalidades proporcionadas a la gravedad del incumplimiento, conforme al artículo 192.1 de la Ley 9/2017, sin que la cuantía de cada una pueda ser superior al </w:t>
            </w:r>
            <w:r>
              <w:rPr>
                <w:rFonts w:ascii="Georgia" w:cs="Georgia" w:eastAsia="Georgia" w:hAnsi="Georgia"/>
                <w:b/>
                <w:bCs/>
                <w:sz w:val="20"/>
                <w:szCs w:val="20"/>
              </w:rPr>
              <w:t xml:space="preserve">10 por ciento del precio del contrato, IVA excluido</w:t>
            </w:r>
            <w:r>
              <w:rPr>
                <w:rFonts w:ascii="Georgia" w:cs="Georgia" w:eastAsia="Georgia" w:hAnsi="Georgia"/>
                <w:sz w:val="20"/>
                <w:szCs w:val="20"/>
              </w:rPr>
              <w:t xml:space="preserve">, ni el total de las impuestas superar el </w:t>
            </w:r>
            <w:r>
              <w:rPr>
                <w:rFonts w:ascii="Georgia" w:cs="Georgia" w:eastAsia="Georgia" w:hAnsi="Georgia"/>
                <w:b/>
                <w:bCs/>
                <w:sz w:val="20"/>
                <w:szCs w:val="20"/>
              </w:rPr>
              <w:t xml:space="preserve">50 por ciento del precio del contrato</w:t>
            </w:r>
            <w:r>
              <w:rPr>
                <w:rFonts w:ascii="Georgia" w:cs="Georgia" w:eastAsia="Georgia" w:hAnsi="Georgia"/>
                <w:sz w:val="20"/>
                <w:szCs w:val="20"/>
              </w:rPr>
              <w:t xml:space="preserve">. Este cuadro no sustituye al régimen general de la demora en la ejecución previsto en la Ley 9/2017, que opera conforme a sus propios términos.</w:t>
            </w:r>
          </w:p>
          <w:p>
            <w:pPr>
              <w:pStyle w:val="ListParagraph"/>
              <w:numPr>
                <w:ilvl w:val="0"/>
                <w:numId w:val="2"/>
              </w:numPr>
              <w:spacing w:after="60" w:line="264"/>
            </w:pPr>
            <w:r>
              <w:rPr>
                <w:rFonts w:ascii="Georgia" w:cs="Georgia" w:eastAsia="Georgia" w:hAnsi="Georgia"/>
                <w:b/>
                <w:bCs/>
                <w:sz w:val="20"/>
                <w:szCs w:val="20"/>
              </w:rPr>
              <w:t xml:space="preserve">Cuantías.</w:t>
            </w:r>
          </w:p>
          <w:p>
            <w:pPr>
              <w:spacing w:after="100" w:line="264"/>
            </w:pPr>
            <w:r>
              <w:rPr>
                <w:rFonts w:ascii="Georgia" w:cs="Georgia" w:eastAsia="Georgia" w:hAnsi="Georgia"/>
                <w:sz w:val="20"/>
                <w:szCs w:val="20"/>
              </w:rPr>
              <w:t xml:space="preserve">a) Incumplimiento </w:t>
            </w:r>
            <w:r>
              <w:rPr>
                <w:rFonts w:ascii="Georgia" w:cs="Georgia" w:eastAsia="Georgia" w:hAnsi="Georgia"/>
                <w:b/>
                <w:bCs/>
                <w:sz w:val="20"/>
                <w:szCs w:val="20"/>
              </w:rPr>
              <w:t xml:space="preserve">leve</w:t>
            </w:r>
            <w:r>
              <w:rPr>
                <w:rFonts w:ascii="Georgia" w:cs="Georgia" w:eastAsia="Georgia" w:hAnsi="Georgia"/>
                <w:sz w:val="20"/>
                <w:szCs w:val="20"/>
              </w:rPr>
              <w:t xml:space="preserve">: hasta el [X; se recomienda 0,5] por ciento del precio anual del contrato, IVA excluido, por cada incumplimiento.</w:t>
            </w:r>
          </w:p>
          <w:p>
            <w:pPr>
              <w:spacing w:after="100" w:line="264"/>
            </w:pPr>
            <w:r>
              <w:rPr>
                <w:rFonts w:ascii="Georgia" w:cs="Georgia" w:eastAsia="Georgia" w:hAnsi="Georgia"/>
                <w:sz w:val="20"/>
                <w:szCs w:val="20"/>
              </w:rPr>
              <w:t xml:space="preserve">b) Incumplimiento </w:t>
            </w:r>
            <w:r>
              <w:rPr>
                <w:rFonts w:ascii="Georgia" w:cs="Georgia" w:eastAsia="Georgia" w:hAnsi="Georgia"/>
                <w:b/>
                <w:bCs/>
                <w:sz w:val="20"/>
                <w:szCs w:val="20"/>
              </w:rPr>
              <w:t xml:space="preserve">grave</w:t>
            </w:r>
            <w:r>
              <w:rPr>
                <w:rFonts w:ascii="Georgia" w:cs="Georgia" w:eastAsia="Georgia" w:hAnsi="Georgia"/>
                <w:sz w:val="20"/>
                <w:szCs w:val="20"/>
              </w:rPr>
              <w:t xml:space="preserve">: entre el [X; se recomienda 0,5] y el [X; se recomienda 3] por ciento del precio anual del contrato, IVA excluido, por cada incumplimiento.</w:t>
            </w:r>
          </w:p>
          <w:p>
            <w:pPr>
              <w:spacing w:after="100" w:line="264"/>
            </w:pPr>
            <w:r>
              <w:rPr>
                <w:rFonts w:ascii="Georgia" w:cs="Georgia" w:eastAsia="Georgia" w:hAnsi="Georgia"/>
                <w:sz w:val="20"/>
                <w:szCs w:val="20"/>
              </w:rPr>
              <w:t xml:space="preserve">c) Incumplimiento </w:t>
            </w:r>
            <w:r>
              <w:rPr>
                <w:rFonts w:ascii="Georgia" w:cs="Georgia" w:eastAsia="Georgia" w:hAnsi="Georgia"/>
                <w:b/>
                <w:bCs/>
                <w:sz w:val="20"/>
                <w:szCs w:val="20"/>
              </w:rPr>
              <w:t xml:space="preserve">muy grave</w:t>
            </w:r>
            <w:r>
              <w:rPr>
                <w:rFonts w:ascii="Georgia" w:cs="Georgia" w:eastAsia="Georgia" w:hAnsi="Georgia"/>
                <w:sz w:val="20"/>
                <w:szCs w:val="20"/>
              </w:rPr>
              <w:t xml:space="preserve">: entre el [X; se recomienda 3] y el [X; se recomienda 6] por ciento del precio del contrato, IVA excluido, por cada incumplimiento, sin superar en ningún caso el 10 por ciento.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Tope por hecho continuado.</w:t>
            </w:r>
            <w:r>
              <w:rPr>
                <w:rFonts w:ascii="Georgia" w:cs="Georgia" w:eastAsia="Georgia" w:hAnsi="Georgia"/>
                <w:sz w:val="20"/>
                <w:szCs w:val="20"/>
              </w:rPr>
              <w:t xml:space="preserve"> El importe acumulado de las penalidades impuestas por un mismo hecho continuado no podrá superar el 10 por ciento del precio del contrato, IVA excluido (artículo 192.1 de la Ley 9/2017).</w:t>
            </w:r>
          </w:p>
          <w:p>
            <w:pPr>
              <w:pStyle w:val="ListParagraph"/>
              <w:numPr>
                <w:ilvl w:val="0"/>
                <w:numId w:val="2"/>
              </w:numPr>
              <w:spacing w:after="60" w:line="264"/>
            </w:pPr>
            <w:r>
              <w:rPr>
                <w:rFonts w:ascii="Georgia" w:cs="Georgia" w:eastAsia="Georgia" w:hAnsi="Georgia"/>
                <w:b/>
                <w:bCs/>
                <w:sz w:val="20"/>
                <w:szCs w:val="20"/>
              </w:rPr>
              <w:t xml:space="preserve">Tipificación.</w:t>
            </w:r>
            <w:r>
              <w:rPr>
                <w:rFonts w:ascii="Georgia" w:cs="Georgia" w:eastAsia="Georgia" w:hAnsi="Georgia"/>
                <w:sz w:val="20"/>
                <w:szCs w:val="20"/>
              </w:rPr>
              <w:t xml:space="preserve"> Constituyen incumplimientos sancionables, exclusivamente, los siguientes:</w:t>
            </w:r>
          </w:p>
          <w:p>
            <w:pPr>
              <w:spacing w:after="100" w:line="264"/>
            </w:pPr>
            <w:r>
              <w:rPr>
                <w:rFonts w:ascii="Georgia" w:cs="Georgia" w:eastAsia="Georgia" w:hAnsi="Georgia"/>
                <w:b/>
                <w:bCs/>
                <w:sz w:val="20"/>
                <w:szCs w:val="20"/>
              </w:rPr>
              <w:t xml:space="preserve">Leves</w:t>
            </w:r>
          </w:p>
          <w:p>
            <w:pPr>
              <w:spacing w:after="100" w:line="264"/>
            </w:pPr>
            <w:r>
              <w:rPr>
                <w:rFonts w:ascii="Georgia" w:cs="Georgia" w:eastAsia="Georgia" w:hAnsi="Georgia"/>
                <w:sz w:val="20"/>
                <w:szCs w:val="20"/>
              </w:rPr>
              <w:t xml:space="preserve">L1. Retraso de hasta 30 días naturales en la presentación del Plan Anual de Evolución Tecnológica, contados desde el plazo que para ello fija la cláusula de Plan Anual de este pliego.</w:t>
            </w:r>
          </w:p>
          <w:p>
            <w:pPr>
              <w:spacing w:after="100" w:line="264"/>
            </w:pPr>
            <w:r>
              <w:rPr>
                <w:rFonts w:ascii="Georgia" w:cs="Georgia" w:eastAsia="Georgia" w:hAnsi="Georgia"/>
                <w:sz w:val="20"/>
                <w:szCs w:val="20"/>
              </w:rPr>
              <w:t xml:space="preserve">L2. Comunicación de la publicación de una versión sucesora del producto contratado fuera del plazo fijado para ello en los pliegos, siempre que se produzca antes de transcurridos 90 días naturales desde su disponibilidad general.</w:t>
            </w:r>
          </w:p>
          <w:p>
            <w:pPr>
              <w:spacing w:after="100" w:line="264"/>
            </w:pPr>
            <w:r>
              <w:rPr>
                <w:rFonts w:ascii="Georgia" w:cs="Georgia" w:eastAsia="Georgia" w:hAnsi="Georgia"/>
                <w:sz w:val="20"/>
                <w:szCs w:val="20"/>
              </w:rPr>
              <w:t xml:space="preserve">L3. Falta de remisión, en el plazo requerido, de la documentación acreditativa del sistema de gestión de la inteligencia artificial o de cualquier otra documentación exigible conforme a este pliego.</w:t>
            </w:r>
          </w:p>
          <w:p>
            <w:pPr>
              <w:spacing w:after="100" w:line="264"/>
            </w:pPr>
            <w:r>
              <w:rPr>
                <w:rFonts w:ascii="Georgia" w:cs="Georgia" w:eastAsia="Georgia" w:hAnsi="Georgia"/>
                <w:sz w:val="20"/>
                <w:szCs w:val="20"/>
              </w:rPr>
              <w:t xml:space="preserve">L4. Inasistencia no justificada a una sesión de la Comisión de Seguimiento convocada en plazo.</w:t>
            </w:r>
          </w:p>
          <w:p>
            <w:pPr>
              <w:spacing w:after="100" w:line="264"/>
            </w:pPr>
            <w:r>
              <w:rPr>
                <w:rFonts w:ascii="Georgia" w:cs="Georgia" w:eastAsia="Georgia" w:hAnsi="Georgia"/>
                <w:sz w:val="20"/>
                <w:szCs w:val="20"/>
              </w:rPr>
              <w:t xml:space="preserve">L5. Deficiencias documentales subsanables en las actas de aceptación o de recepción, no subsanadas en el plazo requerido.</w:t>
            </w:r>
          </w:p>
          <w:p>
            <w:pPr>
              <w:spacing w:after="100" w:line="264"/>
            </w:pPr>
            <w:r>
              <w:rPr>
                <w:rFonts w:ascii="Georgia" w:cs="Georgia" w:eastAsia="Georgia" w:hAnsi="Georgia"/>
                <w:sz w:val="20"/>
                <w:szCs w:val="20"/>
              </w:rPr>
              <w:t xml:space="preserve">L6. Retraso no superior a [X; se recomienda 15] días naturales en la actualización del inventario de sistemas de inteligencia artificial, o en la entrega de las instrucciones de uso y de los registros exigidos por la cláusula técnica de incorporación de inteligencia artificial.</w:t>
            </w:r>
          </w:p>
          <w:p>
            <w:pPr>
              <w:spacing w:after="100" w:line="264"/>
            </w:pPr>
            <w:r>
              <w:rPr>
                <w:rFonts w:ascii="Georgia" w:cs="Georgia" w:eastAsia="Georgia" w:hAnsi="Georgia"/>
                <w:sz w:val="20"/>
                <w:szCs w:val="20"/>
              </w:rPr>
              <w:t xml:space="preserve">L7. Retraso no superior a [X; se recomienda 15] días naturales en la entrega o actualización de la documentación técnica de las interfaces de interoperabilidad, de la interfaz normalizada de acceso programático o del anclaje de evidencias.</w:t>
            </w:r>
          </w:p>
          <w:p>
            <w:pPr>
              <w:spacing w:after="100" w:line="264"/>
            </w:pPr>
            <w:r>
              <w:rPr>
                <w:rFonts w:ascii="Georgia" w:cs="Georgia" w:eastAsia="Georgia" w:hAnsi="Georgia"/>
                <w:sz w:val="20"/>
                <w:szCs w:val="20"/>
              </w:rPr>
              <w:t xml:space="preserve">L8. Retraso no superior a [X; se recomienda 30] días naturales en la entrega de los indicadores de los procesos automatizados, o en la entrega o actualización del inventario y del plan de transición criptográfica.</w:t>
            </w:r>
          </w:p>
          <w:p>
            <w:pPr>
              <w:spacing w:after="100" w:line="264"/>
            </w:pPr>
            <w:r>
              <w:rPr>
                <w:rFonts w:ascii="Georgia" w:cs="Georgia" w:eastAsia="Georgia" w:hAnsi="Georgia"/>
                <w:sz w:val="20"/>
                <w:szCs w:val="20"/>
              </w:rPr>
              <w:t xml:space="preserve">L9. Retraso no superior a [X; se recomienda 15] días naturales en la entrega del informe de vulnerabilidades o del informe de la prueba de continuidad.</w:t>
            </w:r>
          </w:p>
          <w:p>
            <w:pPr>
              <w:spacing w:after="100" w:line="264"/>
            </w:pPr>
            <w:r>
              <w:rPr>
                <w:rFonts w:ascii="Georgia" w:cs="Georgia" w:eastAsia="Georgia" w:hAnsi="Georgia"/>
                <w:sz w:val="20"/>
                <w:szCs w:val="20"/>
              </w:rPr>
              <w:t xml:space="preserve">L10. Retraso no superior a [X; se recomienda 30] días naturales en la actualización anual del Plan de Reversibilidad.</w:t>
            </w:r>
          </w:p>
          <w:p>
            <w:pPr>
              <w:spacing w:after="100" w:line="264"/>
            </w:pPr>
            <w:r>
              <w:rPr>
                <w:rFonts w:ascii="Georgia" w:cs="Georgia" w:eastAsia="Georgia" w:hAnsi="Georgia"/>
                <w:sz w:val="20"/>
                <w:szCs w:val="20"/>
              </w:rPr>
              <w:t xml:space="preserve">L11. Puesta en producción de un cambio que altere la descripción de la recogida y el etiquetado de los datos de un sistema de inteligencia artificial sin haberla actualizado; resultado producido por un sistema de inteligencia artificial en la tramitación de un procedimiento administrativo sin constancia de los criterios aplicados ni de que no pueden identificarse; o retraso no superior a [X; se recomienda 30] días naturales en la entrega de los indicadores desagregados de sesgo; todo ello conforme a la cláusula técnica de incorporación de inteligencia artificial.</w:t>
            </w:r>
          </w:p>
          <w:p>
            <w:pPr>
              <w:spacing w:after="100" w:line="264"/>
            </w:pPr>
            <w:r>
              <w:rPr>
                <w:rFonts w:ascii="Georgia" w:cs="Georgia" w:eastAsia="Georgia" w:hAnsi="Georgia"/>
                <w:sz w:val="20"/>
                <w:szCs w:val="20"/>
              </w:rPr>
              <w:t xml:space="preserve">L12. Superación del tiempo máximo de respuesta o de resolución aplicable en más del [X; se recomienda 10] por ciento de las incidencias no calificadas de críticas registradas en un período de medición de los acuerdos de nivel de servicio del Pliego de Prescripciones Técnicas o, si éste no lo fija, en un mes natural. El tiempo máximo aplicable es el fijado en dichos acuerdos o, si el adjudicatario ofertó uno inferior en el criterio de adjudicación de niveles de servicio, el ofertado.</w:t>
            </w:r>
          </w:p>
          <w:p>
            <w:pPr>
              <w:spacing w:after="100" w:line="264"/>
            </w:pPr>
            <w:r>
              <w:rPr>
                <w:rFonts w:ascii="Georgia" w:cs="Georgia" w:eastAsia="Georgia" w:hAnsi="Georgia"/>
                <w:b/>
                <w:bCs/>
                <w:sz w:val="20"/>
                <w:szCs w:val="20"/>
              </w:rPr>
              <w:t xml:space="preserve">Graves</w:t>
            </w:r>
          </w:p>
          <w:p>
            <w:pPr>
              <w:spacing w:after="100" w:line="264"/>
            </w:pPr>
            <w:r>
              <w:rPr>
                <w:rFonts w:ascii="Georgia" w:cs="Georgia" w:eastAsia="Georgia" w:hAnsi="Georgia"/>
                <w:sz w:val="20"/>
                <w:szCs w:val="20"/>
              </w:rPr>
              <w:t xml:space="preserve">G1. Reiteración de dos incumplimientos leves de la misma clase en doce meses, o persistencia de un incumplimiento leve más allá de 30 días desde el requerimiento de subsanación.</w:t>
            </w:r>
          </w:p>
          <w:p>
            <w:pPr>
              <w:spacing w:after="100" w:line="264"/>
            </w:pPr>
            <w:r>
              <w:rPr>
                <w:rFonts w:ascii="Georgia" w:cs="Georgia" w:eastAsia="Georgia" w:hAnsi="Georgia"/>
                <w:sz w:val="20"/>
                <w:szCs w:val="20"/>
              </w:rPr>
              <w:t xml:space="preserve">G2. Incumplimiento del plazo de implantación de una exigencia del Anexo de Exigencias Tecnológicas Determinadas, por cada mes o fracción de retraso.</w:t>
            </w:r>
          </w:p>
          <w:p>
            <w:pPr>
              <w:spacing w:after="100" w:line="264"/>
            </w:pPr>
            <w:r>
              <w:rPr>
                <w:rFonts w:ascii="Georgia" w:cs="Georgia" w:eastAsia="Georgia" w:hAnsi="Georgia"/>
                <w:sz w:val="20"/>
                <w:szCs w:val="20"/>
              </w:rPr>
              <w:t xml:space="preserve">G3. Falta de entrega o de actualización del Inventario de Componentes en los plazos del pliego.</w:t>
            </w:r>
          </w:p>
          <w:p>
            <w:pPr>
              <w:spacing w:after="100" w:line="264"/>
            </w:pPr>
            <w:r>
              <w:rPr>
                <w:rFonts w:ascii="Georgia" w:cs="Georgia" w:eastAsia="Georgia" w:hAnsi="Georgia"/>
                <w:sz w:val="20"/>
                <w:szCs w:val="20"/>
              </w:rPr>
              <w:t xml:space="preserve">G4. Falta de constitución, de actualización o de verificación del depósito de código en los plazos del pliego.</w:t>
            </w:r>
          </w:p>
          <w:p>
            <w:pPr>
              <w:spacing w:after="100" w:line="264"/>
            </w:pPr>
            <w:r>
              <w:rPr>
                <w:rFonts w:ascii="Georgia" w:cs="Georgia" w:eastAsia="Georgia" w:hAnsi="Georgia"/>
                <w:sz w:val="20"/>
                <w:szCs w:val="20"/>
              </w:rPr>
              <w:t xml:space="preserve">G5. Falta de comunicación de la publicación de una versión sucesora transcurridos 90 días naturales desde su disponibilidad general.</w:t>
            </w:r>
          </w:p>
          <w:p>
            <w:pPr>
              <w:spacing w:after="100" w:line="264"/>
            </w:pPr>
            <w:r>
              <w:rPr>
                <w:rFonts w:ascii="Georgia" w:cs="Georgia" w:eastAsia="Georgia" w:hAnsi="Georgia"/>
                <w:sz w:val="20"/>
                <w:szCs w:val="20"/>
              </w:rPr>
              <w:t xml:space="preserve">G6. Incumplimiento de las obligaciones de acceso de los órganos de control, incluida la facturación o tarificación de dicho acceso.</w:t>
            </w:r>
          </w:p>
          <w:p>
            <w:pPr>
              <w:spacing w:after="100" w:line="264"/>
            </w:pPr>
            <w:r>
              <w:rPr>
                <w:rFonts w:ascii="Georgia" w:cs="Georgia" w:eastAsia="Georgia" w:hAnsi="Georgia"/>
                <w:sz w:val="20"/>
                <w:szCs w:val="20"/>
              </w:rPr>
              <w:t xml:space="preserve">G7. Alta o utilización de un sistema de inteligencia artificial no autorizado sobre información municipal, cuando no conste incorporación efectiva de información no pública.</w:t>
            </w:r>
          </w:p>
          <w:p>
            <w:pPr>
              <w:spacing w:after="100" w:line="264"/>
            </w:pPr>
            <w:r>
              <w:rPr>
                <w:rFonts w:ascii="Georgia" w:cs="Georgia" w:eastAsia="Georgia" w:hAnsi="Georgia"/>
                <w:sz w:val="20"/>
                <w:szCs w:val="20"/>
              </w:rPr>
              <w:t xml:space="preserve">G8. Pérdida de una certificación o de un sistema de gestión exigidos sin que el contratista acredite, en el plazo requerido, el cumplimiento por la vía documental prevista en la cláusula correspondiente de este pliego, cuando esa vía esté admitida; subsanada en el plazo de [X; se recomienda 3] meses.</w:t>
            </w:r>
          </w:p>
          <w:p>
            <w:pPr>
              <w:spacing w:after="100" w:line="264"/>
            </w:pPr>
            <w:r>
              <w:rPr>
                <w:rFonts w:ascii="Georgia" w:cs="Georgia" w:eastAsia="Georgia" w:hAnsi="Georgia"/>
                <w:sz w:val="20"/>
                <w:szCs w:val="20"/>
              </w:rPr>
              <w:t xml:space="preserve">G9. Incumplimiento de un hito del Plan Anual expresamente aprobado por el órgano de contratación con fecha cierta en acta.</w:t>
            </w:r>
          </w:p>
          <w:p>
            <w:pPr>
              <w:spacing w:after="100" w:line="264"/>
            </w:pPr>
            <w:r>
              <w:rPr>
                <w:rFonts w:ascii="Georgia" w:cs="Georgia" w:eastAsia="Georgia" w:hAnsi="Georgia"/>
                <w:sz w:val="20"/>
                <w:szCs w:val="20"/>
              </w:rPr>
              <w:t xml:space="preserve">G10. Falta de comunicación de un cambio de clasificación de riesgo de un sistema de inteligencia artificial o de un cambio que pueda alterar el nivel de impacto o riesgo asignado conforme a la normativa autonómica aplicable, o ausencia del punto de contacto único exigido por la cláusula técnica de incorporación de inteligencia artificial.</w:t>
            </w:r>
          </w:p>
          <w:p>
            <w:pPr>
              <w:spacing w:after="100" w:line="264"/>
            </w:pPr>
            <w:r>
              <w:rPr>
                <w:rFonts w:ascii="Georgia" w:cs="Georgia" w:eastAsia="Georgia" w:hAnsi="Georgia"/>
                <w:sz w:val="20"/>
                <w:szCs w:val="20"/>
              </w:rPr>
              <w:t xml:space="preserve">G11. Incumplimiento del plazo de respuesta ante un incidente grave imputable a un sistema de inteligencia artificial.</w:t>
            </w:r>
          </w:p>
          <w:p>
            <w:pPr>
              <w:spacing w:after="100" w:line="264"/>
            </w:pPr>
            <w:r>
              <w:rPr>
                <w:rFonts w:ascii="Georgia" w:cs="Georgia" w:eastAsia="Georgia" w:hAnsi="Georgia"/>
                <w:sz w:val="20"/>
                <w:szCs w:val="20"/>
              </w:rPr>
              <w:t xml:space="preserve">G12. Puesta en producción de una funcionalidad de inteligencia artificial sin el acta de aceptación previa exigida por la cláusula técnica de incorporación de inteligencia artificial.</w:t>
            </w:r>
          </w:p>
          <w:p>
            <w:pPr>
              <w:spacing w:after="100" w:line="264"/>
            </w:pPr>
            <w:r>
              <w:rPr>
                <w:rFonts w:ascii="Georgia" w:cs="Georgia" w:eastAsia="Georgia" w:hAnsi="Georgia"/>
                <w:sz w:val="20"/>
                <w:szCs w:val="20"/>
              </w:rPr>
              <w:t xml:space="preserve">G13. Imposibilidad de verificar la integridad de las evidencias ancladas por un tercero sin acceso privilegiado, o falta de entrega del procedimiento de exportación de evidencias.</w:t>
            </w:r>
          </w:p>
          <w:p>
            <w:pPr>
              <w:spacing w:after="100" w:line="264"/>
            </w:pPr>
            <w:r>
              <w:rPr>
                <w:rFonts w:ascii="Georgia" w:cs="Georgia" w:eastAsia="Georgia" w:hAnsi="Georgia"/>
                <w:sz w:val="20"/>
                <w:szCs w:val="20"/>
              </w:rPr>
              <w:t xml:space="preserve">G14. Falta de entrega del plan de transición criptográfica transcurrido su plazo y [X; se recomienda 30] días naturales desde requerimiento.</w:t>
            </w:r>
          </w:p>
          <w:p>
            <w:pPr>
              <w:spacing w:after="100" w:line="264"/>
            </w:pPr>
            <w:r>
              <w:rPr>
                <w:rFonts w:ascii="Georgia" w:cs="Georgia" w:eastAsia="Georgia" w:hAnsi="Georgia"/>
                <w:sz w:val="20"/>
                <w:szCs w:val="20"/>
              </w:rPr>
              <w:t xml:space="preserve">G15. Incumplimiento, sin causa justificada, del plazo de automatización de un proceso de la lista cerrada y numerada del Pliego de Prescripciones Técnicas, o puesta en producción de una automatización sin el acta de aceptación exigida.</w:t>
            </w:r>
          </w:p>
          <w:p>
            <w:pPr>
              <w:spacing w:after="100" w:line="264"/>
            </w:pPr>
            <w:r>
              <w:rPr>
                <w:rFonts w:ascii="Georgia" w:cs="Georgia" w:eastAsia="Georgia" w:hAnsi="Georgia"/>
                <w:sz w:val="20"/>
                <w:szCs w:val="20"/>
              </w:rPr>
              <w:t xml:space="preserve">G16. Exportación de datos que requiera la intervención del personal del adjudicatario, o falta de entrega o desactualización del diccionario de datos.</w:t>
            </w:r>
          </w:p>
          <w:p>
            <w:pPr>
              <w:spacing w:after="100" w:line="264"/>
            </w:pPr>
            <w:r>
              <w:rPr>
                <w:rFonts w:ascii="Georgia" w:cs="Georgia" w:eastAsia="Georgia" w:hAnsi="Georgia"/>
                <w:sz w:val="20"/>
                <w:szCs w:val="20"/>
              </w:rPr>
              <w:t xml:space="preserve">G17. Indisponibilidad del entorno de pruebas en la fecha comprometida, o superior a [X; se recomienda 10] días hábiles.</w:t>
            </w:r>
          </w:p>
          <w:p>
            <w:pPr>
              <w:spacing w:after="100" w:line="264"/>
            </w:pPr>
            <w:r>
              <w:rPr>
                <w:rFonts w:ascii="Georgia" w:cs="Georgia" w:eastAsia="Georgia" w:hAnsi="Georgia"/>
                <w:sz w:val="20"/>
                <w:szCs w:val="20"/>
              </w:rPr>
              <w:t xml:space="preserve">G18. Incumplimiento de los plazos de subsanación de vulnerabilidades de severidad alta, o falta de comunicación de una vulnerabilidad crítica en el plazo del pliego.</w:t>
            </w:r>
          </w:p>
          <w:p>
            <w:pPr>
              <w:spacing w:after="100" w:line="264"/>
            </w:pPr>
            <w:r>
              <w:rPr>
                <w:rFonts w:ascii="Georgia" w:cs="Georgia" w:eastAsia="Georgia" w:hAnsi="Georgia"/>
                <w:sz w:val="20"/>
                <w:szCs w:val="20"/>
              </w:rPr>
              <w:t xml:space="preserve">G19. Falta de entrega del inventario de funciones expuestas por la interfaz normalizada de acceso programático, o incumplimiento del plazo de entrega de la interfaz ofertado por debajo del plazo máximo del pliego.</w:t>
            </w:r>
          </w:p>
          <w:p>
            <w:pPr>
              <w:spacing w:after="100" w:line="264"/>
            </w:pPr>
            <w:r>
              <w:rPr>
                <w:rFonts w:ascii="Georgia" w:cs="Georgia" w:eastAsia="Georgia" w:hAnsi="Georgia"/>
                <w:sz w:val="20"/>
                <w:szCs w:val="20"/>
              </w:rPr>
              <w:t xml:space="preserve">G20. Falta de realización, en el plazo previsto, del ensayo de reversibilidad.</w:t>
            </w:r>
          </w:p>
          <w:p>
            <w:pPr>
              <w:spacing w:after="100" w:line="264"/>
            </w:pPr>
            <w:r>
              <w:rPr>
                <w:rFonts w:ascii="Georgia" w:cs="Georgia" w:eastAsia="Georgia" w:hAnsi="Georgia"/>
                <w:sz w:val="20"/>
                <w:szCs w:val="20"/>
              </w:rPr>
              <w:t xml:space="preserve">G21. Degradación de una capacidad ya aceptada del Anexo de Exigencias Tecnológicas Determinadas, no subsanada en [X; se recomienda 30] días naturales.</w:t>
            </w:r>
          </w:p>
          <w:p>
            <w:pPr>
              <w:spacing w:after="100" w:line="264"/>
            </w:pPr>
            <w:r>
              <w:rPr>
                <w:rFonts w:ascii="Georgia" w:cs="Georgia" w:eastAsia="Georgia" w:hAnsi="Georgia"/>
                <w:sz w:val="20"/>
                <w:szCs w:val="20"/>
              </w:rPr>
              <w:t xml:space="preserve">G22. Falta de constancia en el acta de aceptación de alguno de los criterios de aceptación de una exigencia del Anexo de Exigencias Tecnológicas Determinadas.</w:t>
            </w:r>
          </w:p>
          <w:p>
            <w:pPr>
              <w:spacing w:after="100" w:line="264"/>
            </w:pPr>
            <w:r>
              <w:rPr>
                <w:rFonts w:ascii="Georgia" w:cs="Georgia" w:eastAsia="Georgia" w:hAnsi="Georgia"/>
                <w:sz w:val="20"/>
                <w:szCs w:val="20"/>
              </w:rPr>
              <w:t xml:space="preserve">G23. Efecto de la suspensión de una funcionalidad de inteligencia artificial, accionada por el control propio del Ayuntamiento o por el procedimiento sustitutivo, fuera del plazo máximo previsto en la cláusula técnica de incorporación de inteligencia artificial.</w:t>
            </w:r>
          </w:p>
          <w:p>
            <w:pPr>
              <w:spacing w:after="100" w:line="264"/>
            </w:pPr>
            <w:r>
              <w:rPr>
                <w:rFonts w:ascii="Georgia" w:cs="Georgia" w:eastAsia="Georgia" w:hAnsi="Georgia"/>
                <w:sz w:val="20"/>
                <w:szCs w:val="20"/>
              </w:rPr>
              <w:t xml:space="preserve">G24. Imposibilidad de que el personal municipal exporte por expediente, sin intervención del adjudicatario, los criterios aplicados en cada resultado de un sistema de inteligencia artificial junto con los datos de entrada vinculados.</w:t>
            </w:r>
          </w:p>
          <w:p>
            <w:pPr>
              <w:spacing w:after="100" w:line="264"/>
            </w:pPr>
            <w:r>
              <w:rPr>
                <w:rFonts w:ascii="Georgia" w:cs="Georgia" w:eastAsia="Georgia" w:hAnsi="Georgia"/>
                <w:sz w:val="20"/>
                <w:szCs w:val="20"/>
              </w:rPr>
              <w:t xml:space="preserve">G25. Falta de habilitación de la muestra de verificación de sesgos, o falta de comunicación de un sesgo conocido en el plazo de la cláusula técnica de incorporación de inteligencia artificial.</w:t>
            </w:r>
          </w:p>
          <w:p>
            <w:pPr>
              <w:spacing w:after="100" w:line="264"/>
            </w:pPr>
            <w:r>
              <w:rPr>
                <w:rFonts w:ascii="Georgia" w:cs="Georgia" w:eastAsia="Georgia" w:hAnsi="Georgia"/>
                <w:sz w:val="20"/>
                <w:szCs w:val="20"/>
              </w:rPr>
              <w:t xml:space="preserve">G26. Superación, en una incidencia calificada de crítica conforme al Pliego de Prescripciones Técnicas, del tiempo máximo de respuesta o de resolución aplicable, determinado como en la letra L12.</w:t>
            </w:r>
          </w:p>
          <w:p>
            <w:pPr>
              <w:spacing w:after="100" w:line="264"/>
            </w:pPr>
            <w:r>
              <w:rPr>
                <w:rFonts w:ascii="Georgia" w:cs="Georgia" w:eastAsia="Georgia" w:hAnsi="Georgia"/>
                <w:b/>
                <w:bCs/>
                <w:sz w:val="20"/>
                <w:szCs w:val="20"/>
              </w:rPr>
              <w:t xml:space="preserve">Muy graves</w:t>
            </w:r>
          </w:p>
          <w:p>
            <w:pPr>
              <w:spacing w:after="100" w:line="264"/>
            </w:pPr>
            <w:r>
              <w:rPr>
                <w:rFonts w:ascii="Georgia" w:cs="Georgia" w:eastAsia="Georgia" w:hAnsi="Georgia"/>
                <w:sz w:val="20"/>
                <w:szCs w:val="20"/>
              </w:rPr>
              <w:t xml:space="preserve">M1. Falta de implantación de una exigencia del Anexo de Exigencias Tecnológicas Determinadas, transcurrido su plazo y un plazo adicional de subsanación de un mes desde requerimiento fehaciente.</w:t>
            </w:r>
          </w:p>
          <w:p>
            <w:pPr>
              <w:spacing w:after="100" w:line="264"/>
            </w:pPr>
            <w:r>
              <w:rPr>
                <w:rFonts w:ascii="Georgia" w:cs="Georgia" w:eastAsia="Georgia" w:hAnsi="Georgia"/>
                <w:sz w:val="20"/>
                <w:szCs w:val="20"/>
              </w:rPr>
              <w:t xml:space="preserve">M2. Negativa a poner a disposición del Ayuntamiento una versión sucesora publicada por el fabricante y a la que el contratista tenga acceso.</w:t>
            </w:r>
          </w:p>
          <w:p>
            <w:pPr>
              <w:spacing w:after="100" w:line="264"/>
            </w:pPr>
            <w:r>
              <w:rPr>
                <w:rFonts w:ascii="Georgia" w:cs="Georgia" w:eastAsia="Georgia" w:hAnsi="Georgia"/>
                <w:sz w:val="20"/>
                <w:szCs w:val="20"/>
              </w:rPr>
              <w:t xml:space="preserve">M3. Negativa a constituir el depósito de código o el plan de continuidad equivalente por la vía de cumplimiento elegida; negativa a liberar el depósito concurriendo un supuesto tasado de liberación; o entrega de material incompleto o no verificable.</w:t>
            </w:r>
          </w:p>
          <w:p>
            <w:pPr>
              <w:spacing w:after="100" w:line="264"/>
            </w:pPr>
            <w:r>
              <w:rPr>
                <w:rFonts w:ascii="Georgia" w:cs="Georgia" w:eastAsia="Georgia" w:hAnsi="Georgia"/>
                <w:sz w:val="20"/>
                <w:szCs w:val="20"/>
              </w:rPr>
              <w:t xml:space="preserve">M4. Negativa a entregar la reversibilidad; entrega incompleta o en formato no reutilizable del material de la reversibilidad o del Dossier de Reversibilidad, o entrega de un código fuente de los desarrollos específicos que no compile o no se despliegue conforme a la documentación entregada, no subsanadas en el plazo requerido; o negativa a mantener la licencia de continuidad del producto base en los términos de este pliego.</w:t>
            </w:r>
          </w:p>
          <w:p>
            <w:pPr>
              <w:spacing w:after="100" w:line="264"/>
            </w:pPr>
            <w:r>
              <w:rPr>
                <w:rFonts w:ascii="Georgia" w:cs="Georgia" w:eastAsia="Georgia" w:hAnsi="Georgia"/>
                <w:sz w:val="20"/>
                <w:szCs w:val="20"/>
              </w:rPr>
              <w:t xml:space="preserve">M5. Introducción de información municipal del nivel 1 definido en la cláusula [ADM-13], apartado 1, en un sistema de inteligencia artificial no autorizado en este contrato, cuando conste su incorporación efectiva.</w:t>
            </w:r>
          </w:p>
          <w:p>
            <w:pPr>
              <w:spacing w:after="100" w:line="264"/>
            </w:pPr>
            <w:r>
              <w:rPr>
                <w:rFonts w:ascii="Georgia" w:cs="Georgia" w:eastAsia="Georgia" w:hAnsi="Georgia"/>
                <w:sz w:val="20"/>
                <w:szCs w:val="20"/>
              </w:rPr>
              <w:t xml:space="preserve">M6. Denegación o supresión del acceso de los órganos de control.</w:t>
            </w:r>
          </w:p>
          <w:p>
            <w:pPr>
              <w:spacing w:after="100" w:line="264"/>
            </w:pPr>
            <w:r>
              <w:rPr>
                <w:rFonts w:ascii="Georgia" w:cs="Georgia" w:eastAsia="Georgia" w:hAnsi="Georgia"/>
                <w:sz w:val="20"/>
                <w:szCs w:val="20"/>
              </w:rPr>
              <w:t xml:space="preserve">M7. Falta de acreditación del sistema de gestión exigido por cualquiera de las vías admitidas en la cláusula correspondiente de este pliego, no subsanada en el plazo de la letra G8.</w:t>
            </w:r>
          </w:p>
          <w:p>
            <w:pPr>
              <w:spacing w:after="100" w:line="264"/>
            </w:pPr>
            <w:r>
              <w:rPr>
                <w:rFonts w:ascii="Georgia" w:cs="Georgia" w:eastAsia="Georgia" w:hAnsi="Georgia"/>
                <w:sz w:val="20"/>
                <w:szCs w:val="20"/>
              </w:rPr>
              <w:t xml:space="preserve">M8. Afectación grave a la seguridad o a la continuidad del servicio imputable al contratista.</w:t>
            </w:r>
          </w:p>
          <w:p>
            <w:pPr>
              <w:spacing w:after="100" w:line="264"/>
            </w:pPr>
            <w:r>
              <w:rPr>
                <w:rFonts w:ascii="Georgia" w:cs="Georgia" w:eastAsia="Georgia" w:hAnsi="Georgia"/>
                <w:sz w:val="20"/>
                <w:szCs w:val="20"/>
              </w:rPr>
              <w:t xml:space="preserve">M9. Empleo de una práctica de inteligencia artificial prohibida; adopción de decisiones automatizadas con efecto jurídico sin la habilitación exigida; negativa a entregar los registros de funcionamiento o la constancia de los criterios aplicados en cada resultado, o a facilitar el acceso para auditoría, previstos en la cláusula técnica de incorporación de inteligencia artificial; o imposibilidad de suspender una funcionalidad de inteligencia artificial mediante el control propio del Ayuntamiento previsto en esa cláusula sin intervención del adjudicatario, salvo las funcionalidades identificadas en la oferta para el procedimiento sustitutivo.</w:t>
            </w:r>
          </w:p>
          <w:p>
            <w:pPr>
              <w:spacing w:after="100" w:line="264"/>
            </w:pPr>
            <w:r>
              <w:rPr>
                <w:rFonts w:ascii="Georgia" w:cs="Georgia" w:eastAsia="Georgia" w:hAnsi="Georgia"/>
                <w:sz w:val="20"/>
                <w:szCs w:val="20"/>
              </w:rPr>
              <w:t xml:space="preserve">M10. Inscripción de datos personales en un registro distribuido contra lo previsto en la cláusula técnica de capa de confianza.</w:t>
            </w:r>
          </w:p>
          <w:p>
            <w:pPr>
              <w:spacing w:after="100" w:line="264"/>
            </w:pPr>
            <w:r>
              <w:rPr>
                <w:rFonts w:ascii="Georgia" w:cs="Georgia" w:eastAsia="Georgia" w:hAnsi="Georgia"/>
                <w:sz w:val="20"/>
                <w:szCs w:val="20"/>
              </w:rPr>
              <w:t xml:space="preserve">M11. Empleo de algoritmos criptográficos expresamente desaconsejados por las guías CCN-STIC aplicables, no subsanado tras requerimiento.</w:t>
            </w:r>
          </w:p>
          <w:p>
            <w:pPr>
              <w:spacing w:after="100" w:line="264"/>
            </w:pPr>
            <w:r>
              <w:rPr>
                <w:rFonts w:ascii="Georgia" w:cs="Georgia" w:eastAsia="Georgia" w:hAnsi="Georgia"/>
                <w:sz w:val="20"/>
                <w:szCs w:val="20"/>
              </w:rPr>
              <w:t xml:space="preserve">M12. Puesta en producción de una automatización que constituya actuación administrativa automatizada sin la aprobación previa exigida por la cláusula técnica de automatización de procesos, o ausencia de procedimiento de reversión en una automatización con efectos sobre terceros.</w:t>
            </w:r>
          </w:p>
          <w:p>
            <w:pPr>
              <w:spacing w:after="100" w:line="264"/>
            </w:pPr>
            <w:r>
              <w:rPr>
                <w:rFonts w:ascii="Georgia" w:cs="Georgia" w:eastAsia="Georgia" w:hAnsi="Georgia"/>
                <w:sz w:val="20"/>
                <w:szCs w:val="20"/>
              </w:rPr>
              <w:t xml:space="preserve">M13. Falta de integración con un servicio común de utilización obligatoria en el plazo del pliego, o facturación o tarificación de las consultas o de las exportaciones que este pliego declara incluidas en el precio.</w:t>
            </w:r>
          </w:p>
          <w:p>
            <w:pPr>
              <w:spacing w:after="100" w:line="264"/>
            </w:pPr>
            <w:r>
              <w:rPr>
                <w:rFonts w:ascii="Georgia" w:cs="Georgia" w:eastAsia="Georgia" w:hAnsi="Georgia"/>
                <w:sz w:val="20"/>
                <w:szCs w:val="20"/>
              </w:rPr>
              <w:t xml:space="preserve">M14. Incumplimiento de los plazos de subsanación de vulnerabilidades de severidad crítica, o negativa a la auditoría de seguridad prevista en este pliego.</w:t>
            </w:r>
          </w:p>
          <w:p>
            <w:pPr>
              <w:spacing w:after="100" w:line="264"/>
            </w:pPr>
            <w:r>
              <w:rPr>
                <w:rFonts w:ascii="Georgia" w:cs="Georgia" w:eastAsia="Georgia" w:hAnsi="Georgia"/>
                <w:sz w:val="20"/>
                <w:szCs w:val="20"/>
              </w:rPr>
              <w:t xml:space="preserve">M15. Incumplimiento del plazo máximo de entrega de la interfaz normalizada de acceso programático; imposibilidad de ejecutar la suspensión de la actuación de los agentes sin intervención del adjudicatario; o imposibilidad de exportar el registro de auditoría de la interfaz.</w:t>
            </w:r>
          </w:p>
          <w:p>
            <w:pPr>
              <w:spacing w:after="100" w:line="264"/>
            </w:pPr>
            <w:r>
              <w:rPr>
                <w:rFonts w:ascii="Georgia" w:cs="Georgia" w:eastAsia="Georgia" w:hAnsi="Georgia"/>
                <w:sz w:val="20"/>
                <w:szCs w:val="20"/>
              </w:rPr>
              <w:t xml:space="preserve">M16. Superación del tiempo máximo de resolución aplicable a una incidencia crítica, determinado como en la letra L12, en más del [X; se recomienda 100] por ciento de ese tiempo; o tercer incumplimiento del tipo G26 en un período de doce meses. Un mismo hecho sólo se penaliza por uno de los tipos G26, M8 y M16.</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Las penalidades se imponen por acuerdo del órgano de contratación, a propuesta motivada del responsable del contrato, previa audiencia del contratista por plazo no inferior a [X; se recomienda 10] días hábiles, y se hacen efectivas mediante deducción de las cantidades que deban abonarse al contratista o, en su defecto, sobre la garantía definitiva.</w:t>
            </w:r>
          </w:p>
          <w:p>
            <w:pPr>
              <w:pStyle w:val="ListParagraph"/>
              <w:numPr>
                <w:ilvl w:val="0"/>
                <w:numId w:val="2"/>
              </w:numPr>
              <w:spacing w:after="60" w:line="264"/>
            </w:pPr>
            <w:r>
              <w:rPr>
                <w:rFonts w:ascii="Georgia" w:cs="Georgia" w:eastAsia="Georgia" w:hAnsi="Georgia"/>
                <w:b/>
                <w:bCs/>
                <w:sz w:val="20"/>
                <w:szCs w:val="20"/>
              </w:rPr>
              <w:t xml:space="preserve">Regla de acumulación.</w:t>
            </w:r>
            <w:r>
              <w:rPr>
                <w:rFonts w:ascii="Georgia" w:cs="Georgia" w:eastAsia="Georgia" w:hAnsi="Georgia"/>
                <w:sz w:val="20"/>
                <w:szCs w:val="20"/>
              </w:rPr>
              <w:t xml:space="preserve"> Cuando el importe acumulado de las penalidades impuestas alcance el [X; se recomienda 20] por ciento del precio del contrato, el órgano de contratación valorará expresamente, y hará constar en el expediente, la procedencia de iniciar el procedimiento de resolución conforme a la cláusula de obligaciones esenciales de este pliego.</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El apartado 3, como lista con casillas de borrado (epígrafe 2). Cuantías </w:t>
      </w:r>
      <w:r>
        <w:rPr>
          <w:rFonts w:ascii="Calibri" w:cs="Calibri" w:eastAsia="Calibri" w:hAnsi="Calibri"/>
          <w:b/>
          <w:bCs/>
          <w:sz w:val="21"/>
          <w:szCs w:val="21"/>
        </w:rPr>
        <w:t xml:space="preserve">0,5 · 0,5–3 · 3–6 %</w:t>
      </w:r>
      <w:r>
        <w:rPr>
          <w:rFonts w:ascii="Calibri" w:cs="Calibri" w:eastAsia="Calibri" w:hAnsi="Calibri"/>
          <w:sz w:val="21"/>
          <w:szCs w:val="21"/>
        </w:rPr>
        <w:t xml:space="preserve"> (Anexo X, fila 14); audiencia </w:t>
      </w:r>
      <w:r>
        <w:rPr>
          <w:rFonts w:ascii="Calibri" w:cs="Calibri" w:eastAsia="Calibri" w:hAnsi="Calibri"/>
          <w:b/>
          <w:bCs/>
          <w:sz w:val="21"/>
          <w:szCs w:val="21"/>
        </w:rPr>
        <w:t xml:space="preserve">10</w:t>
      </w:r>
      <w:r>
        <w:rPr>
          <w:rFonts w:ascii="Calibri" w:cs="Calibri" w:eastAsia="Calibri" w:hAnsi="Calibri"/>
          <w:sz w:val="21"/>
          <w:szCs w:val="21"/>
        </w:rPr>
        <w:t xml:space="preserve"> días hábiles y acumulación </w:t>
      </w:r>
      <w:r>
        <w:rPr>
          <w:rFonts w:ascii="Calibri" w:cs="Calibri" w:eastAsia="Calibri" w:hAnsi="Calibri"/>
          <w:b/>
          <w:bCs/>
          <w:sz w:val="21"/>
          <w:szCs w:val="21"/>
        </w:rPr>
        <w:t xml:space="preserve">20 %</w:t>
      </w:r>
      <w:r>
        <w:rPr>
          <w:rFonts w:ascii="Calibri" w:cs="Calibri" w:eastAsia="Calibri" w:hAnsi="Calibri"/>
          <w:sz w:val="21"/>
          <w:szCs w:val="21"/>
        </w:rPr>
        <w:t xml:space="preserve">, con sede en la cláusula (cierre de X.1); plazos dentro de los tipos, </w:t>
      </w:r>
      <w:r>
        <w:rPr>
          <w:rFonts w:ascii="Calibri" w:cs="Calibri" w:eastAsia="Calibri" w:hAnsi="Calibri"/>
          <w:b/>
          <w:bCs/>
          <w:sz w:val="21"/>
          <w:szCs w:val="21"/>
        </w:rPr>
        <w:t xml:space="preserve">15 o 30 días</w:t>
      </w:r>
      <w:r>
        <w:rPr>
          <w:rFonts w:ascii="Calibri" w:cs="Calibri" w:eastAsia="Calibri" w:hAnsi="Calibri"/>
          <w:sz w:val="21"/>
          <w:szCs w:val="21"/>
        </w:rPr>
        <w:t xml:space="preserve">, iguales a los de la DT de origen (fila 48).</w:t>
      </w:r>
    </w:p>
    <w:p>
      <w:pPr>
        <w:spacing w:after="140" w:line="276"/>
      </w:pPr>
      <w:r>
        <w:rPr>
          <w:rFonts w:ascii="Calibri" w:cs="Calibri" w:eastAsia="Calibri" w:hAnsi="Calibri"/>
          <w:b/>
          <w:bCs/>
          <w:sz w:val="21"/>
          <w:szCs w:val="21"/>
        </w:rPr>
        <w:t xml:space="preserve">Trasvase: instrucción de alta.</w:t>
      </w:r>
      <w:r>
        <w:rPr>
          <w:rFonts w:ascii="Calibri" w:cs="Calibri" w:eastAsia="Calibri" w:hAnsi="Calibri"/>
          <w:sz w:val="21"/>
          <w:szCs w:val="21"/>
        </w:rPr>
        <w:t xml:space="preserve"> ADM-5·v3 tipifica L1 a L12, G1 a G26 y M1 a M16. Los tipos L6 a L11, G10 a G25 y M9 a M15 proceden de las cláusulas técnicas: se conserva el de la incorporada y se borra el de la NO APLICA (ADM-5·v3, epígrafe 2, instrucción de alta). Sin el trasvase, el PPT anuncia penalidades que el PCAP, que tipifica «exclusivamente», declara inexistentes.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DT</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este perfil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L6, L11, G10, G11, G12, G23, G24, G25, M9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(anclaje), G13, M10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Borrar</w:t>
            </w:r>
            <w:r>
              <w:rPr>
                <w:rFonts w:ascii="Calibri" w:cs="Calibri" w:eastAsia="Calibri" w:hAnsi="Calibri"/>
                <w:b w:val="false"/>
                <w:bCs w:val="false"/>
                <w:sz w:val="18"/>
                <w:szCs w:val="18"/>
              </w:rPr>
              <w:t xml:space="preserve"> G13 y M10; L7 pierde el anclaje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(plan criptográfico), G14, M11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Borrar</w:t>
            </w:r>
            <w:r>
              <w:rPr>
                <w:rFonts w:ascii="Calibri" w:cs="Calibri" w:eastAsia="Calibri" w:hAnsi="Calibri"/>
                <w:b w:val="false"/>
                <w:bCs w:val="false"/>
                <w:sz w:val="18"/>
                <w:szCs w:val="18"/>
              </w:rPr>
              <w:t xml:space="preserve"> G14 y M11; L8 pierde lo criptográfico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(indicadores), G15, M12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DT-4; sin DT-3 ni DT-4, L8 entero fuera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G16, G17, M13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Conservar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L9, G8, G18, M7, M14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Conservar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G17, G19, M15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DT-7; sin ella, se borran G19 y M15, y L7 y G17 siguen por DT-5 sin la interfaz</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L10, G3, G20, M4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Conservar</w:t>
            </w:r>
            <w:r>
              <w:rPr>
                <w:rFonts w:ascii="Calibri" w:cs="Calibri" w:eastAsia="Calibri" w:hAnsi="Calibri"/>
                <w:b w:val="false"/>
                <w:bCs w:val="false"/>
                <w:sz w:val="18"/>
                <w:szCs w:val="18"/>
              </w:rPr>
              <w:t xml:space="preserve">: el bloque del perfil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L2, G2, G5, G21, G22, M1, M2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DT-9</w:t>
            </w:r>
          </w:p>
        </w:tc>
      </w:tr>
    </w:tbl>
    <w:p>
      <w:pPr>
        <w:spacing w:after="200"/>
      </w:pPr>
    </w:p>
    <w:p>
      <w:pPr>
        <w:spacing w:after="140" w:line="276"/>
      </w:pPr>
      <w:r>
        <w:rPr>
          <w:rFonts w:ascii="Calibri" w:cs="Calibri" w:eastAsia="Calibri" w:hAnsi="Calibri"/>
          <w:b/>
          <w:bCs/>
          <w:sz w:val="21"/>
          <w:szCs w:val="21"/>
        </w:rPr>
        <w:t xml:space="preserve">Casillas dentro de un mismo tipo</w:t>
      </w:r>
      <w:r>
        <w:rPr>
          <w:rFonts w:ascii="Calibri" w:cs="Calibri" w:eastAsia="Calibri" w:hAnsi="Calibri"/>
          <w:sz w:val="21"/>
          <w:szCs w:val="21"/>
        </w:rPr>
        <w:t xml:space="preserve"> (ADM-5·v3, epígrafe 2). Si DT-1·v3 entra sin alguno de sus apartados 11 a 13, se borra el inciso que procede de él en L11, G24, G25 y M9; con la entidad no sujeta a la ley autonómica, que es el valor por defecto, el del nivel de impacto o riesgo en G10; y si el pliego no conserva el procedimiento sustitutivo de DT-1·v3, apartado 6.d), sus menciones en G23 y M9. Sin desarrollos específicos para la entidad, se borra en M4 el inciso del código fuente que no compile o no se despliegue; sin el criterio C3, la mención del tiempo ofertado en L12.</w:t>
      </w:r>
    </w:p>
    <w:p>
      <w:pPr>
        <w:spacing w:after="140" w:line="276"/>
      </w:pPr>
      <w:r>
        <w:rPr>
          <w:rFonts w:ascii="Calibri" w:cs="Calibri" w:eastAsia="Calibri" w:hAnsi="Calibri"/>
          <w:b/>
          <w:bCs/>
          <w:sz w:val="21"/>
          <w:szCs w:val="21"/>
        </w:rPr>
        <w:t xml:space="preserve">Niveles de servicio: L12, G26 y M16</w:t>
      </w:r>
      <w:r>
        <w:rPr>
          <w:rFonts w:ascii="Calibri" w:cs="Calibri" w:eastAsia="Calibri" w:hAnsi="Calibri"/>
          <w:sz w:val="21"/>
          <w:szCs w:val="21"/>
        </w:rPr>
        <w:t xml:space="preserve"> (ADM-5·v3, epígrafe 2). No proceden de una cláusula técnica, sino de los acuerdos de nivel de servicio que fije el PPT y, en su caso, de los tiempos inferiores ofertados en el criterio C3, que se incorporan al contrato. Se conservan si el PPT fija tiempos máximos de respuesta o de resolución; G26 y M16, sólo si además califica qué incidencias son críticas. Si no fija tiempos, se borran los tres, y la deficiencia queda en M8 cuando alcance su supuesto. Un mismo hecho sólo se penaliza por uno de G26, M8 y M16. Umbrales: Anexo X, fila 59 (</w:t>
      </w:r>
      <w:r>
        <w:rPr>
          <w:rFonts w:ascii="Calibri" w:cs="Calibri" w:eastAsia="Calibri" w:hAnsi="Calibri"/>
          <w:b/>
          <w:bCs/>
          <w:sz w:val="21"/>
          <w:szCs w:val="21"/>
        </w:rPr>
        <w:t xml:space="preserve">[10] %</w:t>
      </w:r>
      <w:r>
        <w:rPr>
          <w:rFonts w:ascii="Calibri" w:cs="Calibri" w:eastAsia="Calibri" w:hAnsi="Calibri"/>
          <w:sz w:val="21"/>
          <w:szCs w:val="21"/>
        </w:rPr>
        <w:t xml:space="preserve"> de las incidencias no críticas en L12; más del </w:t>
      </w:r>
      <w:r>
        <w:rPr>
          <w:rFonts w:ascii="Calibri" w:cs="Calibri" w:eastAsia="Calibri" w:hAnsi="Calibri"/>
          <w:b/>
          <w:bCs/>
          <w:sz w:val="21"/>
          <w:szCs w:val="21"/>
        </w:rPr>
        <w:t xml:space="preserve">[100] %</w:t>
      </w:r>
      <w:r>
        <w:rPr>
          <w:rFonts w:ascii="Calibri" w:cs="Calibri" w:eastAsia="Calibri" w:hAnsi="Calibri"/>
          <w:sz w:val="21"/>
          <w:szCs w:val="21"/>
        </w:rPr>
        <w:t xml:space="preserve"> del tiempo de resolución en M16). Base: arts. 192.1 y 122.3 LCSP.</w:t>
      </w:r>
    </w:p>
    <w:p>
      <w:pPr>
        <w:spacing w:after="140" w:line="276"/>
      </w:pPr>
      <w:r>
        <w:rPr>
          <w:rFonts w:ascii="Calibri" w:cs="Calibri" w:eastAsia="Calibri" w:hAnsi="Calibri"/>
          <w:b/>
          <w:bCs/>
          <w:sz w:val="21"/>
          <w:szCs w:val="21"/>
        </w:rPr>
        <w:t xml:space="preserve">Tipos de origen administrativo.</w:t>
      </w:r>
      <w:r>
        <w:rPr>
          <w:rFonts w:ascii="Calibri" w:cs="Calibri" w:eastAsia="Calibri" w:hAnsi="Calibri"/>
          <w:sz w:val="21"/>
          <w:szCs w:val="21"/>
        </w:rPr>
        <w:t xml:space="preserve"> Siempre, L3 —su inciso «cualquier otra documentación exigible» lo usa ADM-4·v3, apartado 5—, L5, G1 y M8. L4, con la Comisión de Seguimiento (ADM-4·v3). L1 y G9, con ADM-10·v3. G4 y M3, con ADM-11·v3. G6 y M6, con ADM-12·v3. G7 y M5, con ADM-13·v3. G8 y M7 siguen a DT-6·v3 y, en lo que toca al sistema de gestión de la IA, a ADM-1·v3. En este perfil, G7 y M5 se conservan siempre, porque ADM-13·v3 entra siempre, y G4 y M3 se borran. L12, G26 y M16, sólo si el PPT fija tiempos máximos de respuesta o de resolución, por ejemplo en la garantía o en el soporte tras la puesta en producción; si no, se borran.</w:t>
      </w:r>
    </w:p>
    <w:p>
      <w:pPr>
        <w:spacing w:after="140" w:line="276"/>
      </w:pPr>
      <w:r>
        <w:rPr>
          <w:rFonts w:ascii="Calibri" w:cs="Calibri" w:eastAsia="Calibri" w:hAnsi="Calibri"/>
          <w:i/>
          <w:iCs/>
          <w:sz w:val="21"/>
          <w:szCs w:val="21"/>
        </w:rPr>
        <w:t xml:space="preserve">M4, ampliado.</w:t>
      </w:r>
      <w:r>
        <w:rPr>
          <w:rFonts w:ascii="Calibri" w:cs="Calibri" w:eastAsia="Calibri" w:hAnsi="Calibri"/>
          <w:sz w:val="21"/>
          <w:szCs w:val="21"/>
        </w:rPr>
        <w:t xml:space="preserve"> M4 recoge ya la entrega de un código fuente de los desarrollos específicos que no compile o no se despliegue conforme a la documentación entregada, no subsanada en el plazo requerido (ADM-5·v3, apartado 3), y ADM-8·v3, epígrafe 6, remite a ese tipo. En este perfil el inciso se conserva siempre; lo prueban el acta de ensayo y la de reversión (Anexo XVIII, modelos B y C).</w:t>
      </w:r>
    </w:p>
    <w:p>
      <w:pPr>
        <w:pStyle w:val="Heading3"/>
        <w:keepNext/>
        <w:spacing w:after="140" w:before="320"/>
      </w:pPr>
      <w:r>
        <w:rPr>
          <w:rFonts w:ascii="Georgia" w:cs="Georgia" w:eastAsia="Georgia" w:hAnsi="Georgia"/>
          <w:b/>
          <w:bCs/>
          <w:color w:val="2F5496"/>
          <w:sz w:val="22"/>
          <w:szCs w:val="22"/>
        </w:rPr>
        <w:t xml:space="preserve">ADM-6·v3 · Obligaciones contractuales esenciales y resolución</w:t>
      </w:r>
    </w:p>
    <w:p>
      <w:pPr>
        <w:spacing w:after="140" w:line="276"/>
      </w:pPr>
      <w:r>
        <w:rPr>
          <w:rFonts w:ascii="Calibri" w:cs="Calibri" w:eastAsia="Calibri" w:hAnsi="Calibri"/>
          <w:i/>
          <w:iCs/>
          <w:sz w:val="21"/>
          <w:szCs w:val="21"/>
        </w:rPr>
        <w:t xml:space="preserve">Texto vigente de ADM-6·v3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Obligaciones contractuales esenciales y resolución del contrato.</w:t>
            </w:r>
          </w:p>
          <w:p>
            <w:pPr>
              <w:spacing w:after="100" w:line="264"/>
            </w:pPr>
            <w:r>
              <w:rPr>
                <w:rFonts w:ascii="Georgia" w:cs="Georgia" w:eastAsia="Georgia" w:hAnsi="Georgia"/>
                <w:b/>
                <w:bCs/>
                <w:sz w:val="20"/>
                <w:szCs w:val="20"/>
              </w:rPr>
              <w:t xml:space="preserve">1. Bloque A. Obligaciones esenciales por imperativo legal.</w:t>
            </w:r>
            <w:r>
              <w:rPr>
                <w:rFonts w:ascii="Georgia" w:cs="Georgia" w:eastAsia="Georgia" w:hAnsi="Georgia"/>
                <w:sz w:val="20"/>
                <w:szCs w:val="20"/>
              </w:rPr>
              <w:t xml:space="preserve"> </w:t>
            </w:r>
            <w:r>
              <w:rPr>
                <w:rFonts w:ascii="Georgia" w:cs="Georgia" w:eastAsia="Georgia" w:hAnsi="Georgia"/>
                <w:i/>
                <w:iCs/>
                <w:sz w:val="20"/>
                <w:szCs w:val="20"/>
              </w:rPr>
              <w:t xml:space="preserve">[Se copian únicamente los apartados cuyo presupuesto concurra en este contrato. Si no concurre ninguno, este bloque no se incorpora.]</w:t>
            </w:r>
          </w:p>
          <w:p>
            <w:pPr>
              <w:spacing w:after="100" w:line="264"/>
            </w:pPr>
            <w:r>
              <w:rPr>
                <w:rFonts w:ascii="Georgia" w:cs="Georgia" w:eastAsia="Georgia" w:hAnsi="Georgia"/>
                <w:sz w:val="20"/>
                <w:szCs w:val="20"/>
              </w:rPr>
              <w:t xml:space="preserve">1.1 </w:t>
            </w:r>
            <w:r>
              <w:rPr>
                <w:rFonts w:ascii="Georgia" w:cs="Georgia" w:eastAsia="Georgia" w:hAnsi="Georgia"/>
                <w:i/>
                <w:iCs/>
                <w:sz w:val="20"/>
                <w:szCs w:val="20"/>
              </w:rPr>
              <w:t xml:space="preserve">[Sólo si la ejecución de este contrato implica la cesión de datos por el Ayuntamiento al contratista.]</w:t>
            </w:r>
            <w:r>
              <w:rPr>
                <w:rFonts w:ascii="Georgia" w:cs="Georgia" w:eastAsia="Georgia" w:hAnsi="Georgia"/>
                <w:sz w:val="20"/>
                <w:szCs w:val="20"/>
              </w:rPr>
              <w:t xml:space="preserve"> Conforme al artículo 202.1, párrafo tercero, de la Ley 9/2017, se establece como condición especial de ejecución la obligación del contratista de someterse a la normativa nacional y de la Unión Europea en materia de protección de datos, y </w:t>
            </w:r>
            <w:r>
              <w:rPr>
                <w:rFonts w:ascii="Georgia" w:cs="Georgia" w:eastAsia="Georgia" w:hAnsi="Georgia"/>
                <w:b/>
                <w:bCs/>
                <w:sz w:val="20"/>
                <w:szCs w:val="20"/>
              </w:rPr>
              <w:t xml:space="preserve">se le advierte de que esta obligación tiene el carácter de obligación contractual esencial</w:t>
            </w:r>
            <w:r>
              <w:rPr>
                <w:rFonts w:ascii="Georgia" w:cs="Georgia" w:eastAsia="Georgia" w:hAnsi="Georgia"/>
                <w:sz w:val="20"/>
                <w:szCs w:val="20"/>
              </w:rPr>
              <w:t xml:space="preserve"> a los efectos de la letra f) del apartado 1 del artículo 211 de la misma ley. La finalidad del tratamiento de los datos cedidos es la que consta especificada en el expediente de contratación.</w:t>
            </w:r>
          </w:p>
          <w:p>
            <w:pPr>
              <w:spacing w:after="100" w:line="264"/>
            </w:pPr>
            <w:r>
              <w:rPr>
                <w:rFonts w:ascii="Georgia" w:cs="Georgia" w:eastAsia="Georgia" w:hAnsi="Georgia"/>
                <w:sz w:val="20"/>
                <w:szCs w:val="20"/>
              </w:rPr>
              <w:t xml:space="preserve">1.2 </w:t>
            </w:r>
            <w:r>
              <w:rPr>
                <w:rFonts w:ascii="Georgia" w:cs="Georgia" w:eastAsia="Georgia" w:hAnsi="Georgia"/>
                <w:i/>
                <w:iCs/>
                <w:sz w:val="20"/>
                <w:szCs w:val="20"/>
              </w:rPr>
              <w:t xml:space="preserve">[Sólo si la ejecución de este contrato requiere el tratamiento por el contratista de datos personales por cuenta del responsable.]</w:t>
            </w:r>
            <w:r>
              <w:rPr>
                <w:rFonts w:ascii="Georgia" w:cs="Georgia" w:eastAsia="Georgia" w:hAnsi="Georgia"/>
                <w:sz w:val="20"/>
                <w:szCs w:val="20"/>
              </w:rPr>
              <w:t xml:space="preserve"> Se incorporan a este pliego las menciones exigidas por el artículo 122.2 de la Ley 9/2017 —relativas, entre otras, a la finalidad del tratamiento, a la obligación del contratista de someterse a la normativa de protección de datos, a la indicación del servidor y del país donde se alojarán los datos, a la comunicación de cualquier cambio al respecto y a la subcontratación de servicios que comporten dicho tratamiento—, </w:t>
            </w:r>
            <w:r>
              <w:rPr>
                <w:rFonts w:ascii="Georgia" w:cs="Georgia" w:eastAsia="Georgia" w:hAnsi="Georgia"/>
                <w:b/>
                <w:bCs/>
                <w:sz w:val="20"/>
                <w:szCs w:val="20"/>
              </w:rPr>
              <w:t xml:space="preserve">que en todo caso tienen el carácter de obligaciones contractuales esenciales</w:t>
            </w:r>
            <w:r>
              <w:rPr>
                <w:rFonts w:ascii="Georgia" w:cs="Georgia" w:eastAsia="Georgia" w:hAnsi="Georgia"/>
                <w:sz w:val="20"/>
                <w:szCs w:val="20"/>
              </w:rPr>
              <w:t xml:space="preserve"> a los efectos de la letra f) del apartado 1 del artículo 211. </w:t>
            </w:r>
            <w:r>
              <w:rPr>
                <w:rFonts w:ascii="Georgia" w:cs="Georgia" w:eastAsia="Georgia" w:hAnsi="Georgia"/>
                <w:i/>
                <w:iCs/>
                <w:sz w:val="20"/>
                <w:szCs w:val="20"/>
              </w:rPr>
              <w:t xml:space="preserve">[Transcríbanse aquí las letras a) a e) del artículo 122.2 de la Ley 9/2017 en su redacción vigente.]</w:t>
            </w:r>
          </w:p>
          <w:p>
            <w:pPr>
              <w:spacing w:after="100" w:line="264"/>
            </w:pPr>
            <w:r>
              <w:rPr>
                <w:rFonts w:ascii="Georgia" w:cs="Georgia" w:eastAsia="Georgia" w:hAnsi="Georgia"/>
                <w:b/>
                <w:bCs/>
                <w:sz w:val="20"/>
                <w:szCs w:val="20"/>
              </w:rPr>
              <w:t xml:space="preserve">2. Bloque B. Obligaciones esenciales por decisión de este pliego.</w:t>
            </w:r>
            <w:r>
              <w:rPr>
                <w:rFonts w:ascii="Georgia" w:cs="Georgia" w:eastAsia="Georgia" w:hAnsi="Georgia"/>
                <w:sz w:val="20"/>
                <w:szCs w:val="20"/>
              </w:rPr>
              <w:t xml:space="preserve"> Se califican expresamente como obligaciones contractuales esenciales, a los efectos del artículo 211.1.f) de la Ley 9/2017, y de forma tasada,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siguientes incumplimientos:</w:t>
            </w:r>
          </w:p>
          <w:p>
            <w:pPr>
              <w:spacing w:after="100" w:line="264"/>
            </w:pPr>
            <w:r>
              <w:rPr>
                <w:rFonts w:ascii="Georgia" w:cs="Georgia" w:eastAsia="Georgia" w:hAnsi="Georgia"/>
                <w:b/>
                <w:bCs/>
                <w:sz w:val="20"/>
                <w:szCs w:val="20"/>
              </w:rPr>
              <w:t xml:space="preserve">B.1 — Respecto de las cláusulas de este pliego que efectivamente se hayan incorporado:</w:t>
            </w:r>
          </w:p>
          <w:p>
            <w:pPr>
              <w:spacing w:after="100" w:line="264"/>
            </w:pPr>
            <w:r>
              <w:rPr>
                <w:rFonts w:ascii="Georgia" w:cs="Georgia" w:eastAsia="Georgia" w:hAnsi="Georgia"/>
                <w:sz w:val="20"/>
                <w:szCs w:val="20"/>
              </w:rPr>
              <w:t xml:space="preserve">a) </w:t>
            </w:r>
            <w:r>
              <w:rPr>
                <w:rFonts w:ascii="Georgia" w:cs="Georgia" w:eastAsia="Georgia" w:hAnsi="Georgia"/>
                <w:i/>
                <w:iCs/>
                <w:sz w:val="20"/>
                <w:szCs w:val="20"/>
              </w:rPr>
              <w:t xml:space="preserve">[Sólo si este pliego incorpora la cláusula de reversibilidad.]</w:t>
            </w:r>
            <w:r>
              <w:rPr>
                <w:rFonts w:ascii="Georgia" w:cs="Georgia" w:eastAsia="Georgia" w:hAnsi="Georgia"/>
                <w:sz w:val="20"/>
                <w:szCs w:val="20"/>
              </w:rPr>
              <w:t xml:space="preserve"> La negativa a entregar el material de titularidad municipal, el Dossier de Reversibilidad y el Inventario de Componentes, o su entrega incompleta no subsanada en el plazo de [X; se recomienda 1] mes desde requerimiento fehaciente.</w:t>
            </w:r>
          </w:p>
          <w:p>
            <w:pPr>
              <w:spacing w:after="100" w:line="264"/>
            </w:pPr>
            <w:r>
              <w:rPr>
                <w:rFonts w:ascii="Georgia" w:cs="Georgia" w:eastAsia="Georgia" w:hAnsi="Georgia"/>
                <w:sz w:val="20"/>
                <w:szCs w:val="20"/>
              </w:rPr>
              <w:t xml:space="preserve">b) </w:t>
            </w:r>
            <w:r>
              <w:rPr>
                <w:rFonts w:ascii="Georgia" w:cs="Georgia" w:eastAsia="Georgia" w:hAnsi="Georgia"/>
                <w:i/>
                <w:iCs/>
                <w:sz w:val="20"/>
                <w:szCs w:val="20"/>
              </w:rPr>
              <w:t xml:space="preserve">[Sólo si este pliego incorpora la cláusula de depósito de código.]</w:t>
            </w:r>
            <w:r>
              <w:rPr>
                <w:rFonts w:ascii="Georgia" w:cs="Georgia" w:eastAsia="Georgia" w:hAnsi="Georgia"/>
                <w:sz w:val="20"/>
                <w:szCs w:val="20"/>
              </w:rPr>
              <w:t xml:space="preserve"> La negativa a constituir el depósito de código </w:t>
            </w:r>
            <w:r>
              <w:rPr>
                <w:rFonts w:ascii="Georgia" w:cs="Georgia" w:eastAsia="Georgia" w:hAnsi="Georgia"/>
                <w:b/>
                <w:bCs/>
                <w:sz w:val="20"/>
                <w:szCs w:val="20"/>
              </w:rPr>
              <w:t xml:space="preserve">o el plan de continuidad equivalente, por la vía de cumplimiento elegida conforme a la cláusula [ADM-11], apartado 3</w:t>
            </w:r>
            <w:r>
              <w:rPr>
                <w:rFonts w:ascii="Georgia" w:cs="Georgia" w:eastAsia="Georgia" w:hAnsi="Georgia"/>
                <w:sz w:val="20"/>
                <w:szCs w:val="20"/>
              </w:rPr>
              <w:t xml:space="preserve">, la negativa a liberar el depósito concurriendo un supuesto tasado de liberación, o la entrega de material incompleto o no verificable, no subsanadas en el plazo de [X; se recomienda 1] mes desde requerimiento fehaciente.</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este pliego incorpora la cláusula de acceso de los órganos de control.]</w:t>
            </w:r>
            <w:r>
              <w:rPr>
                <w:rFonts w:ascii="Georgia" w:cs="Georgia" w:eastAsia="Georgia" w:hAnsi="Georgia"/>
                <w:sz w:val="20"/>
                <w:szCs w:val="20"/>
              </w:rPr>
              <w:t xml:space="preserve"> La denegación o supresión del acceso de los órganos municipales de control a los datos de ejecución del contrato, no restablecido en el plazo de [X; se recomienda 15] días naturales desde requerimiento fehaciente.</w:t>
            </w:r>
          </w:p>
          <w:p>
            <w:pPr>
              <w:spacing w:after="100" w:line="264"/>
            </w:pPr>
            <w:r>
              <w:rPr>
                <w:rFonts w:ascii="Georgia" w:cs="Georgia" w:eastAsia="Georgia" w:hAnsi="Georgia"/>
                <w:sz w:val="20"/>
                <w:szCs w:val="20"/>
              </w:rPr>
              <w:t xml:space="preserve">d) </w:t>
            </w:r>
            <w:r>
              <w:rPr>
                <w:rFonts w:ascii="Georgia" w:cs="Georgia" w:eastAsia="Georgia" w:hAnsi="Georgia"/>
                <w:i/>
                <w:iCs/>
                <w:sz w:val="20"/>
                <w:szCs w:val="20"/>
              </w:rPr>
              <w:t xml:space="preserve">[Sólo si este pliego incorpora la cláusula de uso de sistemas de inteligencia artificial sobre información municipal.]</w:t>
            </w:r>
            <w:r>
              <w:rPr>
                <w:rFonts w:ascii="Georgia" w:cs="Georgia" w:eastAsia="Georgia" w:hAnsi="Georgia"/>
                <w:sz w:val="20"/>
                <w:szCs w:val="20"/>
              </w:rPr>
              <w:t xml:space="preserve"> La introducción de información municipal del nivel 1 definido en la cláusula [ADM-13], apartado 1, en sistemas de inteligencia artificial no autorizados en este contrato, cuando conste su incorporación efectiva.</w:t>
            </w:r>
          </w:p>
          <w:p>
            <w:pPr>
              <w:spacing w:after="100" w:line="264"/>
            </w:pPr>
            <w:r>
              <w:rPr>
                <w:rFonts w:ascii="Georgia" w:cs="Georgia" w:eastAsia="Georgia" w:hAnsi="Georgia"/>
                <w:b/>
                <w:bCs/>
                <w:sz w:val="20"/>
                <w:szCs w:val="20"/>
              </w:rPr>
              <w:t xml:space="preserve">B.2 — Sólo cuando este pliego lo haya marcado expresamente en el cuadro de características:</w:t>
            </w:r>
          </w:p>
          <w:p>
            <w:pPr>
              <w:spacing w:after="100" w:line="264"/>
            </w:pPr>
            <w:r>
              <w:rPr>
                <w:rFonts w:ascii="Georgia" w:cs="Georgia" w:eastAsia="Georgia" w:hAnsi="Georgia"/>
                <w:sz w:val="20"/>
                <w:szCs w:val="20"/>
              </w:rPr>
              <w:t xml:space="preserve">e) La falta de implantación de una exigencia del Anexo de Exigencias Tecnológicas Determinadas transcrito en el Pliego de Prescripciones Técnicas —nunca del alcance que el licitador haya ofertado por encima de él—, transcurrido su plazo y un plazo adicional de subsanación de [X; se recomienda 1] mes desde requerimiento fehaciente.</w:t>
            </w:r>
          </w:p>
          <w:p>
            <w:pPr>
              <w:spacing w:after="100" w:line="264"/>
            </w:pPr>
            <w:r>
              <w:rPr>
                <w:rFonts w:ascii="Georgia" w:cs="Georgia" w:eastAsia="Georgia" w:hAnsi="Georgia"/>
                <w:sz w:val="20"/>
                <w:szCs w:val="20"/>
              </w:rPr>
              <w:t xml:space="preserve">f) La falta de puesta a disposición del Ayuntamiento de una versión sucesora publicada por el fabricante y a la que el contratista tenga acceso, transcurrido el plazo de [X; se recomienda 1] mes desde requerimiento fehaciente.</w:t>
            </w:r>
          </w:p>
          <w:p>
            <w:pPr>
              <w:spacing w:after="100" w:line="264"/>
            </w:pPr>
            <w:r>
              <w:rPr>
                <w:rFonts w:ascii="Georgia" w:cs="Georgia" w:eastAsia="Georgia" w:hAnsi="Georgia"/>
                <w:sz w:val="20"/>
                <w:szCs w:val="20"/>
              </w:rPr>
              <w:t xml:space="preserve">g) La falta de entrega, en el </w:t>
            </w:r>
            <w:r>
              <w:rPr>
                <w:rFonts w:ascii="Georgia" w:cs="Georgia" w:eastAsia="Georgia" w:hAnsi="Georgia"/>
                <w:b/>
                <w:bCs/>
                <w:sz w:val="20"/>
                <w:szCs w:val="20"/>
              </w:rPr>
              <w:t xml:space="preserve">plazo máximo fijado en el Pliego de Prescripciones Técnicas</w:t>
            </w:r>
            <w:r>
              <w:rPr>
                <w:rFonts w:ascii="Georgia" w:cs="Georgia" w:eastAsia="Georgia" w:hAnsi="Georgia"/>
                <w:sz w:val="20"/>
                <w:szCs w:val="20"/>
              </w:rPr>
              <w:t xml:space="preserve"> —nunca en el plazo inferior que el licitador haya ofertado—, de la interfaz normalizada de acceso programático prevista en dicho pliego.</w:t>
            </w:r>
          </w:p>
          <w:p>
            <w:pPr>
              <w:spacing w:after="100" w:line="264"/>
            </w:pPr>
            <w:r>
              <w:rPr>
                <w:rFonts w:ascii="Georgia" w:cs="Georgia" w:eastAsia="Georgia" w:hAnsi="Georgia"/>
                <w:sz w:val="20"/>
                <w:szCs w:val="20"/>
              </w:rPr>
              <w:t xml:space="preserve">h) La falta de presentación del Plan Anual de Evolución Tecnológica </w:t>
            </w:r>
            <w:r>
              <w:rPr>
                <w:rFonts w:ascii="Georgia" w:cs="Georgia" w:eastAsia="Georgia" w:hAnsi="Georgia"/>
                <w:b/>
                <w:bCs/>
                <w:sz w:val="20"/>
                <w:szCs w:val="20"/>
              </w:rPr>
              <w:t xml:space="preserve">durante dos ejercicios consecutivos</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i) El incumplimiento de los hitos del Plan Anual </w:t>
            </w:r>
            <w:r>
              <w:rPr>
                <w:rFonts w:ascii="Georgia" w:cs="Georgia" w:eastAsia="Georgia" w:hAnsi="Georgia"/>
                <w:b/>
                <w:bCs/>
                <w:sz w:val="20"/>
                <w:szCs w:val="20"/>
              </w:rPr>
              <w:t xml:space="preserve">expresamente aprobados por el órgano de contratación y recogidos con fecha cierta en acta de la Comisión de Seguimiento</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Regla de cierre.</w:t>
            </w:r>
            <w:r>
              <w:rPr>
                <w:rFonts w:ascii="Georgia" w:cs="Georgia" w:eastAsia="Georgia" w:hAnsi="Georgia"/>
                <w:sz w:val="20"/>
                <w:szCs w:val="20"/>
              </w:rPr>
              <w:t xml:space="preserve"> </w:t>
            </w:r>
            <w:r>
              <w:rPr>
                <w:rFonts w:ascii="Georgia" w:cs="Georgia" w:eastAsia="Georgia" w:hAnsi="Georgia"/>
                <w:b/>
                <w:bCs/>
                <w:sz w:val="20"/>
                <w:szCs w:val="20"/>
              </w:rPr>
              <w:t xml:space="preserve">Ninguna otra de las obligaciones incorporadas a este pliego en virtud del catálogo [denominación y versión del catálogo, tal como conste en el acuerdo de aprobación] tiene el carácter de obligación contractual esencial</w:t>
            </w:r>
            <w:r>
              <w:rPr>
                <w:rFonts w:ascii="Georgia" w:cs="Georgia" w:eastAsia="Georgia" w:hAnsi="Georgia"/>
                <w:sz w:val="20"/>
                <w:szCs w:val="20"/>
              </w:rPr>
              <w:t xml:space="preserve">, sin perjuicio de las penalidades que procedan conforme a la cláusula de penalidades. Esta regla </w:t>
            </w:r>
            <w:r>
              <w:rPr>
                <w:rFonts w:ascii="Georgia" w:cs="Georgia" w:eastAsia="Georgia" w:hAnsi="Georgia"/>
                <w:b/>
                <w:bCs/>
                <w:sz w:val="20"/>
                <w:szCs w:val="20"/>
              </w:rPr>
              <w:t xml:space="preserve">no afecta</w:t>
            </w:r>
            <w:r>
              <w:rPr>
                <w:rFonts w:ascii="Georgia" w:cs="Georgia" w:eastAsia="Georgia" w:hAnsi="Georgia"/>
                <w:sz w:val="20"/>
                <w:szCs w:val="20"/>
              </w:rPr>
              <w:t xml:space="preserve"> a las obligaciones que este pliego califique como esenciales por causas ajenas a dicho catálogo. </w:t>
            </w:r>
            <w:r>
              <w:rPr>
                <w:rFonts w:ascii="Georgia" w:cs="Georgia" w:eastAsia="Georgia" w:hAnsi="Georgia"/>
                <w:i/>
                <w:iCs/>
                <w:sz w:val="20"/>
                <w:szCs w:val="20"/>
              </w:rPr>
              <w:t xml:space="preserve">[Si la entidad no ha aprobado el catálogo o no se cumplen las condiciones de aplicación de su memoria justificativa, el pliego no lo cita: la primera frase dice «Ninguna otra de las obligaciones de contenido tecnológico de este pliego y del de prescripciones técnicas tiene el carácter de obligación contractual esencial», y la segunda termina en «por causas ajenas a ese contenido».]</w:t>
            </w:r>
          </w:p>
          <w:p>
            <w:pPr>
              <w:spacing w:after="100" w:line="264"/>
            </w:pPr>
            <w:r>
              <w:rPr>
                <w:rFonts w:ascii="Georgia" w:cs="Georgia" w:eastAsia="Georgia" w:hAnsi="Georgia"/>
                <w:b/>
                <w:bCs/>
                <w:sz w:val="20"/>
                <w:szCs w:val="20"/>
              </w:rPr>
              <w:t xml:space="preserve">4. Efectos y procedimiento.</w:t>
            </w:r>
            <w:r>
              <w:rPr>
                <w:rFonts w:ascii="Georgia" w:cs="Georgia" w:eastAsia="Georgia" w:hAnsi="Georgia"/>
                <w:sz w:val="20"/>
                <w:szCs w:val="20"/>
              </w:rPr>
              <w:t xml:space="preserve"> El incumplimiento de una obligación esencial de los bloques A o B constituye causa de resolución del contrato conforme al artículo 211.1.f) de la Ley 9/2017, con los efectos de los artículos 212 y 213. La resolución:</w:t>
            </w:r>
          </w:p>
          <w:p>
            <w:pPr>
              <w:spacing w:after="100" w:line="264"/>
            </w:pPr>
            <w:r>
              <w:rPr>
                <w:rFonts w:ascii="Georgia" w:cs="Georgia" w:eastAsia="Georgia" w:hAnsi="Georgia"/>
                <w:sz w:val="20"/>
                <w:szCs w:val="20"/>
              </w:rPr>
              <w:t xml:space="preserve">a) Es </w:t>
            </w:r>
            <w:r>
              <w:rPr>
                <w:rFonts w:ascii="Georgia" w:cs="Georgia" w:eastAsia="Georgia" w:hAnsi="Georgia"/>
                <w:b/>
                <w:bCs/>
                <w:sz w:val="20"/>
                <w:szCs w:val="20"/>
              </w:rPr>
              <w:t xml:space="preserve">potestativa</w:t>
            </w:r>
            <w:r>
              <w:rPr>
                <w:rFonts w:ascii="Georgia" w:cs="Georgia" w:eastAsia="Georgia" w:hAnsi="Georgia"/>
                <w:sz w:val="20"/>
                <w:szCs w:val="20"/>
              </w:rPr>
              <w:t xml:space="preserve">. El órgano de contratación puede optar por la imposición de la penalidad que corresponda.</w:t>
            </w:r>
          </w:p>
          <w:p>
            <w:pPr>
              <w:spacing w:after="100" w:line="264"/>
            </w:pPr>
            <w:r>
              <w:rPr>
                <w:rFonts w:ascii="Georgia" w:cs="Georgia" w:eastAsia="Georgia" w:hAnsi="Georgia"/>
                <w:sz w:val="20"/>
                <w:szCs w:val="20"/>
              </w:rPr>
              <w:t xml:space="preserve">b) Requiere </w:t>
            </w:r>
            <w:r>
              <w:rPr>
                <w:rFonts w:ascii="Georgia" w:cs="Georgia" w:eastAsia="Georgia" w:hAnsi="Georgia"/>
                <w:b/>
                <w:bCs/>
                <w:sz w:val="20"/>
                <w:szCs w:val="20"/>
              </w:rPr>
              <w:t xml:space="preserve">requerimiento previo de subsanación</w:t>
            </w:r>
            <w:r>
              <w:rPr>
                <w:rFonts w:ascii="Georgia" w:cs="Georgia" w:eastAsia="Georgia" w:hAnsi="Georgia"/>
                <w:sz w:val="20"/>
                <w:szCs w:val="20"/>
              </w:rPr>
              <w:t xml:space="preserve">, con plazo no inferior a [X; se recomienda 1] mes, salvo que la obligación sea insusceptible de cumplimiento tardío.</w:t>
            </w:r>
          </w:p>
          <w:p>
            <w:pPr>
              <w:spacing w:after="100" w:line="264"/>
            </w:pPr>
            <w:r>
              <w:rPr>
                <w:rFonts w:ascii="Georgia" w:cs="Georgia" w:eastAsia="Georgia" w:hAnsi="Georgia"/>
                <w:sz w:val="20"/>
                <w:szCs w:val="20"/>
              </w:rPr>
              <w:t xml:space="preserve">c) Requiere la tramitación de </w:t>
            </w:r>
            <w:r>
              <w:rPr>
                <w:rFonts w:ascii="Georgia" w:cs="Georgia" w:eastAsia="Georgia" w:hAnsi="Georgia"/>
                <w:b/>
                <w:bCs/>
                <w:sz w:val="20"/>
                <w:szCs w:val="20"/>
              </w:rPr>
              <w:t xml:space="preserve">procedimiento contradictorio con audiencia del contratista</w:t>
            </w:r>
            <w:r>
              <w:rPr>
                <w:rFonts w:ascii="Georgia" w:cs="Georgia" w:eastAsia="Georgia" w:hAnsi="Georgia"/>
                <w:sz w:val="20"/>
                <w:szCs w:val="20"/>
              </w:rPr>
              <w:t xml:space="preserve">, conforme a los artículos 191 y 212 de la Ley 9/2017.</w:t>
            </w:r>
          </w:p>
          <w:p>
            <w:pPr>
              <w:spacing w:after="100" w:line="264"/>
            </w:pPr>
            <w:r>
              <w:rPr>
                <w:rFonts w:ascii="Georgia" w:cs="Georgia" w:eastAsia="Georgia" w:hAnsi="Georgia"/>
                <w:sz w:val="20"/>
                <w:szCs w:val="20"/>
              </w:rPr>
              <w:t xml:space="preserve">d) Sólo se acordará cuando del expediente resulte, de forma motivada, que </w:t>
            </w:r>
            <w:r>
              <w:rPr>
                <w:rFonts w:ascii="Georgia" w:cs="Georgia" w:eastAsia="Georgia" w:hAnsi="Georgia"/>
                <w:b/>
                <w:bCs/>
                <w:sz w:val="20"/>
                <w:szCs w:val="20"/>
              </w:rPr>
              <w:t xml:space="preserve">el perjuicio derivado de la resolución no es superior al derivado del mantenimiento del contrato</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b/>
          <w:bCs/>
          <w:sz w:val="21"/>
          <w:szCs w:val="21"/>
        </w:rPr>
        <w:t xml:space="preserve">Esenciales en este perfil</w:t>
      </w:r>
    </w:p>
    <w:p>
      <w:pPr>
        <w:pStyle w:val="ListParagraph"/>
        <w:numPr>
          <w:ilvl w:val="0"/>
          <w:numId w:val="1"/>
        </w:numPr>
        <w:spacing w:after="70" w:line="268"/>
      </w:pPr>
      <w:r>
        <w:rPr>
          <w:rFonts w:ascii="Calibri" w:cs="Calibri" w:eastAsia="Calibri" w:hAnsi="Calibri"/>
          <w:b/>
          <w:bCs/>
          <w:sz w:val="21"/>
          <w:szCs w:val="21"/>
        </w:rPr>
        <w:t xml:space="preserve">Bloque A</w:t>
      </w:r>
      <w:r>
        <w:rPr>
          <w:rFonts w:ascii="Calibri" w:cs="Calibri" w:eastAsia="Calibri" w:hAnsi="Calibri"/>
          <w:sz w:val="21"/>
          <w:szCs w:val="21"/>
        </w:rPr>
        <w:t xml:space="preserve">: 1.1 con cesión de datos al contratista; 1.2 con tratamiento por su cuenta, transcribiendo las letras a) a e) del art. 122.2 LCSP. Concurren si el equipo trabaja con datos reales (migración, pruebas, soporte en producción); no, si sólo con datos ficticios o anonimizados, que es lo que DT-5·v3.6 pide al entorno de pruebas. El PCAP lo declara.</w:t>
      </w:r>
    </w:p>
    <w:p>
      <w:pPr>
        <w:pStyle w:val="ListParagraph"/>
        <w:numPr>
          <w:ilvl w:val="0"/>
          <w:numId w:val="1"/>
        </w:numPr>
        <w:spacing w:after="70" w:line="268"/>
      </w:pPr>
      <w:r>
        <w:rPr>
          <w:rFonts w:ascii="Calibri" w:cs="Calibri" w:eastAsia="Calibri" w:hAnsi="Calibri"/>
          <w:b/>
          <w:bCs/>
          <w:sz w:val="21"/>
          <w:szCs w:val="21"/>
        </w:rPr>
        <w:t xml:space="preserve">B.1 a), reversibilidad: se conserva</w:t>
      </w:r>
      <w:r>
        <w:rPr>
          <w:rFonts w:ascii="Calibri" w:cs="Calibri" w:eastAsia="Calibri" w:hAnsi="Calibri"/>
          <w:sz w:val="21"/>
          <w:szCs w:val="21"/>
        </w:rPr>
        <w:t xml:space="preserve">, [1] mes. Es la esencial del perfil: material de titularidad municipal, Dossier e Inventario.</w:t>
      </w:r>
    </w:p>
    <w:p>
      <w:pPr>
        <w:pStyle w:val="ListParagraph"/>
        <w:numPr>
          <w:ilvl w:val="0"/>
          <w:numId w:val="1"/>
        </w:numPr>
        <w:spacing w:after="70" w:line="268"/>
      </w:pPr>
      <w:r>
        <w:rPr>
          <w:rFonts w:ascii="Calibri" w:cs="Calibri" w:eastAsia="Calibri" w:hAnsi="Calibri"/>
          <w:b/>
          <w:bCs/>
          <w:sz w:val="21"/>
          <w:szCs w:val="21"/>
        </w:rPr>
        <w:t xml:space="preserve">B.1 b)</w:t>
      </w:r>
      <w:r>
        <w:rPr>
          <w:rFonts w:ascii="Calibri" w:cs="Calibri" w:eastAsia="Calibri" w:hAnsi="Calibri"/>
          <w:sz w:val="21"/>
          <w:szCs w:val="21"/>
        </w:rPr>
        <w:t xml:space="preserve">: fuera (ADM-11). </w:t>
      </w:r>
      <w:r>
        <w:rPr>
          <w:rFonts w:ascii="Calibri" w:cs="Calibri" w:eastAsia="Calibri" w:hAnsi="Calibri"/>
          <w:b/>
          <w:bCs/>
          <w:sz w:val="21"/>
          <w:szCs w:val="21"/>
        </w:rPr>
        <w:t xml:space="preserve">B.1 c)</w:t>
      </w:r>
      <w:r>
        <w:rPr>
          <w:rFonts w:ascii="Calibri" w:cs="Calibri" w:eastAsia="Calibri" w:hAnsi="Calibri"/>
          <w:sz w:val="21"/>
          <w:szCs w:val="21"/>
        </w:rPr>
        <w:t xml:space="preserve">: con ADM-12, [15] días. </w:t>
      </w:r>
      <w:r>
        <w:rPr>
          <w:rFonts w:ascii="Calibri" w:cs="Calibri" w:eastAsia="Calibri" w:hAnsi="Calibri"/>
          <w:b/>
          <w:bCs/>
          <w:sz w:val="21"/>
          <w:szCs w:val="21"/>
        </w:rPr>
        <w:t xml:space="preserve">B.1 d)</w:t>
      </w:r>
      <w:r>
        <w:rPr>
          <w:rFonts w:ascii="Calibri" w:cs="Calibri" w:eastAsia="Calibri" w:hAnsi="Calibri"/>
          <w:sz w:val="21"/>
          <w:szCs w:val="21"/>
        </w:rPr>
        <w:t xml:space="preserve">: se conserva (ADM-13).</w:t>
      </w:r>
    </w:p>
    <w:p>
      <w:pPr>
        <w:pStyle w:val="ListParagraph"/>
        <w:numPr>
          <w:ilvl w:val="0"/>
          <w:numId w:val="1"/>
        </w:numPr>
        <w:spacing w:after="70" w:line="268"/>
      </w:pPr>
      <w:r>
        <w:rPr>
          <w:rFonts w:ascii="Calibri" w:cs="Calibri" w:eastAsia="Calibri" w:hAnsi="Calibri"/>
          <w:b/>
          <w:bCs/>
          <w:sz w:val="21"/>
          <w:szCs w:val="21"/>
        </w:rPr>
        <w:t xml:space="preserve">B.2: sin marcar.</w:t>
      </w:r>
      <w:r>
        <w:rPr>
          <w:rFonts w:ascii="Calibri" w:cs="Calibri" w:eastAsia="Calibri" w:hAnsi="Calibri"/>
          <w:sz w:val="21"/>
          <w:szCs w:val="21"/>
        </w:rPr>
        <w:t xml:space="preserve"> e), f), h) e i) fuera sin DT-9, ADM-2 y ADM-10. La g), sólo con DT-7, interfaz nuclear y test de relevancia superado (nota al redactor: capacidad determinante, peso de [10] % o más del precio, o imposibilidad de usar la solución o de cumplir una obligación legal), y acotada al plazo máximo del PPT, nunca al ofertado (ADM-7·v3, advertencias a la variante A).</w:t>
      </w:r>
    </w:p>
    <w:p>
      <w:pPr>
        <w:pStyle w:val="ListParagraph"/>
        <w:numPr>
          <w:ilvl w:val="0"/>
          <w:numId w:val="1"/>
        </w:numPr>
        <w:spacing w:after="70" w:line="268"/>
      </w:pPr>
      <w:r>
        <w:rPr>
          <w:rFonts w:ascii="Calibri" w:cs="Calibri" w:eastAsia="Calibri" w:hAnsi="Calibri"/>
          <w:b/>
          <w:bCs/>
          <w:sz w:val="21"/>
          <w:szCs w:val="21"/>
        </w:rPr>
        <w:t xml:space="preserve">Apartado 3</w:t>
      </w:r>
      <w:r>
        <w:rPr>
          <w:rFonts w:ascii="Calibri" w:cs="Calibri" w:eastAsia="Calibri" w:hAnsi="Calibri"/>
          <w:sz w:val="21"/>
          <w:szCs w:val="21"/>
        </w:rPr>
        <w:t xml:space="preserve">: catálogo con la denominación y versión del acuerdo de aprobación. </w:t>
      </w:r>
      <w:r>
        <w:rPr>
          <w:rFonts w:ascii="Calibri" w:cs="Calibri" w:eastAsia="Calibri" w:hAnsi="Calibri"/>
          <w:b/>
          <w:bCs/>
          <w:sz w:val="21"/>
          <w:szCs w:val="21"/>
        </w:rPr>
        <w:t xml:space="preserve">4.b)</w:t>
      </w:r>
      <w:r>
        <w:rPr>
          <w:rFonts w:ascii="Calibri" w:cs="Calibri" w:eastAsia="Calibri" w:hAnsi="Calibri"/>
          <w:sz w:val="21"/>
          <w:szCs w:val="21"/>
        </w:rPr>
        <w:t xml:space="preserve">: [1] mes (Anexo X, fila 13).</w:t>
      </w:r>
    </w:p>
    <w:p>
      <w:pPr>
        <w:pStyle w:val="Heading3"/>
        <w:keepNext/>
        <w:spacing w:after="140" w:before="320"/>
      </w:pPr>
      <w:r>
        <w:rPr>
          <w:rFonts w:ascii="Georgia" w:cs="Georgia" w:eastAsia="Georgia" w:hAnsi="Georgia"/>
          <w:b/>
          <w:bCs/>
          <w:color w:val="2F5496"/>
          <w:sz w:val="22"/>
          <w:szCs w:val="22"/>
        </w:rPr>
        <w:t xml:space="preserve">ADM-7·v3 · Criterios de adjudicación</w:t>
      </w:r>
    </w:p>
    <w:p>
      <w:pPr>
        <w:spacing w:after="140" w:line="276"/>
      </w:pPr>
      <w:r>
        <w:rPr>
          <w:rFonts w:ascii="Calibri" w:cs="Calibri" w:eastAsia="Calibri" w:hAnsi="Calibri"/>
          <w:i/>
          <w:iCs/>
          <w:sz w:val="21"/>
          <w:szCs w:val="21"/>
        </w:rPr>
        <w:t xml:space="preserve">Texto vigente de ADM-7·v3 en el catálogo, versión 4.0 (4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Criterios de adjudicación: reglas de construcción del baremo.</w:t>
            </w:r>
          </w:p>
          <w:p>
            <w:pPr>
              <w:pStyle w:val="ListParagraph"/>
              <w:numPr>
                <w:ilvl w:val="0"/>
                <w:numId w:val="2"/>
              </w:numPr>
              <w:spacing w:after="60" w:line="264"/>
            </w:pPr>
            <w:r>
              <w:rPr>
                <w:rFonts w:ascii="Georgia" w:cs="Georgia" w:eastAsia="Georgia" w:hAnsi="Georgia"/>
                <w:b/>
                <w:bCs/>
                <w:sz w:val="20"/>
                <w:szCs w:val="20"/>
              </w:rPr>
              <w:t xml:space="preserve">Regla de separación de instrumentos.</w:t>
            </w:r>
            <w:r>
              <w:rPr>
                <w:rFonts w:ascii="Georgia" w:cs="Georgia" w:eastAsia="Georgia" w:hAnsi="Georgia"/>
                <w:sz w:val="20"/>
                <w:szCs w:val="20"/>
              </w:rPr>
              <w:t xml:space="preserve"> Cada exigencia de este contrato se asigna a un único instrumento —prescripción técnica (artículos 124 a 126 LCSP), criterio de solvencia (artículos 90, 93 y 94 LCSP), compromiso de adscripción de medios (artículo 76 LCSP), condición especial de ejecución (artículo 202 LCSP) o criterio de adjudicación (artículo 145 LCSP)— y no puede computarse en más de uno. Queda prohibido, en particular:</w:t>
            </w:r>
          </w:p>
          <w:p>
            <w:pPr>
              <w:spacing w:after="100" w:line="264"/>
            </w:pPr>
            <w:r>
              <w:rPr>
                <w:rFonts w:ascii="Georgia" w:cs="Georgia" w:eastAsia="Georgia" w:hAnsi="Georgia"/>
                <w:sz w:val="20"/>
                <w:szCs w:val="20"/>
              </w:rPr>
              <w:t xml:space="preserve">a) valorar como criterio de adjudicación una exigencia que este pliego configure como requisito de solvencia;</w:t>
            </w:r>
          </w:p>
          <w:p>
            <w:pPr>
              <w:spacing w:after="100" w:line="264"/>
            </w:pPr>
            <w:r>
              <w:rPr>
                <w:rFonts w:ascii="Georgia" w:cs="Georgia" w:eastAsia="Georgia" w:hAnsi="Georgia"/>
                <w:sz w:val="20"/>
                <w:szCs w:val="20"/>
              </w:rPr>
              <w:t xml:space="preserve">b) valorar como criterio de adjudicación el cumplimiento de una prescripción técnica que el pliego de prescripciones técnicas o sus anexos impongan como obligatoria; sólo podrá valorarse el </w:t>
            </w:r>
            <w:r>
              <w:rPr>
                <w:rFonts w:ascii="Georgia" w:cs="Georgia" w:eastAsia="Georgia" w:hAnsi="Georgia"/>
                <w:b/>
                <w:bCs/>
                <w:sz w:val="20"/>
                <w:szCs w:val="20"/>
              </w:rPr>
              <w:t xml:space="preserve">incremento ofertado sobre el mínimo obligatorio</w:t>
            </w:r>
            <w:r>
              <w:rPr>
                <w:rFonts w:ascii="Georgia" w:cs="Georgia" w:eastAsia="Georgia" w:hAnsi="Georgia"/>
                <w:sz w:val="20"/>
                <w:szCs w:val="20"/>
              </w:rPr>
              <w:t xml:space="preserve">, expresado sobre la misma unidad de medida y sobre la misma relación cerrada y numerada que fije el mínimo;</w:t>
            </w:r>
          </w:p>
          <w:p>
            <w:pPr>
              <w:spacing w:after="100" w:line="264"/>
            </w:pPr>
            <w:r>
              <w:rPr>
                <w:rFonts w:ascii="Georgia" w:cs="Georgia" w:eastAsia="Georgia" w:hAnsi="Georgia"/>
                <w:sz w:val="20"/>
                <w:szCs w:val="20"/>
              </w:rPr>
              <w:t xml:space="preserve">c) valorar como criterio de adjudicación el contenido de una condición especial de ejecución de este contrato. Cuando una prestación se configure como condición especial de ejecución, no se puntúa; cuando se puntúe, no se configura además como condición especial de ejecución sobre el mismo contenido.</w:t>
            </w:r>
          </w:p>
          <w:p>
            <w:pPr>
              <w:pStyle w:val="ListParagraph"/>
              <w:numPr>
                <w:ilvl w:val="0"/>
                <w:numId w:val="2"/>
              </w:numPr>
              <w:spacing w:after="60" w:line="264"/>
            </w:pPr>
            <w:r>
              <w:rPr>
                <w:rFonts w:ascii="Georgia" w:cs="Georgia" w:eastAsia="Georgia" w:hAnsi="Georgia"/>
                <w:b/>
                <w:bCs/>
                <w:sz w:val="20"/>
                <w:szCs w:val="20"/>
              </w:rPr>
              <w:t xml:space="preserve">Regla de no valoración de la tenencia previa.</w:t>
            </w:r>
            <w:r>
              <w:rPr>
                <w:rFonts w:ascii="Georgia" w:cs="Georgia" w:eastAsia="Georgia" w:hAnsi="Georgia"/>
                <w:sz w:val="20"/>
                <w:szCs w:val="20"/>
              </w:rPr>
              <w:t xml:space="preserve"> No se configurarán como criterios de adjudicación las circunstancias que describen a la empresa licitadora y no a la prestación que se contrata. En particular, no se valorarán: la mera tenencia de certificaciones que acrediten sistemas de gestión de la empresa; la experiencia previa del licitador; la disponibilidad, a la fecha de finalización del plazo de presentación de ofertas, de medios personales, medios materiales o instalaciones; ni la titularidad o disponibilidad, a esa misma fecha, de desarrollos, productos o infraestructuras </w:t>
            </w:r>
            <w:r>
              <w:rPr>
                <w:rFonts w:ascii="Georgia" w:cs="Georgia" w:eastAsia="Georgia" w:hAnsi="Georgia"/>
                <w:b/>
                <w:bCs/>
                <w:sz w:val="20"/>
                <w:szCs w:val="20"/>
              </w:rPr>
              <w:t xml:space="preserve">ajenos al objeto de este contrato</w:t>
            </w:r>
            <w:r>
              <w:rPr>
                <w:rFonts w:ascii="Georgia" w:cs="Georgia" w:eastAsia="Georgia" w:hAnsi="Georgia"/>
                <w:sz w:val="20"/>
                <w:szCs w:val="20"/>
              </w:rPr>
              <w:t xml:space="preserve">. Estas circunstancias se sitúan, cuando proceda y esté justificado en el expediente, en la solvencia, en el compromiso de adscripción de medios del artículo 76 LCSP —acreditable por el licitador propuesto como adjudicatario en el trámite del artículo 150.2 LCSP— o en una condición especial de ejecución.</w:t>
            </w:r>
          </w:p>
          <w:p>
            <w:pPr>
              <w:spacing w:after="100" w:line="264"/>
            </w:pPr>
            <w:r>
              <w:rPr>
                <w:rFonts w:ascii="Georgia" w:cs="Georgia" w:eastAsia="Georgia" w:hAnsi="Georgia"/>
                <w:b/>
                <w:bCs/>
                <w:sz w:val="20"/>
                <w:szCs w:val="20"/>
              </w:rPr>
              <w:t xml:space="preserve">Lo que sí se valora: la prestación comprometida.</w:t>
            </w:r>
            <w:r>
              <w:rPr>
                <w:rFonts w:ascii="Georgia" w:cs="Georgia" w:eastAsia="Georgia" w:hAnsi="Georgia"/>
                <w:sz w:val="20"/>
                <w:szCs w:val="20"/>
              </w:rPr>
              <w:t xml:space="preserve"> El alcance funcional que el licitador se compromete a entregar sobre las relaciones cerradas y numeradas publicadas en el pliego de prescripciones técnicas y en sus apéndices es contenido de la prestación contratada, y se valora </w:t>
            </w:r>
            <w:r>
              <w:rPr>
                <w:rFonts w:ascii="Georgia" w:cs="Georgia" w:eastAsia="Georgia" w:hAnsi="Georgia"/>
                <w:b/>
                <w:bCs/>
                <w:sz w:val="20"/>
                <w:szCs w:val="20"/>
              </w:rPr>
              <w:t xml:space="preserve">con independencia de que la solución ofertada lo cubra desde su entrega inicial o de que el licitador deba desarrollarlo dentro del plazo de ejecución fijado en el pliego</w:t>
            </w:r>
            <w:r>
              <w:rPr>
                <w:rFonts w:ascii="Georgia" w:cs="Georgia" w:eastAsia="Georgia" w:hAnsi="Georgia"/>
                <w:sz w:val="20"/>
                <w:szCs w:val="20"/>
              </w:rPr>
              <w:t xml:space="preserve">. En consecuencia, ningún criterio de adjudicación podrá condicionar la puntuación a que la funcionalidad esté disponible a la fecha de finalización del plazo de presentación de ofertas, ni excluir de la puntuación lo que el licitador se comprometa a desarrollar dentro de plazo. El alcance comprometido se incorpora al contrato como obligación contractual exigible, en los términos del criterio que lo valore.</w:t>
            </w:r>
          </w:p>
          <w:p>
            <w:pPr>
              <w:pStyle w:val="ListParagraph"/>
              <w:numPr>
                <w:ilvl w:val="0"/>
                <w:numId w:val="2"/>
              </w:numPr>
              <w:spacing w:after="60" w:line="264"/>
            </w:pPr>
            <w:r>
              <w:rPr>
                <w:rFonts w:ascii="Georgia" w:cs="Georgia" w:eastAsia="Georgia" w:hAnsi="Georgia"/>
                <w:b/>
                <w:bCs/>
                <w:sz w:val="20"/>
                <w:szCs w:val="20"/>
              </w:rPr>
              <w:t xml:space="preserve">Regla de correspondencia con el pliego técnico.</w:t>
            </w:r>
            <w:r>
              <w:rPr>
                <w:rFonts w:ascii="Georgia" w:cs="Georgia" w:eastAsia="Georgia" w:hAnsi="Georgia"/>
                <w:sz w:val="20"/>
                <w:szCs w:val="20"/>
              </w:rPr>
              <w:t xml:space="preserve"> No se incorporará ningún criterio de adjudicación que valore una capacidad, prestación o integración que el pliego de prescripciones técnicas no exija ni describa. Si una cláusula técnica se marca como NO APLICA en la Ficha de Aplicabilidad, se suprime el criterio de adjudicación que la valoraba y </w:t>
            </w:r>
            <w:r>
              <w:rPr>
                <w:rFonts w:ascii="Georgia" w:cs="Georgia" w:eastAsia="Georgia" w:hAnsi="Georgia"/>
                <w:b/>
                <w:bCs/>
                <w:sz w:val="20"/>
                <w:szCs w:val="20"/>
              </w:rPr>
              <w:t xml:space="preserve">se recompone el baremo antes de publicar el anuncio de licitación, sin que quepa redistribución alguna una vez iniciada la licitación (apartado 6)</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Reglas de proporción.</w:t>
            </w:r>
            <w:r>
              <w:rPr>
                <w:rFonts w:ascii="Georgia" w:cs="Georgia" w:eastAsia="Georgia" w:hAnsi="Georgia"/>
                <w:sz w:val="20"/>
                <w:szCs w:val="20"/>
              </w:rPr>
              <w:t xml:space="preserve"> En la determinación del baremo:</w:t>
            </w:r>
          </w:p>
          <w:p>
            <w:pPr>
              <w:spacing w:after="100" w:line="264"/>
            </w:pPr>
            <w:r>
              <w:rPr>
                <w:rFonts w:ascii="Georgia" w:cs="Georgia" w:eastAsia="Georgia" w:hAnsi="Georgia"/>
                <w:sz w:val="20"/>
                <w:szCs w:val="20"/>
              </w:rPr>
              <w:t xml:space="preserve">a) el conjunto de los criterios agrupados en el bloque «Innovación y tecnología» no superará el </w:t>
            </w:r>
            <w:r>
              <w:rPr>
                <w:rFonts w:ascii="Georgia" w:cs="Georgia" w:eastAsia="Georgia" w:hAnsi="Georgia"/>
                <w:b/>
                <w:bCs/>
                <w:sz w:val="20"/>
                <w:szCs w:val="20"/>
              </w:rPr>
              <w:t xml:space="preserve">[X; se recomienda 25] por ciento</w:t>
            </w:r>
            <w:r>
              <w:rPr>
                <w:rFonts w:ascii="Georgia" w:cs="Georgia" w:eastAsia="Georgia" w:hAnsi="Georgia"/>
                <w:sz w:val="20"/>
                <w:szCs w:val="20"/>
              </w:rPr>
              <w:t xml:space="preserve"> de la puntuación total del contrato y, en ningún caso, el cuarenta por ciento;</w:t>
            </w:r>
          </w:p>
          <w:p>
            <w:pPr>
              <w:spacing w:after="100" w:line="264"/>
            </w:pPr>
            <w:r>
              <w:rPr>
                <w:rFonts w:ascii="Georgia" w:cs="Georgia" w:eastAsia="Georgia" w:hAnsi="Georgia"/>
                <w:sz w:val="20"/>
                <w:szCs w:val="20"/>
              </w:rPr>
              <w:t xml:space="preserve">b) se dará preponderancia a los criterios evaluables mediante la mera aplicación de fórmulas (artículo 146.2, párrafo primero, LCSP);</w:t>
            </w:r>
          </w:p>
          <w:p>
            <w:pPr>
              <w:spacing w:after="100" w:line="264"/>
            </w:pPr>
            <w:r>
              <w:rPr>
                <w:rFonts w:ascii="Georgia" w:cs="Georgia" w:eastAsia="Georgia" w:hAnsi="Georgia"/>
                <w:sz w:val="20"/>
                <w:szCs w:val="20"/>
              </w:rPr>
              <w:t xml:space="preserve">c) si, pese a lo anterior, la ponderación conjunta de los criterios sujetos a juicio de valor resultara superior a la de los evaluables mediante fórmulas, será </w:t>
            </w:r>
            <w:r>
              <w:rPr>
                <w:rFonts w:ascii="Georgia" w:cs="Georgia" w:eastAsia="Georgia" w:hAnsi="Georgia"/>
                <w:b/>
                <w:bCs/>
                <w:sz w:val="20"/>
                <w:szCs w:val="20"/>
              </w:rPr>
              <w:t xml:space="preserve">preceptiva</w:t>
            </w:r>
            <w:r>
              <w:rPr>
                <w:rFonts w:ascii="Georgia" w:cs="Georgia" w:eastAsia="Georgia" w:hAnsi="Georgia"/>
                <w:sz w:val="20"/>
                <w:szCs w:val="20"/>
              </w:rPr>
              <w:t xml:space="preserve"> la constitución del comité de expertos del artículo 146.2.a) LCSP, con un mínimo de tres miembros con cualificación apropiada no adscritos al órgano proponente del contrato, cuya composición, procedimiento de designación, metodología y plazo de valoración constarán identificados en este pliego y publicados en el perfil de contratante con anterioridad a la apertura del sobre correspondiente;</w:t>
            </w:r>
          </w:p>
          <w:p>
            <w:pPr>
              <w:spacing w:after="100" w:line="264"/>
            </w:pPr>
            <w:r>
              <w:rPr>
                <w:rFonts w:ascii="Georgia" w:cs="Georgia" w:eastAsia="Georgia" w:hAnsi="Georgia"/>
                <w:sz w:val="20"/>
                <w:szCs w:val="20"/>
              </w:rPr>
              <w:t xml:space="preserve">d) las mejoras que se valoren mediante juicio de valor no superarán el 2,5 por ciento de la puntuación total y estarán suficientemente especificadas (artículo 145.7 LCSP);</w:t>
            </w:r>
          </w:p>
          <w:p>
            <w:pPr>
              <w:spacing w:after="100" w:line="264"/>
            </w:pPr>
            <w:r>
              <w:rPr>
                <w:rFonts w:ascii="Georgia" w:cs="Georgia" w:eastAsia="Georgia" w:hAnsi="Georgia"/>
                <w:sz w:val="20"/>
                <w:szCs w:val="20"/>
              </w:rPr>
              <w:t xml:space="preserve">e) cuando el objeto del contrato sean prestaciones de carácter intelectual, los criterios relacionados con la calidad representarán al menos el 51 por ciento de la puntuación asignable (artículo 145.4 LCSP), extremo que se motivará en el expediente;</w:t>
            </w:r>
          </w:p>
          <w:p>
            <w:pPr>
              <w:spacing w:after="100" w:line="264"/>
            </w:pPr>
            <w:r>
              <w:rPr>
                <w:rFonts w:ascii="Georgia" w:cs="Georgia" w:eastAsia="Georgia" w:hAnsi="Georgia"/>
                <w:sz w:val="20"/>
                <w:szCs w:val="20"/>
              </w:rPr>
              <w:t xml:space="preserve">f) no se emplea la categoría «mixto»: cada criterio es evaluable mediante fórmula o sujeto a juicio de valor, sin excepción, y así consta en la columna correspondiente del baremo.</w:t>
            </w:r>
          </w:p>
          <w:p>
            <w:pPr>
              <w:pStyle w:val="ListParagraph"/>
              <w:numPr>
                <w:ilvl w:val="0"/>
                <w:numId w:val="2"/>
              </w:numPr>
              <w:spacing w:after="60" w:line="264"/>
            </w:pPr>
            <w:r>
              <w:rPr>
                <w:rFonts w:ascii="Georgia" w:cs="Georgia" w:eastAsia="Georgia" w:hAnsi="Georgia"/>
                <w:b/>
                <w:bCs/>
                <w:sz w:val="20"/>
                <w:szCs w:val="20"/>
              </w:rPr>
              <w:t xml:space="preserve">Verificabilidad.</w:t>
            </w:r>
            <w:r>
              <w:rPr>
                <w:rFonts w:ascii="Georgia" w:cs="Georgia" w:eastAsia="Georgia" w:hAnsi="Georgia"/>
                <w:sz w:val="20"/>
                <w:szCs w:val="20"/>
              </w:rPr>
              <w:t xml:space="preserve"> Cada criterio va acompañado en este pliego de la especificación del medio por el que se comprobará de manera efectiva la información facilitada por los licitadores (artículo 145.5.c LCSP). El criterio que no pueda comprobarse de manera efectiva no se incorpora al baremo.</w:t>
            </w:r>
          </w:p>
          <w:p>
            <w:pPr>
              <w:pStyle w:val="ListParagraph"/>
              <w:numPr>
                <w:ilvl w:val="0"/>
                <w:numId w:val="2"/>
              </w:numPr>
              <w:spacing w:after="60" w:line="264"/>
            </w:pPr>
            <w:r>
              <w:rPr>
                <w:rFonts w:ascii="Georgia" w:cs="Georgia" w:eastAsia="Georgia" w:hAnsi="Georgia"/>
                <w:b/>
                <w:bCs/>
                <w:sz w:val="20"/>
                <w:szCs w:val="20"/>
              </w:rPr>
              <w:t xml:space="preserve">Ponderaciones.</w:t>
            </w:r>
            <w:r>
              <w:rPr>
                <w:rFonts w:ascii="Georgia" w:cs="Georgia" w:eastAsia="Georgia" w:hAnsi="Georgia"/>
                <w:sz w:val="20"/>
                <w:szCs w:val="20"/>
              </w:rPr>
              <w:t xml:space="preserve"> Las ponderaciones publicadas en este pliego no serán objeto de reescalado ni de redistribución una vez publicado el anuncio de licitación.</w:t>
            </w:r>
          </w:p>
          <w:p>
            <w:pPr>
              <w:pStyle w:val="ListParagraph"/>
              <w:numPr>
                <w:ilvl w:val="0"/>
                <w:numId w:val="2"/>
              </w:numPr>
              <w:spacing w:after="60" w:line="264"/>
            </w:pPr>
            <w:r>
              <w:rPr>
                <w:rFonts w:ascii="Georgia" w:cs="Georgia" w:eastAsia="Georgia" w:hAnsi="Georgia"/>
                <w:b/>
                <w:bCs/>
                <w:sz w:val="20"/>
                <w:szCs w:val="20"/>
              </w:rPr>
              <w:t xml:space="preserve">Ofertas anormalmente bajas.</w:t>
            </w:r>
            <w:r>
              <w:rPr>
                <w:rFonts w:ascii="Georgia" w:cs="Georgia" w:eastAsia="Georgia" w:hAnsi="Georgia"/>
                <w:sz w:val="20"/>
                <w:szCs w:val="20"/>
              </w:rPr>
              <w:t xml:space="preserve"> Este pliego publica, en el apartado [ ], los </w:t>
            </w:r>
            <w:r>
              <w:rPr>
                <w:rFonts w:ascii="Georgia" w:cs="Georgia" w:eastAsia="Georgia" w:hAnsi="Georgia"/>
                <w:b/>
                <w:bCs/>
                <w:sz w:val="20"/>
                <w:szCs w:val="20"/>
              </w:rPr>
              <w:t xml:space="preserve">parámetros objetivos</w:t>
            </w:r>
            <w:r>
              <w:rPr>
                <w:rFonts w:ascii="Georgia" w:cs="Georgia" w:eastAsia="Georgia" w:hAnsi="Georgia"/>
                <w:sz w:val="20"/>
                <w:szCs w:val="20"/>
              </w:rPr>
              <w:t xml:space="preserve"> con arreglo a los cuales se identificará la oferta presuntamente anormalmente baja, referidos a </w:t>
            </w:r>
            <w:r>
              <w:rPr>
                <w:rFonts w:ascii="Georgia" w:cs="Georgia" w:eastAsia="Georgia" w:hAnsi="Georgia"/>
                <w:b/>
                <w:bCs/>
                <w:sz w:val="20"/>
                <w:szCs w:val="20"/>
              </w:rPr>
              <w:t xml:space="preserve">[la oferta en su conjunto / el criterio de precio]</w:t>
            </w:r>
            <w:r>
              <w:rPr>
                <w:rFonts w:ascii="Georgia" w:cs="Georgia" w:eastAsia="Georgia" w:hAnsi="Georgia"/>
                <w:sz w:val="20"/>
                <w:szCs w:val="20"/>
              </w:rPr>
              <w:t xml:space="preserve">, sin remisión a parámetros supletorios de normas de desarrollo. Identificada una oferta como presuntamente anormal, se requerirá al licitador para que la justifique, se recabará el informe técnico y se resolverá de forma motivada conforme al artículo 149 de la LCSP </w:t>
            </w:r>
            <w:r>
              <w:rPr>
                <w:rFonts w:ascii="Georgia" w:cs="Georgia" w:eastAsia="Georgia" w:hAnsi="Georgia"/>
                <w:b/>
                <w:bCs/>
                <w:sz w:val="20"/>
                <w:szCs w:val="20"/>
              </w:rPr>
              <w:t xml:space="preserve">con anterioridad a la aplicación de las fórmulas de valoración</w:t>
            </w:r>
            <w:r>
              <w:rPr>
                <w:rFonts w:ascii="Georgia" w:cs="Georgia" w:eastAsia="Georgia" w:hAnsi="Georgia"/>
                <w:sz w:val="20"/>
                <w:szCs w:val="20"/>
              </w:rPr>
              <w:t xml:space="preserve">. </w:t>
            </w:r>
            <w:r>
              <w:rPr>
                <w:rFonts w:ascii="Georgia" w:cs="Georgia" w:eastAsia="Georgia" w:hAnsi="Georgia"/>
                <w:b/>
                <w:bCs/>
                <w:sz w:val="20"/>
                <w:szCs w:val="20"/>
              </w:rPr>
              <w:t xml:space="preserve">La oferta excluida no se computará como referencia de cálculo en ninguna fórmula de este pliego.</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comprobación efectiva (art. 145.5.c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del servicio.</w:t>
                  </w:r>
                  <w:r>
                    <w:rPr>
                      <w:rFonts w:ascii="Calibri" w:cs="Calibri" w:eastAsia="Calibri" w:hAnsi="Calibri"/>
                      <w:b w:val="false"/>
                      <w:bCs w:val="false"/>
                      <w:sz w:val="18"/>
                      <w:szCs w:val="18"/>
                    </w:rPr>
                    <w:t xml:space="preserve"> Baja sobre el presupuesto base de licitación, con la fórmula publicada en el apartado [ ] de este pliego y el tratamiento de las ofertas anormalmente bajas del artículo 149 de la LCSP y del apartado [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económica, modelo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Cobertura funcional comprometida</w:t>
                  </w:r>
                  <w:r>
                    <w:rPr>
                      <w:rFonts w:ascii="Calibri" w:cs="Calibri" w:eastAsia="Calibri" w:hAnsi="Calibri"/>
                      <w:b w:val="false"/>
                      <w:bCs w:val="false"/>
                      <w:sz w:val="18"/>
                      <w:szCs w:val="18"/>
                    </w:rPr>
                    <w:t xml:space="preserve"> sobre la relación cerrada y numerada del </w:t>
                  </w:r>
                  <w:r>
                    <w:rPr>
                      <w:rFonts w:ascii="Calibri" w:cs="Calibri" w:eastAsia="Calibri" w:hAnsi="Calibri"/>
                      <w:b/>
                      <w:bCs/>
                      <w:sz w:val="18"/>
                      <w:szCs w:val="18"/>
                    </w:rPr>
                    <w:t xml:space="preserve">bloque B · Requisitos funcionales valorables</w:t>
                  </w:r>
                  <w:r>
                    <w:rPr>
                      <w:rFonts w:ascii="Calibri" w:cs="Calibri" w:eastAsia="Calibri" w:hAnsi="Calibri"/>
                      <w:b w:val="false"/>
                      <w:bCs w:val="false"/>
                      <w:sz w:val="18"/>
                      <w:szCs w:val="18"/>
                    </w:rPr>
                    <w:t xml:space="preserve">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del pliego de prescripciones técnicas, aplicando la fórmula de cantidad reproducida íntegramente en el apartado [ ] de este PCAP, correspondiente a la </w:t>
                  </w:r>
                  <w:r>
                    <w:rPr>
                      <w:rFonts w:ascii="Calibri" w:cs="Calibri" w:eastAsia="Calibri" w:hAnsi="Calibri"/>
                      <w:b/>
                      <w:bCs/>
                      <w:sz w:val="18"/>
                      <w:szCs w:val="18"/>
                    </w:rPr>
                    <w:t xml:space="preserve">fórmula E del Anexo XVII</w:t>
                  </w:r>
                  <w:r>
                    <w:rPr>
                      <w:rFonts w:ascii="Calibri" w:cs="Calibri" w:eastAsia="Calibri" w:hAnsi="Calibri"/>
                      <w:b w:val="false"/>
                      <w:bCs w:val="false"/>
                      <w:sz w:val="18"/>
                      <w:szCs w:val="18"/>
                    </w:rPr>
                    <w:t xml:space="preserve"> de este catálogo, con </w:t>
                  </w:r>
                  <w:r>
                    <w:rPr>
                      <w:rFonts w:ascii="Calibri" w:cs="Calibri" w:eastAsia="Calibri" w:hAnsi="Calibri"/>
                      <w:b/>
                      <w:bCs/>
                      <w:sz w:val="18"/>
                      <w:szCs w:val="18"/>
                    </w:rPr>
                    <w:t xml:space="preserve">Cmín = 0</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Ctecho = número total de requisitos del bloque B</w:t>
                  </w:r>
                  <w:r>
                    <w:rPr>
                      <w:rFonts w:ascii="Calibri" w:cs="Calibri" w:eastAsia="Calibri" w:hAnsi="Calibri"/>
                      <w:b w:val="false"/>
                      <w:bCs w:val="false"/>
                      <w:sz w:val="18"/>
                      <w:szCs w:val="18"/>
                    </w:rPr>
                    <w:t xml:space="preserve">. Se cuentan únicamente los requisitos que el licitador se compromete a tener operativos en el plazo fijado en el PPT. </w:t>
                  </w:r>
                  <w:r>
                    <w:rPr>
                      <w:rFonts w:ascii="Calibri" w:cs="Calibri" w:eastAsia="Calibri" w:hAnsi="Calibri"/>
                      <w:b/>
                      <w:bCs/>
                      <w:sz w:val="18"/>
                      <w:szCs w:val="18"/>
                    </w:rPr>
                    <w:t xml:space="preserve">Es indiferente que el requisito lo cubra la solución ofertada desde su entrega inicial o que se cubra mediante desarrollo dentro de ese plazo</w:t>
                  </w:r>
                  <w:r>
                    <w:rPr>
                      <w:rFonts w:ascii="Calibri" w:cs="Calibri" w:eastAsia="Calibri" w:hAnsi="Calibri"/>
                      <w:b w:val="false"/>
                      <w:bCs w:val="false"/>
                      <w:sz w:val="18"/>
                      <w:szCs w:val="18"/>
                    </w:rPr>
                    <w:t xml:space="preserve">: se valora el compromiso, no la disponibilidad a la fecha de la oferta (apartado 2 de la cláusula anterior). Los requisitos del bloque A, «mínimos obligatorios», no puntúan.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el bloque B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La cobertura comprometida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implantación y migración de datos</w:t>
                  </w:r>
                  <w:r>
                    <w:rPr>
                      <w:rFonts w:ascii="Calibri" w:cs="Calibri" w:eastAsia="Calibri" w:hAnsi="Calibri"/>
                      <w:b w:val="false"/>
                      <w:bCs w:val="false"/>
                      <w:sz w:val="18"/>
                      <w:szCs w:val="18"/>
                    </w:rPr>
                    <w:t xml:space="preserve">: migración de los ejercicios históricos, plan de pruebas y plan de vuelta atrás, valorados conforme a la rúbrica con descriptores por tramos publicada en el Anexo [ ] de este pliego. El plan es obligatorio conforme al pliego de prescripciones técnicas; se valora únicamente su contenido por encima de ese mínimo.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Niveles de servicio ofertados por encima del mínimo del pliego de prescripciones técnicas</w:t>
                  </w:r>
                  <w:r>
                    <w:rPr>
                      <w:rFonts w:ascii="Calibri" w:cs="Calibri" w:eastAsia="Calibri" w:hAnsi="Calibri"/>
                      <w:b w:val="false"/>
                      <w:bCs w:val="false"/>
                      <w:sz w:val="18"/>
                      <w:szCs w:val="18"/>
                    </w:rPr>
                    <w:t xml:space="preserve">: tiempo máximo de respuesta y tiempo máximo de resolución de incidencias críticas, en horas por debajo del máximo exigido.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los niveles ofertados se incorporan al contrato y se penalizan conforme a la cláusula [ADM-5]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formación y acompañamiento</w:t>
                  </w:r>
                  <w:r>
                    <w:rPr>
                      <w:rFonts w:ascii="Calibri" w:cs="Calibri" w:eastAsia="Calibri" w:hAnsi="Calibri"/>
                      <w:b w:val="false"/>
                      <w:bCs w:val="false"/>
                      <w:sz w:val="18"/>
                      <w:szCs w:val="18"/>
                    </w:rPr>
                    <w:t xml:space="preserve"> al personal del servicio gestor y de los órganos de control interno, valorado conforme a la rúbrica con descriptores por tramos publicada en el Anexo [ ] de este pliego, y por encima de las horas mínimas exigidas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Alcance funcional adicional de la interfaz normalizada de acceso programático</w:t>
                  </w:r>
                  <w:r>
                    <w:rPr>
                      <w:rFonts w:ascii="Calibri" w:cs="Calibri" w:eastAsia="Calibri" w:hAnsi="Calibri"/>
                      <w:b w:val="false"/>
                      <w:bCs w:val="false"/>
                      <w:sz w:val="18"/>
                      <w:szCs w:val="18"/>
                    </w:rPr>
                    <w:t xml:space="preserve">, sobre la relación cerrada y numerada de módulos y funciones contenida en 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del pliego de prescripciones técnicas, contando únicamente las funciones y conjuntos de datos del bloque de </w:t>
                  </w:r>
                  <w:r>
                    <w:rPr>
                      <w:rFonts w:ascii="Calibri" w:cs="Calibri" w:eastAsia="Calibri" w:hAnsi="Calibri"/>
                      <w:b/>
                      <w:bCs/>
                      <w:sz w:val="18"/>
                      <w:szCs w:val="18"/>
                    </w:rPr>
                    <w:t xml:space="preserve">funciones adicionales ofertables</w:t>
                  </w:r>
                  <w:r>
                    <w:rPr>
                      <w:rFonts w:ascii="Calibri" w:cs="Calibri" w:eastAsia="Calibri" w:hAnsi="Calibri"/>
                      <w:b w:val="false"/>
                      <w:bCs w:val="false"/>
                      <w:sz w:val="18"/>
                      <w:szCs w:val="18"/>
                    </w:rPr>
                    <w:t xml:space="preserve"> que el licitador se compromete a exponer por encima de las </w:t>
                  </w:r>
                  <w:r>
                    <w:rPr>
                      <w:rFonts w:ascii="Calibri" w:cs="Calibri" w:eastAsia="Calibri" w:hAnsi="Calibri"/>
                      <w:b/>
                      <w:bCs/>
                      <w:sz w:val="18"/>
                      <w:szCs w:val="18"/>
                    </w:rPr>
                    <w:t xml:space="preserve">funciones mínimas</w:t>
                  </w:r>
                  <w:r>
                    <w:rPr>
                      <w:rFonts w:ascii="Calibri" w:cs="Calibri" w:eastAsia="Calibri" w:hAnsi="Calibri"/>
                      <w:b w:val="false"/>
                      <w:bCs w:val="false"/>
                      <w:sz w:val="18"/>
                      <w:szCs w:val="18"/>
                    </w:rPr>
                    <w:t xml:space="preserve"> relacionadas en ese mismo bloque. No se computa ninguna función que no figure en esa relación, que es la única del pliego sobre esta interfaz.</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El alcance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Plazo ofertado de puesta en producción de la interfaz</w:t>
                  </w:r>
                  <w:r>
                    <w:rPr>
                      <w:rFonts w:ascii="Calibri" w:cs="Calibri" w:eastAsia="Calibri" w:hAnsi="Calibri"/>
                      <w:b w:val="false"/>
                      <w:bCs w:val="false"/>
                      <w:sz w:val="18"/>
                      <w:szCs w:val="18"/>
                    </w:rPr>
                    <w:t xml:space="preserve">, en meses por debajo del máximo de </w:t>
                  </w:r>
                  <w:r>
                    <w:rPr>
                      <w:rFonts w:ascii="Calibri" w:cs="Calibri" w:eastAsia="Calibri" w:hAnsi="Calibri"/>
                      <w:b/>
                      <w:bCs/>
                      <w:sz w:val="18"/>
                      <w:szCs w:val="18"/>
                    </w:rPr>
                    <w:t xml:space="preserve">[X; se recomienda 12] meses</w:t>
                  </w:r>
                  <w:r>
                    <w:rPr>
                      <w:rFonts w:ascii="Calibri" w:cs="Calibri" w:eastAsia="Calibri" w:hAnsi="Calibri"/>
                      <w:b w:val="false"/>
                      <w:bCs w:val="false"/>
                      <w:sz w:val="18"/>
                      <w:szCs w:val="18"/>
                    </w:rPr>
                    <w:t xml:space="preserve"> fijado en el pliego de prescripciones técnicas, con </w:t>
                  </w:r>
                  <w:r>
                    <w:rPr>
                      <w:rFonts w:ascii="Calibri" w:cs="Calibri" w:eastAsia="Calibri" w:hAnsi="Calibri"/>
                      <w:b/>
                      <w:bCs/>
                      <w:sz w:val="18"/>
                      <w:szCs w:val="18"/>
                    </w:rPr>
                    <w:t xml:space="preserve">suelo en [X; se recomienda 6] meses</w:t>
                  </w:r>
                  <w:r>
                    <w:rPr>
                      <w:rFonts w:ascii="Calibri" w:cs="Calibri" w:eastAsia="Calibri" w:hAnsi="Calibri"/>
                      <w:b w:val="false"/>
                      <w:bCs w:val="false"/>
                      <w:sz w:val="18"/>
                      <w:szCs w:val="18"/>
                    </w:rPr>
                    <w:t xml:space="preserve">: por debajo de ese suelo no se atribuye puntuación adicional.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el plazo ofertado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Tratamiento del caso de uso municipal publicado.</w:t>
                  </w:r>
                  <w:r>
                    <w:rPr>
                      <w:rFonts w:ascii="Calibri" w:cs="Calibri" w:eastAsia="Calibri" w:hAnsi="Calibri"/>
                      <w:b w:val="false"/>
                      <w:bCs w:val="false"/>
                      <w:sz w:val="18"/>
                      <w:szCs w:val="18"/>
                    </w:rPr>
                    <w:t xml:space="preserve"> Descripción, en la memoria técnica presentada en plazo, de cómo la solución ofertada resuelve las tareas del caso de uso único publicado en este pliego, valorada conforme a la rúbrica del Anexo [ ] de este pliego. </w:t>
                  </w:r>
                  <w:r>
                    <w:rPr>
                      <w:rFonts w:ascii="Calibri" w:cs="Calibri" w:eastAsia="Calibri" w:hAnsi="Calibri"/>
                      <w:b/>
                      <w:bCs/>
                      <w:sz w:val="18"/>
                      <w:szCs w:val="18"/>
                    </w:rPr>
                    <w:t xml:space="preserve">Se valora lo descrito por escrito, no el desempeño en sala.</w:t>
                  </w:r>
                  <w:r>
                    <w:rPr>
                      <w:rFonts w:ascii="Calibri" w:cs="Calibri" w:eastAsia="Calibri" w:hAnsi="Calibri"/>
                      <w:b w:val="false"/>
                      <w:bCs w:val="false"/>
                      <w:sz w:val="18"/>
                      <w:szCs w:val="18"/>
                    </w:rPr>
                    <w:t xml:space="preserve"> La demostración funcional de la cláusula [ADM-9] confirma o retira estos puntos; no puede añadir 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 y acta de la sesión de comprobación de la cláusula [ADM-9]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gobernanza de la inteligencia artificial aplicado a este contrato</w:t>
                  </w:r>
                  <w:r>
                    <w:rPr>
                      <w:rFonts w:ascii="Calibri" w:cs="Calibri" w:eastAsia="Calibri" w:hAnsi="Calibri"/>
                      <w:b w:val="false"/>
                      <w:bCs w:val="false"/>
                      <w:sz w:val="18"/>
                      <w:szCs w:val="18"/>
                    </w:rPr>
                    <w:t xml:space="preserve">, valorado </w:t>
                  </w:r>
                  <w:r>
                    <w:rPr>
                      <w:rFonts w:ascii="Calibri" w:cs="Calibri" w:eastAsia="Calibri" w:hAnsi="Calibri"/>
                      <w:b/>
                      <w:bCs/>
                      <w:sz w:val="18"/>
                      <w:szCs w:val="18"/>
                    </w:rPr>
                    <w:t xml:space="preserve">sólo en lo que exceda</w:t>
                  </w:r>
                  <w:r>
                    <w:rPr>
                      <w:rFonts w:ascii="Calibri" w:cs="Calibri" w:eastAsia="Calibri" w:hAnsi="Calibri"/>
                      <w:b w:val="false"/>
                      <w:bCs w:val="false"/>
                      <w:sz w:val="18"/>
                      <w:szCs w:val="18"/>
                    </w:rPr>
                    <w:t xml:space="preserve"> de lo que imponen el pliego de prescripciones técnicas y las condiciones especiales de ejecución de este pliego, y </w:t>
                  </w:r>
                  <w:r>
                    <w:rPr>
                      <w:rFonts w:ascii="Calibri" w:cs="Calibri" w:eastAsia="Calibri" w:hAnsi="Calibri"/>
                      <w:b/>
                      <w:bCs/>
                      <w:sz w:val="18"/>
                      <w:szCs w:val="18"/>
                    </w:rPr>
                    <w:t xml:space="preserve">sólo sobre estos tres aspectos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E.1 · Supervisión humana</w:t>
                  </w:r>
                  <w:r>
                    <w:rPr>
                      <w:rFonts w:ascii="Calibri" w:cs="Calibri" w:eastAsia="Calibri" w:hAnsi="Calibri"/>
                      <w:b w:val="false"/>
                      <w:bCs w:val="false"/>
                      <w:sz w:val="18"/>
                      <w:szCs w:val="18"/>
                    </w:rPr>
                    <w:t xml:space="preserve"> de las operaciones de este contrato que afecten a derechos: relación de esas operaciones, perfil del equipo adscrito que asiste a quien la ejerce, modo de intervención y plazo de respuesta del adjudicatario (</w:t>
                  </w:r>
                  <w:r>
                    <w:rPr>
                      <w:rFonts w:ascii="Calibri" w:cs="Calibri" w:eastAsia="Calibri" w:hAnsi="Calibri"/>
                      <w:b/>
                      <w:bCs/>
                      <w:sz w:val="18"/>
                      <w:szCs w:val="18"/>
                    </w:rPr>
                    <w:t xml:space="preserve">2 puntos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E.2 · Riesgos y sesgos</w:t>
                  </w:r>
                  <w:r>
                    <w:rPr>
                      <w:rFonts w:ascii="Calibri" w:cs="Calibri" w:eastAsia="Calibri" w:hAnsi="Calibri"/>
                      <w:b w:val="false"/>
                      <w:bCs w:val="false"/>
                      <w:sz w:val="18"/>
                      <w:szCs w:val="18"/>
                    </w:rPr>
                    <w:t xml:space="preserve">: análisis de los riesgos de cada sistema sobre los datos y procesos municipales de este contrato, con su medida de tratamiento, y medidas de mitigación de sesgos que se aplicarán en él, distintas de la documentación, la muestra de verificación y la comunicación que exija el pliego de prescripciones técnicas (</w:t>
                  </w:r>
                  <w:r>
                    <w:rPr>
                      <w:rFonts w:ascii="Calibri" w:cs="Calibri" w:eastAsia="Calibri" w:hAnsi="Calibri"/>
                      <w:b/>
                      <w:bCs/>
                      <w:sz w:val="18"/>
                      <w:szCs w:val="18"/>
                    </w:rPr>
                    <w:t xml:space="preserve">2 puntos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E.3 · Información periódica</w:t>
                  </w:r>
                  <w:r>
                    <w:rPr>
                      <w:rFonts w:ascii="Calibri" w:cs="Calibri" w:eastAsia="Calibri" w:hAnsi="Calibri"/>
                      <w:b w:val="false"/>
                      <w:bCs w:val="false"/>
                      <w:sz w:val="18"/>
                      <w:szCs w:val="18"/>
                    </w:rPr>
                    <w:t xml:space="preserve"> al Ayuntamiento y al órgano interventor: contenido, destinatarios y calendario, con periodicidad más frecuente que la mínima de los pliegos (</w:t>
                  </w:r>
                  <w:r>
                    <w:rPr>
                      <w:rFonts w:ascii="Calibri" w:cs="Calibri" w:eastAsia="Calibri" w:hAnsi="Calibri"/>
                      <w:b/>
                      <w:bCs/>
                      <w:sz w:val="18"/>
                      <w:szCs w:val="18"/>
                    </w:rPr>
                    <w:t xml:space="preserve">1 punto</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Es obligatorio y no puntúa</w:t>
                  </w:r>
                  <w:r>
                    <w:rPr>
                      <w:rFonts w:ascii="Calibri" w:cs="Calibri" w:eastAsia="Calibri" w:hAnsi="Calibri"/>
                      <w:b w:val="false"/>
                      <w:bCs w:val="false"/>
                      <w:sz w:val="18"/>
                      <w:szCs w:val="18"/>
                    </w:rPr>
                    <w:t xml:space="preserve">: el inventario de sistemas, los archivos de registro, la constancia de los criterios de cada resultado, el control de suspensión, la formación para la supervisión humana y la documentación, la muestra y la comunicación de sesgos, en los términos del pliego de prescripciones técnicas [cláusula DT-1, apartados 2, 6.c), 6.d), 6.f), 11 y 13, en lo que se incorpore], y lo que imponga la condición especial de ejecución [cláusula ADM-1, modalidad B, si se incorpora: sin sus letras b) y c)]. No se valora la tenencia de certificación alguna ni el cumplimiento del Reglamento (UE) 2024/1689 en su redacción vigente, que es obligación legal exigida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por aspecto del Anexo [ ] de este pliego. Lo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unitario ponderado del Cuadro de Precios Unitarios.</w:t>
                  </w:r>
                  <w:r>
                    <w:rPr>
                      <w:rFonts w:ascii="Calibri" w:cs="Calibri" w:eastAsia="Calibri" w:hAnsi="Calibri"/>
                      <w:b w:val="false"/>
                      <w:bCs w:val="false"/>
                      <w:sz w:val="18"/>
                      <w:szCs w:val="18"/>
                    </w:rPr>
                    <w:t xml:space="preserve"> Precio/hora ofertado por cada uno de los </w:t>
                  </w:r>
                  <w:r>
                    <w:rPr>
                      <w:rFonts w:ascii="Calibri" w:cs="Calibri" w:eastAsia="Calibri" w:hAnsi="Calibri"/>
                      <w:b/>
                      <w:bCs/>
                      <w:sz w:val="18"/>
                      <w:szCs w:val="18"/>
                    </w:rPr>
                    <w:t xml:space="preserve">[X; se recomienda 5]</w:t>
                  </w:r>
                  <w:r>
                    <w:rPr>
                      <w:rFonts w:ascii="Calibri" w:cs="Calibri" w:eastAsia="Calibri" w:hAnsi="Calibri"/>
                      <w:b w:val="false"/>
                      <w:bCs w:val="false"/>
                      <w:sz w:val="18"/>
                      <w:szCs w:val="18"/>
                    </w:rPr>
                    <w:t xml:space="preserve"> perfiles profesionales de la relación cerrada del Anexo [ ] de este pliego, ponderados según la cesta de consumo publicada (F.1) y, si el Cuadro incluye unidades de despliegue, precio de cada unidad respecto de su precio máximo, ponderado (F.2; Anexo XVII, fórmula C bis).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Precios Unitarios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Procesos automatizados adicionales</w:t>
                  </w:r>
                  <w:r>
                    <w:rPr>
                      <w:rFonts w:ascii="Calibri" w:cs="Calibri" w:eastAsia="Calibri" w:hAnsi="Calibri"/>
                      <w:b w:val="false"/>
                      <w:bCs w:val="false"/>
                      <w:sz w:val="18"/>
                      <w:szCs w:val="18"/>
                    </w:rPr>
                    <w:t xml:space="preserve">, sobre la relación cerrada y numerada de procesos del </w:t>
                  </w:r>
                  <w:r>
                    <w:rPr>
                      <w:rFonts w:ascii="Calibri" w:cs="Calibri" w:eastAsia="Calibri" w:hAnsi="Calibri"/>
                      <w:b/>
                      <w:bCs/>
                      <w:sz w:val="18"/>
                      <w:szCs w:val="18"/>
                    </w:rPr>
                    <w:t xml:space="preserve">Apéndice técnico 1 · Procesos automatizables</w:t>
                  </w:r>
                  <w:r>
                    <w:rPr>
                      <w:rFonts w:ascii="Calibri" w:cs="Calibri" w:eastAsia="Calibri" w:hAnsi="Calibri"/>
                      <w:b w:val="false"/>
                      <w:bCs w:val="false"/>
                      <w:sz w:val="18"/>
                      <w:szCs w:val="18"/>
                    </w:rPr>
                    <w:t xml:space="preserve"> del pliego de prescripciones técnicas, contando únicamente los que excedan del mínimo obligatorio allí fijado.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proceso por proceso, la versión y el módulo que lo soporta o, cuando se comprometa a desarrollarlo, el hito del plan de implantación en que se entregará. Cuando este pliego incorpore la cláusula [ADM-9], la exactitud de la declaración se comprobará además conforme al trámite de su apartado 5. Los procesos comprometidos se incorporan al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w:t>
            </w:r>
          </w:p>
          <w:p>
            <w:pPr>
              <w:spacing w:after="100" w:line="264"/>
            </w:pPr>
            <w:r>
              <w:rPr>
                <w:rFonts w:ascii="Georgia" w:cs="Georgia" w:eastAsia="Georgia" w:hAnsi="Georgia"/>
                <w:sz w:val="20"/>
                <w:szCs w:val="20"/>
              </w:rPr>
              <w:t xml:space="preserve">Se aplica el baremo de la variante A con las siguientes reglas imperativas:</w:t>
            </w:r>
          </w:p>
          <w:p>
            <w:pPr>
              <w:pStyle w:val="ListParagraph"/>
              <w:numPr>
                <w:ilvl w:val="0"/>
                <w:numId w:val="2"/>
              </w:numPr>
              <w:spacing w:after="60" w:line="264"/>
            </w:pPr>
            <w:r>
              <w:rPr>
                <w:rFonts w:ascii="Georgia" w:cs="Georgia" w:eastAsia="Georgia" w:hAnsi="Georgia"/>
                <w:sz w:val="20"/>
                <w:szCs w:val="20"/>
              </w:rPr>
              <w:t xml:space="preserve">La suma de los criterios sujetos a juicio de valor no superará el </w:t>
            </w:r>
            <w:r>
              <w:rPr>
                <w:rFonts w:ascii="Georgia" w:cs="Georgia" w:eastAsia="Georgia" w:hAnsi="Georgia"/>
                <w:b/>
                <w:bCs/>
                <w:sz w:val="20"/>
                <w:szCs w:val="20"/>
              </w:rPr>
              <w:t xml:space="preserve">25 por ciento</w:t>
            </w:r>
            <w:r>
              <w:rPr>
                <w:rFonts w:ascii="Georgia" w:cs="Georgia" w:eastAsia="Georgia" w:hAnsi="Georgia"/>
                <w:sz w:val="20"/>
                <w:szCs w:val="20"/>
              </w:rPr>
              <w:t xml:space="preserve"> de la puntuación total, o el </w:t>
            </w:r>
            <w:r>
              <w:rPr>
                <w:rFonts w:ascii="Georgia" w:cs="Georgia" w:eastAsia="Georgia" w:hAnsi="Georgia"/>
                <w:b/>
                <w:bCs/>
                <w:sz w:val="20"/>
                <w:szCs w:val="20"/>
              </w:rPr>
              <w:t xml:space="preserve">45 por ciento</w:t>
            </w:r>
            <w:r>
              <w:rPr>
                <w:rFonts w:ascii="Georgia" w:cs="Georgia" w:eastAsia="Georgia" w:hAnsi="Georgia"/>
                <w:sz w:val="20"/>
                <w:szCs w:val="20"/>
              </w:rPr>
              <w:t xml:space="preserve"> cuando el expediente motive que el objeto del contrato son prestaciones de carácter intelectual (artículo 159.1.b LCSP).</w:t>
            </w:r>
          </w:p>
          <w:p>
            <w:pPr>
              <w:pStyle w:val="ListParagraph"/>
              <w:numPr>
                <w:ilvl w:val="0"/>
                <w:numId w:val="2"/>
              </w:numPr>
              <w:spacing w:after="60" w:line="264"/>
            </w:pPr>
            <w:r>
              <w:rPr>
                <w:rFonts w:ascii="Georgia" w:cs="Georgia" w:eastAsia="Georgia" w:hAnsi="Georgia"/>
                <w:sz w:val="20"/>
                <w:szCs w:val="20"/>
              </w:rPr>
              <w:t xml:space="preserve">El baremo de la variante A, con </w:t>
            </w:r>
            <w:r>
              <w:rPr>
                <w:rFonts w:ascii="Georgia" w:cs="Georgia" w:eastAsia="Georgia" w:hAnsi="Georgia"/>
                <w:b/>
                <w:bCs/>
                <w:sz w:val="20"/>
                <w:szCs w:val="20"/>
              </w:rPr>
              <w:t xml:space="preserve">24 puntos</w:t>
            </w:r>
            <w:r>
              <w:rPr>
                <w:rFonts w:ascii="Georgia" w:cs="Georgia" w:eastAsia="Georgia" w:hAnsi="Georgia"/>
                <w:sz w:val="20"/>
                <w:szCs w:val="20"/>
              </w:rPr>
              <w:t xml:space="preserve"> sujetos a juicio de valor, cabe en esta variante sin modificación alguna. Si el órgano de contratación altera las ponderaciones y el resultado supera el 25 por ciento, la reducción se practicará </w:t>
            </w:r>
            <w:r>
              <w:rPr>
                <w:rFonts w:ascii="Georgia" w:cs="Georgia" w:eastAsia="Georgia" w:hAnsi="Georgia"/>
                <w:b/>
                <w:bCs/>
                <w:sz w:val="20"/>
                <w:szCs w:val="20"/>
              </w:rPr>
              <w:t xml:space="preserve">antes de la publicación del anuncio</w:t>
            </w:r>
            <w:r>
              <w:rPr>
                <w:rFonts w:ascii="Georgia" w:cs="Georgia" w:eastAsia="Georgia" w:hAnsi="Georgia"/>
                <w:sz w:val="20"/>
                <w:szCs w:val="20"/>
              </w:rPr>
              <w:t xml:space="preserve"> y se documentará en la memoria de criterios, sin que quepa alteración alguna una vez publicados los pliegos.</w:t>
            </w:r>
          </w:p>
          <w:p>
            <w:pPr>
              <w:pStyle w:val="ListParagraph"/>
              <w:numPr>
                <w:ilvl w:val="0"/>
                <w:numId w:val="2"/>
              </w:numPr>
              <w:spacing w:after="60" w:line="264"/>
            </w:pPr>
            <w:r>
              <w:rPr>
                <w:rFonts w:ascii="Georgia" w:cs="Georgia" w:eastAsia="Georgia" w:hAnsi="Georgia"/>
                <w:sz w:val="20"/>
                <w:szCs w:val="20"/>
              </w:rPr>
              <w:t xml:space="preserve">No se exigirá la verificación mediante demostración funcional de la cláusula [ADM-9] cuando su celebración impida cumplir los plazos del artículo 159.</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 abreviado).</w:t>
            </w:r>
          </w:p>
          <w:p>
            <w:pPr>
              <w:pStyle w:val="ListParagraph"/>
              <w:numPr>
                <w:ilvl w:val="0"/>
                <w:numId w:val="2"/>
              </w:numPr>
              <w:spacing w:after="60" w:line="264"/>
            </w:pPr>
            <w:r>
              <w:rPr>
                <w:rFonts w:ascii="Georgia" w:cs="Georgia" w:eastAsia="Georgia" w:hAnsi="Georgia"/>
                <w:sz w:val="20"/>
                <w:szCs w:val="20"/>
              </w:rPr>
              <w:t xml:space="preserve">La totalidad de los criterios de adjudicación es evaluable mediante la mera aplicación de fórmulas. No se incorpora ningún criterio sujeto a juicio de valor (artículo 159.6.c LCSP).</w:t>
            </w:r>
          </w:p>
          <w:p>
            <w:pPr>
              <w:pStyle w:val="ListParagraph"/>
              <w:numPr>
                <w:ilvl w:val="0"/>
                <w:numId w:val="2"/>
              </w:numPr>
              <w:spacing w:after="60" w:line="264"/>
            </w:pPr>
            <w:r>
              <w:rPr>
                <w:rFonts w:ascii="Georgia" w:cs="Georgia" w:eastAsia="Georgia" w:hAnsi="Georgia"/>
                <w:sz w:val="20"/>
                <w:szCs w:val="20"/>
              </w:rPr>
              <w:t xml:space="preserve">Se suprimen los criterios </w:t>
            </w:r>
            <w:r>
              <w:rPr>
                <w:rFonts w:ascii="Georgia" w:cs="Georgia" w:eastAsia="Georgia" w:hAnsi="Georgia"/>
                <w:b/>
                <w:bCs/>
                <w:sz w:val="20"/>
                <w:szCs w:val="20"/>
              </w:rPr>
              <w:t xml:space="preserve">C2, C4, D y E</w:t>
            </w:r>
            <w:r>
              <w:rPr>
                <w:rFonts w:ascii="Georgia" w:cs="Georgia" w:eastAsia="Georgia" w:hAnsi="Georgia"/>
                <w:sz w:val="20"/>
                <w:szCs w:val="20"/>
              </w:rPr>
              <w:t xml:space="preserve"> —los cuatro sujetos a juicio de valor— y, con ellos, toda remisión a rúbricas. Baremo recomendado por defecto: </w:t>
            </w:r>
            <w:r>
              <w:rPr>
                <w:rFonts w:ascii="Georgia" w:cs="Georgia" w:eastAsia="Georgia" w:hAnsi="Georgia"/>
                <w:b/>
                <w:bCs/>
                <w:sz w:val="20"/>
                <w:szCs w:val="20"/>
              </w:rPr>
              <w:t xml:space="preserve">P 45 · C1 20 · C3 10 · A 12 · B 8 · F 5</w:t>
            </w:r>
            <w:r>
              <w:rPr>
                <w:rFonts w:ascii="Georgia" w:cs="Georgia" w:eastAsia="Georgia" w:hAnsi="Georgia"/>
                <w:sz w:val="20"/>
                <w:szCs w:val="20"/>
              </w:rPr>
              <w:t xml:space="preserve">. Si el pliego de prescripciones técnicas incorpora la relación cerrada y numerada de procesos automatizables, el criterio </w:t>
            </w:r>
            <w:r>
              <w:rPr>
                <w:rFonts w:ascii="Georgia" w:cs="Georgia" w:eastAsia="Georgia" w:hAnsi="Georgia"/>
                <w:b/>
                <w:bCs/>
                <w:sz w:val="20"/>
                <w:szCs w:val="20"/>
              </w:rPr>
              <w:t xml:space="preserve">H</w:t>
            </w:r>
            <w:r>
              <w:rPr>
                <w:rFonts w:ascii="Georgia" w:cs="Georgia" w:eastAsia="Georgia" w:hAnsi="Georgia"/>
                <w:sz w:val="20"/>
                <w:szCs w:val="20"/>
              </w:rPr>
              <w:t xml:space="preserve"> puede conservarse, detrayendo sus puntos de C1.</w:t>
            </w:r>
          </w:p>
          <w:p>
            <w:pPr>
              <w:pStyle w:val="ListParagraph"/>
              <w:numPr>
                <w:ilvl w:val="0"/>
                <w:numId w:val="2"/>
              </w:numPr>
              <w:spacing w:after="60" w:line="264"/>
            </w:pPr>
            <w:r>
              <w:rPr>
                <w:rFonts w:ascii="Georgia" w:cs="Georgia" w:eastAsia="Georgia" w:hAnsi="Georgia"/>
                <w:sz w:val="20"/>
                <w:szCs w:val="20"/>
              </w:rPr>
              <w:t xml:space="preserve">No se aplica la cláusula [ADM-9]; los criterios C1, A y H conservan su medio de comprobación documental.</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De los cuatro bloques insertados se conservan ADM-7.1 y la variante del procedimiento —A abierto, B simplificado, C abreviado—.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este perfil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D se valora sobre lo escrito; sin ADM-9 se borra su frase sobre la demostración (ADM-9·v3, epígrafe 7)</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sobre el bloque B del Apéndice técnico 0: se valora el compromiso, «con independencia de que la solución ofertada lo cubra desde su entrega inicial o de que el licitador deba desarrollarlo» (ADM-7.1, apartado 2); Cmín 0, Ctecho = filas del bloque B (Anexo X, fila 49)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C2</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C3</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PPT fija el mínimo —plan de migración, niveles en garantía, horas de formación—; sólo puntúa el exceso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DT-7; B con máximo [12] meses y suelo [6] (Anexo X, fila 18)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DT-1. No valora certificaciones ni el cumplimiento del Reglamento (ADM-7.2, criterio E), ni lo que exigen DT-1·v3, apartados 6.c), 6.d), 11 y 13, en lo incorporado, ni las letras a), d) y e) de ADM-1·v3 B: sólo lo que excede de ellos (VI.4.6). Con E, la B va sin sus letras b) y c) (§5.3)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 con la bolsa; H con DT-4</w:t>
            </w:r>
          </w:p>
        </w:tc>
      </w:tr>
    </w:tbl>
    <w:p>
      <w:pPr>
        <w:spacing w:after="200"/>
      </w:pPr>
    </w:p>
    <w:p>
      <w:pPr>
        <w:spacing w:after="140" w:line="276"/>
      </w:pPr>
      <w:r>
        <w:rPr>
          <w:rFonts w:ascii="Calibri" w:cs="Calibri" w:eastAsia="Calibri" w:hAnsi="Calibri"/>
          <w:b/>
          <w:bCs/>
          <w:sz w:val="21"/>
          <w:szCs w:val="21"/>
        </w:rPr>
        <w:t xml:space="preserve">Recomposición.</w:t>
      </w:r>
      <w:r>
        <w:rPr>
          <w:rFonts w:ascii="Calibri" w:cs="Calibri" w:eastAsia="Calibri" w:hAnsi="Calibri"/>
          <w:sz w:val="21"/>
          <w:szCs w:val="21"/>
        </w:rPr>
        <w:t xml:space="preserve"> Sin A, B, E, F y H, el baremo modelo de la variante A suma 73 (P 40, C1 8, C2 8, C3 6, C4 4, D 7). Se recompone </w:t>
      </w:r>
      <w:r>
        <w:rPr>
          <w:rFonts w:ascii="Calibri" w:cs="Calibri" w:eastAsia="Calibri" w:hAnsi="Calibri"/>
          <w:b/>
          <w:bCs/>
          <w:sz w:val="21"/>
          <w:szCs w:val="21"/>
        </w:rPr>
        <w:t xml:space="preserve">antes del anuncio</w:t>
      </w:r>
      <w:r>
        <w:rPr>
          <w:rFonts w:ascii="Calibri" w:cs="Calibri" w:eastAsia="Calibri" w:hAnsi="Calibri"/>
          <w:sz w:val="21"/>
          <w:szCs w:val="21"/>
        </w:rPr>
        <w:t xml:space="preserve">, con ficha del Anexo IV por criterio, y no se reescala después (Parte I, §7.8.b; ADM-7.1, apartado 6). Los pesos los decide el órgano de contratación; la hoja de ADM-7.5 los contrasta (prestación principal de [70] % o más, juicio de valor bajo las fórmulas o comité de expertos, mejoras por juicio de valor hasta el 2,5 %, innovación hasta el [25] % y nunca más del 40 %).</w:t>
      </w:r>
    </w:p>
    <w:p>
      <w:pPr>
        <w:spacing w:after="140" w:line="276"/>
      </w:pPr>
      <w:r>
        <w:rPr>
          <w:rFonts w:ascii="Calibri" w:cs="Calibri" w:eastAsia="Calibri" w:hAnsi="Calibri"/>
          <w:b/>
          <w:bCs/>
          <w:sz w:val="21"/>
          <w:szCs w:val="21"/>
        </w:rPr>
        <w:t xml:space="preserve">Carácter intelectual.</w:t>
      </w:r>
      <w:r>
        <w:rPr>
          <w:rFonts w:ascii="Calibri" w:cs="Calibri" w:eastAsia="Calibri" w:hAnsi="Calibri"/>
          <w:sz w:val="21"/>
          <w:szCs w:val="21"/>
        </w:rPr>
        <w:t xml:space="preserve"> La regla quinta del Anexo XXIII —por defecto no se califica— está escrita para la solución de mercado. En un desarrollo a medida puede proceder, acreditando uno a uno los cuatro indicios en el informe de necesidad; si se califica, calidad del 51 % o más, juicio de valor hasta el 45 % en el simplificado y sin variante C, y la calificación produce todos sus efectos (regla cuarta).</w:t>
      </w:r>
    </w:p>
    <w:p>
      <w:pPr>
        <w:spacing w:after="140" w:line="276"/>
      </w:pPr>
      <w:r>
        <w:rPr>
          <w:rFonts w:ascii="Calibri" w:cs="Calibri" w:eastAsia="Calibri" w:hAnsi="Calibri"/>
          <w:b/>
          <w:bCs/>
          <w:sz w:val="21"/>
          <w:szCs w:val="21"/>
        </w:rPr>
        <w:t xml:space="preserve">Nunca puntúan aquí</w:t>
      </w:r>
      <w:r>
        <w:rPr>
          <w:rFonts w:ascii="Calibri" w:cs="Calibri" w:eastAsia="Calibri" w:hAnsi="Calibri"/>
          <w:sz w:val="21"/>
          <w:szCs w:val="21"/>
        </w:rPr>
        <w:t xml:space="preserve"> la entrega del código, el Inventario, la documentación o la conformidad ENS, que impone el PPT (Anexo I, filas 4, 15 y 28, columna «Nunca además como»: CA), ni la experiencia, las certificaciones de empresa o los medios disponibles antes de licitar, que van a solvencia o adscripción de medios (ADM-7.1, apartado 2; hoja ADM-7.5, fila 10). Para estas dos el catálogo asigna instrumento (Anexo I, filas 18 y 19) pero no texto de pliego.</w:t>
      </w:r>
    </w:p>
    <w:p>
      <w:pPr>
        <w:pStyle w:val="Heading2"/>
        <w:keepNext/>
        <w:spacing w:after="140" w:before="320"/>
      </w:pPr>
      <w:r>
        <w:rPr>
          <w:rFonts w:ascii="Georgia" w:cs="Georgia" w:eastAsia="Georgia" w:hAnsi="Georgia"/>
          <w:b/>
          <w:bCs/>
          <w:color w:val="1F3864"/>
          <w:sz w:val="26"/>
          <w:szCs w:val="26"/>
        </w:rPr>
        <w:t xml:space="preserve">5.3 Cláusulas administrativas condicionadas</w:t>
      </w:r>
    </w:p>
    <w:p>
      <w:pPr>
        <w:pStyle w:val="Heading3"/>
        <w:keepNext/>
        <w:spacing w:after="140" w:before="320"/>
      </w:pPr>
      <w:r>
        <w:rPr>
          <w:rFonts w:ascii="Georgia" w:cs="Georgia" w:eastAsia="Georgia" w:hAnsi="Georgia"/>
          <w:b/>
          <w:bCs/>
          <w:color w:val="2F5496"/>
          <w:sz w:val="22"/>
          <w:szCs w:val="22"/>
        </w:rPr>
        <w:t xml:space="preserve">ADM-1·v3 · Solvencia y sistema de gestión de la IA — sólo con DT-1</w:t>
      </w:r>
    </w:p>
    <w:p>
      <w:pPr>
        <w:spacing w:after="140" w:line="276"/>
      </w:pPr>
      <w:r>
        <w:rPr>
          <w:rFonts w:ascii="Calibri" w:cs="Calibri" w:eastAsia="Calibri" w:hAnsi="Calibri"/>
          <w:i/>
          <w:iCs/>
          <w:sz w:val="21"/>
          <w:szCs w:val="21"/>
        </w:rPr>
        <w:t xml:space="preserve">Texto vigente de ADM-1·v3 en el catálogo, versión 4.0 (3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Solvencia técnica. Medidas de gestión de la calidad aplicables a los sistemas de inteligencia artificial.</w:t>
            </w:r>
          </w:p>
          <w:p>
            <w:pPr>
              <w:pStyle w:val="ListParagraph"/>
              <w:numPr>
                <w:ilvl w:val="0"/>
                <w:numId w:val="2"/>
              </w:numPr>
              <w:spacing w:after="60" w:line="264"/>
            </w:pPr>
            <w:r>
              <w:rPr>
                <w:rFonts w:ascii="Georgia" w:cs="Georgia" w:eastAsia="Georgia" w:hAnsi="Georgia"/>
                <w:sz w:val="20"/>
                <w:szCs w:val="20"/>
              </w:rPr>
              <w:t xml:space="preserve">El licitador acreditará que aplica un sistema de gestión de la inteligencia artificial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las actividades que constituyen el objeto de este contrato.</w:t>
            </w:r>
          </w:p>
          <w:p>
            <w:pPr>
              <w:pStyle w:val="ListParagraph"/>
              <w:numPr>
                <w:ilvl w:val="0"/>
                <w:numId w:val="2"/>
              </w:numPr>
              <w:spacing w:after="60" w:line="264"/>
            </w:pPr>
            <w:r>
              <w:rPr>
                <w:rFonts w:ascii="Georgia" w:cs="Georgia" w:eastAsia="Georgia" w:hAnsi="Georgia"/>
                <w:sz w:val="20"/>
                <w:szCs w:val="20"/>
              </w:rPr>
              <w:t xml:space="preserve">La acreditación podrá realizarse indistintamente mediante:</w:t>
            </w:r>
          </w:p>
          <w:p>
            <w:pPr>
              <w:spacing w:after="100" w:line="264"/>
            </w:pPr>
            <w:r>
              <w:rPr>
                <w:rFonts w:ascii="Georgia" w:cs="Georgia" w:eastAsia="Georgia" w:hAnsi="Georgia"/>
                <w:sz w:val="20"/>
                <w:szCs w:val="20"/>
              </w:rPr>
              <w:t xml:space="preserve">a) Certificado en vigor expedido por entidad de certificación acreditada.</w:t>
            </w:r>
          </w:p>
          <w:p>
            <w:pPr>
              <w:spacing w:after="100" w:line="264"/>
            </w:pPr>
            <w:r>
              <w:rPr>
                <w:rFonts w:ascii="Georgia" w:cs="Georgia" w:eastAsia="Georgia" w:hAnsi="Georgia"/>
                <w:sz w:val="20"/>
                <w:szCs w:val="20"/>
              </w:rPr>
              <w:t xml:space="preserve">b) Certificado equivalente expedido por organismo establecido en cualquier Estado miembro de la Unión Europea.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Otras pruebas de medidas equivalentes de garantía de la calidad</w:t>
            </w:r>
            <w:r>
              <w:rPr>
                <w:rFonts w:ascii="Georgia" w:cs="Georgia" w:eastAsia="Georgia" w:hAnsi="Georgia"/>
                <w:sz w:val="20"/>
                <w:szCs w:val="20"/>
              </w:rPr>
              <w:t xml:space="preserve">, conforme al artículo 93.2 de la Ley 9/2017, de Contratos del Sector Público. A estos efectos se admitirán, y bastarán, los siguientes documentos referidos a la organización del licitador y en vigor a la fecha final de presentación de ofertas: (i) política de gestión de la inteligencia artificial aprobada por el órgano de dirección; (ii) procedimiento documentado de identificación, análisis y tratamiento de los riesgos de los sistemas de inteligencia artificial; (iii) procedimiento documentado de supervisión humana, con identificación de los puestos que la ejercen; (iv) registro de incidencias y de cambios de modelo o de versión; (v) informe de la última revisión interna o externa del sistema de gestión, de antigüedad no superior a [X; se recomienda 24] meses.</w:t>
            </w:r>
          </w:p>
          <w:p>
            <w:pPr>
              <w:pStyle w:val="ListParagraph"/>
              <w:numPr>
                <w:ilvl w:val="0"/>
                <w:numId w:val="2"/>
              </w:numPr>
              <w:spacing w:after="60" w:line="264"/>
            </w:pPr>
            <w:r>
              <w:rPr>
                <w:rFonts w:ascii="Georgia" w:cs="Georgia" w:eastAsia="Georgia" w:hAnsi="Georgia"/>
                <w:sz w:val="20"/>
                <w:szCs w:val="20"/>
              </w:rPr>
              <w:t xml:space="preserve">La designación de la norma se entiende hecha a la </w:t>
            </w:r>
            <w:r>
              <w:rPr>
                <w:rFonts w:ascii="Georgia" w:cs="Georgia" w:eastAsia="Georgia" w:hAnsi="Georgia"/>
                <w:b/>
                <w:bCs/>
                <w:sz w:val="20"/>
                <w:szCs w:val="20"/>
              </w:rPr>
              <w:t xml:space="preserve">versión vigente a la fecha de publicación del anuncio de licitación</w:t>
            </w:r>
            <w:r>
              <w:rPr>
                <w:rFonts w:ascii="Georgia" w:cs="Georgia" w:eastAsia="Georgia" w:hAnsi="Georgia"/>
                <w:sz w:val="20"/>
                <w:szCs w:val="20"/>
              </w:rPr>
              <w:t xml:space="preserve">. La publicación posterior de una revisión, o su sustitución por otra norma, no modificará el contenido de esta exigencia ni el alcance de las obligaciones asumidas por el adjudicatario.</w:t>
            </w:r>
          </w:p>
          <w:p>
            <w:pPr>
              <w:pStyle w:val="ListParagraph"/>
              <w:numPr>
                <w:ilvl w:val="0"/>
                <w:numId w:val="2"/>
              </w:numPr>
              <w:spacing w:after="60" w:line="264"/>
            </w:pPr>
            <w:r>
              <w:rPr>
                <w:rFonts w:ascii="Georgia" w:cs="Georgia" w:eastAsia="Georgia" w:hAnsi="Georgia"/>
                <w:sz w:val="20"/>
                <w:szCs w:val="20"/>
              </w:rPr>
              <w:t xml:space="preserve">El cumplimiento de este requisito no se valora en la adjudicación.</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Sistema de gestión de la inteligencia artificial aplicado a la solución contratada.</w:t>
            </w:r>
          </w:p>
          <w:p>
            <w:pPr>
              <w:pStyle w:val="ListParagraph"/>
              <w:numPr>
                <w:ilvl w:val="0"/>
                <w:numId w:val="2"/>
              </w:numPr>
              <w:spacing w:after="60" w:line="264"/>
            </w:pPr>
            <w:r>
              <w:rPr>
                <w:rFonts w:ascii="Georgia" w:cs="Georgia" w:eastAsia="Georgia" w:hAnsi="Georgia"/>
                <w:b/>
                <w:bCs/>
                <w:sz w:val="20"/>
                <w:szCs w:val="20"/>
              </w:rPr>
              <w:t xml:space="preserve">Objeto.</w:t>
            </w:r>
            <w:r>
              <w:rPr>
                <w:rFonts w:ascii="Georgia" w:cs="Georgia" w:eastAsia="Georgia" w:hAnsi="Georgia"/>
                <w:sz w:val="20"/>
                <w:szCs w:val="20"/>
              </w:rPr>
              <w:t xml:space="preserve"> Durante toda la ejecución del contrato y de sus prórrogas, el contratista aplicará </w:t>
            </w:r>
            <w:r>
              <w:rPr>
                <w:rFonts w:ascii="Georgia" w:cs="Georgia" w:eastAsia="Georgia" w:hAnsi="Georgia"/>
                <w:b/>
                <w:bCs/>
                <w:sz w:val="20"/>
                <w:szCs w:val="20"/>
              </w:rPr>
              <w:t xml:space="preserve">a la solución objeto de este contrato y al equipo adscrito a su ejecución</w:t>
            </w:r>
            <w:r>
              <w:rPr>
                <w:rFonts w:ascii="Georgia" w:cs="Georgia" w:eastAsia="Georgia" w:hAnsi="Georgia"/>
                <w:sz w:val="20"/>
                <w:szCs w:val="20"/>
              </w:rPr>
              <w:t xml:space="preserve"> un sistema de gestión de la inteligencia artificial que comprenda, como mínimo:</w:t>
            </w:r>
          </w:p>
          <w:p>
            <w:pPr>
              <w:spacing w:after="100" w:line="264"/>
            </w:pPr>
            <w:r>
              <w:rPr>
                <w:rFonts w:ascii="Georgia" w:cs="Georgia" w:eastAsia="Georgia" w:hAnsi="Georgia"/>
                <w:sz w:val="20"/>
                <w:szCs w:val="20"/>
              </w:rPr>
              <w:t xml:space="preserve">a) Inventario, actualizado y a disposición del responsable del contrato, de los sistemas de inteligencia artificial que intervienen en la prestación, con indicación de proveedor, finalidad y datos municipales tratados. [Si el pliego de prescripciones técnicas incorpora la cláusula DT-1, esta letra se cumple con la relación de su apartado 2, mantenida actualizada y completada con los datos municipales tratados: no se pide un segundo inventario.]</w:t>
            </w:r>
          </w:p>
          <w:p>
            <w:pPr>
              <w:spacing w:after="100" w:line="264"/>
            </w:pPr>
            <w:r>
              <w:rPr>
                <w:rFonts w:ascii="Georgia" w:cs="Georgia" w:eastAsia="Georgia" w:hAnsi="Georgia"/>
                <w:sz w:val="20"/>
                <w:szCs w:val="20"/>
              </w:rPr>
              <w:t xml:space="preserve">b) Análisis documentado de los riesgos de esos sistemas referido a los datos y procesos municipales de este contrato, y medidas de tratamiento adoptadas.</w:t>
            </w:r>
          </w:p>
          <w:p>
            <w:pPr>
              <w:spacing w:after="100" w:line="264"/>
            </w:pPr>
            <w:r>
              <w:rPr>
                <w:rFonts w:ascii="Georgia" w:cs="Georgia" w:eastAsia="Georgia" w:hAnsi="Georgia"/>
                <w:sz w:val="20"/>
                <w:szCs w:val="20"/>
              </w:rPr>
              <w:t xml:space="preserve">c) Identificación de las operaciones sujetas a supervisión humana y de los perfiles que la ejercen, con la formación acreditada de las personas que operan los sistemas.</w:t>
            </w:r>
          </w:p>
          <w:p>
            <w:pPr>
              <w:spacing w:after="100" w:line="264"/>
            </w:pPr>
            <w:r>
              <w:rPr>
                <w:rFonts w:ascii="Georgia" w:cs="Georgia" w:eastAsia="Georgia" w:hAnsi="Georgia"/>
                <w:sz w:val="20"/>
                <w:szCs w:val="20"/>
              </w:rPr>
              <w:t xml:space="preserve">d) Registro de incidencias, de cambios de modelo y de cambios de versión que afecten a la prestación, con comunicación al responsable del contrato de los que alteren el comportamiento funcional.</w:t>
            </w:r>
          </w:p>
          <w:p>
            <w:pPr>
              <w:spacing w:after="100" w:line="264"/>
            </w:pPr>
            <w:r>
              <w:rPr>
                <w:rFonts w:ascii="Georgia" w:cs="Georgia" w:eastAsia="Georgia" w:hAnsi="Georgia"/>
                <w:sz w:val="20"/>
                <w:szCs w:val="20"/>
              </w:rPr>
              <w:t xml:space="preserve">e) Revisión documentada, al menos anual, del funcionamiento de las letras anteriores.</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se acredita, a elección del contratista, mediante: (i) certificado en vigor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 prestación objeto de este contrato, o certificado equivalente, o (ii) la documentación descrita en el apartado 1, mantenida actualizada y puesta a disposición del responsable del contrato en el plazo de [X; se recomienda 10] días hábiles desde su requerimiento.</w:t>
            </w:r>
          </w:p>
          <w:p>
            <w:pPr>
              <w:pStyle w:val="ListParagraph"/>
              <w:numPr>
                <w:ilvl w:val="0"/>
                <w:numId w:val="2"/>
              </w:numPr>
              <w:spacing w:after="60" w:line="264"/>
            </w:pPr>
            <w:r>
              <w:rPr>
                <w:rFonts w:ascii="Georgia" w:cs="Georgia" w:eastAsia="Georgia" w:hAnsi="Georgia"/>
                <w:b/>
                <w:bCs/>
                <w:sz w:val="20"/>
                <w:szCs w:val="20"/>
              </w:rPr>
              <w:t xml:space="preserve">Plazo.</w:t>
            </w:r>
            <w:r>
              <w:rPr>
                <w:rFonts w:ascii="Georgia" w:cs="Georgia" w:eastAsia="Georgia" w:hAnsi="Georgia"/>
                <w:sz w:val="20"/>
                <w:szCs w:val="20"/>
              </w:rPr>
              <w:t xml:space="preserve"> [Sólo si el pliego exige certificación:] El contratista dispondrá de [X; se recomienda 12] meses desde la formalización del contrato para obtener la certificación indicada en el apartado 2.(i). Hasta entonces, y en caso de no obtenerla, el cumplimiento se acredita por la vía del apartado 2.(ii), sin que ello constituya incumplimiento. </w:t>
            </w:r>
            <w:r>
              <w:rPr>
                <w:rFonts w:ascii="Georgia" w:cs="Georgia" w:eastAsia="Georgia" w:hAnsi="Georgia"/>
                <w:b/>
                <w:bCs/>
                <w:sz w:val="20"/>
                <w:szCs w:val="20"/>
              </w:rPr>
              <w:t xml:space="preserve">Las penalidades previstas en este pliego operan sobre la falta de acreditación por cualquiera de las dos vías del apartado 2, nunca sobre la pérdida del certificado en sí.</w:t>
            </w:r>
          </w:p>
          <w:p>
            <w:pPr>
              <w:pStyle w:val="ListParagraph"/>
              <w:numPr>
                <w:ilvl w:val="0"/>
                <w:numId w:val="2"/>
              </w:numPr>
              <w:spacing w:after="60" w:line="264"/>
            </w:pPr>
            <w:r>
              <w:rPr>
                <w:rFonts w:ascii="Georgia" w:cs="Georgia" w:eastAsia="Georgia" w:hAnsi="Georgia"/>
                <w:b/>
                <w:bCs/>
                <w:sz w:val="20"/>
                <w:szCs w:val="20"/>
              </w:rPr>
              <w:t xml:space="preserve">No exigencia previa.</w:t>
            </w:r>
            <w:r>
              <w:rPr>
                <w:rFonts w:ascii="Georgia" w:cs="Georgia" w:eastAsia="Georgia" w:hAnsi="Georgia"/>
                <w:sz w:val="20"/>
                <w:szCs w:val="20"/>
              </w:rPr>
              <w:t xml:space="preserve"> No se exige disponer de certificación alguna a la fecha de presentación de ofertas, ni se valora su tenencia en la adjudicación.</w:t>
            </w:r>
          </w:p>
          <w:p>
            <w:pPr>
              <w:pStyle w:val="ListParagraph"/>
              <w:numPr>
                <w:ilvl w:val="0"/>
                <w:numId w:val="2"/>
              </w:numPr>
              <w:spacing w:after="60" w:line="264"/>
            </w:pPr>
            <w:r>
              <w:rPr>
                <w:rFonts w:ascii="Georgia" w:cs="Georgia" w:eastAsia="Georgia" w:hAnsi="Georgia"/>
                <w:b/>
                <w:bCs/>
                <w:sz w:val="20"/>
                <w:szCs w:val="20"/>
              </w:rPr>
              <w:t xml:space="preserve">Referencia estática.</w:t>
            </w:r>
            <w:r>
              <w:rPr>
                <w:rFonts w:ascii="Georgia" w:cs="Georgia" w:eastAsia="Georgia" w:hAnsi="Georgia"/>
                <w:sz w:val="20"/>
                <w:szCs w:val="20"/>
              </w:rPr>
              <w:t xml:space="preserve"> La designación de la norma se entiende hecha a la versión vigente a la fecha de publicación del anuncio de licitación. La publicación posterior de una revisión, o su sustitución por otra norma, no modificará el contenido de esta obligación. El contratista podrá acogerse voluntariamente a la versión posterior.</w:t>
            </w:r>
          </w:p>
          <w:p>
            <w:pPr>
              <w:pStyle w:val="ListParagraph"/>
              <w:numPr>
                <w:ilvl w:val="0"/>
                <w:numId w:val="2"/>
              </w:numPr>
              <w:spacing w:after="60" w:line="264"/>
            </w:pPr>
            <w:r>
              <w:rPr>
                <w:rFonts w:ascii="Georgia" w:cs="Georgia" w:eastAsia="Georgia" w:hAnsi="Georgia"/>
                <w:b/>
                <w:bCs/>
                <w:sz w:val="20"/>
                <w:szCs w:val="20"/>
              </w:rPr>
              <w:t xml:space="preserve">Naturaleza.</w:t>
            </w:r>
            <w:r>
              <w:rPr>
                <w:rFonts w:ascii="Georgia" w:cs="Georgia" w:eastAsia="Georgia" w:hAnsi="Georgia"/>
                <w:sz w:val="20"/>
                <w:szCs w:val="20"/>
              </w:rPr>
              <w:t xml:space="preserve"> Esta condición especial de ejecución se establece al amparo de los artículos 202.1 y 202.2 de la Ley 9/2017, está vinculada al objeto del contrato en el sentido del artículo 145.6 de la misma ley y se ejecuta durante el cumplimiento de la prestación contratada. Su incumplimiento dará lugar a las penalidades de la cláusula de penalidades de este pliego. </w:t>
            </w:r>
            <w:r>
              <w:rPr>
                <w:rFonts w:ascii="Georgia" w:cs="Georgia" w:eastAsia="Georgia" w:hAnsi="Georgia"/>
                <w:b/>
                <w:bCs/>
                <w:sz w:val="20"/>
                <w:szCs w:val="20"/>
              </w:rPr>
              <w:t xml:space="preserve">No tiene carácter de obligación contractual esencial.</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Otras certificaciones y marcos aplicables.</w:t>
            </w:r>
          </w:p>
          <w:p>
            <w:pPr>
              <w:pStyle w:val="ListParagraph"/>
              <w:numPr>
                <w:ilvl w:val="0"/>
                <w:numId w:val="2"/>
              </w:numPr>
              <w:spacing w:after="60" w:line="264"/>
            </w:pPr>
            <w:r>
              <w:rPr>
                <w:rFonts w:ascii="Georgia" w:cs="Georgia" w:eastAsia="Georgia" w:hAnsi="Georgia"/>
                <w:b/>
                <w:bCs/>
                <w:sz w:val="20"/>
                <w:szCs w:val="20"/>
              </w:rPr>
              <w:t xml:space="preserve">Esquema Nacional de Seguridad.</w:t>
            </w:r>
            <w:r>
              <w:rPr>
                <w:rFonts w:ascii="Georgia" w:cs="Georgia" w:eastAsia="Georgia" w:hAnsi="Georgia"/>
                <w:sz w:val="20"/>
                <w:szCs w:val="20"/>
              </w:rPr>
              <w:t xml:space="preserve"> La conformidad con el Esquema Nacional de Seguridad se exige en los términos de la cláusula técnica correspondiente de este pliego, </w:t>
            </w:r>
            <w:r>
              <w:rPr>
                <w:rFonts w:ascii="Georgia" w:cs="Georgia" w:eastAsia="Georgia" w:hAnsi="Georgia"/>
                <w:b/>
                <w:bCs/>
                <w:sz w:val="20"/>
                <w:szCs w:val="20"/>
              </w:rPr>
              <w:t xml:space="preserve">en la categoría que resulte del anexo I del Real Decreto 311/2022</w:t>
            </w:r>
            <w:r>
              <w:rPr>
                <w:rFonts w:ascii="Georgia" w:cs="Georgia" w:eastAsia="Georgia" w:hAnsi="Georgia"/>
                <w:sz w:val="20"/>
                <w:szCs w:val="20"/>
              </w:rPr>
              <w:t xml:space="preserve"> para el sistema de información de que se trate, según conste determinada en el expediente. No se exige categoría alguna con carácter general ni por remisión a un nivel predeterminado.</w:t>
            </w:r>
          </w:p>
          <w:p>
            <w:pPr>
              <w:pStyle w:val="ListParagraph"/>
              <w:numPr>
                <w:ilvl w:val="0"/>
                <w:numId w:val="2"/>
              </w:numPr>
              <w:spacing w:after="60" w:line="264"/>
            </w:pPr>
            <w:r>
              <w:rPr>
                <w:rFonts w:ascii="Georgia" w:cs="Georgia" w:eastAsia="Georgia" w:hAnsi="Georgia"/>
                <w:b/>
                <w:bCs/>
                <w:sz w:val="20"/>
                <w:szCs w:val="20"/>
              </w:rPr>
              <w:t xml:space="preserve">Sistemas de gestión de la seguridad de la información y de la privacidad.</w:t>
            </w:r>
            <w:r>
              <w:rPr>
                <w:rFonts w:ascii="Georgia" w:cs="Georgia" w:eastAsia="Georgia" w:hAnsi="Georgia"/>
                <w:sz w:val="20"/>
                <w:szCs w:val="20"/>
              </w:rPr>
              <w:t xml:space="preserve"> [Sólo si el Informe de Necesidad lo motiva:] Se exige la aplicación de un sistema de gestión conforme a </w:t>
            </w:r>
            <w:r>
              <w:rPr>
                <w:rFonts w:ascii="Georgia" w:cs="Georgia" w:eastAsia="Georgia" w:hAnsi="Georgia"/>
                <w:b/>
                <w:bCs/>
                <w:sz w:val="20"/>
                <w:szCs w:val="20"/>
              </w:rPr>
              <w:t xml:space="preserve">UNE-EN ISO/IEC 27001:[año vigente]</w:t>
            </w:r>
            <w:r>
              <w:rPr>
                <w:rFonts w:ascii="Georgia" w:cs="Georgia" w:eastAsia="Georgia" w:hAnsi="Georgia"/>
                <w:sz w:val="20"/>
                <w:szCs w:val="20"/>
              </w:rPr>
              <w:t xml:space="preserve"> [y </w:t>
            </w:r>
            <w:r>
              <w:rPr>
                <w:rFonts w:ascii="Georgia" w:cs="Georgia" w:eastAsia="Georgia" w:hAnsi="Georgia"/>
                <w:b/>
                <w:bCs/>
                <w:sz w:val="20"/>
                <w:szCs w:val="20"/>
              </w:rPr>
              <w:t xml:space="preserve">UNE-EN ISO/IEC 27701:[año vigente]</w:t>
            </w:r>
            <w:r>
              <w:rPr>
                <w:rFonts w:ascii="Georgia" w:cs="Georgia" w:eastAsia="Georgia" w:hAnsi="Georgia"/>
                <w:sz w:val="20"/>
                <w:szCs w:val="20"/>
              </w:rPr>
              <w:t xml:space="preserve">], acreditada mediante certificado en vigor, certificado equivalente expedido por organismo de cualquier Estado miembro, u otras pruebas de medidas equivalentes conforme al artículo 93.2 de la Ley 9/2017. Se aplica a esta exigencia la regla de referencia estática del apartado anterior.</w:t>
            </w:r>
          </w:p>
          <w:p>
            <w:pPr>
              <w:pStyle w:val="ListParagraph"/>
              <w:numPr>
                <w:ilvl w:val="0"/>
                <w:numId w:val="2"/>
              </w:numPr>
              <w:spacing w:after="60" w:line="264"/>
            </w:pPr>
            <w:r>
              <w:rPr>
                <w:rFonts w:ascii="Georgia" w:cs="Georgia" w:eastAsia="Georgia" w:hAnsi="Georgia"/>
                <w:b/>
                <w:bCs/>
                <w:sz w:val="20"/>
                <w:szCs w:val="20"/>
              </w:rPr>
              <w:t xml:space="preserve">Servicios electrónicos de confianza.</w:t>
            </w:r>
            <w:r>
              <w:rPr>
                <w:rFonts w:ascii="Georgia" w:cs="Georgia" w:eastAsia="Georgia" w:hAnsi="Georgia"/>
                <w:sz w:val="20"/>
                <w:szCs w:val="20"/>
              </w:rPr>
              <w:t xml:space="preserve"> Cuando el objeto comprenda la prestación de servicios electrónicos de confianza, se exigirá la condición de prestador cualificado en los términos de la normativa europea de identificación electrónica y servicios de confianza.</w:t>
            </w:r>
          </w:p>
          <w:p>
            <w:pPr>
              <w:pStyle w:val="ListParagraph"/>
              <w:numPr>
                <w:ilvl w:val="0"/>
                <w:numId w:val="2"/>
              </w:numPr>
              <w:spacing w:after="60" w:line="264"/>
            </w:pPr>
            <w:r>
              <w:rPr>
                <w:rFonts w:ascii="Georgia" w:cs="Georgia" w:eastAsia="Georgia" w:hAnsi="Georgia"/>
                <w:b/>
                <w:bCs/>
                <w:sz w:val="20"/>
                <w:szCs w:val="20"/>
              </w:rPr>
              <w:t xml:space="preserve">Regla común.</w:t>
            </w:r>
            <w:r>
              <w:rPr>
                <w:rFonts w:ascii="Georgia" w:cs="Georgia" w:eastAsia="Georgia" w:hAnsi="Georgia"/>
                <w:sz w:val="20"/>
                <w:szCs w:val="20"/>
              </w:rPr>
              <w:t xml:space="preserve"> Ninguna de las certificaciones o marcos de este pliego se valora como criterio de adjudicación.</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Una sola modalidad (epígrafe 1): </w:t>
      </w:r>
      <w:r>
        <w:rPr>
          <w:rFonts w:ascii="Calibri" w:cs="Calibri" w:eastAsia="Calibri" w:hAnsi="Calibri"/>
          <w:b/>
          <w:bCs/>
          <w:sz w:val="21"/>
          <w:szCs w:val="21"/>
        </w:rPr>
        <w:t xml:space="preserve">B</w:t>
      </w:r>
      <w:r>
        <w:rPr>
          <w:rFonts w:ascii="Calibri" w:cs="Calibri" w:eastAsia="Calibri" w:hAnsi="Calibri"/>
          <w:sz w:val="21"/>
          <w:szCs w:val="21"/>
        </w:rPr>
        <w:t xml:space="preserve">; A sólo armonizado con IA determinante; C con la A o la B, y su apartado 2 sólo si el informe de necesidad lo motiva. </w:t>
      </w:r>
      <w:r>
        <w:rPr>
          <w:rFonts w:ascii="Calibri" w:cs="Calibri" w:eastAsia="Calibri" w:hAnsi="Calibri"/>
          <w:b/>
          <w:bCs/>
          <w:sz w:val="21"/>
          <w:szCs w:val="21"/>
        </w:rPr>
        <w:t xml:space="preserve">Si el baremo incluye el criterio E, la B se transcribe sólo con sus letras a), d) y e)</w:t>
      </w:r>
      <w:r>
        <w:rPr>
          <w:rFonts w:ascii="Calibri" w:cs="Calibri" w:eastAsia="Calibri" w:hAnsi="Calibri"/>
          <w:sz w:val="21"/>
          <w:szCs w:val="21"/>
        </w:rPr>
        <w:t xml:space="preserve">: las b) y c) —análisis de riesgos y supervisión humana— no se transcriben porque las puntúa E, y puntuar una condición especial de ejecución es la combinación 3 del §7.3 (VI.4.3; Anexo I, fila 17). B.2, </w:t>
      </w:r>
      <w:r>
        <w:rPr>
          <w:rFonts w:ascii="Calibri" w:cs="Calibri" w:eastAsia="Calibri" w:hAnsi="Calibri"/>
          <w:b/>
          <w:bCs/>
          <w:sz w:val="21"/>
          <w:szCs w:val="21"/>
        </w:rPr>
        <w:t xml:space="preserve">10</w:t>
      </w:r>
      <w:r>
        <w:rPr>
          <w:rFonts w:ascii="Calibri" w:cs="Calibri" w:eastAsia="Calibri" w:hAnsi="Calibri"/>
          <w:sz w:val="21"/>
          <w:szCs w:val="21"/>
        </w:rPr>
        <w:t xml:space="preserve"> días hábiles; B.3, </w:t>
      </w:r>
      <w:r>
        <w:rPr>
          <w:rFonts w:ascii="Calibri" w:cs="Calibri" w:eastAsia="Calibri" w:hAnsi="Calibri"/>
          <w:b/>
          <w:bCs/>
          <w:sz w:val="21"/>
          <w:szCs w:val="21"/>
        </w:rPr>
        <w:t xml:space="preserve">12</w:t>
      </w:r>
      <w:r>
        <w:rPr>
          <w:rFonts w:ascii="Calibri" w:cs="Calibri" w:eastAsia="Calibri" w:hAnsi="Calibri"/>
          <w:sz w:val="21"/>
          <w:szCs w:val="21"/>
        </w:rPr>
        <w:t xml:space="preserve"> meses y sólo si se exige certificación (Anexo X, fila 26); A.2.c).v), </w:t>
      </w:r>
      <w:r>
        <w:rPr>
          <w:rFonts w:ascii="Calibri" w:cs="Calibri" w:eastAsia="Calibri" w:hAnsi="Calibri"/>
          <w:b/>
          <w:bCs/>
          <w:sz w:val="21"/>
          <w:szCs w:val="21"/>
        </w:rPr>
        <w:t xml:space="preserve">24</w:t>
      </w:r>
      <w:r>
        <w:rPr>
          <w:rFonts w:ascii="Calibri" w:cs="Calibri" w:eastAsia="Calibri" w:hAnsi="Calibri"/>
          <w:sz w:val="21"/>
          <w:szCs w:val="21"/>
        </w:rPr>
        <w:t xml:space="preserve"> meses. La B va al anuncio.</w:t>
      </w:r>
    </w:p>
    <w:p>
      <w:pPr>
        <w:pStyle w:val="Heading3"/>
        <w:keepNext/>
        <w:spacing w:after="140" w:before="320"/>
      </w:pPr>
      <w:r>
        <w:rPr>
          <w:rFonts w:ascii="Georgia" w:cs="Georgia" w:eastAsia="Georgia" w:hAnsi="Georgia"/>
          <w:b/>
          <w:bCs/>
          <w:color w:val="2F5496"/>
          <w:sz w:val="22"/>
          <w:szCs w:val="22"/>
        </w:rPr>
        <w:t xml:space="preserve">ADM-2·v3 · Evolución tecnológica determinada — sólo con DT-9 y [24] meses o más</w:t>
      </w:r>
    </w:p>
    <w:p>
      <w:pPr>
        <w:spacing w:after="140" w:line="276"/>
      </w:pPr>
      <w:r>
        <w:rPr>
          <w:rFonts w:ascii="Calibri" w:cs="Calibri" w:eastAsia="Calibri" w:hAnsi="Calibri"/>
          <w:i/>
          <w:iCs/>
          <w:sz w:val="21"/>
          <w:szCs w:val="21"/>
        </w:rPr>
        <w:t xml:space="preserve">Texto vigente de ADM-2·v3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Evolución tecnológica determinada.</w:t>
            </w:r>
          </w:p>
          <w:p>
            <w:pPr>
              <w:spacing w:after="100" w:line="264"/>
            </w:pPr>
            <w:r>
              <w:rPr>
                <w:rFonts w:ascii="Georgia" w:cs="Georgia" w:eastAsia="Georgia" w:hAnsi="Georgia"/>
                <w:b/>
                <w:bCs/>
                <w:sz w:val="20"/>
                <w:szCs w:val="20"/>
              </w:rPr>
              <w:t xml:space="preserve">1. Amparo y vinculación al objeto.</w:t>
            </w:r>
            <w:r>
              <w:rPr>
                <w:rFonts w:ascii="Georgia" w:cs="Georgia" w:eastAsia="Georgia" w:hAnsi="Georgia"/>
                <w:sz w:val="20"/>
                <w:szCs w:val="20"/>
              </w:rPr>
              <w:t xml:space="preserve"> Al amparo de los artículos 202.1 y 202.2 de la Ley 9/2017, de Contratos del Sector Público, que admiten expresamente las condiciones especiales de ejecución relacionadas con la innovación, se establece la obligación del contratista de mantener la solución objeto del contrato en las condiciones funcionales, de seguridad y de interoperabilidad determinadas en 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versión [·] de [fecha], que se transcribe en el Pliego de Prescripciones Técnicas y forma parte del objeto del contrato. La condición está vinculada al objeto del contrato en el sentido del artículo 145.6 de la misma ley y se ejecuta durante el cumplimiento de la prestación contratada.</w:t>
            </w:r>
          </w:p>
          <w:p>
            <w:pPr>
              <w:spacing w:after="100" w:line="264"/>
            </w:pPr>
            <w:r>
              <w:rPr>
                <w:rFonts w:ascii="Georgia" w:cs="Georgia" w:eastAsia="Georgia" w:hAnsi="Georgia"/>
                <w:b/>
                <w:bCs/>
                <w:sz w:val="20"/>
                <w:szCs w:val="20"/>
              </w:rPr>
              <w:t xml:space="preserve">2. Alcance cerrado y regla de agotamiento.</w:t>
            </w:r>
            <w:r>
              <w:rPr>
                <w:rFonts w:ascii="Georgia" w:cs="Georgia" w:eastAsia="Georgia" w:hAnsi="Georgia"/>
                <w:sz w:val="20"/>
                <w:szCs w:val="20"/>
              </w:rPr>
              <w:t xml:space="preserve"> La obligación se agota en las exigencias enumeradas en el Anexo de Exigencias Tecnológicas Determinadas transcrito en este pliego. </w:t>
            </w:r>
            <w:r>
              <w:rPr>
                <w:rFonts w:ascii="Georgia" w:cs="Georgia" w:eastAsia="Georgia" w:hAnsi="Georgia"/>
                <w:b/>
                <w:bCs/>
                <w:sz w:val="20"/>
                <w:szCs w:val="20"/>
              </w:rPr>
              <w:t xml:space="preserve">Fuera de ese Anexo no existe obligación de evolución exigible al amparo de esta cláusula.</w:t>
            </w:r>
            <w:r>
              <w:rPr>
                <w:rFonts w:ascii="Georgia" w:cs="Georgia" w:eastAsia="Georgia" w:hAnsi="Georgia"/>
                <w:sz w:val="20"/>
                <w:szCs w:val="20"/>
              </w:rPr>
              <w:t xml:space="preserve"> Las prestaciones no previstas en él se tramitarán, en su caso, como modificación del contrato conforme a los artículos 203 y 204 de la Ley 9/2017 y a la cláusula de modificación prevista de este pliego, si se ha incorporado, o se atenderán en una licitación posterior.</w:t>
            </w:r>
          </w:p>
          <w:p>
            <w:pPr>
              <w:spacing w:after="100" w:line="264"/>
            </w:pPr>
            <w:r>
              <w:rPr>
                <w:rFonts w:ascii="Georgia" w:cs="Georgia" w:eastAsia="Georgia" w:hAnsi="Georgia"/>
                <w:b/>
                <w:bCs/>
                <w:sz w:val="20"/>
                <w:szCs w:val="20"/>
              </w:rPr>
              <w:t xml:space="preserve">3. Invariabilidad.</w:t>
            </w:r>
            <w:r>
              <w:rPr>
                <w:rFonts w:ascii="Georgia" w:cs="Georgia" w:eastAsia="Georgia" w:hAnsi="Georgia"/>
                <w:sz w:val="20"/>
                <w:szCs w:val="20"/>
              </w:rPr>
              <w:t xml:space="preserve"> El contenido del Anexo transcrito permanece invariable durante toda la vigencia del contrato y de sus prórrogas. Las revisiones posteriores del Anexo que apruebe el Ayuntamiento </w:t>
            </w:r>
            <w:r>
              <w:rPr>
                <w:rFonts w:ascii="Georgia" w:cs="Georgia" w:eastAsia="Georgia" w:hAnsi="Georgia"/>
                <w:b/>
                <w:bCs/>
                <w:sz w:val="20"/>
                <w:szCs w:val="20"/>
              </w:rPr>
              <w:t xml:space="preserve">no serán exigibles a este contrato</w:t>
            </w:r>
            <w:r>
              <w:rPr>
                <w:rFonts w:ascii="Georgia" w:cs="Georgia" w:eastAsia="Georgia" w:hAnsi="Georgia"/>
                <w:sz w:val="20"/>
                <w:szCs w:val="20"/>
              </w:rPr>
              <w:t xml:space="preserve">. Queda excluida toda remisión a versiones futuras del Anexo.</w:t>
            </w:r>
          </w:p>
          <w:p>
            <w:pPr>
              <w:spacing w:after="100" w:line="264"/>
            </w:pPr>
            <w:r>
              <w:rPr>
                <w:rFonts w:ascii="Georgia" w:cs="Georgia" w:eastAsia="Georgia" w:hAnsi="Georgia"/>
                <w:b/>
                <w:bCs/>
                <w:sz w:val="20"/>
                <w:szCs w:val="20"/>
              </w:rPr>
              <w:t xml:space="preserve">4. Retribución.</w:t>
            </w:r>
            <w:r>
              <w:rPr>
                <w:rFonts w:ascii="Georgia" w:cs="Georgia" w:eastAsia="Georgia" w:hAnsi="Georgia"/>
                <w:sz w:val="20"/>
                <w:szCs w:val="20"/>
              </w:rPr>
              <w:t xml:space="preserve"> Las exigencias del Anexo forman parte del alcance ordinario del contrato y se entienden retribuidas con el precio ofertado, sin que su cumplimiento dé lugar a facturación adicional ni requiera modificación contractual.</w:t>
            </w:r>
          </w:p>
          <w:p>
            <w:pPr>
              <w:spacing w:after="100" w:line="264"/>
            </w:pPr>
            <w:r>
              <w:rPr>
                <w:rFonts w:ascii="Georgia" w:cs="Georgia" w:eastAsia="Georgia" w:hAnsi="Georgia"/>
                <w:b/>
                <w:bCs/>
                <w:sz w:val="20"/>
                <w:szCs w:val="20"/>
              </w:rPr>
              <w:t xml:space="preserve">5. Plazos.</w:t>
            </w:r>
            <w:r>
              <w:rPr>
                <w:rFonts w:ascii="Georgia" w:cs="Georgia" w:eastAsia="Georgia" w:hAnsi="Georgia"/>
                <w:sz w:val="20"/>
                <w:szCs w:val="20"/>
              </w:rPr>
              <w:t xml:space="preserve"> Cada exigencia del Anexo se cumplirá en el plazo que el propio Anexo establezca para ella, contado desde la formalización del contrato o, si fuera posterior, desde la puesta en producción del módulo al que se refiera. No podrán fijarse durante la ejecución plazos distintos de los del Anexo. Se admitirá la ampliación del plazo cuando el contratista acredite imposibilidad técnica objetiva mediante documentación del fabricante y el órgano de contratación la acepte de forma motivada.</w:t>
            </w:r>
          </w:p>
          <w:p>
            <w:pPr>
              <w:spacing w:after="100" w:line="264"/>
            </w:pPr>
            <w:r>
              <w:rPr>
                <w:rFonts w:ascii="Georgia" w:cs="Georgia" w:eastAsia="Georgia" w:hAnsi="Georgia"/>
                <w:b/>
                <w:bCs/>
                <w:sz w:val="20"/>
                <w:szCs w:val="20"/>
              </w:rPr>
              <w:t xml:space="preserve">6. Acceso a versiones sucesoras.</w:t>
            </w:r>
            <w:r>
              <w:rPr>
                <w:rFonts w:ascii="Georgia" w:cs="Georgia" w:eastAsia="Georgia" w:hAnsi="Georgia"/>
                <w:sz w:val="20"/>
                <w:szCs w:val="20"/>
              </w:rPr>
              <w:t xml:space="preserve"> Durante la vigencia del contrato y de sus prórrogas, el contratista:</w:t>
            </w:r>
          </w:p>
          <w:p>
            <w:pPr>
              <w:spacing w:after="100" w:line="264"/>
            </w:pPr>
            <w:r>
              <w:rPr>
                <w:rFonts w:ascii="Georgia" w:cs="Georgia" w:eastAsia="Georgia" w:hAnsi="Georgia"/>
                <w:sz w:val="20"/>
                <w:szCs w:val="20"/>
              </w:rPr>
              <w:t xml:space="preserve">a) Comunicará al responsable del contrato la publicación de cada versión sucesora del producto contratado, en el plazo de [X; el mismo que fije la cláusula DT-9, apartado 7, del pliego de prescripciones técnicas; se recomienda 30] días naturales desde su disponibilidad general.</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Pondrá a disposición del Ayuntamiento, sin coste adicional, las versiones sucesoras que el fabricante publique</w:t>
            </w:r>
            <w:r>
              <w:rPr>
                <w:rFonts w:ascii="Georgia" w:cs="Georgia" w:eastAsia="Georgia" w:hAnsi="Georgia"/>
                <w:sz w:val="20"/>
                <w:szCs w:val="20"/>
              </w:rPr>
              <w:t xml:space="preserve"> y a las que el contratista tenga acceso en virtud de su propia relación con el fabricante.</w:t>
            </w:r>
          </w:p>
          <w:p>
            <w:pPr>
              <w:spacing w:after="100" w:line="264"/>
            </w:pPr>
            <w:r>
              <w:rPr>
                <w:rFonts w:ascii="Georgia" w:cs="Georgia" w:eastAsia="Georgia" w:hAnsi="Georgia"/>
                <w:sz w:val="20"/>
                <w:szCs w:val="20"/>
              </w:rPr>
              <w:t xml:space="preserve">c) Incluirá en el Plan Anual la previsión de implantación de cada versión sucesora puesta a disposición, y la implantará en el plazo que en él se apruebe. Se considerará </w:t>
            </w:r>
            <w:r>
              <w:rPr>
                <w:rFonts w:ascii="Georgia" w:cs="Georgia" w:eastAsia="Georgia" w:hAnsi="Georgia"/>
                <w:b/>
                <w:bCs/>
                <w:sz w:val="20"/>
                <w:szCs w:val="20"/>
              </w:rPr>
              <w:t xml:space="preserve">versión sucesora</w:t>
            </w:r>
            <w:r>
              <w:rPr>
                <w:rFonts w:ascii="Georgia" w:cs="Georgia" w:eastAsia="Georgia" w:hAnsi="Georgia"/>
                <w:sz w:val="20"/>
                <w:szCs w:val="20"/>
              </w:rPr>
              <w:t xml:space="preserve">,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b/>
                <w:bCs/>
                <w:sz w:val="20"/>
                <w:szCs w:val="20"/>
              </w:rPr>
              <w:t xml:space="preserve">Esta obligación no comporta compromiso alguno sobre la magnitud o el contenido de la evolución del producto.</w:t>
            </w:r>
            <w:r>
              <w:rPr>
                <w:rFonts w:ascii="Georgia" w:cs="Georgia" w:eastAsia="Georgia" w:hAnsi="Georgia"/>
                <w:sz w:val="20"/>
                <w:szCs w:val="20"/>
              </w:rPr>
              <w:t xml:space="preserve"> Si el fabricante no publica versiones sucesoras, no nace obligación alguna a cargo del contratista por este apartado, ni se produce incumplimiento. Cuando el contratista no sea el fabricante y éste le deniegue el acceso, el contratista quedará exonerado acreditando documentalmente la denegación.</w:t>
            </w:r>
          </w:p>
          <w:p>
            <w:pPr>
              <w:spacing w:after="100" w:line="264"/>
            </w:pPr>
            <w:r>
              <w:rPr>
                <w:rFonts w:ascii="Georgia" w:cs="Georgia" w:eastAsia="Georgia" w:hAnsi="Georgia"/>
                <w:b/>
                <w:bCs/>
                <w:sz w:val="20"/>
                <w:szCs w:val="20"/>
              </w:rPr>
              <w:t xml:space="preserve">7. Acreditación del cumplimiento.</w:t>
            </w:r>
            <w:r>
              <w:rPr>
                <w:rFonts w:ascii="Georgia" w:cs="Georgia" w:eastAsia="Georgia" w:hAnsi="Georgia"/>
                <w:sz w:val="20"/>
                <w:szCs w:val="20"/>
              </w:rPr>
              <w:t xml:space="preserve"> El cumplimiento de cada exigencia del Anexo y de las obligaciones del apartado 6 se acreditará, exclusivamente, por los siguientes medios:</w:t>
            </w:r>
          </w:p>
          <w:p>
            <w:pPr>
              <w:spacing w:after="100" w:line="264"/>
            </w:pPr>
            <w:r>
              <w:rPr>
                <w:rFonts w:ascii="Georgia" w:cs="Georgia" w:eastAsia="Georgia" w:hAnsi="Georgia"/>
                <w:sz w:val="20"/>
                <w:szCs w:val="20"/>
              </w:rPr>
              <w:t xml:space="preserve">a) Acta de la prueba de aceptación ejecutada por los servicios municipales sobre el entorno de pruebas, conforme a los criterios de aceptación del Anexo.</w:t>
            </w:r>
          </w:p>
          <w:p>
            <w:pPr>
              <w:spacing w:after="100" w:line="264"/>
            </w:pPr>
            <w:r>
              <w:rPr>
                <w:rFonts w:ascii="Georgia" w:cs="Georgia" w:eastAsia="Georgia" w:hAnsi="Georgia"/>
                <w:sz w:val="20"/>
                <w:szCs w:val="20"/>
              </w:rPr>
              <w:t xml:space="preserve">b) Certificado o nota técnica del fabricante, cuando la exigencia dependa de una capacidad del producto base.</w:t>
            </w:r>
          </w:p>
          <w:p>
            <w:pPr>
              <w:spacing w:after="100" w:line="264"/>
            </w:pPr>
            <w:r>
              <w:rPr>
                <w:rFonts w:ascii="Georgia" w:cs="Georgia" w:eastAsia="Georgia" w:hAnsi="Georgia"/>
                <w:sz w:val="20"/>
                <w:szCs w:val="20"/>
              </w:rPr>
              <w:t xml:space="preserve">c) Acta de despliegue verificado en el entorno de preproducción municipal.</w:t>
            </w:r>
          </w:p>
          <w:p>
            <w:pPr>
              <w:spacing w:after="100" w:line="264"/>
            </w:pPr>
            <w:r>
              <w:rPr>
                <w:rFonts w:ascii="Georgia" w:cs="Georgia" w:eastAsia="Georgia" w:hAnsi="Georgia"/>
                <w:sz w:val="20"/>
                <w:szCs w:val="20"/>
              </w:rPr>
              <w:t xml:space="preserve">d) Acta de la Comisión de Seguimiento en la que se recoja lo anterior.</w:t>
            </w:r>
          </w:p>
          <w:p>
            <w:pPr>
              <w:spacing w:after="100" w:line="264"/>
            </w:pPr>
            <w:r>
              <w:rPr>
                <w:rFonts w:ascii="Georgia" w:cs="Georgia" w:eastAsia="Georgia" w:hAnsi="Georgia"/>
                <w:sz w:val="20"/>
                <w:szCs w:val="20"/>
              </w:rPr>
              <w:t xml:space="preserve">e) Depósito de las evidencias en el repositorio documental del contrato.</w:t>
            </w:r>
          </w:p>
          <w:p>
            <w:pPr>
              <w:spacing w:after="100" w:line="264"/>
            </w:pPr>
            <w:r>
              <w:rPr>
                <w:rFonts w:ascii="Georgia" w:cs="Georgia" w:eastAsia="Georgia" w:hAnsi="Georgia"/>
                <w:b/>
                <w:bCs/>
                <w:sz w:val="20"/>
                <w:szCs w:val="20"/>
              </w:rPr>
              <w:t xml:space="preserve">La ausencia de estos medios no podrá suplirse por apreciación discrecional del órgano de contratación.</w:t>
            </w:r>
          </w:p>
          <w:p>
            <w:pPr>
              <w:spacing w:after="100" w:line="264"/>
            </w:pPr>
            <w:r>
              <w:rPr>
                <w:rFonts w:ascii="Georgia" w:cs="Georgia" w:eastAsia="Georgia" w:hAnsi="Georgia"/>
                <w:b/>
                <w:bCs/>
                <w:sz w:val="20"/>
                <w:szCs w:val="20"/>
              </w:rPr>
              <w:t xml:space="preserve">8. Naturaleza y consecuencias.</w:t>
            </w:r>
            <w:r>
              <w:rPr>
                <w:rFonts w:ascii="Georgia" w:cs="Georgia" w:eastAsia="Georgia" w:hAnsi="Georgia"/>
                <w:sz w:val="20"/>
                <w:szCs w:val="20"/>
              </w:rPr>
              <w:t xml:space="preserve"> El incumplimiento de esta condición especial de ejecución dará lugar a las penalidades tipificadas en la cláusula de penalidades de este pliego. Tendrá además carácter de obligación contractual esencial, a los efectos del artículo 211.1.f) de la Ley 9/2017, </w:t>
            </w:r>
            <w:r>
              <w:rPr>
                <w:rFonts w:ascii="Georgia" w:cs="Georgia" w:eastAsia="Georgia" w:hAnsi="Georgia"/>
                <w:b/>
                <w:bCs/>
                <w:sz w:val="20"/>
                <w:szCs w:val="20"/>
              </w:rPr>
              <w:t xml:space="preserve">únicamente en los supuestos y con las condiciones expresamente enumerados en la cláusula de obligaciones esenciales de este pliego</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6.a), </w:t>
      </w:r>
      <w:r>
        <w:rPr>
          <w:rFonts w:ascii="Calibri" w:cs="Calibri" w:eastAsia="Calibri" w:hAnsi="Calibri"/>
          <w:b/>
          <w:bCs/>
          <w:sz w:val="21"/>
          <w:szCs w:val="21"/>
        </w:rPr>
        <w:t xml:space="preserve">30</w:t>
      </w:r>
      <w:r>
        <w:rPr>
          <w:rFonts w:ascii="Calibri" w:cs="Calibri" w:eastAsia="Calibri" w:hAnsi="Calibri"/>
          <w:sz w:val="21"/>
          <w:szCs w:val="21"/>
        </w:rPr>
        <w:t xml:space="preserve"> días; 60 con ciclos largos (Anexo X, fila 3). Esencialidad sólo por B.2 con test de relevancia (epígrafe 6). Va al anuncio.</w:t>
      </w:r>
    </w:p>
    <w:p>
      <w:pPr>
        <w:pStyle w:val="Heading3"/>
        <w:keepNext/>
        <w:spacing w:after="140" w:before="320"/>
      </w:pPr>
      <w:r>
        <w:rPr>
          <w:rFonts w:ascii="Georgia" w:cs="Georgia" w:eastAsia="Georgia" w:hAnsi="Georgia"/>
          <w:b/>
          <w:bCs/>
          <w:color w:val="2F5496"/>
          <w:sz w:val="22"/>
          <w:szCs w:val="22"/>
        </w:rPr>
        <w:t xml:space="preserve">ADM-3·v3 · Plazos de adaptación y bolsa de servicios evolutivos — bloque 1 con ADM-2; bloque 2 opcional</w:t>
      </w:r>
    </w:p>
    <w:p>
      <w:pPr>
        <w:spacing w:after="140" w:line="276"/>
      </w:pPr>
      <w:r>
        <w:rPr>
          <w:rFonts w:ascii="Calibri" w:cs="Calibri" w:eastAsia="Calibri" w:hAnsi="Calibri"/>
          <w:i/>
          <w:iCs/>
          <w:sz w:val="21"/>
          <w:szCs w:val="21"/>
        </w:rPr>
        <w:t xml:space="preserve">Texto vigente de ADM-3·v3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Plazos de adaptación de las exigencias tecnológicas determinadas.</w:t>
            </w:r>
          </w:p>
          <w:p>
            <w:pPr>
              <w:spacing w:after="100" w:line="264"/>
            </w:pPr>
            <w:r>
              <w:rPr>
                <w:rFonts w:ascii="Georgia" w:cs="Georgia" w:eastAsia="Georgia" w:hAnsi="Georgia"/>
                <w:sz w:val="20"/>
                <w:szCs w:val="20"/>
              </w:rPr>
              <w:t xml:space="preserve">Los plazos de implantación de las exigencias del Anexo de Exigencias Tecnológicas Determinadas son los que el propio Anexo fija para cada una. No podrán establecerse durante la ejecución plazos distintos de los allí previstos, salvo que una norma imponga otro plazo, en cuyo caso se estará al legalmente exigible. Las prestaciones que excedan del alcance del Anexo se tramitarán, en su caso, como modificación del contrato conforme a los artículos 203 y 204 de la Ley 9/2017.</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Bolsa de servicios evolutivos.</w:t>
            </w:r>
          </w:p>
          <w:p>
            <w:pPr>
              <w:pStyle w:val="ListParagraph"/>
              <w:numPr>
                <w:ilvl w:val="0"/>
                <w:numId w:val="2"/>
              </w:numPr>
              <w:spacing w:after="60" w:line="264"/>
            </w:pPr>
            <w:r>
              <w:rPr>
                <w:rFonts w:ascii="Georgia" w:cs="Georgia" w:eastAsia="Georgia" w:hAnsi="Georgia"/>
                <w:b/>
                <w:bCs/>
                <w:sz w:val="20"/>
                <w:szCs w:val="20"/>
              </w:rPr>
              <w:t xml:space="preserve">Objeto y encaje.</w:t>
            </w:r>
            <w:r>
              <w:rPr>
                <w:rFonts w:ascii="Georgia" w:cs="Georgia" w:eastAsia="Georgia" w:hAnsi="Georgia"/>
                <w:sz w:val="20"/>
                <w:szCs w:val="20"/>
              </w:rPr>
              <w:t xml:space="preserve"> Al amparo del artículo 308.3 de la Ley 9/2017, el objeto de este contrato comprende, además de las prestaciones descritas en el Pliego de Prescripciones Técnicas, la ejecución de servicios evolutivos sobre la aplicación contratada, definidos por componentes de prestación y retribuidos por unidades de actividad conforme al Cuadro de Precios Unitarios que forma parte de la oferta del contratista.</w:t>
            </w:r>
          </w:p>
          <w:p>
            <w:pPr>
              <w:pStyle w:val="ListParagraph"/>
              <w:numPr>
                <w:ilvl w:val="0"/>
                <w:numId w:val="2"/>
              </w:numPr>
              <w:spacing w:after="60" w:line="264"/>
            </w:pPr>
            <w:r>
              <w:rPr>
                <w:rFonts w:ascii="Georgia" w:cs="Georgia" w:eastAsia="Georgia" w:hAnsi="Georgia"/>
                <w:b/>
                <w:bCs/>
                <w:sz w:val="20"/>
                <w:szCs w:val="20"/>
              </w:rPr>
              <w:t xml:space="preserve">Catálogo cerrado de peticiones admisibles.</w:t>
            </w:r>
            <w:r>
              <w:rPr>
                <w:rFonts w:ascii="Georgia" w:cs="Georgia" w:eastAsia="Georgia" w:hAnsi="Georgia"/>
                <w:sz w:val="20"/>
                <w:szCs w:val="20"/>
              </w:rPr>
              <w:t xml:space="preserve"> Sólo podrán solicitarse con cargo a esta bolsa las siguientes clases de trabajos, todas ellas referidas a la aplicación objeto del contrato: (i) modificación de formularios, informes, listados o cuadros de mando existentes; (ii) creación o modificación de reglas de validación y de flujos de tramitación ya soportados por la aplicación; (iii) creación o modificación de integraciones con sistemas municipales o con servicios comunes de la Administración, distintas de las que exige el Pliego de Prescripciones Técnicas; (iv) adaptación de la parametrización a cambios organizativos, o a cambios normativos posteriores a la fecha límite de presentación de ofertas que no exijan modificar la solución; (v) migración, depuración o carga de datos; (vi) ampliación del alcance funcional de la interfaz de acceso programático dentro de los módulos contratados, en lo que exceda de lo que exige el Anexo de Exigencias Tecnológicas. </w:t>
            </w:r>
            <w:r>
              <w:rPr>
                <w:rFonts w:ascii="Georgia" w:cs="Georgia" w:eastAsia="Georgia" w:hAnsi="Georgia"/>
                <w:b/>
                <w:bCs/>
                <w:sz w:val="20"/>
                <w:szCs w:val="20"/>
              </w:rPr>
              <w:t xml:space="preserve">Queda excluida toda petición que suponga módulos funcionales nuevos o prestaciones ajenas al objeto del contrato.</w:t>
            </w:r>
          </w:p>
          <w:p>
            <w:pPr>
              <w:spacing w:after="100" w:line="264"/>
            </w:pPr>
            <w:r>
              <w:rPr>
                <w:rFonts w:ascii="Georgia" w:cs="Georgia" w:eastAsia="Georgia" w:hAnsi="Georgia"/>
                <w:b/>
                <w:bCs/>
                <w:sz w:val="20"/>
                <w:szCs w:val="20"/>
              </w:rPr>
              <w:t xml:space="preserve">No podrá imputarse a esta bolsa ninguna prestación que ya retribuya el precio del contrato</w:t>
            </w:r>
            <w:r>
              <w:rPr>
                <w:rFonts w:ascii="Georgia" w:cs="Georgia" w:eastAsia="Georgia" w:hAnsi="Georgia"/>
                <w:sz w:val="20"/>
                <w:szCs w:val="20"/>
              </w:rPr>
              <w:t xml:space="preserve">: las descritas en el Pliego de Prescripciones Técnicas, incluidas las integraciones que exige; las exigencias del Anexo de Exigencias Tecnológicas transcrito en este pliego y las versiones sucesoras que comprende; el mantenimiento correctivo; y la adaptación de la solución a las normas exigibles a la fecha límite de presentación de ofertas. Cada petición de servicio identifica la clase del párrafo anterior a la que pertenece.</w:t>
            </w:r>
          </w:p>
          <w:p>
            <w:pPr>
              <w:spacing w:after="100" w:line="264"/>
            </w:pPr>
            <w:r>
              <w:rPr>
                <w:rFonts w:ascii="Georgia" w:cs="Georgia" w:eastAsia="Georgia" w:hAnsi="Georgia"/>
                <w:b/>
                <w:bCs/>
                <w:sz w:val="20"/>
                <w:szCs w:val="20"/>
              </w:rPr>
              <w:t xml:space="preserve">Prelación con la modificación prevista.</w:t>
            </w:r>
            <w:r>
              <w:rPr>
                <w:rFonts w:ascii="Georgia" w:cs="Georgia" w:eastAsia="Georgia" w:hAnsi="Georgia"/>
                <w:sz w:val="20"/>
                <w:szCs w:val="20"/>
              </w:rPr>
              <w:t xml:space="preserve"> La petición que quepa en una de las clases (i) a (vi) se tramita con cargo a esta bolsa y sólo por ella. No se imputa a la bolsa la que exija extender una capacidad del Anexo de Exigencias Tecnológicas a un módulo o a una operación que no figuren en él, ni la que exija adaptar la solución —no sólo su parametrización— a una de las normas nominadas en la cláusula de modificación prevista: ésas sólo pueden tramitarse como modificación conforme a dicha cláusula, si el pliego la incorpora, o por los artículos 203 a 205 de la Ley 9/2017. El agotamiento de la bolsa no permite tramitar como modificación una petición de las clases (i) a (vi).</w:t>
            </w:r>
          </w:p>
          <w:p>
            <w:pPr>
              <w:pStyle w:val="ListParagraph"/>
              <w:numPr>
                <w:ilvl w:val="0"/>
                <w:numId w:val="2"/>
              </w:numPr>
              <w:spacing w:after="60" w:line="264"/>
            </w:pPr>
            <w:r>
              <w:rPr>
                <w:rFonts w:ascii="Georgia" w:cs="Georgia" w:eastAsia="Georgia" w:hAnsi="Georgia"/>
                <w:b/>
                <w:bCs/>
                <w:sz w:val="20"/>
                <w:szCs w:val="20"/>
              </w:rPr>
              <w:t xml:space="preserve">Volumen máximo y precio.</w:t>
            </w:r>
            <w:r>
              <w:rPr>
                <w:rFonts w:ascii="Georgia" w:cs="Georgia" w:eastAsia="Georgia" w:hAnsi="Georgia"/>
                <w:sz w:val="20"/>
                <w:szCs w:val="20"/>
              </w:rPr>
              <w:t xml:space="preserve"> El número máximo de horas por perfil profesional es el que figura en el cuadro de características de este pliego. Las horas se retribuyen a los precios unitarios de la oferta del contratista, y </w:t>
            </w:r>
            <w:r>
              <w:rPr>
                <w:rFonts w:ascii="Georgia" w:cs="Georgia" w:eastAsia="Georgia" w:hAnsi="Georgia"/>
                <w:b/>
                <w:bCs/>
                <w:sz w:val="20"/>
                <w:szCs w:val="20"/>
              </w:rPr>
              <w:t xml:space="preserve">sólo las efectivamente ejecutadas y recibidas de conformidad</w:t>
            </w:r>
            <w:r>
              <w:rPr>
                <w:rFonts w:ascii="Georgia" w:cs="Georgia" w:eastAsia="Georgia" w:hAnsi="Georgia"/>
                <w:sz w:val="20"/>
                <w:szCs w:val="20"/>
              </w:rPr>
              <w:t xml:space="preserve">. El importe correspondiente a las horas no consumidas no se abona, no genera derecho a indemnización ni a compensación de ningún tipo, y no será objeto de facturación al término del contrato.</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Cada trabajo se solicitará mediante </w:t>
            </w:r>
            <w:r>
              <w:rPr>
                <w:rFonts w:ascii="Georgia" w:cs="Georgia" w:eastAsia="Georgia" w:hAnsi="Georgia"/>
                <w:b/>
                <w:bCs/>
                <w:sz w:val="20"/>
                <w:szCs w:val="20"/>
              </w:rPr>
              <w:t xml:space="preserve">petición de servicio</w:t>
            </w:r>
            <w:r>
              <w:rPr>
                <w:rFonts w:ascii="Georgia" w:cs="Georgia" w:eastAsia="Georgia" w:hAnsi="Georgia"/>
                <w:sz w:val="20"/>
                <w:szCs w:val="20"/>
              </w:rPr>
              <w:t xml:space="preserve"> escrita del responsable del contrato, que identificará el resultado a obtener, los criterios de aceptación y el plazo. El contratista presentará estimación de horas por perfil en el plazo de [X; se recomienda 5] días hábiles. Aceptada la estimación por el responsable del contrato, el contratista ejecutará el trabajo con </w:t>
            </w:r>
            <w:r>
              <w:rPr>
                <w:rFonts w:ascii="Georgia" w:cs="Georgia" w:eastAsia="Georgia" w:hAnsi="Georgia"/>
                <w:b/>
                <w:bCs/>
                <w:sz w:val="20"/>
                <w:szCs w:val="20"/>
              </w:rPr>
              <w:t xml:space="preserve">su propio personal, bajo su exclusiva dirección y organización</w:t>
            </w:r>
            <w:r>
              <w:rPr>
                <w:rFonts w:ascii="Georgia" w:cs="Georgia" w:eastAsia="Georgia" w:hAnsi="Georgia"/>
                <w:sz w:val="20"/>
                <w:szCs w:val="20"/>
              </w:rPr>
              <w:t xml:space="preserve">. La recepción se documentará en acta con verificación de los criterios de aceptación. </w:t>
            </w:r>
            <w:r>
              <w:rPr>
                <w:rFonts w:ascii="Georgia" w:cs="Georgia" w:eastAsia="Georgia" w:hAnsi="Georgia"/>
                <w:b/>
                <w:bCs/>
                <w:sz w:val="20"/>
                <w:szCs w:val="20"/>
              </w:rPr>
              <w:t xml:space="preserve">El Ayuntamiento no dirige ni organiza al personal del contratista, no le asigna tareas individuales, no controla su jornada y no interviene en su régimen laboral.</w:t>
            </w:r>
          </w:p>
          <w:p>
            <w:pPr>
              <w:pStyle w:val="ListParagraph"/>
              <w:numPr>
                <w:ilvl w:val="0"/>
                <w:numId w:val="2"/>
              </w:numPr>
              <w:spacing w:after="60" w:line="264"/>
            </w:pPr>
            <w:r>
              <w:rPr>
                <w:rFonts w:ascii="Georgia" w:cs="Georgia" w:eastAsia="Georgia" w:hAnsi="Georgia"/>
                <w:b/>
                <w:bCs/>
                <w:sz w:val="20"/>
                <w:szCs w:val="20"/>
              </w:rPr>
              <w:t xml:space="preserve">Límite y base de cálculo.</w:t>
            </w:r>
            <w:r>
              <w:rPr>
                <w:rFonts w:ascii="Georgia" w:cs="Georgia" w:eastAsia="Georgia" w:hAnsi="Georgia"/>
                <w:sz w:val="20"/>
                <w:szCs w:val="20"/>
              </w:rPr>
              <w:t xml:space="preserve"> El importe máximo de esta bolsa </w:t>
            </w:r>
            <w:r>
              <w:rPr>
                <w:rFonts w:ascii="Georgia" w:cs="Georgia" w:eastAsia="Georgia" w:hAnsi="Georgia"/>
                <w:b/>
                <w:bCs/>
                <w:sz w:val="20"/>
                <w:szCs w:val="20"/>
              </w:rPr>
              <w:t xml:space="preserve">no excederá del [X; se recomienda 5] por ciento del presupuesto base de licitación correspondiente a la duración inicial del contrato, sin impuesto sobre el valor añadido, ni en ningún caso del 10 por ciento de esa misma base</w:t>
            </w:r>
            <w:r>
              <w:rPr>
                <w:rFonts w:ascii="Georgia" w:cs="Georgia" w:eastAsia="Georgia" w:hAnsi="Georgia"/>
                <w:sz w:val="20"/>
                <w:szCs w:val="20"/>
              </w:rPr>
              <w:t xml:space="preserve">. Cuando el contrato prevea prórrogas, el cuadro de características indicará </w:t>
            </w:r>
            <w:r>
              <w:rPr>
                <w:rFonts w:ascii="Georgia" w:cs="Georgia" w:eastAsia="Georgia" w:hAnsi="Georgia"/>
                <w:b/>
                <w:bCs/>
                <w:sz w:val="20"/>
                <w:szCs w:val="20"/>
              </w:rPr>
              <w:t xml:space="preserve">expresamente si la bolsa se dota también para cada anualidad prorrogada y por qué importe</w:t>
            </w:r>
            <w:r>
              <w:rPr>
                <w:rFonts w:ascii="Georgia" w:cs="Georgia" w:eastAsia="Georgia" w:hAnsi="Georgia"/>
                <w:sz w:val="20"/>
                <w:szCs w:val="20"/>
              </w:rPr>
              <w:t xml:space="preserve">, calculado sobre la misma base y con el mismo porcentaje; el importe correspondiente a las prórrogas sólo se autoriza cuando la prórroga se acuerde. La suma de los importes máximos de todas las anualidades se consigna en el cuadro de características, </w:t>
            </w:r>
            <w:r>
              <w:rPr>
                <w:rFonts w:ascii="Georgia" w:cs="Georgia" w:eastAsia="Georgia" w:hAnsi="Georgia"/>
                <w:b/>
                <w:bCs/>
                <w:sz w:val="20"/>
                <w:szCs w:val="20"/>
              </w:rPr>
              <w:t xml:space="preserve">forma parte del presupuesto base de licitación</w:t>
            </w:r>
            <w:r>
              <w:rPr>
                <w:rFonts w:ascii="Georgia" w:cs="Georgia" w:eastAsia="Georgia" w:hAnsi="Georgia"/>
                <w:sz w:val="20"/>
                <w:szCs w:val="20"/>
              </w:rPr>
              <w:t xml:space="preserve"> —y, con él, del crédito que se autoriza— y </w:t>
            </w:r>
            <w:r>
              <w:rPr>
                <w:rFonts w:ascii="Georgia" w:cs="Georgia" w:eastAsia="Georgia" w:hAnsi="Georgia"/>
                <w:b/>
                <w:bCs/>
                <w:sz w:val="20"/>
                <w:szCs w:val="20"/>
              </w:rPr>
              <w:t xml:space="preserve">se computa en el valor estimado del contrato</w:t>
            </w:r>
            <w:r>
              <w:rPr>
                <w:rFonts w:ascii="Georgia" w:cs="Georgia" w:eastAsia="Georgia" w:hAnsi="Georgia"/>
                <w:sz w:val="20"/>
                <w:szCs w:val="20"/>
              </w:rPr>
              <w:t xml:space="preserve">.</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El bloque 2 sirve para adaptar lo ya desarrollado y en producción: sus clases (i) y (ii) hablan de elementos «existentes» o «ya soportados por la aplicación», y excluye los módulos funcionales nuevos (apartado 2). Requiere informe previo del órgano del informe jurídico preceptivo (encabezamiento del bloque 2) y Cuadro de Precios Unitarios con la oferta (epígrafe 7; Anexo X.3). Apartado 4, </w:t>
      </w:r>
      <w:r>
        <w:rPr>
          <w:rFonts w:ascii="Calibri" w:cs="Calibri" w:eastAsia="Calibri" w:hAnsi="Calibri"/>
          <w:b/>
          <w:bCs/>
          <w:sz w:val="21"/>
          <w:szCs w:val="21"/>
        </w:rPr>
        <w:t xml:space="preserve">5</w:t>
      </w:r>
      <w:r>
        <w:rPr>
          <w:rFonts w:ascii="Calibri" w:cs="Calibri" w:eastAsia="Calibri" w:hAnsi="Calibri"/>
          <w:sz w:val="21"/>
          <w:szCs w:val="21"/>
        </w:rPr>
        <w:t xml:space="preserve"> días hábiles. Apartado 5, </w:t>
      </w:r>
      <w:r>
        <w:rPr>
          <w:rFonts w:ascii="Calibri" w:cs="Calibri" w:eastAsia="Calibri" w:hAnsi="Calibri"/>
          <w:b/>
          <w:bCs/>
          <w:sz w:val="21"/>
          <w:szCs w:val="21"/>
        </w:rPr>
        <w:t xml:space="preserve">5 %</w:t>
      </w:r>
      <w:r>
        <w:rPr>
          <w:rFonts w:ascii="Calibri" w:cs="Calibri" w:eastAsia="Calibri" w:hAnsi="Calibri"/>
          <w:sz w:val="21"/>
          <w:szCs w:val="21"/>
        </w:rPr>
        <w:t xml:space="preserve"> del presupuesto base de la duración inicial, sin IVA, nunca más del 10 %; el cuadro de características dice si se dota cada prórroga; computa en el valor estimado (Anexo X, fila 19). Nunca «horas dirigidas por el Ayuntamiento»: petición de servicio con resultado y criterios de aceptación (nota al redactor; art. 308.2 LCSP).</w:t>
      </w:r>
    </w:p>
    <w:p>
      <w:pPr>
        <w:pStyle w:val="Heading3"/>
        <w:keepNext/>
        <w:spacing w:after="140" w:before="320"/>
      </w:pPr>
      <w:r>
        <w:rPr>
          <w:rFonts w:ascii="Georgia" w:cs="Georgia" w:eastAsia="Georgia" w:hAnsi="Georgia"/>
          <w:b/>
          <w:bCs/>
          <w:color w:val="2F5496"/>
          <w:sz w:val="22"/>
          <w:szCs w:val="22"/>
        </w:rPr>
        <w:t xml:space="preserve">ADM-10·v3 · Plan Anual de Evolución Tecnológica — sólo con DT-9 y el Anexo V</w:t>
      </w:r>
    </w:p>
    <w:p>
      <w:pPr>
        <w:spacing w:after="140" w:line="276"/>
      </w:pPr>
      <w:r>
        <w:rPr>
          <w:rFonts w:ascii="Calibri" w:cs="Calibri" w:eastAsia="Calibri" w:hAnsi="Calibri"/>
          <w:i/>
          <w:iCs/>
          <w:sz w:val="21"/>
          <w:szCs w:val="21"/>
        </w:rPr>
        <w:t xml:space="preserve">Texto vigente de ADM-10·v3 en el catálogo, versión 4.0:</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Plan Anual de Evolución Tecnológica.</w:t>
            </w:r>
          </w:p>
          <w:p>
            <w:pPr>
              <w:pStyle w:val="ListParagraph"/>
              <w:numPr>
                <w:ilvl w:val="0"/>
                <w:numId w:val="2"/>
              </w:numPr>
              <w:spacing w:after="60" w:line="264"/>
            </w:pPr>
            <w:r>
              <w:rPr>
                <w:rFonts w:ascii="Georgia" w:cs="Georgia" w:eastAsia="Georgia" w:hAnsi="Georgia"/>
                <w:b/>
                <w:bCs/>
                <w:sz w:val="20"/>
                <w:szCs w:val="20"/>
              </w:rPr>
              <w:t xml:space="preserve">Objeto y naturaleza.</w:t>
            </w:r>
            <w:r>
              <w:rPr>
                <w:rFonts w:ascii="Georgia" w:cs="Georgia" w:eastAsia="Georgia" w:hAnsi="Georgia"/>
                <w:sz w:val="20"/>
                <w:szCs w:val="20"/>
              </w:rPr>
              <w:t xml:space="preserve"> El adjudicatario presentará y mantendrá actualizado un Plan Anual de Evolución Tecnológica, cuyo alcance se agota en las exigencias del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incorporado a este contrato y en las obligaciones de mantenimiento y soporte del pliego de prescripciones técnicas. El Plan es un instrumento de seguimiento: </w:t>
            </w:r>
            <w:r>
              <w:rPr>
                <w:rFonts w:ascii="Georgia" w:cs="Georgia" w:eastAsia="Georgia" w:hAnsi="Georgia"/>
                <w:b/>
                <w:bCs/>
                <w:sz w:val="20"/>
                <w:szCs w:val="20"/>
              </w:rPr>
              <w:t xml:space="preserve">no crea obligaciones distintas de las contenidas en dicho Anexo y en el pliego de prescripciones técnicas</w:t>
            </w:r>
            <w:r>
              <w:rPr>
                <w:rFonts w:ascii="Georgia" w:cs="Georgia" w:eastAsia="Georgia" w:hAnsi="Georgia"/>
                <w:sz w:val="20"/>
                <w:szCs w:val="20"/>
              </w:rPr>
              <w:t xml:space="preserve">, ni amplía el objeto del contrato.</w:t>
            </w:r>
          </w:p>
          <w:p>
            <w:pPr>
              <w:pStyle w:val="ListParagraph"/>
              <w:numPr>
                <w:ilvl w:val="0"/>
                <w:numId w:val="2"/>
              </w:numPr>
              <w:spacing w:after="60" w:line="264"/>
            </w:pPr>
            <w:r>
              <w:rPr>
                <w:rFonts w:ascii="Georgia" w:cs="Georgia" w:eastAsia="Georgia" w:hAnsi="Georgia"/>
                <w:b/>
                <w:bCs/>
                <w:sz w:val="20"/>
                <w:szCs w:val="20"/>
              </w:rPr>
              <w:t xml:space="preserve">Contenido.</w:t>
            </w:r>
            <w:r>
              <w:rPr>
                <w:rFonts w:ascii="Georgia" w:cs="Georgia" w:eastAsia="Georgia" w:hAnsi="Georgia"/>
                <w:sz w:val="20"/>
                <w:szCs w:val="20"/>
              </w:rPr>
              <w:t xml:space="preserve"> El Plan contendrá, y sólo:</w:t>
            </w:r>
          </w:p>
          <w:p>
            <w:pPr>
              <w:spacing w:after="100" w:line="264"/>
            </w:pPr>
            <w:r>
              <w:rPr>
                <w:rFonts w:ascii="Georgia" w:cs="Georgia" w:eastAsia="Georgia" w:hAnsi="Georgia"/>
                <w:sz w:val="20"/>
                <w:szCs w:val="20"/>
              </w:rPr>
              <w:t xml:space="preserve">a) el calendario de implantación de cada una de las exigencias del Anexo de Exigencias Tecnológicas incorporado a este contrato, con la fecha comprometida para cada una;</w:t>
            </w:r>
          </w:p>
          <w:p>
            <w:pPr>
              <w:spacing w:after="100" w:line="264"/>
            </w:pPr>
            <w:r>
              <w:rPr>
                <w:rFonts w:ascii="Georgia" w:cs="Georgia" w:eastAsia="Georgia" w:hAnsi="Georgia"/>
                <w:sz w:val="20"/>
                <w:szCs w:val="20"/>
              </w:rPr>
              <w:t xml:space="preserve">b) el compromiso de poner a disposición del Ayuntamiento, sin coste adicional durante la vigencia del contrato y de sus prórrogas, </w:t>
            </w:r>
            <w:r>
              <w:rPr>
                <w:rFonts w:ascii="Georgia" w:cs="Georgia" w:eastAsia="Georgia" w:hAnsi="Georgia"/>
                <w:b/>
                <w:bCs/>
                <w:sz w:val="20"/>
                <w:szCs w:val="20"/>
              </w:rPr>
              <w:t xml:space="preserve">las versiones sucesoras del producto contratado</w:t>
            </w:r>
            <w:r>
              <w:rPr>
                <w:rFonts w:ascii="Georgia" w:cs="Georgia" w:eastAsia="Georgia" w:hAnsi="Georgia"/>
                <w:sz w:val="20"/>
                <w:szCs w:val="20"/>
              </w:rPr>
              <w:t xml:space="preserve">. Se entenderá por versión sucesora,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sz w:val="20"/>
                <w:szCs w:val="20"/>
              </w:rPr>
              <w:t xml:space="preserve">c) la relación de versiones del producto y de sus componentes en soporte a la fecha del Plan, con la fecha de fin de soporte declarada por el fabricante para cada una;</w:t>
            </w:r>
          </w:p>
          <w:p>
            <w:pPr>
              <w:spacing w:after="100" w:line="264"/>
            </w:pPr>
            <w:r>
              <w:rPr>
                <w:rFonts w:ascii="Georgia" w:cs="Georgia" w:eastAsia="Georgia" w:hAnsi="Georgia"/>
                <w:sz w:val="20"/>
                <w:szCs w:val="20"/>
              </w:rPr>
              <w:t xml:space="preserve">d) los hitos que el adjudicatario propone someter a </w:t>
            </w:r>
            <w:r>
              <w:rPr>
                <w:rFonts w:ascii="Georgia" w:cs="Georgia" w:eastAsia="Georgia" w:hAnsi="Georgia"/>
                <w:b/>
                <w:bCs/>
                <w:sz w:val="20"/>
                <w:szCs w:val="20"/>
              </w:rPr>
              <w:t xml:space="preserve">aprobación expresa</w:t>
            </w:r>
            <w:r>
              <w:rPr>
                <w:rFonts w:ascii="Georgia" w:cs="Georgia" w:eastAsia="Georgia" w:hAnsi="Georgia"/>
                <w:sz w:val="20"/>
                <w:szCs w:val="20"/>
              </w:rPr>
              <w:t xml:space="preserve"> del órgano de contratación, con la fecha cierta propuesta para cada uno;</w:t>
            </w:r>
          </w:p>
          <w:p>
            <w:pPr>
              <w:spacing w:after="100" w:line="264"/>
            </w:pPr>
            <w:r>
              <w:rPr>
                <w:rFonts w:ascii="Georgia" w:cs="Georgia" w:eastAsia="Georgia" w:hAnsi="Georgia"/>
                <w:sz w:val="20"/>
                <w:szCs w:val="20"/>
              </w:rPr>
              <w:t xml:space="preserve">e) los indicadores objetivos de seguimiento, con su método de medición y su fuente;</w:t>
            </w:r>
          </w:p>
          <w:p>
            <w:pPr>
              <w:spacing w:after="100" w:line="264"/>
            </w:pPr>
            <w:r>
              <w:rPr>
                <w:rFonts w:ascii="Georgia" w:cs="Georgia" w:eastAsia="Georgia" w:hAnsi="Georgia"/>
                <w:sz w:val="20"/>
                <w:szCs w:val="20"/>
              </w:rPr>
              <w:t xml:space="preserve">f) cuando este contrato incorpore la bolsa de servicios evolutivos de la cláusula [ADM-3], el estado de consumo de la bolsa en el ejercicio, desglosado por perfil profesional del Cuadro de Precios Unitarios y por clase de petición de servicio, y el saldo no consumido.</w:t>
            </w:r>
          </w:p>
          <w:p>
            <w:pPr>
              <w:pStyle w:val="ListParagraph"/>
              <w:numPr>
                <w:ilvl w:val="0"/>
                <w:numId w:val="2"/>
              </w:numPr>
              <w:spacing w:after="60" w:line="264"/>
            </w:pPr>
            <w:r>
              <w:rPr>
                <w:rFonts w:ascii="Georgia" w:cs="Georgia" w:eastAsia="Georgia" w:hAnsi="Georgia"/>
                <w:b/>
                <w:bCs/>
                <w:sz w:val="20"/>
                <w:szCs w:val="20"/>
              </w:rPr>
              <w:t xml:space="preserve">Presentación y aprobación.</w:t>
            </w:r>
            <w:r>
              <w:rPr>
                <w:rFonts w:ascii="Georgia" w:cs="Georgia" w:eastAsia="Georgia" w:hAnsi="Georgia"/>
                <w:sz w:val="20"/>
                <w:szCs w:val="20"/>
              </w:rPr>
              <w:t xml:space="preserve"> El primer Plan se presentará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del contrato, y se actualizará dentro de los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siguientes al inicio de cada anualidad. El órgano de contratación, previo informe del responsable del contrato, aprobará expresamente </w:t>
            </w:r>
            <w:r>
              <w:rPr>
                <w:rFonts w:ascii="Georgia" w:cs="Georgia" w:eastAsia="Georgia" w:hAnsi="Georgia"/>
                <w:b/>
                <w:bCs/>
                <w:sz w:val="20"/>
                <w:szCs w:val="20"/>
              </w:rPr>
              <w:t xml:space="preserve">los hitos del apartado 2.d)</w:t>
            </w:r>
            <w:r>
              <w:rPr>
                <w:rFonts w:ascii="Georgia" w:cs="Georgia" w:eastAsia="Georgia" w:hAnsi="Georgia"/>
                <w:sz w:val="20"/>
                <w:szCs w:val="20"/>
              </w:rPr>
              <w:t xml:space="preserve"> que asuma, con su fecha cierta, mediante acta de la Comisión de Seguimiento. </w:t>
            </w:r>
            <w:r>
              <w:rPr>
                <w:rFonts w:ascii="Georgia" w:cs="Georgia" w:eastAsia="Georgia" w:hAnsi="Georgia"/>
                <w:b/>
                <w:bCs/>
                <w:sz w:val="20"/>
                <w:szCs w:val="20"/>
              </w:rPr>
              <w:t xml:space="preserve">Sólo los hitos así aprobados, con fecha cierta en acta, pueden tener carácter esencial</w:t>
            </w:r>
            <w:r>
              <w:rPr>
                <w:rFonts w:ascii="Georgia" w:cs="Georgia" w:eastAsia="Georgia" w:hAnsi="Georgia"/>
                <w:sz w:val="20"/>
                <w:szCs w:val="20"/>
              </w:rPr>
              <w:t xml:space="preserve">, y sólo si el cuadro de características marca la casilla correspondiente de la cláusula [ADM-6], bloque B.2. El resto del contenido del Plan no tiene carácter esencial.</w:t>
            </w:r>
          </w:p>
          <w:p>
            <w:pPr>
              <w:pStyle w:val="ListParagraph"/>
              <w:numPr>
                <w:ilvl w:val="0"/>
                <w:numId w:val="2"/>
              </w:numPr>
              <w:spacing w:after="60" w:line="264"/>
            </w:pPr>
            <w:r>
              <w:rPr>
                <w:rFonts w:ascii="Georgia" w:cs="Georgia" w:eastAsia="Georgia" w:hAnsi="Georgia"/>
                <w:b/>
                <w:bCs/>
                <w:sz w:val="20"/>
                <w:szCs w:val="20"/>
              </w:rPr>
              <w:t xml:space="preserve">Comunicación de versiones sucesoras.</w:t>
            </w:r>
            <w:r>
              <w:rPr>
                <w:rFonts w:ascii="Georgia" w:cs="Georgia" w:eastAsia="Georgia" w:hAnsi="Georgia"/>
                <w:sz w:val="20"/>
                <w:szCs w:val="20"/>
              </w:rPr>
              <w:t xml:space="preserve"> El adjudicatario comunicará al Ayuntamiento la publicación de cada versión sucesora en el plazo de </w:t>
            </w:r>
            <w:r>
              <w:rPr>
                <w:rFonts w:ascii="Georgia" w:cs="Georgia" w:eastAsia="Georgia" w:hAnsi="Georgia"/>
                <w:b/>
                <w:bCs/>
                <w:sz w:val="20"/>
                <w:szCs w:val="20"/>
              </w:rPr>
              <w:t xml:space="preserve">[X; el mismo que fije la cláusula DT-9, apartado 7, del pliego de prescripciones técnicas; se recomienda 30] días naturales</w:t>
            </w:r>
            <w:r>
              <w:rPr>
                <w:rFonts w:ascii="Georgia" w:cs="Georgia" w:eastAsia="Georgia" w:hAnsi="Georgia"/>
                <w:sz w:val="20"/>
                <w:szCs w:val="20"/>
              </w:rPr>
              <w:t xml:space="preserve"> desde su disponibilidad general, acompañando la documentación del fabricante que acredite cualquiera de los tres criterios del apartado 2.b).</w:t>
            </w:r>
          </w:p>
          <w:p>
            <w:pPr>
              <w:pStyle w:val="ListParagraph"/>
              <w:numPr>
                <w:ilvl w:val="0"/>
                <w:numId w:val="2"/>
              </w:numPr>
              <w:spacing w:after="60" w:line="264"/>
            </w:pPr>
            <w:r>
              <w:rPr>
                <w:rFonts w:ascii="Georgia" w:cs="Georgia" w:eastAsia="Georgia" w:hAnsi="Georgia"/>
                <w:b/>
                <w:bCs/>
                <w:sz w:val="20"/>
                <w:szCs w:val="20"/>
              </w:rPr>
              <w:t xml:space="preserve">Límite.</w:t>
            </w:r>
            <w:r>
              <w:rPr>
                <w:rFonts w:ascii="Georgia" w:cs="Georgia" w:eastAsia="Georgia" w:hAnsi="Georgia"/>
                <w:sz w:val="20"/>
                <w:szCs w:val="20"/>
              </w:rPr>
              <w:t xml:space="preserve"> Ninguna previsión de este Plan podrá invocarse para exigir al adjudicatario prestaciones no comprendidas en el Anexo de Exigencias Tecnológicas incorporado a este contrato. Lo que exceda de dicho Anexo se tramitará, en su caso, por la vía de los artículos 203 y 204 de la LCSP o en la licitación siguiente.</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Apartado 3, </w:t>
      </w:r>
      <w:r>
        <w:rPr>
          <w:rFonts w:ascii="Calibri" w:cs="Calibri" w:eastAsia="Calibri" w:hAnsi="Calibri"/>
          <w:b/>
          <w:bCs/>
          <w:sz w:val="21"/>
          <w:szCs w:val="21"/>
        </w:rPr>
        <w:t xml:space="preserve">60</w:t>
      </w:r>
      <w:r>
        <w:rPr>
          <w:rFonts w:ascii="Calibri" w:cs="Calibri" w:eastAsia="Calibri" w:hAnsi="Calibri"/>
          <w:sz w:val="21"/>
          <w:szCs w:val="21"/>
        </w:rPr>
        <w:t xml:space="preserve"> y </w:t>
      </w:r>
      <w:r>
        <w:rPr>
          <w:rFonts w:ascii="Calibri" w:cs="Calibri" w:eastAsia="Calibri" w:hAnsi="Calibri"/>
          <w:b/>
          <w:bCs/>
          <w:sz w:val="21"/>
          <w:szCs w:val="21"/>
        </w:rPr>
        <w:t xml:space="preserve">60</w:t>
      </w:r>
      <w:r>
        <w:rPr>
          <w:rFonts w:ascii="Calibri" w:cs="Calibri" w:eastAsia="Calibri" w:hAnsi="Calibri"/>
          <w:sz w:val="21"/>
          <w:szCs w:val="21"/>
        </w:rPr>
        <w:t xml:space="preserve"> días naturales; apartado 4, </w:t>
      </w:r>
      <w:r>
        <w:rPr>
          <w:rFonts w:ascii="Calibri" w:cs="Calibri" w:eastAsia="Calibri" w:hAnsi="Calibri"/>
          <w:b/>
          <w:bCs/>
          <w:sz w:val="21"/>
          <w:szCs w:val="21"/>
        </w:rPr>
        <w:t xml:space="preserve">30</w:t>
      </w:r>
      <w:r>
        <w:rPr>
          <w:rFonts w:ascii="Calibri" w:cs="Calibri" w:eastAsia="Calibri" w:hAnsi="Calibri"/>
          <w:sz w:val="21"/>
          <w:szCs w:val="21"/>
        </w:rPr>
        <w:t xml:space="preserve"> días (Anexo X, fila 3). Va al anuncio.</w:t>
      </w:r>
    </w:p>
    <w:p>
      <w:pPr>
        <w:pStyle w:val="Heading3"/>
        <w:keepNext/>
        <w:spacing w:after="140" w:before="320"/>
      </w:pPr>
      <w:r>
        <w:rPr>
          <w:rFonts w:ascii="Georgia" w:cs="Georgia" w:eastAsia="Georgia" w:hAnsi="Georgia"/>
          <w:b/>
          <w:bCs/>
          <w:color w:val="2F5496"/>
          <w:sz w:val="22"/>
          <w:szCs w:val="22"/>
        </w:rPr>
        <w:t xml:space="preserve">ADM-12·v3 · Acceso de los órganos de control interno — sólo si el adjudicatario opera el sistema</w:t>
      </w:r>
    </w:p>
    <w:p>
      <w:pPr>
        <w:spacing w:after="140" w:line="276"/>
      </w:pPr>
      <w:r>
        <w:rPr>
          <w:rFonts w:ascii="Calibri" w:cs="Calibri" w:eastAsia="Calibri" w:hAnsi="Calibri"/>
          <w:i/>
          <w:iCs/>
          <w:sz w:val="21"/>
          <w:szCs w:val="21"/>
        </w:rPr>
        <w:t xml:space="preserve">Texto vigente de ADM-12·v3 en el catálogo, versión 4.0 (2 bloques):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Acceso de los órganos de control interno a los datos de ejecución del contrato.</w:t>
            </w:r>
          </w:p>
          <w:p>
            <w:pPr>
              <w:spacing w:after="100" w:line="264"/>
            </w:pPr>
            <w:r>
              <w:rPr>
                <w:rFonts w:ascii="Georgia" w:cs="Georgia" w:eastAsia="Georgia" w:hAnsi="Georgia"/>
                <w:i/>
                <w:iCs/>
                <w:sz w:val="20"/>
                <w:szCs w:val="20"/>
              </w:rPr>
              <w:t xml:space="preserve">(Condición especial de ejecución, artículo 202.1 de la LCSP. Su carácter de obligación contractual esencial alcanza </w:t>
            </w:r>
            <w:r>
              <w:rPr>
                <w:rFonts w:ascii="Georgia" w:cs="Georgia" w:eastAsia="Georgia" w:hAnsi="Georgia"/>
                <w:i/>
                <w:iCs/>
                <w:sz w:val="20"/>
                <w:szCs w:val="20"/>
              </w:rPr>
              <w:t xml:space="preserve">únicamente</w:t>
            </w:r>
            <w:r>
              <w:rPr>
                <w:rFonts w:ascii="Georgia" w:cs="Georgia" w:eastAsia="Georgia" w:hAnsi="Georgia"/>
                <w:sz w:val="20"/>
                <w:szCs w:val="20"/>
              </w:rPr>
              <w:t xml:space="preserve">* a los incumplimientos que enumera la cláusula [ADM-6], bloque B)*</w:t>
            </w:r>
          </w:p>
          <w:p>
            <w:pPr>
              <w:pStyle w:val="ListParagraph"/>
              <w:numPr>
                <w:ilvl w:val="0"/>
                <w:numId w:val="2"/>
              </w:numPr>
              <w:spacing w:after="60" w:line="264"/>
            </w:pPr>
            <w:r>
              <w:rPr>
                <w:rFonts w:ascii="Georgia" w:cs="Georgia" w:eastAsia="Georgia" w:hAnsi="Georgia"/>
                <w:b/>
                <w:bCs/>
                <w:sz w:val="20"/>
                <w:szCs w:val="20"/>
              </w:rPr>
              <w:t xml:space="preserve">Accesos de control incluidos en el precio.</w:t>
            </w:r>
            <w:r>
              <w:rPr>
                <w:rFonts w:ascii="Georgia" w:cs="Georgia" w:eastAsia="Georgia" w:hAnsi="Georgia"/>
                <w:sz w:val="20"/>
                <w:szCs w:val="20"/>
              </w:rPr>
              <w:t xml:space="preserve"> El adjudicatario habilitará, sin coste adicional alguno y con cargo al precio del contrato, </w:t>
            </w:r>
            <w:r>
              <w:rPr>
                <w:rFonts w:ascii="Georgia" w:cs="Georgia" w:eastAsia="Georgia" w:hAnsi="Georgia"/>
                <w:b/>
                <w:bCs/>
                <w:sz w:val="20"/>
                <w:szCs w:val="20"/>
              </w:rPr>
              <w:t xml:space="preserve">[X; se recomienda 3] accesos nominativos de consulta</w:t>
            </w:r>
            <w:r>
              <w:rPr>
                <w:rFonts w:ascii="Georgia" w:cs="Georgia" w:eastAsia="Georgia" w:hAnsi="Georgia"/>
                <w:sz w:val="20"/>
                <w:szCs w:val="20"/>
              </w:rPr>
              <w:t xml:space="preserve"> para el personal que designe el órgano interventor. Estos accesos permitirán consultar los datos de ejecución del contrato con el detalle funcional que el pliego de prescripciones técnicas defina en su apartado [ ], y estarán operativos en el plazo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desde la formalización y durante toda la vigencia del contrato y de sus prórrogas. [Si el pliego prevé accesos adicionales: el Ayuntamiento podrá habilitar hasta </w:t>
            </w:r>
            <w:r>
              <w:rPr>
                <w:rFonts w:ascii="Georgia" w:cs="Georgia" w:eastAsia="Georgia" w:hAnsi="Georgia"/>
                <w:b/>
                <w:bCs/>
                <w:sz w:val="20"/>
                <w:szCs w:val="20"/>
              </w:rPr>
              <w:t xml:space="preserve">[X; se recomienda 2]</w:t>
            </w:r>
            <w:r>
              <w:rPr>
                <w:rFonts w:ascii="Georgia" w:cs="Georgia" w:eastAsia="Georgia" w:hAnsi="Georgia"/>
                <w:sz w:val="20"/>
                <w:szCs w:val="20"/>
              </w:rPr>
              <w:t xml:space="preserve"> accesos adicionales de las mismas características, al precio por acceso y año que el adjudicatario haya ofertado en el Cuadro de Precios Unitarios del Anexo [ ] de este pliego, que no excederá del precio máximo fijado en el cuadro de características. Su importe máximo figura en el cuadro de características, forma parte del presupuesto base de licitación y se computa en el valor estimado del contrato; sólo se abonan los accesos habilitados y por el tiempo en que lo estén.] Los accesos que el responsable del contrato necesite para el seguimiento de la ejecución (artículo 62 de la LCSP) los fija el pliego de prescripciones técnicas: no se cuentan en este apartado ni les alcanza la finalidad del apartado 7.</w:t>
            </w:r>
          </w:p>
          <w:p>
            <w:pPr>
              <w:pStyle w:val="ListParagraph"/>
              <w:numPr>
                <w:ilvl w:val="0"/>
                <w:numId w:val="2"/>
              </w:numPr>
              <w:spacing w:after="60" w:line="264"/>
            </w:pPr>
            <w:r>
              <w:rPr>
                <w:rFonts w:ascii="Georgia" w:cs="Georgia" w:eastAsia="Georgia" w:hAnsi="Georgia"/>
                <w:b/>
                <w:bCs/>
                <w:sz w:val="20"/>
                <w:szCs w:val="20"/>
              </w:rPr>
              <w:t xml:space="preserve">Exportación en formato abierto.</w:t>
            </w:r>
            <w:r>
              <w:rPr>
                <w:rFonts w:ascii="Georgia" w:cs="Georgia" w:eastAsia="Georgia" w:hAnsi="Georgia"/>
                <w:sz w:val="20"/>
                <w:szCs w:val="20"/>
              </w:rPr>
              <w:t xml:space="preserve"> El adjudicatario garantizará la extracción de los datos de ejecución del contrato </w:t>
            </w:r>
            <w:r>
              <w:rPr>
                <w:rFonts w:ascii="Georgia" w:cs="Georgia" w:eastAsia="Georgia" w:hAnsi="Georgia"/>
                <w:b/>
                <w:bCs/>
                <w:sz w:val="20"/>
                <w:szCs w:val="20"/>
              </w:rPr>
              <w:t xml:space="preserve">en formato abierto, reutilizable y documentado</w:t>
            </w:r>
            <w:r>
              <w:rPr>
                <w:rFonts w:ascii="Georgia" w:cs="Georgia" w:eastAsia="Georgia" w:hAnsi="Georgia"/>
                <w:sz w:val="20"/>
                <w:szCs w:val="20"/>
              </w:rPr>
              <w:t xml:space="preserve">, conforme al Esquema Nacional de Interoperabilidad, mediante interfaz programática documentada, autenticada y auditable, </w:t>
            </w:r>
            <w:r>
              <w:rPr>
                <w:rFonts w:ascii="Georgia" w:cs="Georgia" w:eastAsia="Georgia" w:hAnsi="Georgia"/>
                <w:b/>
                <w:bCs/>
                <w:sz w:val="20"/>
                <w:szCs w:val="20"/>
              </w:rPr>
              <w:t xml:space="preserve">sin desarrollos a medida y sin coste por consulta</w:t>
            </w:r>
            <w:r>
              <w:rPr>
                <w:rFonts w:ascii="Georgia" w:cs="Georgia" w:eastAsia="Georgia" w:hAnsi="Georgia"/>
                <w:sz w:val="20"/>
                <w:szCs w:val="20"/>
              </w:rPr>
              <w:t xml:space="preserve">. La extracción incluirá, como mínimo, los datos que acrediten la realidad de la prestación, el grado de cumplimiento de los niveles de servicio y los datos económicos asociados a la ejecución.</w:t>
            </w:r>
          </w:p>
          <w:p>
            <w:pPr>
              <w:pStyle w:val="ListParagraph"/>
              <w:numPr>
                <w:ilvl w:val="0"/>
                <w:numId w:val="2"/>
              </w:numPr>
              <w:spacing w:after="60" w:line="264"/>
            </w:pPr>
            <w:r>
              <w:rPr>
                <w:rFonts w:ascii="Georgia" w:cs="Georgia" w:eastAsia="Georgia" w:hAnsi="Georgia"/>
                <w:b/>
                <w:bCs/>
                <w:sz w:val="20"/>
                <w:szCs w:val="20"/>
              </w:rPr>
              <w:t xml:space="preserve">Diccionario de datos.</w:t>
            </w:r>
            <w:r>
              <w:rPr>
                <w:rFonts w:ascii="Georgia" w:cs="Georgia" w:eastAsia="Georgia" w:hAnsi="Georgia"/>
                <w:sz w:val="20"/>
                <w:szCs w:val="20"/>
              </w:rPr>
              <w:t xml:space="preserve"> El adjudicatario entregará,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y actualizado con cada versión mayor puesta en producción,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y la documentación técnica suficiente para interpretar la información extraída </w:t>
            </w:r>
            <w:r>
              <w:rPr>
                <w:rFonts w:ascii="Georgia" w:cs="Georgia" w:eastAsia="Georgia" w:hAnsi="Georgia"/>
                <w:b/>
                <w:bCs/>
                <w:sz w:val="20"/>
                <w:szCs w:val="20"/>
              </w:rPr>
              <w:t xml:space="preserve">sin asistencia del adjudicatario</w:t>
            </w:r>
            <w:r>
              <w:rPr>
                <w:rFonts w:ascii="Georgia" w:cs="Georgia" w:eastAsia="Georgia" w:hAnsi="Georgia"/>
                <w:sz w:val="20"/>
                <w:szCs w:val="20"/>
              </w:rPr>
              <w:t xml:space="preserve">: relación de entidades y atributos, tipos, dominios de valores, claves y relaciones, y significado funcional de cada campo relevante para el control.</w:t>
            </w:r>
          </w:p>
          <w:p>
            <w:pPr>
              <w:pStyle w:val="ListParagraph"/>
              <w:numPr>
                <w:ilvl w:val="0"/>
                <w:numId w:val="2"/>
              </w:numPr>
              <w:spacing w:after="60" w:line="264"/>
            </w:pPr>
            <w:r>
              <w:rPr>
                <w:rFonts w:ascii="Georgia" w:cs="Georgia" w:eastAsia="Georgia" w:hAnsi="Georgia"/>
                <w:b/>
                <w:bCs/>
                <w:sz w:val="20"/>
                <w:szCs w:val="20"/>
              </w:rPr>
              <w:t xml:space="preserve">Trazabilidad.</w:t>
            </w:r>
            <w:r>
              <w:rPr>
                <w:rFonts w:ascii="Georgia" w:cs="Georgia" w:eastAsia="Georgia" w:hAnsi="Georgia"/>
                <w:sz w:val="20"/>
                <w:szCs w:val="20"/>
              </w:rPr>
              <w:t xml:space="preserve"> El sistema mantendrá un registro de actividad que permita determinar qué operación se realizó, cuándo, por quién o por qué proceso automatizado, y con qué resultado, exportable en los mismos términos del apartado 2 y conservado durante el plazo que fije el pliego de prescripciones técnicas y, como mínimo, hasta la liquidación del contrato.</w:t>
            </w:r>
          </w:p>
          <w:p>
            <w:pPr>
              <w:pStyle w:val="ListParagraph"/>
              <w:numPr>
                <w:ilvl w:val="0"/>
                <w:numId w:val="2"/>
              </w:numPr>
              <w:spacing w:after="60" w:line="264"/>
            </w:pPr>
            <w:r>
              <w:rPr>
                <w:rFonts w:ascii="Georgia" w:cs="Georgia" w:eastAsia="Georgia" w:hAnsi="Georgia"/>
                <w:b/>
                <w:bCs/>
                <w:sz w:val="20"/>
                <w:szCs w:val="20"/>
              </w:rPr>
              <w:t xml:space="preserve">Previsión expresa a los efectos del artículo 33.4.d) del Real Decreto 424/2017.</w:t>
            </w:r>
            <w:r>
              <w:rPr>
                <w:rFonts w:ascii="Georgia" w:cs="Georgia" w:eastAsia="Georgia" w:hAnsi="Georgia"/>
                <w:sz w:val="20"/>
                <w:szCs w:val="20"/>
              </w:rPr>
              <w:t xml:space="preserve"> Se establece expresamente en este contrato el acceso de la Administración a la información sobre las operaciones realizadas en ejecución del mismo, a los saldos contables generados por éstas y a los costes asociados, a los efectos del artículo 33.4.d) del Real Decreto 424/2017, de 28 de abril.</w:t>
            </w:r>
          </w:p>
          <w:p>
            <w:pPr>
              <w:pStyle w:val="ListParagraph"/>
              <w:numPr>
                <w:ilvl w:val="0"/>
                <w:numId w:val="2"/>
              </w:numPr>
              <w:spacing w:after="60" w:line="264"/>
            </w:pPr>
            <w:r>
              <w:rPr>
                <w:rFonts w:ascii="Georgia" w:cs="Georgia" w:eastAsia="Georgia" w:hAnsi="Georgia"/>
                <w:b/>
                <w:bCs/>
                <w:sz w:val="20"/>
                <w:szCs w:val="20"/>
              </w:rPr>
              <w:t xml:space="preserve">Permanencia y reversión.</w:t>
            </w:r>
            <w:r>
              <w:rPr>
                <w:rFonts w:ascii="Georgia" w:cs="Georgia" w:eastAsia="Georgia" w:hAnsi="Georgia"/>
                <w:sz w:val="20"/>
                <w:szCs w:val="20"/>
              </w:rPr>
              <w:t xml:space="preserve"> Las obligaciones de los apartados 1 a 4 se mantienen durante las prórrogas y, tras la extinción del contrato, hasta la fecha del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prevista en la cláusula [DT-8], apartado 8 —o, en su defecto, hasta el vencimiento del plazo allí establecido para levantarla— o hasta transcurridos </w:t>
            </w:r>
            <w:r>
              <w:rPr>
                <w:rFonts w:ascii="Georgia" w:cs="Georgia" w:eastAsia="Georgia" w:hAnsi="Georgia"/>
                <w:b/>
                <w:bCs/>
                <w:sz w:val="20"/>
                <w:szCs w:val="20"/>
              </w:rPr>
              <w:t xml:space="preserve">[X; se recomienda 3] meses</w:t>
            </w:r>
            <w:r>
              <w:rPr>
                <w:rFonts w:ascii="Georgia" w:cs="Georgia" w:eastAsia="Georgia" w:hAnsi="Georgia"/>
                <w:sz w:val="20"/>
                <w:szCs w:val="20"/>
              </w:rPr>
              <w:t xml:space="preserve"> desde la extinción, </w:t>
            </w:r>
            <w:r>
              <w:rPr>
                <w:rFonts w:ascii="Georgia" w:cs="Georgia" w:eastAsia="Georgia" w:hAnsi="Georgia"/>
                <w:b/>
                <w:bCs/>
                <w:sz w:val="20"/>
                <w:szCs w:val="20"/>
              </w:rPr>
              <w:t xml:space="preserve">lo que ocurra más tarde</w:t>
            </w:r>
            <w:r>
              <w:rPr>
                <w:rFonts w:ascii="Georgia" w:cs="Georgia" w:eastAsia="Georgia" w:hAnsi="Georgia"/>
                <w:sz w:val="20"/>
                <w:szCs w:val="20"/>
              </w:rPr>
              <w:t xml:space="preserve">. El diccionario de datos actualizado forma parte del material objeto de entrega en la reversión.</w:t>
            </w:r>
          </w:p>
          <w:p>
            <w:pPr>
              <w:pStyle w:val="ListParagraph"/>
              <w:numPr>
                <w:ilvl w:val="0"/>
                <w:numId w:val="2"/>
              </w:numPr>
              <w:spacing w:after="60" w:line="264"/>
            </w:pPr>
            <w:r>
              <w:rPr>
                <w:rFonts w:ascii="Georgia" w:cs="Georgia" w:eastAsia="Georgia" w:hAnsi="Georgia"/>
                <w:b/>
                <w:bCs/>
                <w:sz w:val="20"/>
                <w:szCs w:val="20"/>
              </w:rPr>
              <w:t xml:space="preserve">Finalidad y límites.</w:t>
            </w:r>
            <w:r>
              <w:rPr>
                <w:rFonts w:ascii="Georgia" w:cs="Georgia" w:eastAsia="Georgia" w:hAnsi="Georgia"/>
                <w:sz w:val="20"/>
                <w:szCs w:val="20"/>
              </w:rPr>
              <w:t xml:space="preserve"> El acceso se otorga exclusivamente para el ejercicio de las funciones de control interno de los artículos 213 y siguientes del texto refundido de la Ley reguladora de las Haciendas Locales y del Real Decreto 424/2017, y queda sujeto al deber de sigilo del artículo 5.1 de dicho reglamento. No comprende facultad alguna de explotación comercial ni de cesión a terceros. Cuando el tratamiento comprenda datos personales, esta previsión se entiende sin perjuicio y en refuerzo de la obligación del artículo 28.3.h) del Reglamento (UE) 2016/679.</w:t>
            </w:r>
          </w:p>
          <w:p>
            <w:pPr>
              <w:pStyle w:val="ListParagraph"/>
              <w:numPr>
                <w:ilvl w:val="0"/>
                <w:numId w:val="2"/>
              </w:numPr>
              <w:spacing w:after="60" w:line="264"/>
            </w:pPr>
            <w:r>
              <w:rPr>
                <w:rFonts w:ascii="Georgia" w:cs="Georgia" w:eastAsia="Georgia" w:hAnsi="Georgia"/>
                <w:b/>
                <w:bCs/>
                <w:sz w:val="20"/>
                <w:szCs w:val="20"/>
              </w:rPr>
              <w:t xml:space="preserve">Naturaleza y carácter esencial.</w:t>
            </w:r>
            <w:r>
              <w:rPr>
                <w:rFonts w:ascii="Georgia" w:cs="Georgia" w:eastAsia="Georgia" w:hAnsi="Georgia"/>
                <w:sz w:val="20"/>
                <w:szCs w:val="20"/>
              </w:rPr>
              <w:t xml:space="preserve"> Esta condición especial de ejecución se establece al amparo del artículo 202.1 de la LCSP y está vinculada al objeto del contrato en el sentido del artículo 145 de la LCSP, por referirse a la ejecución y a la fase de explotación de su ciclo de vida. Tienen el carácter de obligación contractual esencial a los efectos del artículo 211.1.f) de la Ley 9/2017,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incumplimientos relativos a esta cláusula que enumera la cláusula [ADM-6], bloque B. Los demás incumplimientos de esta cláusula generan las penalidades que correspondan conforme a la cláusula [ADM-5].</w:t>
            </w:r>
          </w:p>
        </w:tc>
      </w:tr>
    </w:tbl>
    <w:p>
      <w:pPr>
        <w:spacing w:after="220"/>
      </w:pP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Detalle funcional del acceso de los órganos de control interno.</w:t>
            </w:r>
          </w:p>
          <w:p>
            <w:pPr>
              <w:spacing w:after="100" w:line="264"/>
            </w:pPr>
            <w:r>
              <w:rPr>
                <w:rFonts w:ascii="Georgia" w:cs="Georgia" w:eastAsia="Georgia" w:hAnsi="Georgia"/>
                <w:b/>
                <w:bCs/>
                <w:sz w:val="20"/>
                <w:szCs w:val="20"/>
              </w:rPr>
              <w:t xml:space="preserve">1. Consultas.</w:t>
            </w:r>
            <w:r>
              <w:rPr>
                <w:rFonts w:ascii="Georgia" w:cs="Georgia" w:eastAsia="Georgia" w:hAnsi="Georgia"/>
                <w:sz w:val="20"/>
                <w:szCs w:val="20"/>
              </w:rPr>
              <w:t xml:space="preserve"> Los accesos de control previstos en la cláusula [ADM-12] del pliego de cláusulas administrativas particulares son de sólo consulta y permitirán, como mínimo, las consultas siguientes: [relación cerrada y numerada, facilitada por el órgano interventor, de las consultas sobre los datos que acreditan la realidad de la prestación, el grado de cumplimiento de los niveles de servicio y los datos económicos asociados a la ejecución, con los criterios de filtrado de cada una].</w:t>
            </w:r>
          </w:p>
          <w:p>
            <w:pPr>
              <w:spacing w:after="100" w:line="264"/>
            </w:pPr>
            <w:r>
              <w:rPr>
                <w:rFonts w:ascii="Georgia" w:cs="Georgia" w:eastAsia="Georgia" w:hAnsi="Georgia"/>
                <w:b/>
                <w:bCs/>
                <w:sz w:val="20"/>
                <w:szCs w:val="20"/>
              </w:rPr>
              <w:t xml:space="preserve">2. Exportaciones.</w:t>
            </w:r>
            <w:r>
              <w:rPr>
                <w:rFonts w:ascii="Georgia" w:cs="Georgia" w:eastAsia="Georgia" w:hAnsi="Georgia"/>
                <w:sz w:val="20"/>
                <w:szCs w:val="20"/>
              </w:rPr>
              <w:t xml:space="preserve"> El resultado de cada consulta de la relación anterior podrá exportarse en [formato abierto y documentado] por el personal designado, sin intervención del adjudicatario, en los términos del apartado 2 de aquella cláusula.</w:t>
            </w:r>
          </w:p>
          <w:p>
            <w:pPr>
              <w:spacing w:after="100" w:line="264"/>
            </w:pPr>
            <w:r>
              <w:rPr>
                <w:rFonts w:ascii="Georgia" w:cs="Georgia" w:eastAsia="Georgia" w:hAnsi="Georgia"/>
                <w:b/>
                <w:bCs/>
                <w:sz w:val="20"/>
                <w:szCs w:val="20"/>
              </w:rPr>
              <w:t xml:space="preserve">3. Conservación del registro de actividad.</w:t>
            </w:r>
            <w:r>
              <w:rPr>
                <w:rFonts w:ascii="Georgia" w:cs="Georgia" w:eastAsia="Georgia" w:hAnsi="Georgia"/>
                <w:sz w:val="20"/>
                <w:szCs w:val="20"/>
              </w:rPr>
              <w:t xml:space="preserve"> El registro de actividad del apartado 4 de aquella cláusula se conservará durante [plazo que fije el órgano de contratación, a propuesta del órgano interventor] y, como mínimo, hasta la liquidación del contrato.</w:t>
            </w:r>
          </w:p>
        </w:tc>
      </w:tr>
    </w:tbl>
    <w:p>
      <w:pPr>
        <w:spacing w:after="220"/>
      </w:pPr>
    </w:p>
    <w:p>
      <w:pPr>
        <w:spacing w:after="140" w:line="276"/>
      </w:pPr>
      <w:r>
        <w:rPr>
          <w:rFonts w:ascii="Calibri" w:cs="Calibri" w:eastAsia="Calibri" w:hAnsi="Calibri"/>
          <w:b/>
          <w:bCs/>
          <w:sz w:val="21"/>
          <w:szCs w:val="21"/>
        </w:rPr>
        <w:t xml:space="preserve">Ajustes del perfil.</w:t>
      </w:r>
      <w:r>
        <w:rPr>
          <w:rFonts w:ascii="Calibri" w:cs="Calibri" w:eastAsia="Calibri" w:hAnsi="Calibri"/>
          <w:sz w:val="21"/>
          <w:szCs w:val="21"/>
        </w:rPr>
        <w:t xml:space="preserve"> Antes de incorporarla se comprueba dónde se desplegará lo desarrollado: en infraestructura de la entidad, basta dar usuario al interventor (epígrafe 7). Si la opera el adjudicatario, entra con el informe firmado del órgano de control que cita la memoria (epígrafe 3). Apartado 1, </w:t>
      </w:r>
      <w:r>
        <w:rPr>
          <w:rFonts w:ascii="Calibri" w:cs="Calibri" w:eastAsia="Calibri" w:hAnsi="Calibri"/>
          <w:b/>
          <w:bCs/>
          <w:sz w:val="21"/>
          <w:szCs w:val="21"/>
        </w:rPr>
        <w:t xml:space="preserve">3</w:t>
      </w:r>
      <w:r>
        <w:rPr>
          <w:rFonts w:ascii="Calibri" w:cs="Calibri" w:eastAsia="Calibri" w:hAnsi="Calibri"/>
          <w:sz w:val="21"/>
          <w:szCs w:val="21"/>
        </w:rPr>
        <w:t xml:space="preserve"> accesos, nunca 0, y </w:t>
      </w:r>
      <w:r>
        <w:rPr>
          <w:rFonts w:ascii="Calibri" w:cs="Calibri" w:eastAsia="Calibri" w:hAnsi="Calibri"/>
          <w:b/>
          <w:bCs/>
          <w:sz w:val="21"/>
          <w:szCs w:val="21"/>
        </w:rPr>
        <w:t xml:space="preserve">30</w:t>
      </w:r>
      <w:r>
        <w:rPr>
          <w:rFonts w:ascii="Calibri" w:cs="Calibri" w:eastAsia="Calibri" w:hAnsi="Calibri"/>
          <w:sz w:val="21"/>
          <w:szCs w:val="21"/>
        </w:rPr>
        <w:t xml:space="preserve"> días (Anexo X, fila 7); apartado 3, </w:t>
      </w:r>
      <w:r>
        <w:rPr>
          <w:rFonts w:ascii="Calibri" w:cs="Calibri" w:eastAsia="Calibri" w:hAnsi="Calibri"/>
          <w:b/>
          <w:bCs/>
          <w:sz w:val="21"/>
          <w:szCs w:val="21"/>
        </w:rPr>
        <w:t xml:space="preserve">60</w:t>
      </w:r>
      <w:r>
        <w:rPr>
          <w:rFonts w:ascii="Calibri" w:cs="Calibri" w:eastAsia="Calibri" w:hAnsi="Calibri"/>
          <w:sz w:val="21"/>
          <w:szCs w:val="21"/>
        </w:rPr>
        <w:t xml:space="preserve"> días; apartado 6, </w:t>
      </w:r>
      <w:r>
        <w:rPr>
          <w:rFonts w:ascii="Calibri" w:cs="Calibri" w:eastAsia="Calibri" w:hAnsi="Calibri"/>
          <w:b/>
          <w:bCs/>
          <w:sz w:val="21"/>
          <w:szCs w:val="21"/>
        </w:rPr>
        <w:t xml:space="preserve">3</w:t>
      </w:r>
      <w:r>
        <w:rPr>
          <w:rFonts w:ascii="Calibri" w:cs="Calibri" w:eastAsia="Calibri" w:hAnsi="Calibri"/>
          <w:sz w:val="21"/>
          <w:szCs w:val="21"/>
        </w:rPr>
        <w:t xml:space="preserve"> meses o hasta el acta de reversión si es posterior (fila 8). La marca inserta también el texto para el PPT, «Detalle funcional del acceso de los órganos de control interno», que va al PPT y se completa con la relación cerrada de consultas que aporte el órgano interventor (ADM-12·v3, epígrafe 2). Va al anuncio.</w:t>
      </w:r>
    </w:p>
    <w:p>
      <w:pPr>
        <w:pStyle w:val="Heading2"/>
        <w:keepNext/>
        <w:spacing w:after="140" w:before="320"/>
      </w:pPr>
      <w:r>
        <w:rPr>
          <w:rFonts w:ascii="Georgia" w:cs="Georgia" w:eastAsia="Georgia" w:hAnsi="Georgia"/>
          <w:b/>
          <w:bCs/>
          <w:color w:val="1F3864"/>
          <w:sz w:val="26"/>
          <w:szCs w:val="26"/>
        </w:rPr>
        <w:t xml:space="preserve">5.4 Recordatorio del anuncio (art. 202.1 LCSP)</w:t>
      </w:r>
    </w:p>
    <w:p>
      <w:pPr>
        <w:spacing w:after="140" w:line="276"/>
      </w:pPr>
      <w:r>
        <w:rPr>
          <w:rFonts w:ascii="Calibri" w:cs="Calibri" w:eastAsia="Calibri" w:hAnsi="Calibri"/>
          <w:sz w:val="21"/>
          <w:szCs w:val="21"/>
        </w:rPr>
        <w:t xml:space="preserve">Las condiciones especiales de ejecución se indican en el anuncio y en los pliegos; su omisión en el anuncio «es un defecto que no se subsana después» (epígrafe 2 de ADM-1·v3, ADM-10·v3, ADM-12·v3 y ADM-13·v3). Van, </w:t>
      </w:r>
      <w:r>
        <w:rPr>
          <w:rFonts w:ascii="Calibri" w:cs="Calibri" w:eastAsia="Calibri" w:hAnsi="Calibri"/>
          <w:b/>
          <w:bCs/>
          <w:sz w:val="21"/>
          <w:szCs w:val="21"/>
        </w:rPr>
        <w:t xml:space="preserve">una por una y cotejadas con la ficha</w:t>
      </w:r>
      <w:r>
        <w:rPr>
          <w:rFonts w:ascii="Calibri" w:cs="Calibri" w:eastAsia="Calibri" w:hAnsi="Calibri"/>
          <w:sz w:val="21"/>
          <w:szCs w:val="21"/>
        </w:rPr>
        <w:t xml:space="preserve"> (Parte V, §V.10): siempre </w:t>
      </w:r>
      <w:r>
        <w:rPr>
          <w:rFonts w:ascii="Calibri" w:cs="Calibri" w:eastAsia="Calibri" w:hAnsi="Calibri"/>
          <w:b/>
          <w:bCs/>
          <w:sz w:val="21"/>
          <w:szCs w:val="21"/>
        </w:rPr>
        <w:t xml:space="preserve">ADM-13·v3</w:t>
      </w:r>
      <w:r>
        <w:rPr>
          <w:rFonts w:ascii="Calibri" w:cs="Calibri" w:eastAsia="Calibri" w:hAnsi="Calibri"/>
          <w:sz w:val="21"/>
          <w:szCs w:val="21"/>
        </w:rPr>
        <w:t xml:space="preserve">; la de protección de datos del </w:t>
      </w:r>
      <w:r>
        <w:rPr>
          <w:rFonts w:ascii="Calibri" w:cs="Calibri" w:eastAsia="Calibri" w:hAnsi="Calibri"/>
          <w:b/>
          <w:bCs/>
          <w:sz w:val="21"/>
          <w:szCs w:val="21"/>
        </w:rPr>
        <w:t xml:space="preserve">bloque A de ADM-6·v3</w:t>
      </w:r>
      <w:r>
        <w:rPr>
          <w:rFonts w:ascii="Calibri" w:cs="Calibri" w:eastAsia="Calibri" w:hAnsi="Calibri"/>
          <w:sz w:val="21"/>
          <w:szCs w:val="21"/>
        </w:rPr>
        <w:t xml:space="preserve">, si concurre (su epígrafe 2); y </w:t>
      </w:r>
      <w:r>
        <w:rPr>
          <w:rFonts w:ascii="Calibri" w:cs="Calibri" w:eastAsia="Calibri" w:hAnsi="Calibri"/>
          <w:b/>
          <w:bCs/>
          <w:sz w:val="21"/>
          <w:szCs w:val="21"/>
        </w:rPr>
        <w:t xml:space="preserve">ADM-1·v3</w:t>
      </w:r>
      <w:r>
        <w:rPr>
          <w:rFonts w:ascii="Calibri" w:cs="Calibri" w:eastAsia="Calibri" w:hAnsi="Calibri"/>
          <w:sz w:val="21"/>
          <w:szCs w:val="21"/>
        </w:rPr>
        <w:t xml:space="preserve"> modalidad B, </w:t>
      </w:r>
      <w:r>
        <w:rPr>
          <w:rFonts w:ascii="Calibri" w:cs="Calibri" w:eastAsia="Calibri" w:hAnsi="Calibri"/>
          <w:b/>
          <w:bCs/>
          <w:sz w:val="21"/>
          <w:szCs w:val="21"/>
        </w:rPr>
        <w:t xml:space="preserve">ADM-12·v3</w:t>
      </w:r>
      <w:r>
        <w:rPr>
          <w:rFonts w:ascii="Calibri" w:cs="Calibri" w:eastAsia="Calibri" w:hAnsi="Calibri"/>
          <w:sz w:val="21"/>
          <w:szCs w:val="21"/>
        </w:rPr>
        <w:t xml:space="preserve">, </w:t>
      </w:r>
      <w:r>
        <w:rPr>
          <w:rFonts w:ascii="Calibri" w:cs="Calibri" w:eastAsia="Calibri" w:hAnsi="Calibri"/>
          <w:b/>
          <w:bCs/>
          <w:sz w:val="21"/>
          <w:szCs w:val="21"/>
        </w:rPr>
        <w:t xml:space="preserve">ADM-2·v3</w:t>
      </w:r>
      <w:r>
        <w:rPr>
          <w:rFonts w:ascii="Calibri" w:cs="Calibri" w:eastAsia="Calibri" w:hAnsi="Calibri"/>
          <w:sz w:val="21"/>
          <w:szCs w:val="21"/>
        </w:rPr>
        <w:t xml:space="preserve"> y </w:t>
      </w:r>
      <w:r>
        <w:rPr>
          <w:rFonts w:ascii="Calibri" w:cs="Calibri" w:eastAsia="Calibri" w:hAnsi="Calibri"/>
          <w:b/>
          <w:bCs/>
          <w:sz w:val="21"/>
          <w:szCs w:val="21"/>
        </w:rPr>
        <w:t xml:space="preserve">ADM-10·v3</w:t>
      </w:r>
      <w:r>
        <w:rPr>
          <w:rFonts w:ascii="Calibri" w:cs="Calibri" w:eastAsia="Calibri" w:hAnsi="Calibri"/>
          <w:sz w:val="21"/>
          <w:szCs w:val="21"/>
        </w:rPr>
        <w:t xml:space="preserve">, si se incorporan.</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6 · Ficha de aplicabilidad (Anexo II) prerrellenada</w:t>
      </w:r>
    </w:p>
    <w:p>
      <w:pPr>
        <w:spacing w:after="140" w:line="276"/>
      </w:pPr>
      <w:r>
        <w:rPr>
          <w:rFonts w:ascii="Calibri" w:cs="Calibri" w:eastAsia="Calibri" w:hAnsi="Calibri"/>
          <w:sz w:val="21"/>
          <w:szCs w:val="21"/>
        </w:rPr>
        <w:t xml:space="preserve">Sobre el modelo del Anexo II, después del informe de necesidad. Cabecera: versión del catálogo </w:t>
      </w:r>
      <w:r>
        <w:rPr>
          <w:rFonts w:ascii="Calibri" w:cs="Calibri" w:eastAsia="Calibri" w:hAnsi="Calibri"/>
          <w:color w:val="2F5496"/>
          <w:sz w:val="21"/>
          <w:szCs w:val="21"/>
        </w:rPr>
        <w:t xml:space="preserve">[vigente en la fecha del expediente]</w:t>
      </w:r>
      <w:r>
        <w:rPr>
          <w:rFonts w:ascii="Calibri" w:cs="Calibri" w:eastAsia="Calibri" w:hAnsi="Calibri"/>
          <w:sz w:val="21"/>
          <w:szCs w:val="21"/>
        </w:rPr>
        <w:t xml:space="preserve">; Catálogo de Exigencias Tecnológicas </w:t>
      </w:r>
      <w:r>
        <w:rPr>
          <w:rFonts w:ascii="Calibri" w:cs="Calibri" w:eastAsia="Calibri" w:hAnsi="Calibri"/>
          <w:color w:val="2F5496"/>
          <w:sz w:val="21"/>
          <w:szCs w:val="21"/>
        </w:rPr>
        <w:t xml:space="preserve">[versión, o «no se incorpora»]</w:t>
      </w:r>
      <w:r>
        <w:rPr>
          <w:rFonts w:ascii="Calibri" w:cs="Calibri" w:eastAsia="Calibri" w:hAnsi="Calibri"/>
          <w:sz w:val="21"/>
          <w:szCs w:val="21"/>
        </w:rPr>
        <w:t xml:space="preserve">. Mínimo y exceso puntuado, en dos filas (instrucción 5).</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 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(b) Norma, acuerdo o petición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 Proporcionalidad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 Verificador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 Periodicidad y 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 h/año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Formulación funcional y prueba de equivalentes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126.5.a), 126.6 a 126.8 y 128.2 LCSP</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[lo que cita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 proponente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Licitación; informe de apreciación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6–18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[sólo con IA]</w:t>
            </w:r>
            <w:r>
              <w:rPr>
                <w:rFonts w:ascii="Calibri" w:cs="Calibri" w:eastAsia="Calibri" w:hAnsi="Calibri"/>
                <w:b w:val="false"/>
                <w:bCs w:val="false"/>
                <w:sz w:val="18"/>
                <w:szCs w:val="18"/>
              </w:rPr>
              <w:t xml:space="preserve"> Medios del responsable del despliegue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en su redacción vigente; RGPD art. 22; Ley 40/2015 art. 41</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[funcionalidades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informática, DPD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funcionalidad y anual;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 (año 1: 16–28)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 · DT-3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 mínimos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[con lista cerrada]</w:t>
            </w:r>
            <w:r>
              <w:rPr>
                <w:rFonts w:ascii="Calibri" w:cs="Calibri" w:eastAsia="Calibri" w:hAnsi="Calibri"/>
                <w:b w:val="false"/>
                <w:bCs w:val="false"/>
                <w:sz w:val="18"/>
                <w:szCs w:val="18"/>
              </w:rPr>
              <w:t xml:space="preserve"> Reducir carga de procesos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con datos (§3.4)</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[procesos, volumen, tiempo]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y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automatización y 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 (año 1: 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 exceso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Procesos adicionales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Ídem</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el exceso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Interoperar, exportar con diccionario, entorno de pruebas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4/2010; Ley 39/2015</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[servicios comunes;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módulo y anual; actas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(año 1: 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acred.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311/2022, arts. 2.3 y 38.1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Categoría </w:t>
            </w:r>
            <w:r>
              <w:rPr>
                <w:rFonts w:ascii="Calibri" w:cs="Calibri" w:eastAsia="Calibri" w:hAnsi="Calibri"/>
                <w:b w:val="false"/>
                <w:bCs w:val="false"/>
                <w:color w:val="2F5496"/>
                <w:sz w:val="18"/>
                <w:szCs w:val="18"/>
              </w:rPr>
              <w:t xml:space="preserve">[ ]</w:t>
            </w:r>
            <w:r>
              <w:rPr>
                <w:rFonts w:ascii="Calibri" w:cs="Calibri" w:eastAsia="Calibri" w:hAnsi="Calibri"/>
                <w:b w:val="false"/>
                <w:bCs w:val="false"/>
                <w:sz w:val="18"/>
                <w:szCs w:val="18"/>
              </w:rPr>
              <w:t xml:space="preserve"> motivada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 mínimos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[con acuerdo]</w:t>
            </w:r>
            <w:r>
              <w:rPr>
                <w:rFonts w:ascii="Calibri" w:cs="Calibri" w:eastAsia="Calibri" w:hAnsi="Calibri"/>
                <w:b w:val="false"/>
                <w:bCs w:val="false"/>
                <w:sz w:val="18"/>
                <w:szCs w:val="18"/>
              </w:rPr>
              <w:t xml:space="preserve"> Operación por agentes bajo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w:t>
            </w:r>
            <w:r>
              <w:rPr>
                <w:rFonts w:ascii="Calibri" w:cs="Calibri" w:eastAsia="Calibri" w:hAnsi="Calibri"/>
                <w:b w:val="false"/>
                <w:bCs w:val="false"/>
                <w:color w:val="2F5496"/>
                <w:sz w:val="18"/>
                <w:szCs w:val="18"/>
              </w:rPr>
              <w:t xml:space="preserve">[fecha y número]</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[módulos]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y responsable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anual;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(año 1: 12–16)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 exceso (A,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Funciones adicionales y plazo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Ídem</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el bloque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garantía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Recuperar código, datos y documentación; cambiar de proveedor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40/2015 art. 157.1; RD 4/2010 arts. 16 y 17; RGPD art. 28.3.g)</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[coste de cambio; dependencias]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por versión; ensayo; actas B y C del Anexo XVIII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 (año 1: 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[con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y Anexo V</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[exigencias recortadas]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y responsable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exigencia y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(año 1: 28–40)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[con DT-1]</w:t>
            </w:r>
            <w:r>
              <w:rPr>
                <w:rFonts w:ascii="Calibri" w:cs="Calibri" w:eastAsia="Calibri" w:hAnsi="Calibri"/>
                <w:b w:val="false"/>
                <w:bCs w:val="false"/>
                <w:sz w:val="18"/>
                <w:szCs w:val="18"/>
              </w:rPr>
              <w:t xml:space="preserve"> Gobierno de la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Como en VI.4.3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Modalidad B; con E, sólo letras a), d) y 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nota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 (año 1: 4,5)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[con DT-9]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y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Balance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[opcional]</w:t>
            </w:r>
            <w:r>
              <w:rPr>
                <w:rFonts w:ascii="Calibri" w:cs="Calibri" w:eastAsia="Calibri" w:hAnsi="Calibri"/>
                <w:b w:val="false"/>
                <w:bCs w:val="false"/>
                <w:sz w:val="18"/>
                <w:szCs w:val="18"/>
              </w:rPr>
              <w:t xml:space="preserve"> Adaptaciones posteriores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art. 308.3 LCSP</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[horas, importe]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y unidad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petición y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 ([20] peticiones)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Supervisar con documentos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62 LCSP</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actas e 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Consecuencia tipificada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192.1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Tipos depurados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 incumplimiento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Esenciales tasadas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211.1.f), 202.1 y 122.2 LCSP</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[¿cesión? ¿tratamiento?]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del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aprobar; por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25–40 por resolución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Mejor relación calidad-precio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 LCSP</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[pesos recompuestos]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e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 y hoja ADM-7.5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y licencia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308.1 LCSP; TRLPI arts. 43.2, 97.4, 99 y 100; Ley 40/2015 arts. 157 y 158</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[producto base y terceros]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del informe jurídico; Inventario en DT-8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aprobar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B6 (ADM-8·v3, epígrafe 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Excluida (ap. 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[con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y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objeto (§3.1)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[si el adjudicatario opera el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TRLRHL art. 214; RD 424/2017; 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control interno </w:t>
            </w:r>
            <w:r>
              <w:rPr>
                <w:rFonts w:ascii="Calibri" w:cs="Calibri" w:eastAsia="Calibri" w:hAnsi="Calibri"/>
                <w:b w:val="false"/>
                <w:bCs w:val="false"/>
                <w:color w:val="2F5496"/>
                <w:sz w:val="18"/>
                <w:szCs w:val="18"/>
              </w:rPr>
              <w:t xml:space="preserve">[fecha]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diligencia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la información municipal, empezando por el código, no entre en IA sin garantías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RGPD art. 28; art. 202.1 LCSP</w:t>
            </w:r>
          </w:p>
        </w:tc>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[sistemas declarados; ¿datos reales?]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con DPD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y por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(año 1: 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cubre módulos nuevos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p>
      <w:pPr>
        <w:spacing w:after="140" w:line="276"/>
      </w:pPr>
      <w:r>
        <w:rPr>
          <w:rFonts w:ascii="Calibri" w:cs="Calibri" w:eastAsia="Calibri" w:hAnsi="Calibri"/>
          <w:b/>
          <w:bCs/>
          <w:sz w:val="21"/>
          <w:szCs w:val="21"/>
        </w:rPr>
        <w:t xml:space="preserve">Carga total</w:t>
      </w:r>
      <w:r>
        <w:rPr>
          <w:rFonts w:ascii="Calibri" w:cs="Calibri" w:eastAsia="Calibri" w:hAnsi="Calibri"/>
          <w:sz w:val="21"/>
          <w:szCs w:val="21"/>
        </w:rPr>
        <w:t xml:space="preserve"> con lo que entra siempre (§8.1: B3, B4, B6, C1, C2 y C10): </w:t>
      </w:r>
      <w:r>
        <w:rPr>
          <w:rFonts w:ascii="Calibri" w:cs="Calibri" w:eastAsia="Calibri" w:hAnsi="Calibri"/>
          <w:b/>
          <w:bCs/>
          <w:sz w:val="21"/>
          <w:szCs w:val="21"/>
        </w:rPr>
        <w:t xml:space="preserve">42–50 h/año</w:t>
      </w:r>
      <w:r>
        <w:rPr>
          <w:rFonts w:ascii="Calibri" w:cs="Calibri" w:eastAsia="Calibri" w:hAnsi="Calibri"/>
          <w:sz w:val="21"/>
          <w:szCs w:val="21"/>
        </w:rPr>
        <w:t xml:space="preserve"> y 55–67 el primer año; concentrada, </w:t>
      </w:r>
      <w:r>
        <w:rPr>
          <w:rFonts w:ascii="Calibri" w:cs="Calibri" w:eastAsia="Calibri" w:hAnsi="Calibri"/>
          <w:b/>
          <w:bCs/>
          <w:sz w:val="21"/>
          <w:szCs w:val="21"/>
        </w:rPr>
        <w:t xml:space="preserve">9–24 h por licitación</w:t>
      </w:r>
      <w:r>
        <w:rPr>
          <w:rFonts w:ascii="Calibri" w:cs="Calibri" w:eastAsia="Calibri" w:hAnsi="Calibri"/>
          <w:sz w:val="21"/>
          <w:szCs w:val="21"/>
        </w:rPr>
        <w:t xml:space="preserve"> (A1 + A2) y </w:t>
      </w:r>
      <w:r>
        <w:rPr>
          <w:rFonts w:ascii="Calibri" w:cs="Calibri" w:eastAsia="Calibri" w:hAnsi="Calibri"/>
          <w:b/>
          <w:bCs/>
          <w:sz w:val="21"/>
          <w:szCs w:val="21"/>
        </w:rPr>
        <w:t xml:space="preserve">20–30 h</w:t>
      </w:r>
      <w:r>
        <w:rPr>
          <w:rFonts w:ascii="Calibri" w:cs="Calibri" w:eastAsia="Calibri" w:hAnsi="Calibri"/>
          <w:sz w:val="21"/>
          <w:szCs w:val="21"/>
        </w:rPr>
        <w:t xml:space="preserve"> de reversión. Supera [40] horas en toda la horquilla, el primer año y en régimen ordinario: conformidad expresa del servicio verificador (§8.4).</w:t>
      </w:r>
    </w:p>
    <w:p>
      <w:pPr>
        <w:spacing w:after="140" w:line="276"/>
      </w:pPr>
      <w:r>
        <w:rPr>
          <w:rFonts w:ascii="Calibri" w:cs="Calibri" w:eastAsia="Calibri" w:hAnsi="Calibri"/>
          <w:b/>
          <w:bCs/>
          <w:sz w:val="21"/>
          <w:szCs w:val="21"/>
        </w:rPr>
        <w:t xml:space="preserve">Firmas por origen</w:t>
      </w:r>
      <w:r>
        <w:rPr>
          <w:rFonts w:ascii="Calibri" w:cs="Calibri" w:eastAsia="Calibri" w:hAnsi="Calibri"/>
          <w:sz w:val="21"/>
          <w:szCs w:val="21"/>
        </w:rPr>
        <w:t xml:space="preserve"> (Parte I, §3.7). </w:t>
      </w:r>
      <w:r>
        <w:rPr>
          <w:rFonts w:ascii="Calibri" w:cs="Calibri" w:eastAsia="Calibri" w:hAnsi="Calibri"/>
          <w:b/>
          <w:bCs/>
          <w:sz w:val="21"/>
          <w:szCs w:val="21"/>
        </w:rPr>
        <w:t xml:space="preserve">N</w:t>
      </w:r>
      <w:r>
        <w:rPr>
          <w:rFonts w:ascii="Calibri" w:cs="Calibri" w:eastAsia="Calibri" w:hAnsi="Calibri"/>
          <w:sz w:val="21"/>
          <w:szCs w:val="21"/>
        </w:rPr>
        <w:t xml:space="preserve">: informática (DT-0, DT-5, DT-8, ADM-8), seguridad (DT-6), delegado de protección de datos (DT-1 y ADM-13 en lo relativo a datos) e Intervención (ADM-12). </w:t>
      </w:r>
      <w:r>
        <w:rPr>
          <w:rFonts w:ascii="Calibri" w:cs="Calibri" w:eastAsia="Calibri" w:hAnsi="Calibri"/>
          <w:b/>
          <w:bCs/>
          <w:sz w:val="21"/>
          <w:szCs w:val="21"/>
        </w:rPr>
        <w:t xml:space="preserve">F</w:t>
      </w:r>
      <w:r>
        <w:rPr>
          <w:rFonts w:ascii="Calibri" w:cs="Calibri" w:eastAsia="Calibri" w:hAnsi="Calibri"/>
          <w:sz w:val="21"/>
          <w:szCs w:val="21"/>
        </w:rPr>
        <w:t xml:space="preserve">: gestor (DT-4, ADM-3, ADM-4, ADM-7). </w:t>
      </w:r>
      <w:r>
        <w:rPr>
          <w:rFonts w:ascii="Calibri" w:cs="Calibri" w:eastAsia="Calibri" w:hAnsi="Calibri"/>
          <w:b/>
          <w:bCs/>
          <w:sz w:val="21"/>
          <w:szCs w:val="21"/>
        </w:rPr>
        <w:t xml:space="preserve">I</w:t>
      </w:r>
      <w:r>
        <w:rPr>
          <w:rFonts w:ascii="Calibri" w:cs="Calibri" w:eastAsia="Calibri" w:hAnsi="Calibri"/>
          <w:sz w:val="21"/>
          <w:szCs w:val="21"/>
        </w:rPr>
        <w:t xml:space="preserve">: área impulsora, con remisión al acuerdo (DT-7, DT-9, ADM-1, ADM-2).</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7 · Informe de necesidad (Anexo III): esqueleto</w:t>
      </w:r>
    </w:p>
    <w:p>
      <w:pPr>
        <w:spacing w:after="140" w:line="276"/>
      </w:pPr>
      <w:r>
        <w:rPr>
          <w:rFonts w:ascii="Calibri" w:cs="Calibri" w:eastAsia="Calibri" w:hAnsi="Calibri"/>
          <w:sz w:val="21"/>
          <w:szCs w:val="21"/>
        </w:rPr>
        <w:t xml:space="preserve">Sobre el modelo del Anexo III, antes de la ficha y sabiendo que se publica (arts. 63.3.a) y 116.1 LCSP):</w:t>
      </w:r>
    </w:p>
    <w:p>
      <w:pPr>
        <w:pStyle w:val="ListParagraph"/>
        <w:numPr>
          <w:ilvl w:val="0"/>
          <w:numId w:val="2"/>
        </w:numPr>
        <w:spacing w:after="70" w:line="268"/>
      </w:pPr>
      <w:r>
        <w:rPr>
          <w:rFonts w:ascii="Calibri" w:cs="Calibri" w:eastAsia="Calibri" w:hAnsi="Calibri"/>
          <w:b/>
          <w:bCs/>
          <w:sz w:val="21"/>
          <w:szCs w:val="21"/>
        </w:rPr>
        <w:t xml:space="preserve">Necesidad</w:t>
      </w:r>
      <w:r>
        <w:rPr>
          <w:rFonts w:ascii="Calibri" w:cs="Calibri" w:eastAsia="Calibri" w:hAnsi="Calibri"/>
          <w:sz w:val="21"/>
          <w:szCs w:val="21"/>
        </w:rPr>
        <w:t xml:space="preserve">: qué queda sin soporte y qué deja de poder hacerse, con datos </w:t>
      </w:r>
      <w:r>
        <w:rPr>
          <w:rFonts w:ascii="Calibri" w:cs="Calibri" w:eastAsia="Calibri" w:hAnsi="Calibri"/>
          <w:color w:val="2F5496"/>
          <w:sz w:val="21"/>
          <w:szCs w:val="21"/>
        </w:rPr>
        <w:t xml:space="preserve">[volumen, usuarios, tiempos, incidencias]</w:t>
      </w:r>
      <w:r>
        <w:rPr>
          <w:rFonts w:ascii="Calibri" w:cs="Calibri" w:eastAsia="Calibri" w:hAnsi="Calibri"/>
          <w:sz w:val="21"/>
          <w:szCs w:val="21"/>
        </w:rPr>
        <w:t xml:space="preserve">. «Modernización» es un rótulo, no una necesidad.</w:t>
      </w:r>
    </w:p>
    <w:p>
      <w:pPr>
        <w:pStyle w:val="ListParagraph"/>
        <w:numPr>
          <w:ilvl w:val="0"/>
          <w:numId w:val="2"/>
        </w:numPr>
        <w:spacing w:after="70" w:line="268"/>
      </w:pPr>
      <w:r>
        <w:rPr>
          <w:rFonts w:ascii="Calibri" w:cs="Calibri" w:eastAsia="Calibri" w:hAnsi="Calibri"/>
          <w:b/>
          <w:bCs/>
          <w:sz w:val="21"/>
          <w:szCs w:val="21"/>
        </w:rPr>
        <w:t xml:space="preserve">Idoneidad</w:t>
      </w:r>
      <w:r>
        <w:rPr>
          <w:rFonts w:ascii="Calibri" w:cs="Calibri" w:eastAsia="Calibri" w:hAnsi="Calibri"/>
          <w:sz w:val="21"/>
          <w:szCs w:val="21"/>
        </w:rPr>
        <w:t xml:space="preserve">: por qué a medida y no una solución de mercado o en la nube </w:t>
      </w:r>
      <w:r>
        <w:rPr>
          <w:rFonts w:ascii="Calibri" w:cs="Calibri" w:eastAsia="Calibri" w:hAnsi="Calibri"/>
          <w:color w:val="2F5496"/>
          <w:sz w:val="21"/>
          <w:szCs w:val="21"/>
        </w:rPr>
        <w:t xml:space="preserve">[requisitos que el mercado no cubre]</w:t>
      </w:r>
      <w:r>
        <w:rPr>
          <w:rFonts w:ascii="Calibri" w:cs="Calibri" w:eastAsia="Calibri" w:hAnsi="Calibri"/>
          <w:sz w:val="21"/>
          <w:szCs w:val="21"/>
        </w:rPr>
        <w:t xml:space="preserve">; qué queda fuera </w:t>
      </w:r>
      <w:r>
        <w:rPr>
          <w:rFonts w:ascii="Calibri" w:cs="Calibri" w:eastAsia="Calibri" w:hAnsi="Calibri"/>
          <w:color w:val="2F5496"/>
          <w:sz w:val="21"/>
          <w:szCs w:val="21"/>
        </w:rPr>
        <w:t xml:space="preserve">[mantenimiento, alojamiento, explotación]</w:t>
      </w:r>
      <w:r>
        <w:rPr>
          <w:rFonts w:ascii="Calibri" w:cs="Calibri" w:eastAsia="Calibri" w:hAnsi="Calibri"/>
          <w:sz w:val="21"/>
          <w:szCs w:val="21"/>
        </w:rPr>
        <w:t xml:space="preserve">; producto base de tercero, si lo hay, y por qué el desarrollo sigue siendo lo principal (§2.3).</w:t>
      </w:r>
    </w:p>
    <w:p>
      <w:pPr>
        <w:pStyle w:val="ListParagraph"/>
        <w:numPr>
          <w:ilvl w:val="0"/>
          <w:numId w:val="2"/>
        </w:numPr>
        <w:spacing w:after="70" w:line="268"/>
      </w:pPr>
      <w:r>
        <w:rPr>
          <w:rFonts w:ascii="Calibri" w:cs="Calibri" w:eastAsia="Calibri" w:hAnsi="Calibri"/>
          <w:b/>
          <w:bCs/>
          <w:sz w:val="21"/>
          <w:szCs w:val="21"/>
        </w:rPr>
        <w:t xml:space="preserve">Medios propios y reutilización</w:t>
      </w:r>
      <w:r>
        <w:rPr>
          <w:rFonts w:ascii="Calibri" w:cs="Calibri" w:eastAsia="Calibri" w:hAnsi="Calibri"/>
          <w:sz w:val="21"/>
          <w:szCs w:val="21"/>
        </w:rPr>
        <w:t xml:space="preserve">: insuficiencia de medios (art. 116.4.f) LCSP); consulta al directorio general de aplicaciones (art. 157.3 de la Ley 40/2015) y, si hay solución reutilizable que no se usa, justificación de eficiencia; y que la titularidad adquirida obliga a ceder la aplicación a otras administraciones que la pidan (arts. 157.1 y 158).</w:t>
      </w:r>
    </w:p>
    <w:p>
      <w:pPr>
        <w:pStyle w:val="ListParagraph"/>
        <w:numPr>
          <w:ilvl w:val="0"/>
          <w:numId w:val="2"/>
        </w:numPr>
        <w:spacing w:after="70" w:line="268"/>
      </w:pPr>
      <w:r>
        <w:rPr>
          <w:rFonts w:ascii="Calibri" w:cs="Calibri" w:eastAsia="Calibri" w:hAnsi="Calibri"/>
          <w:b/>
          <w:bCs/>
          <w:sz w:val="21"/>
          <w:szCs w:val="21"/>
        </w:rPr>
        <w:t xml:space="preserve">Origen de cada exigencia</w:t>
      </w:r>
      <w:r>
        <w:rPr>
          <w:rFonts w:ascii="Calibri" w:cs="Calibri" w:eastAsia="Calibri" w:hAnsi="Calibri"/>
          <w:sz w:val="21"/>
          <w:szCs w:val="21"/>
        </w:rPr>
        <w:t xml:space="preserve">: DT-0, DT-5, DT-6, ADM-5, ADM-6 y ADM-8, N; DT-8 y ADM-13, N/F; ADM-4 y ADM-7, F. La proporcionalidad, escrita para </w:t>
      </w:r>
      <w:r>
        <w:rPr>
          <w:rFonts w:ascii="Calibri" w:cs="Calibri" w:eastAsia="Calibri" w:hAnsi="Calibri"/>
          <w:b/>
          <w:bCs/>
          <w:sz w:val="21"/>
          <w:szCs w:val="21"/>
        </w:rPr>
        <w:t xml:space="preserve">este</w:t>
      </w:r>
      <w:r>
        <w:rPr>
          <w:rFonts w:ascii="Calibri" w:cs="Calibri" w:eastAsia="Calibri" w:hAnsi="Calibri"/>
          <w:sz w:val="21"/>
          <w:szCs w:val="21"/>
        </w:rPr>
        <w:t xml:space="preserve"> contrato.</w:t>
      </w:r>
    </w:p>
    <w:p>
      <w:pPr>
        <w:pStyle w:val="ListParagraph"/>
        <w:numPr>
          <w:ilvl w:val="0"/>
          <w:numId w:val="2"/>
        </w:numPr>
        <w:spacing w:after="70" w:line="268"/>
      </w:pPr>
      <w:r>
        <w:rPr>
          <w:rFonts w:ascii="Calibri" w:cs="Calibri" w:eastAsia="Calibri" w:hAnsi="Calibri"/>
          <w:b/>
          <w:bCs/>
          <w:sz w:val="21"/>
          <w:szCs w:val="21"/>
        </w:rPr>
        <w:t xml:space="preserve">(4 bis) Origen institucional</w:t>
      </w:r>
      <w:r>
        <w:rPr>
          <w:rFonts w:ascii="Calibri" w:cs="Calibri" w:eastAsia="Calibri" w:hAnsi="Calibri"/>
          <w:sz w:val="21"/>
          <w:szCs w:val="21"/>
        </w:rPr>
        <w:t xml:space="preserve">, sólo con DT-7, DT-9, ADM-1 o ADM-2: acuerdo con fecha, punto y publicación, y por qué este contrato entra en su ámbito.</w:t>
      </w:r>
    </w:p>
    <w:p>
      <w:pPr>
        <w:pStyle w:val="ListParagraph"/>
        <w:numPr>
          <w:ilvl w:val="0"/>
          <w:numId w:val="2"/>
        </w:numPr>
        <w:spacing w:after="70" w:line="268"/>
      </w:pPr>
      <w:r>
        <w:rPr>
          <w:rFonts w:ascii="Calibri" w:cs="Calibri" w:eastAsia="Calibri" w:hAnsi="Calibri"/>
          <w:b/>
          <w:bCs/>
          <w:sz w:val="21"/>
          <w:szCs w:val="21"/>
        </w:rPr>
        <w:t xml:space="preserve">(5) Otros órganos</w:t>
      </w:r>
      <w:r>
        <w:rPr>
          <w:rFonts w:ascii="Calibri" w:cs="Calibri" w:eastAsia="Calibri" w:hAnsi="Calibri"/>
          <w:sz w:val="21"/>
          <w:szCs w:val="21"/>
        </w:rPr>
        <w:t xml:space="preserve">: seguridad (categoría), protección de datos, informática (titularidad) y, sólo con ADM-12, el informe firmado del control interno; sin documento firmado, se solicita.</w:t>
      </w:r>
    </w:p>
    <w:p>
      <w:pPr>
        <w:pStyle w:val="ListParagraph"/>
        <w:numPr>
          <w:ilvl w:val="0"/>
          <w:numId w:val="2"/>
        </w:numPr>
        <w:spacing w:after="70" w:line="268"/>
      </w:pPr>
      <w:r>
        <w:rPr>
          <w:rFonts w:ascii="Calibri" w:cs="Calibri" w:eastAsia="Calibri" w:hAnsi="Calibri"/>
          <w:b/>
          <w:bCs/>
          <w:sz w:val="21"/>
          <w:szCs w:val="21"/>
        </w:rPr>
        <w:t xml:space="preserve">(6) Corrección frente a evolución</w:t>
      </w:r>
      <w:r>
        <w:rPr>
          <w:rFonts w:ascii="Calibri" w:cs="Calibri" w:eastAsia="Calibri" w:hAnsi="Calibri"/>
          <w:sz w:val="21"/>
          <w:szCs w:val="21"/>
        </w:rPr>
        <w:t xml:space="preserve">: corrección de errores en garantía </w:t>
      </w:r>
      <w:r>
        <w:rPr>
          <w:rFonts w:ascii="Calibri" w:cs="Calibri" w:eastAsia="Calibri" w:hAnsi="Calibri"/>
          <w:color w:val="2F5496"/>
          <w:sz w:val="21"/>
          <w:szCs w:val="21"/>
        </w:rPr>
        <w:t xml:space="preserve">[plazo]</w:t>
      </w:r>
      <w:r>
        <w:rPr>
          <w:rFonts w:ascii="Calibri" w:cs="Calibri" w:eastAsia="Calibri" w:hAnsi="Calibri"/>
          <w:sz w:val="21"/>
          <w:szCs w:val="21"/>
        </w:rPr>
        <w:t xml:space="preserve">; adaptaciones con la bolsa, si la hay; Anexo V, sólo con DT-9. Si no hay las dos últimas, se dice.</w:t>
      </w:r>
    </w:p>
    <w:p>
      <w:pPr>
        <w:pStyle w:val="ListParagraph"/>
        <w:numPr>
          <w:ilvl w:val="0"/>
          <w:numId w:val="2"/>
        </w:numPr>
        <w:spacing w:after="70" w:line="268"/>
      </w:pPr>
      <w:r>
        <w:rPr>
          <w:rFonts w:ascii="Calibri" w:cs="Calibri" w:eastAsia="Calibri" w:hAnsi="Calibri"/>
          <w:b/>
          <w:bCs/>
          <w:sz w:val="21"/>
          <w:szCs w:val="21"/>
        </w:rPr>
        <w:t xml:space="preserve">(7) Coste de no hacerlo</w:t>
      </w:r>
      <w:r>
        <w:rPr>
          <w:rFonts w:ascii="Calibri" w:cs="Calibri" w:eastAsia="Calibri" w:hAnsi="Calibri"/>
          <w:sz w:val="21"/>
          <w:szCs w:val="21"/>
        </w:rPr>
        <w:t xml:space="preserve">: horas manuales que se eliminan y coste de depender del proveedor sin código ni documentación </w:t>
      </w:r>
      <w:r>
        <w:rPr>
          <w:rFonts w:ascii="Calibri" w:cs="Calibri" w:eastAsia="Calibri" w:hAnsi="Calibri"/>
          <w:color w:val="2F5496"/>
          <w:sz w:val="21"/>
          <w:szCs w:val="21"/>
        </w:rPr>
        <w:t xml:space="preserve">[a cumplimentar con datos del expediente]</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(8) Seguridad y datos</w:t>
      </w:r>
      <w:r>
        <w:rPr>
          <w:rFonts w:ascii="Calibri" w:cs="Calibri" w:eastAsia="Calibri" w:hAnsi="Calibri"/>
          <w:sz w:val="21"/>
          <w:szCs w:val="21"/>
        </w:rPr>
        <w:t xml:space="preserve">: categoría ENS por dimensiones; cesión, tratamiento por cuenta y uso de datos reales o sólo ficticios: de ello dependen ADM-6 bloque A, DT-5.5, DT-6.5, DT-8.7 y ADM-13 nivel 1.</w:t>
      </w:r>
    </w:p>
    <w:p>
      <w:pPr>
        <w:pStyle w:val="ListParagraph"/>
        <w:numPr>
          <w:ilvl w:val="0"/>
          <w:numId w:val="2"/>
        </w:numPr>
        <w:spacing w:after="70" w:line="268"/>
      </w:pPr>
      <w:r>
        <w:rPr>
          <w:rFonts w:ascii="Calibri" w:cs="Calibri" w:eastAsia="Calibri" w:hAnsi="Calibri"/>
          <w:b/>
          <w:bCs/>
          <w:sz w:val="21"/>
          <w:szCs w:val="21"/>
        </w:rPr>
        <w:t xml:space="preserve">(9) Valor estimado</w:t>
      </w:r>
      <w:r>
        <w:rPr>
          <w:rFonts w:ascii="Calibri" w:cs="Calibri" w:eastAsia="Calibri" w:hAnsi="Calibri"/>
          <w:sz w:val="21"/>
          <w:szCs w:val="21"/>
        </w:rPr>
        <w:t xml:space="preserve">: presupuesto, prórrogas y bolsa; umbrales (Parte V, §V.4.10); calificación de prestación intelectual con los cuatro indicios del Anexo XXIII, o constancia de que no se califica.</w:t>
      </w:r>
    </w:p>
    <w:p>
      <w:pPr>
        <w:pStyle w:val="ListParagraph"/>
        <w:numPr>
          <w:ilvl w:val="0"/>
          <w:numId w:val="2"/>
        </w:numPr>
        <w:spacing w:after="70" w:line="268"/>
      </w:pPr>
      <w:r>
        <w:rPr>
          <w:rFonts w:ascii="Calibri" w:cs="Calibri" w:eastAsia="Calibri" w:hAnsi="Calibri"/>
          <w:b/>
          <w:bCs/>
          <w:sz w:val="21"/>
          <w:szCs w:val="21"/>
        </w:rPr>
        <w:t xml:space="preserve">(10) Conclusión</w:t>
      </w:r>
      <w:r>
        <w:rPr>
          <w:rFonts w:ascii="Calibri" w:cs="Calibri" w:eastAsia="Calibri" w:hAnsi="Calibri"/>
          <w:sz w:val="21"/>
          <w:szCs w:val="21"/>
        </w:rPr>
        <w:t xml:space="preserve"> y firmas según el origen (§6).</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8 · Carga de verificación del perfil</w:t>
      </w:r>
    </w:p>
    <w:p>
      <w:pPr>
        <w:spacing w:after="140" w:line="276"/>
      </w:pPr>
      <w:r>
        <w:rPr>
          <w:rFonts w:ascii="Calibri" w:cs="Calibri" w:eastAsia="Calibri" w:hAnsi="Calibri"/>
          <w:b/>
          <w:bCs/>
          <w:sz w:val="21"/>
          <w:szCs w:val="21"/>
        </w:rPr>
        <w:t xml:space="preserve">Fuente única: la tabla de ADM-4·v3, epígrafe 5.</w:t>
      </w:r>
      <w:r>
        <w:rPr>
          <w:rFonts w:ascii="Calibri" w:cs="Calibri" w:eastAsia="Calibri" w:hAnsi="Calibri"/>
          <w:sz w:val="21"/>
          <w:szCs w:val="21"/>
        </w:rPr>
        <w:t xml:space="preserve"> Se toman sus filas, con su numeración, y se quitan las de las cláusulas NO APLICA o condicionadas; si algo divergiera, prevalece aquella tabla. Son estimaciones del catálogo, no mediciones.</w:t>
      </w:r>
    </w:p>
    <w:p>
      <w:pPr>
        <w:pStyle w:val="Heading2"/>
        <w:keepNext/>
        <w:spacing w:after="140" w:before="320"/>
      </w:pPr>
      <w:r>
        <w:rPr>
          <w:rFonts w:ascii="Georgia" w:cs="Georgia" w:eastAsia="Georgia" w:hAnsi="Georgia"/>
          <w:b/>
          <w:bCs/>
          <w:color w:val="1F3864"/>
          <w:sz w:val="26"/>
          <w:szCs w:val="26"/>
        </w:rPr>
        <w:t xml:space="preserve">8.1 Lo que entra siempre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verifica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Integración y exportación (DT-5)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Seguridad y continuidad (DT-6)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Inventario y ensayo (DT-8)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2 sesiones de 6 h (ADM-4.2)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(ADM-4.3)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de IA (ADM-13)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42–50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55–67</w:t>
            </w:r>
          </w:p>
        </w:tc>
      </w:tr>
    </w:tbl>
    <w:p>
      <w:pPr>
        <w:spacing w:after="200"/>
      </w:pPr>
    </w:p>
    <w:p>
      <w:pPr>
        <w:spacing w:after="140" w:line="276"/>
      </w:pPr>
      <w:r>
        <w:rPr>
          <w:rFonts w:ascii="Calibri" w:cs="Calibri" w:eastAsia="Calibri" w:hAnsi="Calibri"/>
          <w:sz w:val="21"/>
          <w:szCs w:val="21"/>
        </w:rPr>
        <w:t xml:space="preserve">Ordinario: 4 + 10 + 8 + 12 + 6 + 2 = 42, y 4 + 14 + 12 + 12 + 6 + 2 = 50. Primer año: 12 + 10 + 12 + 12 + 6 + 3 = 55, y 12 + 14 + 20 + 12 + 6 + 3 = 67. DT-0, ADM-6 y ADM-8 se verifican al aprobar el pliego; las 2 h/año de cotejo del Inventario de ADM-8·v3, epígrafe 5, ya están en B6 (VI.4.8). Supuestos que se ajustan: B3 del primer año cuenta cuatro integraciones (DT-5·v3, epígrafe 5) y B6, un ensayo de 8 a 16 h el primer año y, en régimen ordinario, la mitad de uno, a uno cada 24 meses (DT-8·v3, apartado 3 y epígrafe 5).</w:t>
      </w:r>
    </w:p>
    <w:p>
      <w:pPr>
        <w:pStyle w:val="Heading2"/>
        <w:keepNext/>
        <w:spacing w:after="140" w:before="320"/>
      </w:pPr>
      <w:r>
        <w:rPr>
          <w:rFonts w:ascii="Georgia" w:cs="Georgia" w:eastAsia="Georgia" w:hAnsi="Georgia"/>
          <w:b/>
          <w:bCs/>
          <w:color w:val="1F3864"/>
          <w:sz w:val="26"/>
          <w:szCs w:val="26"/>
        </w:rPr>
        <w:t xml:space="preserve">8.2 Variantes y añadidos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Variante o cláusula condicionada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Filas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sesión anual de la Comisión (Anexo X, fila 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 =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36–44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49–61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trimestral el primer año (fila 23; §M4.2)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 año 1 = 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42–50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67–79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Menos de [12] meses: sin Comisión, informe único (ADM-4, epígrafe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 = 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43–55, con la reversión ese mismo 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DT-1 y ADM-1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 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+15,5–23,5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+20,5–32,5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DT-7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DT-9 con ADM-2 y ADM-10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 + C4 + C5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+39–51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DT-4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bolsa, [20] peticiones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C6 + C7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ADM-12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DT-1, apartados 11 a 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nota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(+7 en nivel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 (+16–20 en nivel C)</w:t>
            </w:r>
          </w:p>
        </w:tc>
      </w:tr>
    </w:tbl>
    <w:p>
      <w:pPr>
        <w:spacing w:after="200"/>
      </w:pPr>
    </w:p>
    <w:p>
      <w:pPr>
        <w:spacing w:after="140" w:line="276"/>
      </w:pPr>
      <w:r>
        <w:rPr>
          <w:rFonts w:ascii="Calibri" w:cs="Calibri" w:eastAsia="Calibri" w:hAnsi="Calibri"/>
          <w:sz w:val="21"/>
          <w:szCs w:val="21"/>
        </w:rPr>
        <w:t xml:space="preserve">Con todas las condicionadas salvo la nota de B1: 42 + 15,5 + 4 + 15 + 20 + 23 + 2 = </w:t>
      </w:r>
      <w:r>
        <w:rPr>
          <w:rFonts w:ascii="Calibri" w:cs="Calibri" w:eastAsia="Calibri" w:hAnsi="Calibri"/>
          <w:b/>
          <w:bCs/>
          <w:sz w:val="21"/>
          <w:szCs w:val="21"/>
        </w:rPr>
        <w:t xml:space="preserve">121,5</w:t>
      </w:r>
      <w:r>
        <w:rPr>
          <w:rFonts w:ascii="Calibri" w:cs="Calibri" w:eastAsia="Calibri" w:hAnsi="Calibri"/>
          <w:sz w:val="21"/>
          <w:szCs w:val="21"/>
        </w:rPr>
        <w:t xml:space="preserve"> y 50 + 23,5 + 4 + 15 + 20 + 23 + 2 = </w:t>
      </w:r>
      <w:r>
        <w:rPr>
          <w:rFonts w:ascii="Calibri" w:cs="Calibri" w:eastAsia="Calibri" w:hAnsi="Calibri"/>
          <w:b/>
          <w:bCs/>
          <w:sz w:val="21"/>
          <w:szCs w:val="21"/>
        </w:rPr>
        <w:t xml:space="preserve">137,5</w:t>
      </w:r>
      <w:r>
        <w:rPr>
          <w:rFonts w:ascii="Calibri" w:cs="Calibri" w:eastAsia="Calibri" w:hAnsi="Calibri"/>
          <w:sz w:val="21"/>
          <w:szCs w:val="21"/>
        </w:rPr>
        <w:t xml:space="preserve"> h/año; primer año, 55 + 20,5 + 12 + 39 + 26 + 23 + 2 = </w:t>
      </w:r>
      <w:r>
        <w:rPr>
          <w:rFonts w:ascii="Calibri" w:cs="Calibri" w:eastAsia="Calibri" w:hAnsi="Calibri"/>
          <w:b/>
          <w:bCs/>
          <w:sz w:val="21"/>
          <w:szCs w:val="21"/>
        </w:rPr>
        <w:t xml:space="preserve">177,5</w:t>
      </w:r>
      <w:r>
        <w:rPr>
          <w:rFonts w:ascii="Calibri" w:cs="Calibri" w:eastAsia="Calibri" w:hAnsi="Calibri"/>
          <w:sz w:val="21"/>
          <w:szCs w:val="21"/>
        </w:rPr>
        <w:t xml:space="preserve"> y 67 + 32,5 + 16 + 51 + 26 + 23 + 2 = </w:t>
      </w:r>
      <w:r>
        <w:rPr>
          <w:rFonts w:ascii="Calibri" w:cs="Calibri" w:eastAsia="Calibri" w:hAnsi="Calibri"/>
          <w:b/>
          <w:bCs/>
          <w:sz w:val="21"/>
          <w:szCs w:val="21"/>
        </w:rPr>
        <w:t xml:space="preserve">217,5</w:t>
      </w:r>
      <w:r>
        <w:rPr>
          <w:rFonts w:ascii="Calibri" w:cs="Calibri" w:eastAsia="Calibri" w:hAnsi="Calibri"/>
          <w:sz w:val="21"/>
          <w:szCs w:val="21"/>
        </w:rPr>
        <w:t xml:space="preserve">. Con la nota de B1 en nivel C, </w:t>
      </w:r>
      <w:r>
        <w:rPr>
          <w:rFonts w:ascii="Calibri" w:cs="Calibri" w:eastAsia="Calibri" w:hAnsi="Calibri"/>
          <w:b/>
          <w:bCs/>
          <w:sz w:val="21"/>
          <w:szCs w:val="21"/>
        </w:rPr>
        <w:t xml:space="preserve">128,5–144,5 h/año</w:t>
      </w:r>
      <w:r>
        <w:rPr>
          <w:rFonts w:ascii="Calibri" w:cs="Calibri" w:eastAsia="Calibri" w:hAnsi="Calibri"/>
          <w:sz w:val="21"/>
          <w:szCs w:val="21"/>
        </w:rPr>
        <w:t xml:space="preserve"> y </w:t>
      </w:r>
      <w:r>
        <w:rPr>
          <w:rFonts w:ascii="Calibri" w:cs="Calibri" w:eastAsia="Calibri" w:hAnsi="Calibri"/>
          <w:b/>
          <w:bCs/>
          <w:sz w:val="21"/>
          <w:szCs w:val="21"/>
        </w:rPr>
        <w:t xml:space="preserve">193,5–237,5 h</w:t>
      </w:r>
      <w:r>
        <w:rPr>
          <w:rFonts w:ascii="Calibri" w:cs="Calibri" w:eastAsia="Calibri" w:hAnsi="Calibri"/>
          <w:sz w:val="21"/>
          <w:szCs w:val="21"/>
        </w:rPr>
        <w:t xml:space="preserve"> el primer año: son las cifras de VI.4.8, como debe ser, porque todo dentro es el catálogo menos el depósito (C8).</w:t>
      </w:r>
    </w:p>
    <w:p>
      <w:pPr>
        <w:pStyle w:val="Heading2"/>
        <w:keepNext/>
        <w:spacing w:after="140" w:before="320"/>
      </w:pPr>
      <w:r>
        <w:rPr>
          <w:rFonts w:ascii="Georgia" w:cs="Georgia" w:eastAsia="Georgia" w:hAnsi="Georgia"/>
          <w:b/>
          <w:bCs/>
          <w:color w:val="1F3864"/>
          <w:sz w:val="26"/>
          <w:szCs w:val="26"/>
        </w:rPr>
        <w:t xml:space="preserve">8.3 Fuera del cómputo anual</w:t>
      </w:r>
    </w:p>
    <w:p>
      <w:pPr>
        <w:spacing w:after="140" w:line="276"/>
      </w:pPr>
      <w:r>
        <w:rPr>
          <w:rFonts w:ascii="Calibri" w:cs="Calibri" w:eastAsia="Calibri" w:hAnsi="Calibri"/>
          <w:sz w:val="21"/>
          <w:szCs w:val="21"/>
        </w:rPr>
        <w:t xml:space="preserve">Licitación: A1 (DT-0) </w:t>
      </w:r>
      <w:r>
        <w:rPr>
          <w:rFonts w:ascii="Calibri" w:cs="Calibri" w:eastAsia="Calibri" w:hAnsi="Calibri"/>
          <w:b/>
          <w:bCs/>
          <w:sz w:val="21"/>
          <w:szCs w:val="21"/>
        </w:rPr>
        <w:t xml:space="preserve">6–18 h</w:t>
      </w:r>
      <w:r>
        <w:rPr>
          <w:rFonts w:ascii="Calibri" w:cs="Calibri" w:eastAsia="Calibri" w:hAnsi="Calibri"/>
          <w:sz w:val="21"/>
          <w:szCs w:val="21"/>
        </w:rPr>
        <w:t xml:space="preserve"> + A2 (ADM-7) </w:t>
      </w:r>
      <w:r>
        <w:rPr>
          <w:rFonts w:ascii="Calibri" w:cs="Calibri" w:eastAsia="Calibri" w:hAnsi="Calibri"/>
          <w:b/>
          <w:bCs/>
          <w:sz w:val="21"/>
          <w:szCs w:val="21"/>
        </w:rPr>
        <w:t xml:space="preserve">3–6 h</w:t>
      </w:r>
      <w:r>
        <w:rPr>
          <w:rFonts w:ascii="Calibri" w:cs="Calibri" w:eastAsia="Calibri" w:hAnsi="Calibri"/>
          <w:sz w:val="21"/>
          <w:szCs w:val="21"/>
        </w:rPr>
        <w:t xml:space="preserve"> + A3 (ADM-9, NO APLICA) </w:t>
      </w:r>
      <w:r>
        <w:rPr>
          <w:rFonts w:ascii="Calibri" w:cs="Calibri" w:eastAsia="Calibri" w:hAnsi="Calibri"/>
          <w:b/>
          <w:bCs/>
          <w:sz w:val="21"/>
          <w:szCs w:val="21"/>
        </w:rPr>
        <w:t xml:space="preserve">0</w:t>
      </w:r>
      <w:r>
        <w:rPr>
          <w:rFonts w:ascii="Calibri" w:cs="Calibri" w:eastAsia="Calibri" w:hAnsi="Calibri"/>
          <w:sz w:val="21"/>
          <w:szCs w:val="21"/>
        </w:rPr>
        <w:t xml:space="preserve"> = </w:t>
      </w:r>
      <w:r>
        <w:rPr>
          <w:rFonts w:ascii="Calibri" w:cs="Calibri" w:eastAsia="Calibri" w:hAnsi="Calibri"/>
          <w:b/>
          <w:bCs/>
          <w:sz w:val="21"/>
          <w:szCs w:val="21"/>
        </w:rPr>
        <w:t xml:space="preserve">9–24 h</w:t>
      </w:r>
      <w:r>
        <w:rPr>
          <w:rFonts w:ascii="Calibri" w:cs="Calibri" w:eastAsia="Calibri" w:hAnsi="Calibri"/>
          <w:sz w:val="21"/>
          <w:szCs w:val="21"/>
        </w:rPr>
        <w:t xml:space="preserve">, más 4 a 8 h por licitador si hay comité de expertos (ADM-7·v3, epígrafe 5). Preparación: ≈ 21,5 h la primera vez y ≈ 10 h después (Parte V, §V.9). No recurrentes: 20–30 h de reversión, 6 h por penalidad, 25–40 h por resolución (ADM-4·v3, epígrafe 5).</w:t>
      </w:r>
    </w:p>
    <w:p>
      <w:pPr>
        <w:pStyle w:val="Heading2"/>
        <w:keepNext/>
        <w:spacing w:after="140" w:before="320"/>
      </w:pPr>
      <w:r>
        <w:rPr>
          <w:rFonts w:ascii="Georgia" w:cs="Georgia" w:eastAsia="Georgia" w:hAnsi="Georgia"/>
          <w:b/>
          <w:bCs/>
          <w:color w:val="1F3864"/>
          <w:sz w:val="26"/>
          <w:szCs w:val="26"/>
        </w:rPr>
        <w:t xml:space="preserve">8.4 Frente a los umbrales del §7.9.2</w:t>
      </w:r>
    </w:p>
    <w:p>
      <w:pPr>
        <w:spacing w:after="140" w:line="276"/>
      </w:pPr>
      <w:r>
        <w:rPr>
          <w:rFonts w:ascii="Calibri" w:cs="Calibri" w:eastAsia="Calibri" w:hAnsi="Calibri"/>
          <w:b/>
          <w:bCs/>
          <w:sz w:val="21"/>
          <w:szCs w:val="21"/>
        </w:rPr>
        <w:t xml:space="preserve">Frente al §7.9.2 de la Parte I.</w:t>
      </w:r>
      <w:r>
        <w:rPr>
          <w:rFonts w:ascii="Calibri" w:cs="Calibri" w:eastAsia="Calibri" w:hAnsi="Calibri"/>
          <w:sz w:val="21"/>
          <w:szCs w:val="21"/>
        </w:rPr>
        <w:t xml:space="preserve"> Si la carga anual estimada de verificación </w:t>
      </w:r>
      <w:r>
        <w:rPr>
          <w:rFonts w:ascii="Calibri" w:cs="Calibri" w:eastAsia="Calibri" w:hAnsi="Calibri"/>
          <w:b/>
          <w:bCs/>
          <w:sz w:val="21"/>
          <w:szCs w:val="21"/>
        </w:rPr>
        <w:t xml:space="preserve">supera [20] horas</w:t>
      </w:r>
      <w:r>
        <w:rPr>
          <w:rFonts w:ascii="Calibri" w:cs="Calibri" w:eastAsia="Calibri" w:hAnsi="Calibri"/>
          <w:sz w:val="21"/>
          <w:szCs w:val="21"/>
        </w:rPr>
        <w:t xml:space="preserve">, se reduce el número de cláusulas incorporadas o se agrupa la verificación en la Comisión de Seguimiento; si </w:t>
      </w:r>
      <w:r>
        <w:rPr>
          <w:rFonts w:ascii="Calibri" w:cs="Calibri" w:eastAsia="Calibri" w:hAnsi="Calibri"/>
          <w:b/>
          <w:bCs/>
          <w:sz w:val="21"/>
          <w:szCs w:val="21"/>
        </w:rPr>
        <w:t xml:space="preserve">supera [40] horas</w:t>
      </w:r>
      <w:r>
        <w:rPr>
          <w:rFonts w:ascii="Calibri" w:cs="Calibri" w:eastAsia="Calibri" w:hAnsi="Calibri"/>
          <w:sz w:val="21"/>
          <w:szCs w:val="21"/>
        </w:rPr>
        <w:t xml:space="preserve">, la incorporación requiere la </w:t>
      </w:r>
      <w:r>
        <w:rPr>
          <w:rFonts w:ascii="Calibri" w:cs="Calibri" w:eastAsia="Calibri" w:hAnsi="Calibri"/>
          <w:b/>
          <w:bCs/>
          <w:sz w:val="21"/>
          <w:szCs w:val="21"/>
        </w:rPr>
        <w:t xml:space="preserve">conformidad expresa del servicio verificador</w:t>
      </w:r>
      <w:r>
        <w:rPr>
          <w:rFonts w:ascii="Calibri" w:cs="Calibri" w:eastAsia="Calibri" w:hAnsi="Calibri"/>
          <w:sz w:val="21"/>
          <w:szCs w:val="21"/>
        </w:rPr>
        <w:t xml:space="preserve">, firmada por su jefe, que es documento propio del expediente (paso A-6 de V.2.1). Es «supera», no «a partir de»: 40 horas exactas no la exigen. ADM-4·v3, epígrafe 5, compara con los umbrales también la carga del primer año, y todo contrato tiene su primer año: cuando ésta supera [40] horas, la conformidad se recaba. Como la carga se estima en horquilla, este documento recomienda, además, recabarla en cuanto el extremo superior pase de [40] horas y firmarla sobre la horquilla entera. Si la plantilla no la cubre, se incorporan menos cláusulas; no se escriben para dejarlas sin verificar (ADM-4·v3, epígrafe 5, regla de cierre). </w:t>
      </w:r>
      <w:r>
        <w:rPr>
          <w:rFonts w:ascii="Calibri" w:cs="Calibri" w:eastAsia="Calibri" w:hAnsi="Calibri"/>
          <w:b/>
          <w:bCs/>
          <w:sz w:val="21"/>
          <w:szCs w:val="21"/>
        </w:rPr>
        <w:t xml:space="preserve">En este perfil</w:t>
      </w:r>
      <w:r>
        <w:rPr>
          <w:rFonts w:ascii="Calibri" w:cs="Calibri" w:eastAsia="Calibri" w:hAnsi="Calibri"/>
          <w:sz w:val="21"/>
          <w:szCs w:val="21"/>
        </w:rPr>
        <w:t xml:space="preserve">, lo que entra siempre va de 42 a 50 h/año y de 55 a 67 el primer año (§8.1): supera [40] horas en toda la horquilla, en régimen ordinario y el primer año, y la conformidad la exige la regla en los dos. Palancas del catálogo: menos sesiones de la Comisión (C1), o ninguna en contratos cortos o pequeños, y no incorporar el ensayo de reversibilidad si no hay horas para presenciarlo, diciéndolo en la ficha (DT-8·v3, epígrafe 5). Esta última tiene precio: el ensayo «es lo único que distingue una reversibilidad real de una reversibilidad declarada» (mismo epígrafe).</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9 · Lista de comprobación antes de aprobar el pliego</w:t>
      </w:r>
    </w:p>
    <w:p>
      <w:pPr>
        <w:pStyle w:val="ListParagraph"/>
        <w:numPr>
          <w:ilvl w:val="0"/>
          <w:numId w:val="2"/>
        </w:numPr>
        <w:spacing w:after="70" w:line="268"/>
      </w:pPr>
      <w:r>
        <w:rPr>
          <w:rFonts w:ascii="Calibri" w:cs="Calibri" w:eastAsia="Calibri" w:hAnsi="Calibri"/>
          <w:sz w:val="21"/>
          <w:szCs w:val="21"/>
        </w:rPr>
        <w:t xml:space="preserve">☐ Condiciones suspensivas de la Parte IV, §M11, filas 1 a 3, cumplidas para la entidad; si no, ninguna cláusula entra como cláusula del catálogo ni se justifica por remisión a él, y lo institucional tiene una vía del §M1.2 bis o se pospone.</w:t>
      </w:r>
    </w:p>
    <w:p>
      <w:pPr>
        <w:pStyle w:val="ListParagraph"/>
        <w:numPr>
          <w:ilvl w:val="0"/>
          <w:numId w:val="2"/>
        </w:numPr>
        <w:spacing w:after="70" w:line="268"/>
      </w:pPr>
      <w:r>
        <w:rPr>
          <w:rFonts w:ascii="Calibri" w:cs="Calibri" w:eastAsia="Calibri" w:hAnsi="Calibri"/>
          <w:sz w:val="21"/>
          <w:szCs w:val="21"/>
        </w:rPr>
        <w:t xml:space="preserve">☐ </w:t>
      </w:r>
      <w:r>
        <w:rPr>
          <w:rFonts w:ascii="Calibri" w:cs="Calibri" w:eastAsia="Calibri" w:hAnsi="Calibri"/>
          <w:b/>
          <w:bCs/>
          <w:sz w:val="21"/>
          <w:szCs w:val="21"/>
        </w:rPr>
        <w:t xml:space="preserve">Perfil</w:t>
      </w:r>
      <w:r>
        <w:rPr>
          <w:rFonts w:ascii="Calibri" w:cs="Calibri" w:eastAsia="Calibri" w:hAnsi="Calibri"/>
          <w:sz w:val="21"/>
          <w:szCs w:val="21"/>
        </w:rPr>
        <w:t xml:space="preserve">: servicio de desarrollo a medida; producto base y terceros identificados; prestación principal motivada si hay mantenimiento.</w:t>
      </w:r>
    </w:p>
    <w:p>
      <w:pPr>
        <w:pStyle w:val="ListParagraph"/>
        <w:numPr>
          <w:ilvl w:val="0"/>
          <w:numId w:val="2"/>
        </w:numPr>
        <w:spacing w:after="70" w:line="268"/>
      </w:pPr>
      <w:r>
        <w:rPr>
          <w:rFonts w:ascii="Calibri" w:cs="Calibri" w:eastAsia="Calibri" w:hAnsi="Calibri"/>
          <w:sz w:val="21"/>
          <w:szCs w:val="21"/>
        </w:rPr>
        <w:t xml:space="preserve">☐ </w:t>
      </w:r>
      <w:r>
        <w:rPr>
          <w:rFonts w:ascii="Calibri" w:cs="Calibri" w:eastAsia="Calibri" w:hAnsi="Calibri"/>
          <w:b/>
          <w:bCs/>
          <w:sz w:val="21"/>
          <w:szCs w:val="21"/>
        </w:rPr>
        <w:t xml:space="preserve">Necesidad antes que ficha</w:t>
      </w:r>
      <w:r>
        <w:rPr>
          <w:rFonts w:ascii="Calibri" w:cs="Calibri" w:eastAsia="Calibri" w:hAnsi="Calibri"/>
          <w:sz w:val="21"/>
          <w:szCs w:val="21"/>
        </w:rPr>
        <w:t xml:space="preserve">: informe con consulta al directorio y medios propios; ficha con seis casillas y firma de cada origen.</w:t>
      </w:r>
    </w:p>
    <w:p>
      <w:pPr>
        <w:pStyle w:val="ListParagraph"/>
        <w:numPr>
          <w:ilvl w:val="0"/>
          <w:numId w:val="2"/>
        </w:numPr>
        <w:spacing w:after="70" w:line="268"/>
      </w:pPr>
      <w:r>
        <w:rPr>
          <w:rFonts w:ascii="Calibri" w:cs="Calibri" w:eastAsia="Calibri" w:hAnsi="Calibri"/>
          <w:sz w:val="21"/>
          <w:szCs w:val="21"/>
        </w:rPr>
        <w:t xml:space="preserve">☐ </w:t>
      </w:r>
      <w:r>
        <w:rPr>
          <w:rFonts w:ascii="Calibri" w:cs="Calibri" w:eastAsia="Calibri" w:hAnsi="Calibri"/>
          <w:b/>
          <w:bCs/>
          <w:sz w:val="21"/>
          <w:szCs w:val="21"/>
        </w:rPr>
        <w:t xml:space="preserve">Seguridad y datos</w:t>
      </w:r>
      <w:r>
        <w:rPr>
          <w:rFonts w:ascii="Calibri" w:cs="Calibri" w:eastAsia="Calibri" w:hAnsi="Calibri"/>
          <w:sz w:val="21"/>
          <w:szCs w:val="21"/>
        </w:rPr>
        <w:t xml:space="preserve">: categoría ENS motivada antes de aprobar; cesión y tratamiento declarados, coherentes con ADM-6 bloque A, DT-5.5, DT-6.5, DT-8.7 y ADM-13 nivel 1.</w:t>
      </w:r>
    </w:p>
    <w:p>
      <w:pPr>
        <w:pStyle w:val="ListParagraph"/>
        <w:numPr>
          <w:ilvl w:val="0"/>
          <w:numId w:val="2"/>
        </w:numPr>
        <w:spacing w:after="70" w:line="268"/>
      </w:pPr>
      <w:r>
        <w:rPr>
          <w:rFonts w:ascii="Calibri" w:cs="Calibri" w:eastAsia="Calibri" w:hAnsi="Calibri"/>
          <w:sz w:val="21"/>
          <w:szCs w:val="21"/>
        </w:rPr>
        <w:t xml:space="preserve">☐ </w:t>
      </w:r>
      <w:r>
        <w:rPr>
          <w:rFonts w:ascii="Calibri" w:cs="Calibri" w:eastAsia="Calibri" w:hAnsi="Calibri"/>
          <w:b/>
          <w:bCs/>
          <w:sz w:val="21"/>
          <w:szCs w:val="21"/>
        </w:rPr>
        <w:t xml:space="preserve">Titularidad y entrega</w:t>
      </w:r>
      <w:r>
        <w:rPr>
          <w:rFonts w:ascii="Calibri" w:cs="Calibri" w:eastAsia="Calibri" w:hAnsi="Calibri"/>
          <w:sz w:val="21"/>
          <w:szCs w:val="21"/>
        </w:rPr>
        <w:t xml:space="preserve">: ADM-8 entera; cesión y licencia mínima en el cuadro; ensayo de DT-8 con compilación y despliegue del código; entregables de código por hito en el PPT sólo si se adopta la recomendación del §4.2, que el catálogo no exige; Inventario a los [30] días.</w:t>
      </w:r>
    </w:p>
    <w:p>
      <w:pPr>
        <w:pStyle w:val="ListParagraph"/>
        <w:numPr>
          <w:ilvl w:val="0"/>
          <w:numId w:val="2"/>
        </w:numPr>
        <w:spacing w:after="70" w:line="268"/>
      </w:pPr>
      <w:r>
        <w:rPr>
          <w:rFonts w:ascii="Calibri" w:cs="Calibri" w:eastAsia="Calibri" w:hAnsi="Calibri"/>
          <w:sz w:val="21"/>
          <w:szCs w:val="21"/>
        </w:rPr>
        <w:t xml:space="preserve">☐ </w:t>
      </w:r>
      <w:r>
        <w:rPr>
          <w:rFonts w:ascii="Calibri" w:cs="Calibri" w:eastAsia="Calibri" w:hAnsi="Calibri"/>
          <w:b/>
          <w:bCs/>
          <w:sz w:val="21"/>
          <w:szCs w:val="21"/>
        </w:rPr>
        <w:t xml:space="preserve">DT-8 en el PCAP</w:t>
      </w:r>
      <w:r>
        <w:rPr>
          <w:rFonts w:ascii="Calibri" w:cs="Calibri" w:eastAsia="Calibri" w:hAnsi="Calibri"/>
          <w:sz w:val="21"/>
          <w:szCs w:val="21"/>
        </w:rPr>
        <w:t xml:space="preserve">: ejecución con reversión, licencia en el presupuesto si se conserva, misma garantía en los dos pliegos.</w:t>
      </w:r>
    </w:p>
    <w:p>
      <w:pPr>
        <w:pStyle w:val="ListParagraph"/>
        <w:numPr>
          <w:ilvl w:val="0"/>
          <w:numId w:val="2"/>
        </w:numPr>
        <w:spacing w:after="70" w:line="268"/>
      </w:pPr>
      <w:r>
        <w:rPr>
          <w:rFonts w:ascii="Calibri" w:cs="Calibri" w:eastAsia="Calibri" w:hAnsi="Calibri"/>
          <w:sz w:val="21"/>
          <w:szCs w:val="21"/>
        </w:rPr>
        <w:t xml:space="preserve">☐ </w:t>
      </w:r>
      <w:r>
        <w:rPr>
          <w:rFonts w:ascii="Calibri" w:cs="Calibri" w:eastAsia="Calibri" w:hAnsi="Calibri"/>
          <w:b/>
          <w:bCs/>
          <w:sz w:val="21"/>
          <w:szCs w:val="21"/>
        </w:rPr>
        <w:t xml:space="preserve">Depuración</w:t>
      </w:r>
      <w:r>
        <w:rPr>
          <w:rFonts w:ascii="Calibri" w:cs="Calibri" w:eastAsia="Calibri" w:hAnsi="Calibri"/>
          <w:sz w:val="21"/>
          <w:szCs w:val="21"/>
        </w:rPr>
        <w:t xml:space="preserve"> con el Anexo VI: tipos de ADM-5, letras de ADM-6, criterios, Anexo VII, remisiones (también ADM-8.8 a DT-1.7) y apéndices «No procede» sin renumerar.</w:t>
      </w:r>
    </w:p>
    <w:p>
      <w:pPr>
        <w:pStyle w:val="ListParagraph"/>
        <w:numPr>
          <w:ilvl w:val="0"/>
          <w:numId w:val="2"/>
        </w:numPr>
        <w:spacing w:after="70" w:line="268"/>
      </w:pPr>
      <w:r>
        <w:rPr>
          <w:rFonts w:ascii="Calibri" w:cs="Calibri" w:eastAsia="Calibri" w:hAnsi="Calibri"/>
          <w:sz w:val="21"/>
          <w:szCs w:val="21"/>
        </w:rPr>
        <w:t xml:space="preserve">☐ </w:t>
      </w:r>
      <w:r>
        <w:rPr>
          <w:rFonts w:ascii="Calibri" w:cs="Calibri" w:eastAsia="Calibri" w:hAnsi="Calibri"/>
          <w:b/>
          <w:bCs/>
          <w:sz w:val="21"/>
          <w:szCs w:val="21"/>
        </w:rPr>
        <w:t xml:space="preserve">Baremo</w:t>
      </w:r>
      <w:r>
        <w:rPr>
          <w:rFonts w:ascii="Calibri" w:cs="Calibri" w:eastAsia="Calibri" w:hAnsi="Calibri"/>
          <w:sz w:val="21"/>
          <w:szCs w:val="21"/>
        </w:rPr>
        <w:t xml:space="preserve"> recompuesto antes del anuncio, con Anexo IV y hoja ADM-7.5; ninguna obligación del PPT ni condición especial puntuada —con E, ADM-1·v3 B sin sus letras b) y c)—; una sola calificación del carácter intelectual.</w:t>
      </w:r>
    </w:p>
    <w:p>
      <w:pPr>
        <w:pStyle w:val="ListParagraph"/>
        <w:numPr>
          <w:ilvl w:val="0"/>
          <w:numId w:val="2"/>
        </w:numPr>
        <w:spacing w:after="70" w:line="268"/>
      </w:pPr>
      <w:r>
        <w:rPr>
          <w:rFonts w:ascii="Calibri" w:cs="Calibri" w:eastAsia="Calibri" w:hAnsi="Calibri"/>
          <w:sz w:val="21"/>
          <w:szCs w:val="21"/>
        </w:rPr>
        <w:t xml:space="preserve">☐ </w:t>
      </w:r>
      <w:r>
        <w:rPr>
          <w:rFonts w:ascii="Calibri" w:cs="Calibri" w:eastAsia="Calibri" w:hAnsi="Calibri"/>
          <w:b/>
          <w:bCs/>
          <w:sz w:val="21"/>
          <w:szCs w:val="21"/>
        </w:rPr>
        <w:t xml:space="preserve">Transcripciones y anuncio</w:t>
      </w:r>
      <w:r>
        <w:rPr>
          <w:rFonts w:ascii="Calibri" w:cs="Calibri" w:eastAsia="Calibri" w:hAnsi="Calibri"/>
          <w:sz w:val="21"/>
          <w:szCs w:val="21"/>
        </w:rPr>
        <w:t xml:space="preserve">: §7.10, §5.2 y Apéndice técnico 3 si hay DT-1; política de IA generativa aprobada y anexada; todas las condiciones especiales en el anuncio.</w:t>
      </w:r>
    </w:p>
    <w:p>
      <w:pPr>
        <w:pStyle w:val="ListParagraph"/>
        <w:numPr>
          <w:ilvl w:val="0"/>
          <w:numId w:val="2"/>
        </w:numPr>
        <w:spacing w:after="70" w:line="268"/>
      </w:pPr>
      <w:r>
        <w:rPr>
          <w:rFonts w:ascii="Calibri" w:cs="Calibri" w:eastAsia="Calibri" w:hAnsi="Calibri"/>
          <w:sz w:val="21"/>
          <w:szCs w:val="21"/>
        </w:rPr>
        <w:t xml:space="preserve">☐ </w:t>
      </w:r>
      <w:r>
        <w:rPr>
          <w:rFonts w:ascii="Calibri" w:cs="Calibri" w:eastAsia="Calibri" w:hAnsi="Calibri"/>
          <w:b/>
          <w:bCs/>
          <w:sz w:val="21"/>
          <w:szCs w:val="21"/>
        </w:rPr>
        <w:t xml:space="preserve">Verificación</w:t>
      </w:r>
      <w:r>
        <w:rPr>
          <w:rFonts w:ascii="Calibri" w:cs="Calibri" w:eastAsia="Calibri" w:hAnsi="Calibri"/>
          <w:sz w:val="21"/>
          <w:szCs w:val="21"/>
        </w:rPr>
        <w:t xml:space="preserve">: actor y periodicidad por cláusula; carga con la horquilla completa y conformidad expresa del servicio verificador si la carga anual estimada supera [40] horas, también la del primer año (§7.9.2; ADM-4·v3, epígrafe 5); valor estimado con prórrogas y bolsa.</w:t>
      </w:r>
    </w:p>
    <w:p>
      <w:pPr>
        <w:pBdr>
          <w:bottom w:val="single" w:color="D0D0D0" w:sz="6"/>
        </w:pBdr>
        <w:spacing w:after="200" w:before="120"/>
      </w:pPr>
    </w:p>
    <w:p>
      <w:pPr>
        <w:spacing w:after="140" w:line="276"/>
      </w:pPr>
      <w:r>
        <w:rPr>
          <w:rFonts w:ascii="Calibri" w:cs="Calibri" w:eastAsia="Calibri" w:hAnsi="Calibri"/>
          <w:i/>
          <w:iCs/>
          <w:sz w:val="21"/>
          <w:szCs w:val="21"/>
        </w:rPr>
        <w:t xml:space="preserve">Citas comprobadas sobre el texto ensamblado del catálogo y sus partes a 15 de octubre de 2026.</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spacing w:after="200"/>
      <w:jc w:val="right"/>
    </w:pPr>
    <w:r>
      <w:rPr>
        <w:rFonts w:ascii="Calibri" w:cs="Calibri" w:eastAsia="Calibri" w:hAnsi="Calibri"/>
        <w:color w:val="595959"/>
        <w:sz w:val="16"/>
        <w:szCs w:val="16"/>
      </w:rPr>
      <w:t xml:space="preserve">Cláusulas de IA y Deep Tech · versión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dui0ecejmvg2jmxkcpyt" Type="http://schemas.openxmlformats.org/officeDocument/2006/relationships/hyperlink" Target="https://migueldadd4u.github.io/ai-clauses/clausulado/indice.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Cláusulas de IA y Deep Tech para la contratación pública</dc:title>
  <dc:creator>Miguel Ángel Domínguez Castellano</dc:creator>
  <dc:description>Catálogo de cláusulas, versión 4.0</dc:description>
  <cp:lastModifiedBy>Un-named</cp:lastModifiedBy>
  <cp:revision>1</cp:revision>
  <dcterms:created xsi:type="dcterms:W3CDTF">2026-10-15T09:39:37.342Z</dcterms:created>
  <dcterms:modified xsi:type="dcterms:W3CDTF">2026-10-15T09:39:37.343Z</dcterms:modified>
</cp:coreProperties>
</file>

<file path=docProps/custom.xml><?xml version="1.0" encoding="utf-8"?>
<Properties xmlns="http://schemas.openxmlformats.org/officeDocument/2006/custom-properties" xmlns:vt="http://schemas.openxmlformats.org/officeDocument/2006/docPropsVTypes"/>
</file>