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Pliego de referencia · Plataformas críticas</w:t>
      </w:r>
    </w:p>
    <w:p>
      <w:pPr>
        <w:spacing w:after="900"/>
        <w:jc w:val="center"/>
      </w:pPr>
      <w:r>
        <w:rPr>
          <w:rFonts w:ascii="Georgia" w:cs="Georgia" w:eastAsia="Georgia" w:hAnsi="Georgia"/>
          <w:i/>
          <w:iCs/>
          <w:color w:val="595959"/>
          <w:sz w:val="28"/>
          <w:szCs w:val="28"/>
        </w:rPr>
        <w:t xml:space="preserve">Pliegos de referencia por perfil</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Ensambla el catálogo; no lo sustituye. Donde discrepen, manda el catálogo. </w:t>
      </w:r>
      <w:hyperlink w:history="1" r:id="rIdcw4b3fwqsy0waw_zfwk9v">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Selección coordinada de cláusulas para los sistemas de los que depende la continuidad de un servicio esencial o la gestión económica, tributaria o de personal de la entidad</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1 · Qué es y qué no es</w:t>
      </w:r>
    </w:p>
    <w:p>
      <w:pPr>
        <w:pStyle w:val="ListParagraph"/>
        <w:numPr>
          <w:ilvl w:val="0"/>
          <w:numId w:val="2"/>
        </w:numPr>
        <w:spacing w:after="70" w:line="268"/>
      </w:pPr>
      <w:r>
        <w:rPr>
          <w:rFonts w:ascii="Calibri" w:cs="Calibri" w:eastAsia="Calibri" w:hAnsi="Calibri"/>
          <w:b/>
          <w:bCs/>
          <w:sz w:val="21"/>
          <w:szCs w:val="21"/>
        </w:rPr>
        <w:t xml:space="preserve">Es una referencia ensamblada</w:t>
      </w:r>
      <w:r>
        <w:rPr>
          <w:rFonts w:ascii="Calibri" w:cs="Calibri" w:eastAsia="Calibri" w:hAnsi="Calibri"/>
          <w:sz w:val="21"/>
          <w:szCs w:val="21"/>
        </w:rPr>
        <w:t xml:space="preserve">: la selección coordinada de cláusulas del catálogo para este perfil, con sus ajustes, su ficha y sus horas. No es un pliego ni un pliego-tipo (Parte 0, §0.1) y no lo ha aprobado ningún órgano.</w:t>
      </w:r>
    </w:p>
    <w:p>
      <w:pPr>
        <w:pStyle w:val="ListParagraph"/>
        <w:numPr>
          <w:ilvl w:val="0"/>
          <w:numId w:val="2"/>
        </w:numPr>
        <w:spacing w:after="70" w:line="268"/>
      </w:pPr>
      <w:r>
        <w:rPr>
          <w:rFonts w:ascii="Calibri" w:cs="Calibri" w:eastAsia="Calibri" w:hAnsi="Calibri"/>
          <w:b/>
          <w:bCs/>
          <w:sz w:val="21"/>
          <w:szCs w:val="21"/>
        </w:rPr>
        <w:t xml:space="preserve">Se adapta y se motiva con datos propios del expediente.</w:t>
      </w:r>
      <w:r>
        <w:rPr>
          <w:rFonts w:ascii="Calibri" w:cs="Calibri" w:eastAsia="Calibri" w:hAnsi="Calibri"/>
          <w:sz w:val="21"/>
          <w:szCs w:val="21"/>
        </w:rPr>
        <w:t xml:space="preserve"> Remitirse a este documento no justifica ninguna exigencia: una memoria que se limita a remitirse al catálogo es justificación por remisión, y por tanto estereotipada (Parte I, §3.8, consecuencia 2).</w:t>
      </w:r>
    </w:p>
    <w:p>
      <w:pPr>
        <w:pStyle w:val="ListParagraph"/>
        <w:numPr>
          <w:ilvl w:val="0"/>
          <w:numId w:val="2"/>
        </w:numPr>
        <w:spacing w:after="70" w:line="268"/>
      </w:pPr>
      <w:r>
        <w:rPr>
          <w:rFonts w:ascii="Calibri" w:cs="Calibri" w:eastAsia="Calibri" w:hAnsi="Calibri"/>
          <w:b/>
          <w:bCs/>
          <w:sz w:val="21"/>
          <w:szCs w:val="21"/>
        </w:rPr>
        <w:t xml:space="preserve">Donde este documento y el catálogo discrepen, manda el catálogo</w:t>
      </w:r>
      <w:r>
        <w:rPr>
          <w:rFonts w:ascii="Calibri" w:cs="Calibri" w:eastAsia="Calibri" w:hAnsi="Calibri"/>
          <w:sz w:val="21"/>
          <w:szCs w:val="21"/>
        </w:rPr>
        <w:t xml:space="preserve">; y dentro del catálogo, la cláusula sobre los cuadros que la reproducen (Parte II, II.13; Anexo X, regla de precedencia).</w:t>
      </w:r>
    </w:p>
    <w:p>
      <w:pPr>
        <w:pBdr>
          <w:left w:val="single" w:color="BFBFBF" w:sz="12" w:space="8"/>
        </w:pBdr>
        <w:spacing w:after="140" w:line="264"/>
        <w:ind w:left="400"/>
      </w:pPr>
      <w:r>
        <w:rPr>
          <w:rFonts w:ascii="Georgia" w:cs="Georgia" w:eastAsia="Georgia" w:hAnsi="Georgia"/>
          <w:b/>
          <w:bCs/>
          <w:i/>
          <w:iCs/>
          <w:color w:val="595959"/>
          <w:sz w:val="20"/>
          <w:szCs w:val="20"/>
        </w:rPr>
        <w:t xml:space="preserve">Antes de abrir un expediente.</w:t>
      </w:r>
      <w:r>
        <w:rPr>
          <w:rFonts w:ascii="Georgia" w:cs="Georgia" w:eastAsia="Georgia" w:hAnsi="Georgia"/>
          <w:i/>
          <w:iCs/>
          <w:color w:val="595959"/>
          <w:sz w:val="20"/>
          <w:szCs w:val="20"/>
        </w:rPr>
        <w:t xml:space="preserve"> Las tres condiciones suspensivas de aplicación de la Parte IV, §M11, filas 1 a 3 —acuerdo del órgano de gobierno sobre el plan, el catálogo y el Anexo V; consulta preliminar del mercado con el contraste del Anexo V documentado; declaraciones de conflicto de interés firmadas— constan pendientes (caja de estado del catálogo), y cada entidad las cumple por sí (Parte I, §2.3, elementos 8 a 10). Mientras no se cumplan, ninguna cláusula entra en un expediente </w:t>
      </w:r>
      <w:r>
        <w:rPr>
          <w:rFonts w:ascii="Georgia" w:cs="Georgia" w:eastAsia="Georgia" w:hAnsi="Georgia"/>
          <w:b/>
          <w:bCs/>
          <w:i/>
          <w:iCs/>
          <w:color w:val="595959"/>
          <w:sz w:val="20"/>
          <w:szCs w:val="20"/>
        </w:rPr>
        <w:t xml:space="preserve">como cláusula de este catálogo</w:t>
      </w:r>
      <w:r>
        <w:rPr>
          <w:rFonts w:ascii="Georgia" w:cs="Georgia" w:eastAsia="Georgia" w:hAnsi="Georgia"/>
          <w:i/>
          <w:iCs/>
          <w:color w:val="595959"/>
          <w:sz w:val="20"/>
          <w:szCs w:val="20"/>
        </w:rPr>
        <w:t xml:space="preserve"> —citándolo como modelo o remitiéndose a él para justificarla—, y en particular en ninguno que supere el umbral del recurso especial; sí cabe usar sus soluciones de redacción con la justificación propia del expediente (§M11). Lo de origen normativo o funcional no necesita el acuerdo; lo institucional, sí, o una de las vías del §M1.2 bis. Este documento cumple el compromiso del catálogo de entregar pliegos ensamblados por perfil de contrato (§M10.3, punto 4; §M11, fila 14; nota de alcance de la Parte VII); no acredita que esas condiciones se hayan cumplido.</w:t>
      </w:r>
    </w:p>
    <w:p>
      <w:pPr>
        <w:spacing w:after="140" w:line="276"/>
      </w:pPr>
      <w:r>
        <w:rPr>
          <w:rFonts w:ascii="Calibri" w:cs="Calibri" w:eastAsia="Calibri" w:hAnsi="Calibri"/>
          <w:b/>
          <w:bCs/>
          <w:sz w:val="21"/>
          <w:szCs w:val="21"/>
        </w:rPr>
        <w:t xml:space="preserve">Cómo se lee.</w:t>
      </w:r>
      <w:r>
        <w:rPr>
          <w:rFonts w:ascii="Calibri" w:cs="Calibri" w:eastAsia="Calibri" w:hAnsi="Calibri"/>
          <w:sz w:val="21"/>
          <w:szCs w:val="21"/>
        </w:rPr>
        <w:t xml:space="preserve"> Los recuadros «Texto para el pliego» reproducen, tal como está en el catálogo vigente, el texto de cada cláusula o epígrafe seleccionado: no se ha reescrito nada. Lo propio de este documento es la selección, los ajustes y las fichas. Debajo van los </w:t>
      </w:r>
      <w:r>
        <w:rPr>
          <w:rFonts w:ascii="Calibri" w:cs="Calibri" w:eastAsia="Calibri" w:hAnsi="Calibri"/>
          <w:b/>
          <w:bCs/>
          <w:sz w:val="21"/>
          <w:szCs w:val="21"/>
        </w:rPr>
        <w:t xml:space="preserve">ajustes del perfil</w:t>
      </w:r>
      <w:r>
        <w:rPr>
          <w:rFonts w:ascii="Calibri" w:cs="Calibri" w:eastAsia="Calibri" w:hAnsi="Calibri"/>
          <w:sz w:val="21"/>
          <w:szCs w:val="21"/>
        </w:rPr>
        <w:t xml:space="preserve">: el valor de cada corchete con su fuente («fila n» es fila del Anexo X, apartado X.1), los apartados que se suprimen y su reflejo en el otro pliego. Lo marcado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no se rellena desde aquí. Las citas van por parte y epígrafe: «epígrafe» o «ep.» es el del comentario de una cláusula, y «apartado» o «ap.», el de su texto de pliego.</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2 · El perfil</w:t>
      </w:r>
    </w:p>
    <w:p>
      <w:pPr>
        <w:pStyle w:val="Heading2"/>
        <w:keepNext/>
        <w:spacing w:after="140" w:before="320"/>
      </w:pPr>
      <w:r>
        <w:rPr>
          <w:rFonts w:ascii="Georgia" w:cs="Georgia" w:eastAsia="Georgia" w:hAnsi="Georgia"/>
          <w:b/>
          <w:bCs/>
          <w:color w:val="1F3864"/>
          <w:sz w:val="26"/>
          <w:szCs w:val="26"/>
        </w:rPr>
        <w:t xml:space="preserve">2.1 Definición: «crítica» se acredita con datos, no con un adjetivo</w:t>
      </w:r>
    </w:p>
    <w:p>
      <w:pPr>
        <w:spacing w:after="140" w:line="276"/>
      </w:pPr>
      <w:r>
        <w:rPr>
          <w:rFonts w:ascii="Calibri" w:cs="Calibri" w:eastAsia="Calibri" w:hAnsi="Calibri"/>
          <w:sz w:val="21"/>
          <w:szCs w:val="21"/>
        </w:rPr>
        <w:t xml:space="preserve">El catálogo no define «plataforma crítica». Sí gradúa la intensidad de aplicación por la categoría de seguridad y </w:t>
      </w:r>
      <w:r>
        <w:rPr>
          <w:rFonts w:ascii="Calibri" w:cs="Calibri" w:eastAsia="Calibri" w:hAnsi="Calibri"/>
          <w:b/>
          <w:bCs/>
          <w:sz w:val="21"/>
          <w:szCs w:val="21"/>
        </w:rPr>
        <w:t xml:space="preserve">por la criticidad del servicio soportado</w:t>
      </w:r>
      <w:r>
        <w:rPr>
          <w:rFonts w:ascii="Calibri" w:cs="Calibri" w:eastAsia="Calibri" w:hAnsi="Calibri"/>
          <w:sz w:val="21"/>
          <w:szCs w:val="21"/>
        </w:rPr>
        <w:t xml:space="preserve">, nunca por la ambición tecnológica del expediente (Parte I, §2.2). Una plataforma entra en este perfil cuando el expediente acredita </w:t>
      </w:r>
      <w:r>
        <w:rPr>
          <w:rFonts w:ascii="Calibri" w:cs="Calibri" w:eastAsia="Calibri" w:hAnsi="Calibri"/>
          <w:b/>
          <w:bCs/>
          <w:sz w:val="21"/>
          <w:szCs w:val="21"/>
        </w:rPr>
        <w:t xml:space="preserve">los tres</w:t>
      </w:r>
      <w:r>
        <w:rPr>
          <w:rFonts w:ascii="Calibri" w:cs="Calibri" w:eastAsia="Calibri" w:hAnsi="Calibri"/>
          <w:sz w:val="21"/>
          <w:szCs w:val="21"/>
        </w:rPr>
        <w:t xml:space="preserve"> datos siguientes:</w:t>
      </w:r>
    </w:p>
    <w:p>
      <w:pPr>
        <w:pStyle w:val="ListParagraph"/>
        <w:numPr>
          <w:ilvl w:val="0"/>
          <w:numId w:val="2"/>
        </w:numPr>
        <w:spacing w:after="70" w:line="268"/>
      </w:pPr>
      <w:r>
        <w:rPr>
          <w:rFonts w:ascii="Calibri" w:cs="Calibri" w:eastAsia="Calibri" w:hAnsi="Calibri"/>
          <w:b/>
          <w:bCs/>
          <w:sz w:val="21"/>
          <w:szCs w:val="21"/>
        </w:rPr>
        <w:t xml:space="preserve">Categoría ENS MEDIA o ALTA</w:t>
      </w:r>
      <w:r>
        <w:rPr>
          <w:rFonts w:ascii="Calibri" w:cs="Calibri" w:eastAsia="Calibri" w:hAnsi="Calibri"/>
          <w:sz w:val="21"/>
          <w:szCs w:val="21"/>
        </w:rPr>
        <w:t xml:space="preserve">, resultante del anexo I del RD 311/2022, con la valoración de cada dimensión firmada por los responsables de la información y de los servicios (art. 41.1) y la categoría firmada por el responsable de la seguridad (art. 41.2) (Parte V, V.4.11; DT-6·v3, ap. 2).</w:t>
      </w:r>
    </w:p>
    <w:p>
      <w:pPr>
        <w:pStyle w:val="ListParagraph"/>
        <w:numPr>
          <w:ilvl w:val="0"/>
          <w:numId w:val="2"/>
        </w:numPr>
        <w:spacing w:after="70" w:line="268"/>
      </w:pPr>
      <w:r>
        <w:rPr>
          <w:rFonts w:ascii="Calibri" w:cs="Calibri" w:eastAsia="Calibri" w:hAnsi="Calibri"/>
          <w:sz w:val="21"/>
          <w:szCs w:val="21"/>
        </w:rPr>
        <w:t xml:space="preserve">Que esa categoría la determinen </w:t>
      </w:r>
      <w:r>
        <w:rPr>
          <w:rFonts w:ascii="Calibri" w:cs="Calibri" w:eastAsia="Calibri" w:hAnsi="Calibri"/>
          <w:b/>
          <w:bCs/>
          <w:sz w:val="21"/>
          <w:szCs w:val="21"/>
        </w:rPr>
        <w:t xml:space="preserve">la disponibilidad o la integridad</w:t>
      </w:r>
      <w:r>
        <w:rPr>
          <w:rFonts w:ascii="Calibri" w:cs="Calibri" w:eastAsia="Calibri" w:hAnsi="Calibri"/>
          <w:sz w:val="21"/>
          <w:szCs w:val="21"/>
        </w:rPr>
        <w:t xml:space="preserve"> —el daño de que el servicio se pare o de que los datos se pierdan o se alteren—, no sólo la confidencialidad. Ejemplo inverso: la Parte VI deja la disponibilidad de su sistema simulado en MEDIO porque «admite continuidad manual acotada» (VI.4.4).</w:t>
      </w:r>
    </w:p>
    <w:p>
      <w:pPr>
        <w:pStyle w:val="ListParagraph"/>
        <w:numPr>
          <w:ilvl w:val="0"/>
          <w:numId w:val="2"/>
        </w:numPr>
        <w:spacing w:after="70" w:line="268"/>
      </w:pPr>
      <w:r>
        <w:rPr>
          <w:rFonts w:ascii="Calibri" w:cs="Calibri" w:eastAsia="Calibri" w:hAnsi="Calibri"/>
          <w:b/>
          <w:bCs/>
          <w:sz w:val="21"/>
          <w:szCs w:val="21"/>
        </w:rPr>
        <w:t xml:space="preserve">Necesidad funcional de continuidad</w:t>
      </w:r>
      <w:r>
        <w:rPr>
          <w:rFonts w:ascii="Calibri" w:cs="Calibri" w:eastAsia="Calibri" w:hAnsi="Calibri"/>
          <w:sz w:val="21"/>
          <w:szCs w:val="21"/>
        </w:rPr>
        <w:t xml:space="preserve"> declarada por el gestor con datos: criticidad del servicio, tiempo máximo de indisponibilidad tolerable y dependencia actual (Parte I, §3.4, primera fila).</w:t>
      </w:r>
    </w:p>
    <w:p>
      <w:pPr>
        <w:spacing w:after="140" w:line="276"/>
      </w:pPr>
      <w:r>
        <w:rPr>
          <w:rFonts w:ascii="Calibri" w:cs="Calibri" w:eastAsia="Calibri" w:hAnsi="Calibri"/>
          <w:b/>
          <w:bCs/>
          <w:sz w:val="21"/>
          <w:szCs w:val="21"/>
        </w:rPr>
        <w:t xml:space="preserve">Grado reforzado: continuidad ante insolvencia.</w:t>
      </w:r>
      <w:r>
        <w:rPr>
          <w:rFonts w:ascii="Calibri" w:cs="Calibri" w:eastAsia="Calibri" w:hAnsi="Calibri"/>
          <w:sz w:val="21"/>
          <w:szCs w:val="21"/>
        </w:rPr>
        <w:t xml:space="preserve"> ADM-11·v3 sólo entra si concurren, acreditadas en la memoria, las </w:t>
      </w:r>
      <w:r>
        <w:rPr>
          <w:rFonts w:ascii="Calibri" w:cs="Calibri" w:eastAsia="Calibri" w:hAnsi="Calibri"/>
          <w:b/>
          <w:bCs/>
          <w:sz w:val="21"/>
          <w:szCs w:val="21"/>
        </w:rPr>
        <w:t xml:space="preserve">cuatro</w:t>
      </w:r>
      <w:r>
        <w:rPr>
          <w:rFonts w:ascii="Calibri" w:cs="Calibri" w:eastAsia="Calibri" w:hAnsi="Calibri"/>
          <w:sz w:val="21"/>
          <w:szCs w:val="21"/>
        </w:rPr>
        <w:t xml:space="preserve"> circunstancias acumulativas de su ap. 1 (Anexo X, fila 21): a) categoría ALTA en la dimensión de disponibilidad; b) valor estimado superior a [X; se recomienda 300.000] €; c) padrón, gestión tributaria, recaudación, contabilidad y patrimonio, gestión de expedientes o sede electrónica; d) estudio de mercado que acredite que no hay alternativa que sustituya la solución en menos de [X; se recomienda 6] meses sin interrumpir el servicio.</w:t>
      </w:r>
    </w:p>
    <w:p>
      <w:pPr>
        <w:spacing w:after="140" w:line="276"/>
      </w:pPr>
      <w:r>
        <w:rPr>
          <w:rFonts w:ascii="Calibri" w:cs="Calibri" w:eastAsia="Calibri" w:hAnsi="Calibri"/>
          <w:b/>
          <w:bCs/>
          <w:sz w:val="21"/>
          <w:szCs w:val="21"/>
        </w:rPr>
        <w:t xml:space="preserve">Lo que no basta.</w:t>
      </w:r>
      <w:r>
        <w:rPr>
          <w:rFonts w:ascii="Calibri" w:cs="Calibri" w:eastAsia="Calibri" w:hAnsi="Calibri"/>
          <w:sz w:val="21"/>
          <w:szCs w:val="21"/>
        </w:rPr>
        <w:t xml:space="preserve"> No basta con figurar en la lista de la letra c), que no es una vía alternativa (VI.4.4), ni con la cuantía: el catálogo recomienda bajar el umbral del nivel reforzado en categoría MEDIA o ALTA «con independencia de la cuantía» (Parte I, §8). </w:t>
      </w:r>
      <w:r>
        <w:rPr>
          <w:rFonts w:ascii="Calibri" w:cs="Calibri" w:eastAsia="Calibri" w:hAnsi="Calibri"/>
          <w:b/>
          <w:bCs/>
          <w:sz w:val="21"/>
          <w:szCs w:val="21"/>
        </w:rPr>
        <w:t xml:space="preserve">La gestión de personal no está en la lista c)</w:t>
      </w:r>
      <w:r>
        <w:rPr>
          <w:rFonts w:ascii="Calibri" w:cs="Calibri" w:eastAsia="Calibri" w:hAnsi="Calibri"/>
          <w:sz w:val="21"/>
          <w:szCs w:val="21"/>
        </w:rPr>
        <w:t xml:space="preserve">: una plataforma de personal entra en el perfil por los datos 1 a 3, pero ADM-11·v3 sólo cabe motivando en la memoria la rebaja de esa circunstancia y haciéndolo constar en la ficha, nunca reinterpretando la lista (ADM-11·v3, nota al redactor; Parte IV, M4.2).</w:t>
      </w:r>
    </w:p>
    <w:p>
      <w:pPr>
        <w:pStyle w:val="Heading2"/>
        <w:keepNext/>
        <w:spacing w:after="140" w:before="320"/>
      </w:pPr>
      <w:r>
        <w:rPr>
          <w:rFonts w:ascii="Georgia" w:cs="Georgia" w:eastAsia="Georgia" w:hAnsi="Georgia"/>
          <w:b/>
          <w:bCs/>
          <w:color w:val="1F3864"/>
          <w:sz w:val="26"/>
          <w:szCs w:val="26"/>
        </w:rPr>
        <w:t xml:space="preserve">2.2 Cómo elegir el perfil</w:t>
      </w:r>
    </w:p>
    <w:p>
      <w:pPr>
        <w:spacing w:after="140" w:line="276"/>
      </w:pPr>
      <w:r>
        <w:rPr>
          <w:rFonts w:ascii="Calibri" w:cs="Calibri" w:eastAsia="Calibri" w:hAnsi="Calibri"/>
          <w:i/>
          <w:iCs/>
          <w:sz w:val="21"/>
          <w:szCs w:val="21"/>
        </w:rPr>
        <w:t xml:space="preserve">Cuadro común a los cuatro pliegos de referencia, idéntico en los cuatro.</w:t>
      </w:r>
      <w:r>
        <w:rPr>
          <w:rFonts w:ascii="Calibri" w:cs="Calibri" w:eastAsia="Calibri" w:hAnsi="Calibri"/>
          <w:sz w:val="21"/>
          <w:szCs w:val="21"/>
        </w:rPr>
        <w:t xml:space="preserve"> El perfil lo decide la </w:t>
      </w:r>
      <w:r>
        <w:rPr>
          <w:rFonts w:ascii="Calibri" w:cs="Calibri" w:eastAsia="Calibri" w:hAnsi="Calibri"/>
          <w:b/>
          <w:bCs/>
          <w:sz w:val="21"/>
          <w:szCs w:val="21"/>
        </w:rPr>
        <w:t xml:space="preserve">prestación principal</w:t>
      </w:r>
      <w:r>
        <w:rPr>
          <w:rFonts w:ascii="Calibri" w:cs="Calibri" w:eastAsia="Calibri" w:hAnsi="Calibri"/>
          <w:sz w:val="21"/>
          <w:szCs w:val="21"/>
        </w:rPr>
        <w:t xml:space="preserve"> del contrato, que el expediente determina y motiva cuando el contrato es mixto (Parte VI, VI.4.1). La calificación del contrato sale de su objeto (Parte I, §2.1); la criticidad del sistema gradúa la intensidad de aplicación (§2.2) y por eso se suma como capa, en la fila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 del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 del catálogo que lo decide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La prestación principal es crear software que no existe antes del contrato —una aplicación nueva o módulos nuevos—, cuya titularidad adquiere la entidad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Desarrollo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software hecho a medida es contrato de servicios (Parte I, §2.1; ADM-8·v3, epígrafe 3). ADM-9·v3 no se aplica (apartado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La prestación principal es el mantenimiento —correctivo, adaptativo o evolutivo— y el soporte de una aplicación ya implantada, instalada en la entidad o prestada como servicio, hecha a medida o estándar, con o sin la licencia o la suscripción como suministro accesorio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Mantenimiento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de mantenimiento de aplicaciones (VI.4.1). Junto con el desarrollo a medida, es el único perfil en que cabe la bolsa del art. 308.3 LCSP (ADM-3·v3, bloque 2, y 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La prestación principal es el uso de una aplicación estándar que el proveedor presta como servicio en la nube y opera él, por suscripción, con o sin configuración, parametrización, carga de datos, integraciones o formación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SaaS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 como la licencia, o contrato mixto si se le añaden servicios (Parte I, §2.1; párrafo «Calificación de un SaaS»). ADM-8·v3 y ADM-11·v3 lo tratan como supuesto propio (epígrafes 7). La bolsa no cabe: exige que la prestación principal sea el desarrollo o el mantenimiento de aplicaciones (ADM-3·v3, epígrafe 7), y entonces el perfil es el de la fila 1 o el de la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Licencias de software estándar que instala y opera la propia entidad, solas o con su implantación; infraestructura o plataforma en la nube para aplicaciones propias; contrato menor, basado en acuerdo marco, adhesión a una central de compras o prórroga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Ninguno de los cuatro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licencia de software estándar es suministro: ADM-8·v3 se queda en sus apartados 4 y 5, y DT-8·v3 en 1.a), 4, 7 y 8 (Parte I, §2.1; epígrafes 7 de las dos). El menor, el basado y la prórroga tienen su alcance limitado (Parte I, §2.4; Parte V, §V.7). El pliego se compone con los bloques de las Partes I a III (nota de alcance de la Parte VII)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Además de una de las filas 1 a 3: el sistema tiene categoría ENS MEDIA o ALTA, determinada por la disponibilidad o la integridad, y el gestor declara con datos la necesidad de continuidad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perfil de la fila que corresponda, más la capa de plataformas críticas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sola ficha y un solo informe de necesidad; ninguna exigencia dos veces ni con dos instrumentos (Parte I, §7.3). ADM-11·v3 sólo entra con sus cuatro circunstancias acumulativas (apartado 1)</w:t>
            </w:r>
          </w:p>
        </w:tc>
      </w:tr>
    </w:tbl>
    <w:p>
      <w:pPr>
        <w:spacing w:after="200"/>
      </w:pPr>
    </w:p>
    <w:p>
      <w:pPr>
        <w:spacing w:after="140" w:line="276"/>
      </w:pPr>
      <w:r>
        <w:rPr>
          <w:rFonts w:ascii="Calibri" w:cs="Calibri" w:eastAsia="Calibri" w:hAnsi="Calibri"/>
          <w:b/>
          <w:bCs/>
          <w:sz w:val="21"/>
          <w:szCs w:val="21"/>
        </w:rPr>
        <w:t xml:space="preserve">Contrato mixto.</w:t>
      </w:r>
      <w:r>
        <w:rPr>
          <w:rFonts w:ascii="Calibri" w:cs="Calibri" w:eastAsia="Calibri" w:hAnsi="Calibri"/>
          <w:sz w:val="21"/>
          <w:szCs w:val="21"/>
        </w:rPr>
        <w:t xml:space="preserve"> Si el contrato reúne prestaciones de dos filas —implantar una aplicación y mantenerla con evolutivos, o desarrollar y después mantener—, el perfil es el de la prestación principal, determinada y motivada en el expediente (VI.4.1). La parametrización, aunque sea sustantiva, no cambia el perfil: es un servicio de implantación (VI.4.1), y lo que mueve es el alcance de ADM-8·v3, cuyo apartado 1 alcanza entonces las configuraciones, reglas y flujos diseñados para la entidad (epígrafe 7; §M4.2), y el de DT-8·v3, apartado 1.c).</w:t>
      </w:r>
    </w:p>
    <w:p>
      <w:pPr>
        <w:spacing w:after="140" w:line="276"/>
      </w:pPr>
      <w:r>
        <w:rPr>
          <w:rFonts w:ascii="Calibri" w:cs="Calibri" w:eastAsia="Calibri" w:hAnsi="Calibri"/>
          <w:b/>
          <w:bCs/>
          <w:sz w:val="21"/>
          <w:szCs w:val="21"/>
        </w:rPr>
        <w:t xml:space="preserve">Calificación de un SaaS.</w:t>
      </w:r>
      <w:r>
        <w:rPr>
          <w:rFonts w:ascii="Calibri" w:cs="Calibri" w:eastAsia="Calibri" w:hAnsi="Calibri"/>
          <w:sz w:val="21"/>
          <w:szCs w:val="21"/>
        </w:rPr>
        <w:t xml:space="preserve"> La suscripción de software en modalidad de servicio se califica igual que la licencia: es </w:t>
      </w:r>
      <w:r>
        <w:rPr>
          <w:rFonts w:ascii="Calibri" w:cs="Calibri" w:eastAsia="Calibri" w:hAnsi="Calibri"/>
          <w:b/>
          <w:bCs/>
          <w:sz w:val="21"/>
          <w:szCs w:val="21"/>
        </w:rPr>
        <w:t xml:space="preserve">suministro</w:t>
      </w:r>
      <w:r>
        <w:rPr>
          <w:rFonts w:ascii="Calibri" w:cs="Calibri" w:eastAsia="Calibri" w:hAnsi="Calibri"/>
          <w:sz w:val="21"/>
          <w:szCs w:val="21"/>
        </w:rPr>
        <w:t xml:space="preserve">, porque el art. 16.3.b) LCSP comprende la cesión del derecho de uso de programas de ordenador «en cualquiera de sus modalidades de puesta a disposición» (Parte I, §2.1). Si el contrato añade implantación, parametrización, desarrollo o mantenimiento de aplicaciones, es mixto, y la prestación principal es la de mayor valor estimado (art. 18.1.a), párrafo segundo, LCSP), que el expediente motiva con el desglose del presupuesto (VI.4.1). Dependen de la calificación cinco piezas (Parte I, §2.1). En el suministro, ADM-8·v3 se reduce a sus apartados 4 y 5 y, del 1, 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(epígrafe 7); DT-8·v3, a sus apartados 1.a), 4, 7 y 8, sin Inventario, Plan, ensayo, licencia de continuidad ni Dossier (epígrafe 7); y la modalidad B de ADM-1·v3, a las letras a), b) y d) de su apartado 1 (nota al redactor, punto cuarto). La bolsa de ADM-3·v3, bloque 2, sólo cabe en servicios de desarrollo o mantenimiento de aplicaciones (art. 308.3 LCSP), y el informe de insuficiencia de medios sólo se exige en servicios (art. 116.4.f) LCSP; Parte V, V.4.8). El perfil no depende de la calificación, y la bolsa no cabe en un SaaS con ninguna de las dos (ADM-3·v3, epígrafe 7).</w:t>
      </w:r>
    </w:p>
    <w:p>
      <w:pPr>
        <w:spacing w:after="140" w:line="276"/>
      </w:pPr>
      <w:r>
        <w:rPr>
          <w:rFonts w:ascii="Calibri" w:cs="Calibri" w:eastAsia="Calibri" w:hAnsi="Calibri"/>
          <w:b/>
          <w:bCs/>
          <w:sz w:val="21"/>
          <w:szCs w:val="21"/>
        </w:rPr>
        <w:t xml:space="preserve">Cuándo no se suma esta capa, o no conviene empezar por ella.</w:t>
      </w:r>
    </w:p>
    <w:p>
      <w:pPr>
        <w:pStyle w:val="ListParagraph"/>
        <w:numPr>
          <w:ilvl w:val="0"/>
          <w:numId w:val="1"/>
        </w:numPr>
        <w:spacing w:after="70" w:line="268"/>
      </w:pPr>
      <w:r>
        <w:rPr>
          <w:rFonts w:ascii="Calibri" w:cs="Calibri" w:eastAsia="Calibri" w:hAnsi="Calibri"/>
          <w:b/>
          <w:bCs/>
          <w:sz w:val="21"/>
          <w:szCs w:val="21"/>
        </w:rPr>
        <w:t xml:space="preserve">Categoría BÁSICA, o MEDIA sólo por la confidencialidad, sin continuidad declarada con datos</w:t>
      </w:r>
      <w:r>
        <w:rPr>
          <w:rFonts w:ascii="Calibri" w:cs="Calibri" w:eastAsia="Calibri" w:hAnsi="Calibri"/>
          <w:sz w:val="21"/>
          <w:szCs w:val="21"/>
        </w:rPr>
        <w:t xml:space="preserve">: se usa el perfil base (SaaS, mantenimiento de aplicaciones o desarrollo a medida); la confidencialidad ya la cubren DT-6·v3 y ADM-13·v3.</w:t>
      </w:r>
    </w:p>
    <w:p>
      <w:pPr>
        <w:pStyle w:val="ListParagraph"/>
        <w:numPr>
          <w:ilvl w:val="0"/>
          <w:numId w:val="1"/>
        </w:numPr>
        <w:spacing w:after="70" w:line="268"/>
      </w:pPr>
      <w:r>
        <w:rPr>
          <w:rFonts w:ascii="Calibri" w:cs="Calibri" w:eastAsia="Calibri" w:hAnsi="Calibri"/>
          <w:b/>
          <w:bCs/>
          <w:sz w:val="21"/>
          <w:szCs w:val="21"/>
        </w:rPr>
        <w:t xml:space="preserve">Sin categorización firmada</w:t>
      </w:r>
      <w:r>
        <w:rPr>
          <w:rFonts w:ascii="Calibri" w:cs="Calibri" w:eastAsia="Calibri" w:hAnsi="Calibri"/>
          <w:sz w:val="21"/>
          <w:szCs w:val="21"/>
        </w:rPr>
        <w:t xml:space="preserve">: primero el documento A-4; la categoría se determina antes de aprobar el pliego (Parte 0, §0.4, paso 3).</w:t>
      </w:r>
    </w:p>
    <w:p>
      <w:pPr>
        <w:pStyle w:val="ListParagraph"/>
        <w:numPr>
          <w:ilvl w:val="0"/>
          <w:numId w:val="1"/>
        </w:numPr>
        <w:spacing w:after="70" w:line="268"/>
      </w:pPr>
      <w:r>
        <w:rPr>
          <w:rFonts w:ascii="Calibri" w:cs="Calibri" w:eastAsia="Calibri" w:hAnsi="Calibri"/>
          <w:b/>
          <w:bCs/>
          <w:sz w:val="21"/>
          <w:szCs w:val="21"/>
        </w:rPr>
        <w:t xml:space="preserve">Componente tecnológico accesorio</w:t>
      </w:r>
      <w:r>
        <w:rPr>
          <w:rFonts w:ascii="Calibri" w:cs="Calibri" w:eastAsia="Calibri" w:hAnsi="Calibri"/>
          <w:sz w:val="21"/>
          <w:szCs w:val="21"/>
        </w:rPr>
        <w:t xml:space="preserve">: DT-6·v3, ADM-13·v3 y poco más (Parte IV, M4.3).</w:t>
      </w:r>
    </w:p>
    <w:p>
      <w:pPr>
        <w:pStyle w:val="ListParagraph"/>
        <w:numPr>
          <w:ilvl w:val="0"/>
          <w:numId w:val="1"/>
        </w:numPr>
        <w:spacing w:after="70" w:line="268"/>
      </w:pPr>
      <w:r>
        <w:rPr>
          <w:rFonts w:ascii="Calibri" w:cs="Calibri" w:eastAsia="Calibri" w:hAnsi="Calibri"/>
          <w:b/>
          <w:bCs/>
          <w:sz w:val="21"/>
          <w:szCs w:val="21"/>
        </w:rPr>
        <w:t xml:space="preserve">Contrato menor, basado en acuerdo marco, adhesión o prórroga</w:t>
      </w:r>
      <w:r>
        <w:rPr>
          <w:rFonts w:ascii="Calibri" w:cs="Calibri" w:eastAsia="Calibri" w:hAnsi="Calibri"/>
          <w:sz w:val="21"/>
          <w:szCs w:val="21"/>
        </w:rPr>
        <w:t xml:space="preserve">: el alcance limitado de la Parte I, §2.4. En la prórroga de una plataforma crítica se verifica lo ya exigible y se prepara la licitación sucesora con el Dossier de Reversibilidad (Parte 0, §0.6, caso 3).</w:t>
      </w:r>
    </w:p>
    <w:p>
      <w:pPr>
        <w:pStyle w:val="ListParagraph"/>
        <w:numPr>
          <w:ilvl w:val="0"/>
          <w:numId w:val="1"/>
        </w:numPr>
        <w:spacing w:after="70" w:line="268"/>
      </w:pPr>
      <w:r>
        <w:rPr>
          <w:rFonts w:ascii="Calibri" w:cs="Calibri" w:eastAsia="Calibri" w:hAnsi="Calibri"/>
          <w:b/>
          <w:bCs/>
          <w:sz w:val="21"/>
          <w:szCs w:val="21"/>
        </w:rPr>
        <w:t xml:space="preserve">Primer piloto de la entidad</w:t>
      </w:r>
      <w:r>
        <w:rPr>
          <w:rFonts w:ascii="Calibri" w:cs="Calibri" w:eastAsia="Calibri" w:hAnsi="Calibri"/>
          <w:sz w:val="21"/>
          <w:szCs w:val="21"/>
        </w:rPr>
        <w:t xml:space="preserve">: el catálogo desaconseja un objeto crítico en disponibilidad, porque arrastra depósito de código, requisitos reforzados y coste (Parte VI, VI.2.1, condición 3).</w:t>
      </w:r>
    </w:p>
    <w:p>
      <w:pPr>
        <w:pStyle w:val="Heading2"/>
        <w:keepNext/>
        <w:spacing w:after="140" w:before="320"/>
      </w:pPr>
      <w:r>
        <w:rPr>
          <w:rFonts w:ascii="Georgia" w:cs="Georgia" w:eastAsia="Georgia" w:hAnsi="Georgia"/>
          <w:b/>
          <w:bCs/>
          <w:color w:val="1F3864"/>
          <w:sz w:val="26"/>
          <w:szCs w:val="26"/>
        </w:rPr>
        <w:t xml:space="preserve">2.3 Una capa que se suma al perfil base</w:t>
      </w:r>
    </w:p>
    <w:p>
      <w:pPr>
        <w:spacing w:after="140" w:line="276"/>
      </w:pPr>
      <w:r>
        <w:rPr>
          <w:rFonts w:ascii="Calibri" w:cs="Calibri" w:eastAsia="Calibri" w:hAnsi="Calibri"/>
          <w:sz w:val="21"/>
          <w:szCs w:val="21"/>
        </w:rPr>
        <w:t xml:space="preserve">Una plataforma crítica se contrata como SaaS, como mantenimiento o como desarrollo a medida. </w:t>
      </w:r>
      <w:r>
        <w:rPr>
          <w:rFonts w:ascii="Calibri" w:cs="Calibri" w:eastAsia="Calibri" w:hAnsi="Calibri"/>
          <w:b/>
          <w:bCs/>
          <w:sz w:val="21"/>
          <w:szCs w:val="21"/>
        </w:rPr>
        <w:t xml:space="preserve">Este perfil se superpone al pliego de referencia de ese perfil base; no lo sustituye.</w:t>
      </w:r>
      <w:r>
        <w:rPr>
          <w:rFonts w:ascii="Calibri" w:cs="Calibri" w:eastAsia="Calibri" w:hAnsi="Calibri"/>
          <w:sz w:val="21"/>
          <w:szCs w:val="21"/>
        </w:rPr>
        <w:t xml:space="preserve"> El perfil base decide las cláusulas ligadas al objeto (DT-1, DT-4, DT-7, DT-9, ADM-1, ADM-2, ADM-3, ADM-10 y la variante de baremo de ADM-7); esta capa endurece DT-6, DT-8, ADM-4 y ADM-6 y añade ADM-11, ADM-12 y DT-3.</w:t>
      </w:r>
    </w:p>
    <w:p>
      <w:pPr>
        <w:pStyle w:val="ListParagraph"/>
        <w:numPr>
          <w:ilvl w:val="0"/>
          <w:numId w:val="1"/>
        </w:numPr>
        <w:spacing w:after="70" w:line="268"/>
      </w:pPr>
      <w:r>
        <w:rPr>
          <w:rFonts w:ascii="Calibri" w:cs="Calibri" w:eastAsia="Calibri" w:hAnsi="Calibri"/>
          <w:b/>
          <w:bCs/>
          <w:sz w:val="21"/>
          <w:szCs w:val="21"/>
        </w:rPr>
        <w:t xml:space="preserve">Sobre SaaS</w:t>
      </w:r>
      <w:r>
        <w:rPr>
          <w:rFonts w:ascii="Calibri" w:cs="Calibri" w:eastAsia="Calibri" w:hAnsi="Calibri"/>
          <w:sz w:val="21"/>
          <w:szCs w:val="21"/>
        </w:rPr>
        <w:t xml:space="preserve">: ADM-12·v3 entra normalmente, porque el adjudicatario opera el sistema; ADM-11·v3, sólo por el plan de continuidad equivalente del ap. 3.c), o ninguna (ADM-11·v3 y ADM-12·v3, ep. 7).</w:t>
      </w:r>
    </w:p>
    <w:p>
      <w:pPr>
        <w:pStyle w:val="ListParagraph"/>
        <w:numPr>
          <w:ilvl w:val="0"/>
          <w:numId w:val="1"/>
        </w:numPr>
        <w:spacing w:after="70" w:line="268"/>
      </w:pPr>
      <w:r>
        <w:rPr>
          <w:rFonts w:ascii="Calibri" w:cs="Calibri" w:eastAsia="Calibri" w:hAnsi="Calibri"/>
          <w:b/>
          <w:bCs/>
          <w:sz w:val="21"/>
          <w:szCs w:val="21"/>
        </w:rPr>
        <w:t xml:space="preserve">Sobre mantenimiento en infraestructura de la entidad</w:t>
      </w:r>
      <w:r>
        <w:rPr>
          <w:rFonts w:ascii="Calibri" w:cs="Calibri" w:eastAsia="Calibri" w:hAnsi="Calibri"/>
          <w:sz w:val="21"/>
          <w:szCs w:val="21"/>
        </w:rPr>
        <w:t xml:space="preserve">: si los datos están en sistemas propios, el interventor recibe usuario y ADM-12·v3 sobra (ep. 7); ADM-11·v3 admite depósito propio o de tercero (ap. 3.a y 3.b).</w:t>
      </w:r>
    </w:p>
    <w:p>
      <w:pPr>
        <w:pStyle w:val="ListParagraph"/>
        <w:numPr>
          <w:ilvl w:val="0"/>
          <w:numId w:val="1"/>
        </w:numPr>
        <w:spacing w:after="70" w:line="268"/>
      </w:pPr>
      <w:r>
        <w:rPr>
          <w:rFonts w:ascii="Calibri" w:cs="Calibri" w:eastAsia="Calibri" w:hAnsi="Calibri"/>
          <w:b/>
          <w:bCs/>
          <w:sz w:val="21"/>
          <w:szCs w:val="21"/>
        </w:rPr>
        <w:t xml:space="preserve">Sobre desarrollo a medida</w:t>
      </w:r>
      <w:r>
        <w:rPr>
          <w:rFonts w:ascii="Calibri" w:cs="Calibri" w:eastAsia="Calibri" w:hAnsi="Calibri"/>
          <w:sz w:val="21"/>
          <w:szCs w:val="21"/>
        </w:rPr>
        <w:t xml:space="preserve">: ADM-9·v3 no se aplica (ap. 10); DT-8·v3 entrega el código de los desarrollos específicos (ap. 1.b).</w:t>
      </w:r>
    </w:p>
    <w:p>
      <w:pPr>
        <w:spacing w:after="140" w:line="276"/>
      </w:pPr>
      <w:r>
        <w:rPr>
          <w:rFonts w:ascii="Calibri" w:cs="Calibri" w:eastAsia="Calibri" w:hAnsi="Calibri"/>
          <w:b/>
          <w:bCs/>
          <w:sz w:val="21"/>
          <w:szCs w:val="21"/>
        </w:rPr>
        <w:t xml:space="preserve">Regla de combinación.</w:t>
      </w:r>
      <w:r>
        <w:rPr>
          <w:rFonts w:ascii="Calibri" w:cs="Calibri" w:eastAsia="Calibri" w:hAnsi="Calibri"/>
          <w:sz w:val="21"/>
          <w:szCs w:val="21"/>
        </w:rPr>
        <w:t xml:space="preserve"> Una sola ficha, un solo informe de necesidad y un solo Cuadro Maestro: ninguna exigencia aparece dos veces ni con dos instrumentos (Parte I, §7.3). Si los dos documentos dan valores distintos al mismo corchete, rige el supuesto de la columna «Cuándo moverlo» del Anexo X que concurra en el expediente, motivado en una línea (Anexo X, regla de uso).</w:t>
      </w:r>
    </w:p>
    <w:p>
      <w:pPr>
        <w:pStyle w:val="Heading2"/>
        <w:keepNext/>
        <w:spacing w:after="140" w:before="320"/>
      </w:pPr>
      <w:r>
        <w:rPr>
          <w:rFonts w:ascii="Georgia" w:cs="Georgia" w:eastAsia="Georgia" w:hAnsi="Georgia"/>
          <w:b/>
          <w:bCs/>
          <w:color w:val="1F3864"/>
          <w:sz w:val="26"/>
          <w:szCs w:val="26"/>
        </w:rPr>
        <w:t xml:space="preserve">2.4 Nivel del cuadro de intensidad: C, y por qué</w:t>
      </w:r>
    </w:p>
    <w:p>
      <w:pPr>
        <w:spacing w:after="140" w:line="276"/>
      </w:pPr>
      <w:r>
        <w:rPr>
          <w:rFonts w:ascii="Calibri" w:cs="Calibri" w:eastAsia="Calibri" w:hAnsi="Calibri"/>
          <w:sz w:val="21"/>
          <w:szCs w:val="21"/>
        </w:rPr>
        <w:t xml:space="preserve">El nivel C se activa con un valor estimado igual o superior al umbral de regulación armonizada (216.000 € en servicios y suministros para 2026-2027), con categoría ENS MEDIA o ALTA, o con un servicio de la lista de ADM-11·v3, ap. 1.c) (Parte I, §2.2). </w:t>
      </w:r>
      <w:r>
        <w:rPr>
          <w:rFonts w:ascii="Calibri" w:cs="Calibri" w:eastAsia="Calibri" w:hAnsi="Calibri"/>
          <w:b/>
          <w:bCs/>
          <w:sz w:val="21"/>
          <w:szCs w:val="21"/>
        </w:rPr>
        <w:t xml:space="preserve">Toda plataforma de este perfil cumple el segundo supuesto por definición</w:t>
      </w:r>
      <w:r>
        <w:rPr>
          <w:rFonts w:ascii="Calibri" w:cs="Calibri" w:eastAsia="Calibri" w:hAnsi="Calibri"/>
          <w:sz w:val="21"/>
          <w:szCs w:val="21"/>
        </w:rPr>
        <w:t xml:space="preserve">, sea cual sea su cuantía.</w:t>
      </w:r>
    </w:p>
    <w:p>
      <w:pPr>
        <w:spacing w:after="140" w:line="276"/>
      </w:pPr>
      <w:r>
        <w:rPr>
          <w:rFonts w:ascii="Calibri" w:cs="Calibri" w:eastAsia="Calibri" w:hAnsi="Calibri"/>
          <w:sz w:val="21"/>
          <w:szCs w:val="21"/>
        </w:rPr>
        <w:t xml:space="preserve">El nivel es punto de partida, no decisión (Parte 0, §0.0, nota al índice de cláusulas), y el catálogo lo acota: ADM-9, ADM-11 y ADM-14 conservan sus condiciones propias; el bloque evolutivo que el nivel C añade (DT-7, DT-9 con el Anexo V, ADM-2) depende del acuerdo del órgano de gobierno y del Anexo V, hoy condiciones suspensivas (§M11, filas 1 y 2); y bajar de nivel no exige motivación (Parte I, §2.2, notas). </w:t>
      </w:r>
      <w:r>
        <w:rPr>
          <w:rFonts w:ascii="Calibri" w:cs="Calibri" w:eastAsia="Calibri" w:hAnsi="Calibri"/>
          <w:b/>
          <w:bCs/>
          <w:sz w:val="21"/>
          <w:szCs w:val="21"/>
        </w:rPr>
        <w:t xml:space="preserve">Lo que la criticidad trae no es el bloque evolutivo</w:t>
      </w:r>
      <w:r>
        <w:rPr>
          <w:rFonts w:ascii="Calibri" w:cs="Calibri" w:eastAsia="Calibri" w:hAnsi="Calibri"/>
          <w:sz w:val="21"/>
          <w:szCs w:val="21"/>
        </w:rPr>
        <w:t xml:space="preserve">: son los valores que el catálogo mueve «en categoría ALTA», «en servicios de disponibilidad crítica» o «en contratos de alta criticidad» (II.13; Anexo X, filas 11, 30, 32 y 39 a 42).</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3 · Selección coordinada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Decisión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o razón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Arrastra o exige (Anexo VI)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PPT cita normas y protocolos: no admite NA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exigen DT-7 y DT-9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IA (ep. 7). Los incisos que dependen del proyecto de Ley de la Administración Digital e Inteligencia Artificial de la Comunidad de Madrid (PL-11/2026, BOAM núm. 171, de 17 de septiembre de 2026), texto anexo al Acuerdo del Consejo de Gobierno de 9 de septiembre de 2026, llevan el corchete del catálogo «[si la entidad está sujeta a la Ley de la Administración Digital e Inteligencia Artificial de la Comunidad de Madrid o a norma autonómica equivalente]»; con su valor por defecto, «no sujeta» (Anexo X, fila 50), se suprimen (Anexo XI.4)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criterio E, L6, L11, G10–G12, G23–G25, M9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(§2.2): bastan la firma, el sello y el sellado ya disponibles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G13, M10, L7 (anclaje)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del ap. 1 y material criptográfico propio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L8, G14, M11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 perfil base, con procesos reales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criterio H, G15, M12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información (II.0); su exportación sostiene ADM-12 y la reversión (ep.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2 vacío: fuera DT-0 ap.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RD 311/2022; categoría resultante, motivada antes de aprobar (ep.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ella decae ADM-11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 gobierno y módulos del Apéndice técnico 2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ET-1 a ET-3, A, B, G19, M15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completa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ensayo: distingue la reversibilidad real de la declarada (ep.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exige ADM-11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contrastado; VE ≥ [100.000] € y ≥ [24] meses (ep. 7;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ADM-2, G2, G21, G22, M1, M2</w:t>
            </w:r>
          </w:p>
        </w:tc>
      </w:tr>
    </w:tbl>
    <w:p>
      <w:pPr>
        <w:spacing w:after="20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Decisión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o razón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Arrastra o exige (Anexo VI)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IA; modalidad B por defecto (ep. 7); con el criterio E, sólo sus letras a), d) y e), porque las b) y c) las puntúa E (VI.4.3; Anexo I, fila 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 NA no suprime E; con E, la B va sin b) ni c)</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DT-9; no con duración inferior a [24] meses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DT-9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sólo en desarrollo o mantenimiento (art. 308.3 LCSP)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criterio F; recálculo del 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62 LCSP; Comisión salvo &lt; [12] meses o &lt; [60.000] €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cierta de hitos y actas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(M4.2), con casillas y trasvase (ep.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Tipos de cláusulas NA, fuera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con presupuesto; B.1 según lo incorporado; B.2 no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exige declarar cesión o tratamiento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hay baremo (cierre de la Parte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ADM-9 y Anexo IV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Desarrollo o parametrización sustantiva (M4.2); si no, ap. 4 y 5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DT-1 ap.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igual o superior a [200.000] € y comprobación justificada en el expediente; nunca en la tramitación del art. 159.6 LCSP ni en el desarrollo a medida de una solución que no preexiste (apartado 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su criterio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DT-9; VE ≥ [100.000] € y ≥ [24] meses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L1, G9, B.2 h) e 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las cuatro circunstancias acumulativas de su apartado 1, acreditadas en la memoria: categoría ALTA en disponibilidad, valor estimado superior a [300.000] €, servicio de la lista de la letra c) y ninguna alternativa sustituible en menos de [6] meses (§2.1). Se incorpora en esta capa (§2.2, fila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DT-8 y partida del PBL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condiciones: que el adjudicatario opere el sistema —si los datos residen en sistemas de la entidad, basta dar usuario al interventor (ep. 7)—; que el sistema soporte información con reflejo presupuestario, contable o patrimonial (§M4.2); y que conste el informe firmado y fechado del órgano de control (ep. 3). La primera depende del perfil base (§2.3)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G6, M6, B.1 c)</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contratista trata información no pública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 G7, M5, B.1 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(ep.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su sumando del VE</w:t>
            </w:r>
          </w:p>
        </w:tc>
      </w:tr>
    </w:tbl>
    <w:p>
      <w:pPr>
        <w:spacing w:after="200"/>
      </w:pPr>
    </w:p>
    <w:p>
      <w:pPr>
        <w:spacing w:after="140" w:line="276"/>
      </w:pPr>
      <w:r>
        <w:rPr>
          <w:rFonts w:ascii="Calibri" w:cs="Calibri" w:eastAsia="Calibri" w:hAnsi="Calibri"/>
          <w:b/>
          <w:bCs/>
          <w:sz w:val="21"/>
          <w:szCs w:val="21"/>
        </w:rPr>
        <w:t xml:space="preserve">Recuento: 10 SÍ · 12 CONDICIONAL · 2 NO APLICA.</w:t>
      </w:r>
      <w:r>
        <w:rPr>
          <w:rFonts w:ascii="Calibri" w:cs="Calibri" w:eastAsia="Calibri" w:hAnsi="Calibri"/>
          <w:sz w:val="21"/>
          <w:szCs w:val="21"/>
        </w:rPr>
        <w:t xml:space="preserve"> Cuatro condicionales son de esta capa (DT-3, ADM-9, ADM-11, ADM-12); las otras ocho, del perfil base. Arrastres completos: Anexo VI.</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4 · Extracto para el Pliego de Prescripciones Técnicas</w:t>
      </w:r>
    </w:p>
    <w:p>
      <w:pPr>
        <w:pStyle w:val="Heading2"/>
        <w:keepNext/>
        <w:spacing w:after="140" w:before="320"/>
      </w:pPr>
      <w:r>
        <w:rPr>
          <w:rFonts w:ascii="Georgia" w:cs="Georgia" w:eastAsia="Georgia" w:hAnsi="Georgia"/>
          <w:b/>
          <w:bCs/>
          <w:color w:val="1F3864"/>
          <w:sz w:val="26"/>
          <w:szCs w:val="26"/>
        </w:rPr>
        <w:t xml:space="preserve">4.1 Composición</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Se reproducen los dos bloques del epígrafe: el primero va al PCAP (§5.1) y el segundo, al PPT.</w:t>
      </w:r>
    </w:p>
    <w:p>
      <w:pPr>
        <w:spacing w:after="140" w:line="276"/>
      </w:pPr>
      <w:r>
        <w:rPr>
          <w:rFonts w:ascii="Calibri" w:cs="Calibri" w:eastAsia="Calibri" w:hAnsi="Calibri"/>
          <w:i/>
          <w:iCs/>
          <w:sz w:val="21"/>
          <w:szCs w:val="21"/>
        </w:rPr>
        <w:t xml:space="preserve">Texto vigente de §7.10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Reglas de interpretación e integración de las cláusulas de contenido tecnológico.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se suprime este apartado y, en el apartado 4, se emplea la fórmula alternativa.]</w:t>
            </w:r>
            <w:r>
              <w:rPr>
                <w:rFonts w:ascii="Georgia" w:cs="Georgia" w:eastAsia="Georgia" w:hAnsi="Georgia"/>
                <w:sz w:val="20"/>
                <w:szCs w:val="20"/>
              </w:rPr>
              <w:t xml:space="preserve"> </w:t>
            </w:r>
            <w:r>
              <w:rPr>
                <w:rFonts w:ascii="Georgia" w:cs="Georgia" w:eastAsia="Georgia" w:hAnsi="Georgia"/>
                <w:b/>
                <w:bCs/>
                <w:sz w:val="20"/>
                <w:szCs w:val="20"/>
              </w:rPr>
              <w:t xml:space="preserve">1. Identificación.</w:t>
            </w:r>
            <w:r>
              <w:rPr>
                <w:rFonts w:ascii="Georgia" w:cs="Georgia" w:eastAsia="Georgia" w:hAnsi="Georgia"/>
                <w:sz w:val="20"/>
                <w:szCs w:val="20"/>
              </w:rPr>
              <w:t xml:space="preserve"> Las cláusulas de contenido tecnológico y de inteligencia artificial de este pliego y del Pliego de Prescripciones Técnicas proceden del Clausulado de Inteligencia Artificial y Deep Tech, versión [ ], aprobado por [órgano] con fecha [fecha]. Las referencias a códigos de cláusula (DT-n·v3, ADM-n·v3) se entienden hechas a dicha versión. La aprobación de versiones posteriores del clausulado no afecta a este contrato.</w:t>
            </w:r>
          </w:p>
          <w:p>
            <w:pPr>
              <w:spacing w:after="100" w:line="264"/>
            </w:pPr>
            <w:r>
              <w:rPr>
                <w:rFonts w:ascii="Georgia" w:cs="Georgia" w:eastAsia="Georgia" w:hAnsi="Georgia"/>
                <w:b/>
                <w:bCs/>
                <w:sz w:val="20"/>
                <w:szCs w:val="20"/>
              </w:rPr>
              <w:t xml:space="preserve">2. Prevalencia funcional y equivalencia.</w:t>
            </w:r>
            <w:r>
              <w:rPr>
                <w:rFonts w:ascii="Georgia" w:cs="Georgia" w:eastAsia="Georgia" w:hAnsi="Georgia"/>
                <w:sz w:val="20"/>
                <w:szCs w:val="20"/>
              </w:rPr>
              <w:t xml:space="preserve"> Las prescripciones técnicas de este contrato se formulan en términos de rendimiento y de exigencias funcionales. Cuando este pliego o el de prescripciones técnicas mencionen un producto, marca, red, infraestructura, protocolo o metodología determinados, la mención se entiende efectuada a título ilustrativo y acompañada de la expresión «o equivalente». En caso de contradicción entre esa mención y la formulación funcional de la misma exigencia, prevalece la formulación funcional. El licitador que oferte una solución equivalente deberá acreditarlo en su oferta, por cualquier medio adecuado, conforme a los artículos 126.8 y 128.2 de la Ley 9/2017, de 8 de noviembre; el órgano de contratación motivará por escrito, en su caso, el rechazo de la equivalencia. Se exceptúan de esta regla los servicios comunes de obligada utilización relacionados en la cláusula [DT-5·v3], apartado 2, del Pliego de Prescripciones Técnicas, que no admiten solución equivalente, y las normas y reglamentos técnicos de obligado cumplimiento.</w:t>
            </w:r>
          </w:p>
          <w:p>
            <w:pPr>
              <w:spacing w:after="100" w:line="264"/>
            </w:pPr>
            <w:r>
              <w:rPr>
                <w:rFonts w:ascii="Georgia" w:cs="Georgia" w:eastAsia="Georgia" w:hAnsi="Georgia"/>
                <w:b/>
                <w:bCs/>
                <w:sz w:val="20"/>
                <w:szCs w:val="20"/>
              </w:rPr>
              <w:t xml:space="preserve">3. Alcance de las obligaciones de evolución tecnológica.</w:t>
            </w:r>
            <w:r>
              <w:rPr>
                <w:rFonts w:ascii="Georgia" w:cs="Georgia" w:eastAsia="Georgia" w:hAnsi="Georgia"/>
                <w:sz w:val="20"/>
                <w:szCs w:val="20"/>
              </w:rPr>
              <w:t xml:space="preserve"> Las obligaciones de evolución tecnológica del contratista se agotan en las exigencias relacionadas en el Anexo [V] del Pliego de Prescripciones Técnicas, en los plazos y con los criterios de aceptación que en él se establecen, y en la puesta a disposición de las versiones sucesoras del producto contratado. Fuera de dichas exigencias no existe obligación de incorporar tecnologías, funcionalidades o prestaciones distintas al amparo de este contrato. Toda ampliación se tramitará conforme a los artículos 203 y 204 de la Ley 9/2017 o se incorporará a una licitación posterior. </w:t>
            </w:r>
            <w:r>
              <w:rPr>
                <w:rFonts w:ascii="Georgia" w:cs="Georgia" w:eastAsia="Georgia" w:hAnsi="Georgia"/>
                <w:i/>
                <w:iCs/>
                <w:sz w:val="20"/>
                <w:szCs w:val="20"/>
              </w:rPr>
              <w:t xml:space="preserve">[Si el pliego no incorpora la cláusula DT-9·v3, no hay Anexo de Exigencias Tecnológicas Determinadas ni versiones sucesoras exigibles por esa cláusula, y este apartado dice: «</w:t>
            </w:r>
            <w:r>
              <w:rPr>
                <w:rFonts w:ascii="Georgia" w:cs="Georgia" w:eastAsia="Georgia" w:hAnsi="Georgia"/>
                <w:i/>
                <w:iCs/>
                <w:sz w:val="20"/>
                <w:szCs w:val="20"/>
              </w:rPr>
              <w:t xml:space="preserve">3. Alcance de las obligaciones de evolución tecnológica.</w:t>
            </w:r>
            <w:r>
              <w:rPr>
                <w:rFonts w:ascii="Georgia" w:cs="Georgia" w:eastAsia="Georgia" w:hAnsi="Georgia"/>
                <w:sz w:val="20"/>
                <w:szCs w:val="20"/>
              </w:rPr>
              <w:t xml:space="preserve">* Este contrato no incorpora Anexo de Exigencias Tecnológicas Determinadas. El contratista no está obligado a incorporar tecnologías, funcionalidades o prestaciones distintas de las descritas en el Pliego de Prescripciones Técnicas, en los plazos que en él se establecen. Toda ampliación se tramitará conforme a los artículos 203 y 204 de la Ley 9/2017 o se incorporará a una licitación posterior.»]*</w:t>
            </w:r>
          </w:p>
          <w:p>
            <w:pPr>
              <w:spacing w:after="100" w:line="264"/>
            </w:pPr>
            <w:r>
              <w:rPr>
                <w:rFonts w:ascii="Georgia" w:cs="Georgia" w:eastAsia="Georgia" w:hAnsi="Georgia"/>
                <w:b/>
                <w:bCs/>
                <w:sz w:val="20"/>
                <w:szCs w:val="20"/>
              </w:rPr>
              <w:t xml:space="preserve">4. Obligaciones esenciales.</w:t>
            </w:r>
            <w:r>
              <w:rPr>
                <w:rFonts w:ascii="Georgia" w:cs="Georgia" w:eastAsia="Georgia" w:hAnsi="Georgia"/>
                <w:sz w:val="20"/>
                <w:szCs w:val="20"/>
              </w:rPr>
              <w:t xml:space="preserve"> Únicamente tienen el carácter de obligación contractual esencial, a los efectos de la letra f) del apartado 1 del artículo 211 de la Ley 9/2017, los incumplimientos enumerados de manera expresa en la cláusula [ADM-6·v3] de este pliego. Ninguna otra de las obligaciones incorporadas en virtud del clausulado identificado en el apartado 1 </w:t>
            </w:r>
            <w:r>
              <w:rPr>
                <w:rFonts w:ascii="Georgia" w:cs="Georgia" w:eastAsia="Georgia" w:hAnsi="Georgia"/>
                <w:i/>
                <w:iCs/>
                <w:sz w:val="20"/>
                <w:szCs w:val="20"/>
              </w:rPr>
              <w:t xml:space="preserve">[si se ha suprimido el apartado 1: «Ninguna otra de las obligaciones de contenido tecnológico de este pliego y del de prescripciones técnicas»]</w:t>
            </w:r>
            <w:r>
              <w:rPr>
                <w:rFonts w:ascii="Georgia" w:cs="Georgia" w:eastAsia="Georgia" w:hAnsi="Georgia"/>
                <w:sz w:val="20"/>
                <w:szCs w:val="20"/>
              </w:rPr>
              <w:t xml:space="preserve"> tiene carácter esencial. Lo anterior se entiende sin perjuicio de las demás obligaciones que este pliego califique expresamente como esenciales por otro título y de las que deban ser calificadas como tales por mandato legal.</w:t>
            </w:r>
          </w:p>
          <w:p>
            <w:pPr>
              <w:spacing w:after="100" w:line="264"/>
            </w:pPr>
            <w:r>
              <w:rPr>
                <w:rFonts w:ascii="Georgia" w:cs="Georgia" w:eastAsia="Georgia" w:hAnsi="Georgia"/>
                <w:b/>
                <w:bCs/>
                <w:sz w:val="20"/>
                <w:szCs w:val="20"/>
              </w:rPr>
              <w:t xml:space="preserve">5. Separación de instrumentos.</w:t>
            </w:r>
            <w:r>
              <w:rPr>
                <w:rFonts w:ascii="Georgia" w:cs="Georgia" w:eastAsia="Georgia" w:hAnsi="Georgia"/>
                <w:sz w:val="20"/>
                <w:szCs w:val="20"/>
              </w:rPr>
              <w:t xml:space="preserve"> Las prestaciones exigidas en este contrato como prescripción técnica de obligado cumplimiento, como requisito de solvencia o como medio que el adjudicatario deba adscribir a la ejecución, no son objeto de valoración como criterio de adjudicación. Los criterios de adjudicación de este pliego valoran exclusivamente prestaciones adicionales o niveles de calidad superiores al mínimo exigido, en los términos que para cada criterio se establecen.</w:t>
            </w:r>
          </w:p>
          <w:p>
            <w:pPr>
              <w:spacing w:after="100" w:line="264"/>
            </w:pPr>
            <w:r>
              <w:rPr>
                <w:rFonts w:ascii="Georgia" w:cs="Georgia" w:eastAsia="Georgia" w:hAnsi="Georgia"/>
                <w:b/>
                <w:bCs/>
                <w:sz w:val="20"/>
                <w:szCs w:val="20"/>
              </w:rPr>
              <w:t xml:space="preserve">6. Separabilidad.</w:t>
            </w:r>
            <w:r>
              <w:rPr>
                <w:rFonts w:ascii="Georgia" w:cs="Georgia" w:eastAsia="Georgia" w:hAnsi="Georgia"/>
                <w:sz w:val="20"/>
                <w:szCs w:val="20"/>
              </w:rPr>
              <w:t xml:space="preserve"> La declaración de nulidad o la anulación de alguna de las cláusulas de contenido tecnológico de este pliego o del de prescripciones técnicas no afectará a la validez y eficacia de las restantes, salvo que la cláusula afectada constituya presupuesto necesario de otra, en cuyo caso decaerá igualmente esta última. Esta previsión no altera las ponderaciones de los criterios de adjudicación publicadas en este pliego, que no serán objeto de reescalado.</w:t>
            </w:r>
          </w:p>
          <w:p>
            <w:pPr>
              <w:spacing w:after="100" w:line="264"/>
            </w:pPr>
            <w:r>
              <w:rPr>
                <w:rFonts w:ascii="Georgia" w:cs="Georgia" w:eastAsia="Georgia" w:hAnsi="Georgia"/>
                <w:b/>
                <w:bCs/>
                <w:sz w:val="20"/>
                <w:szCs w:val="20"/>
              </w:rPr>
              <w:t xml:space="preserve">7. Valor de los principios.</w:t>
            </w:r>
            <w:r>
              <w:rPr>
                <w:rFonts w:ascii="Georgia" w:cs="Georgia" w:eastAsia="Georgia" w:hAnsi="Georgia"/>
                <w:sz w:val="20"/>
                <w:szCs w:val="20"/>
              </w:rPr>
              <w:t xml:space="preserve"> Los principios enunciados en [apartado del pliego] tienen valor interpretativo. No constituyen por sí solos obligaciones exigibles al contratista ni pueden fundar la imposición de penalidades ni la resolución del contrato. Las obligaciones del contratista son, exclusivamente, las expresamente establecidas en las cláusulas de este pliego y del Pliego de Prescripciones Técnicas.</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Interpretación de las prescripciones técnicas de contenido tecnológico.</w:t>
            </w:r>
          </w:p>
          <w:p>
            <w:pPr>
              <w:spacing w:after="100" w:line="264"/>
            </w:pPr>
            <w:r>
              <w:rPr>
                <w:rFonts w:ascii="Georgia" w:cs="Georgia" w:eastAsia="Georgia" w:hAnsi="Georgia"/>
                <w:b/>
                <w:bCs/>
                <w:sz w:val="20"/>
                <w:szCs w:val="20"/>
              </w:rPr>
              <w:t xml:space="preserve">1.</w:t>
            </w:r>
            <w:r>
              <w:rPr>
                <w:rFonts w:ascii="Georgia" w:cs="Georgia" w:eastAsia="Georgia" w:hAnsi="Georgia"/>
                <w:sz w:val="20"/>
                <w:szCs w:val="20"/>
              </w:rPr>
              <w:t xml:space="preserve"> Las prescripciones técnicas de este pliego relativas a inteligencia artificial, automatización, interoperabilidad, seguridad, servicios de confianza y reversibilidad se formulan en términos de rendimiento y de exigencias funcionales, conforme al artículo 126.5.a) de la Ley 9/2017, de 8 de noviembre. Toda mención a un producto, marca, red, infraestructura, protocolo o metodología determinados se entiende acompañada de la expresión «o equivalente» y no constituye medio de presunción de conformidad; el cumplimiento se acredita respecto de las exigencias funcionales de la cláusula correspondiente. Se exceptúan los servicios comunes de obligada utilización relacionados en la cláusula [DT-5·v3], apartado 2, que no admiten solución equivalente.</w:t>
            </w:r>
          </w:p>
          <w:p>
            <w:pPr>
              <w:spacing w:after="100" w:line="264"/>
            </w:pPr>
            <w:r>
              <w:rPr>
                <w:rFonts w:ascii="Georgia" w:cs="Georgia" w:eastAsia="Georgia" w:hAnsi="Georgia"/>
                <w:b/>
                <w:bCs/>
                <w:sz w:val="20"/>
                <w:szCs w:val="20"/>
              </w:rPr>
              <w:t xml:space="preserve">2.</w:t>
            </w:r>
            <w:r>
              <w:rPr>
                <w:rFonts w:ascii="Georgia" w:cs="Georgia" w:eastAsia="Georgia" w:hAnsi="Georgia"/>
                <w:sz w:val="20"/>
                <w:szCs w:val="20"/>
              </w:rPr>
              <w:t xml:space="preserve"> Las definiciones aplicables a estas prescripciones son las contenidas en el apartado [ ] de este pliego. En caso de discrepancia entre una definición y el texto de una cláusula, prevalece el texto de la cláusula.</w:t>
            </w:r>
          </w:p>
          <w:p>
            <w:pPr>
              <w:spacing w:after="100" w:line="264"/>
            </w:pPr>
            <w:r>
              <w:rPr>
                <w:rFonts w:ascii="Georgia" w:cs="Georgia" w:eastAsia="Georgia" w:hAnsi="Georgia"/>
                <w:b/>
                <w:bCs/>
                <w:sz w:val="20"/>
                <w:szCs w:val="20"/>
              </w:rPr>
              <w:t xml:space="preserve">3.</w:t>
            </w:r>
            <w:r>
              <w:rPr>
                <w:rFonts w:ascii="Georgia" w:cs="Georgia" w:eastAsia="Georgia" w:hAnsi="Georgia"/>
                <w:sz w:val="20"/>
                <w:szCs w:val="20"/>
              </w:rPr>
              <w:t xml:space="preserve"> Las obligaciones de evolución tecnológica se agotan en el Anexo [V] de este pliego, que se incorpora físicamente a él con número de versión y fecha y permanece invariable durante toda la vigencia del contrato y de sus prórrogas. Las revisiones posteriores del catálogo municipal de exigencias tecnológicas no producen efectos sobre este contrato. </w:t>
            </w:r>
            <w:r>
              <w:rPr>
                <w:rFonts w:ascii="Georgia" w:cs="Georgia" w:eastAsia="Georgia" w:hAnsi="Georgia"/>
                <w:i/>
                <w:iCs/>
                <w:sz w:val="20"/>
                <w:szCs w:val="20"/>
              </w:rPr>
              <w:t xml:space="preserve">[Si el pliego no incorpora la cláusula DT-9·v3, este apartado se suprime: el alcance de las obligaciones de evolución tecnológica lo fija el apartado 3 de la cláusula de interpretación del pliego de cláusulas administrativas particulares, en su redacción alternativa.]</w:t>
            </w:r>
          </w:p>
        </w:tc>
      </w:tr>
    </w:tbl>
    <w:p>
      <w:pPr>
        <w:spacing w:after="220"/>
      </w:pPr>
    </w:p>
    <w:p>
      <w:pPr>
        <w:spacing w:after="140" w:line="276"/>
      </w:pPr>
      <w:r>
        <w:rPr>
          <w:rFonts w:ascii="Calibri" w:cs="Calibri" w:eastAsia="Calibri" w:hAnsi="Calibri"/>
          <w:i/>
          <w:iCs/>
          <w:sz w:val="21"/>
          <w:szCs w:val="21"/>
        </w:rPr>
        <w:t xml:space="preserve">Apartado 3 de los dos bloques.</w:t>
      </w:r>
      <w:r>
        <w:rPr>
          <w:rFonts w:ascii="Calibri" w:cs="Calibri" w:eastAsia="Calibri" w:hAnsi="Calibri"/>
          <w:sz w:val="21"/>
          <w:szCs w:val="21"/>
        </w:rPr>
        <w:t xml:space="preserve"> Remite al Anexo [V] del pliego. Si el pliego no incorpora DT-9·v3, el bloque del PCAP trae entre corchetes la redacción alternativa del apartado, que conserva el agotamiento y la tramitación de toda ampliación por los artículos 203 y 204 LCSP, y en el del PPT el apartado se suprime (Parte I, §7.10; Anexo VI, fila DT-9·v3).</w:t>
      </w:r>
    </w:p>
    <w:p>
      <w:pPr>
        <w:spacing w:after="140" w:line="276"/>
      </w:pPr>
      <w:r>
        <w:rPr>
          <w:rFonts w:ascii="Calibri" w:cs="Calibri" w:eastAsia="Calibri" w:hAnsi="Calibri"/>
          <w:b/>
          <w:bCs/>
          <w:sz w:val="21"/>
          <w:szCs w:val="21"/>
        </w:rPr>
        <w:t xml:space="preserve">Referencias técnicas no normativas</w:t>
      </w:r>
      <w:r>
        <w:rPr>
          <w:rFonts w:ascii="Calibri" w:cs="Calibri" w:eastAsia="Calibri" w:hAnsi="Calibri"/>
          <w:sz w:val="21"/>
          <w:szCs w:val="21"/>
        </w:rPr>
        <w:t xml:space="preserve"> (§4.2), sólo si el PPT menciona un protocolo, una especificación, una infraestructura o una red.</w:t>
      </w:r>
    </w:p>
    <w:p>
      <w:pPr>
        <w:spacing w:after="140" w:line="276"/>
      </w:pPr>
      <w:r>
        <w:rPr>
          <w:rFonts w:ascii="Calibri" w:cs="Calibri" w:eastAsia="Calibri" w:hAnsi="Calibri"/>
          <w:i/>
          <w:iCs/>
          <w:sz w:val="21"/>
          <w:szCs w:val="21"/>
        </w:rPr>
        <w:t xml:space="preserve">Texto vigente de §4.2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Referencias técnicas no normativas.</w:t>
            </w:r>
            <w:r>
              <w:rPr>
                <w:rFonts w:ascii="Georgia" w:cs="Georgia" w:eastAsia="Georgia" w:hAnsi="Georgia"/>
                <w:sz w:val="20"/>
                <w:szCs w:val="20"/>
              </w:rPr>
              <w:t xml:space="preserve"> Las prescripciones técnicas de este pliego se formulan en términos de rendimiento y de exigencias funcionales, conforme al artículo 126.5.a) de la Ley 9/2017, de 8 de noviembre, de Contratos del Sector Público. Cuando este pliego mencione un protocolo, una especificación, una infraestructura o una red determinados, la mención se efectúa a título ilustrativo del estado del arte, se entiende acompañada de la expresión «o equivalente» y </w:t>
            </w:r>
            <w:r>
              <w:rPr>
                <w:rFonts w:ascii="Georgia" w:cs="Georgia" w:eastAsia="Georgia" w:hAnsi="Georgia"/>
                <w:b/>
                <w:bCs/>
                <w:sz w:val="20"/>
                <w:szCs w:val="20"/>
              </w:rPr>
              <w:t xml:space="preserve">no constituye medio de presunción de conformidad</w:t>
            </w:r>
            <w:r>
              <w:rPr>
                <w:rFonts w:ascii="Georgia" w:cs="Georgia" w:eastAsia="Georgia" w:hAnsi="Georgia"/>
                <w:sz w:val="20"/>
                <w:szCs w:val="20"/>
              </w:rPr>
              <w:t xml:space="preserve"> ni sustituye a la acreditación de las exigencias funcionales establecidas en la cláusula correspondiente. El cumplimiento se acredita respecto de dichas exigencias funcionales, cualquiera que sea la solución técnica empleada.</w:t>
            </w:r>
          </w:p>
        </w:tc>
      </w:tr>
    </w:tbl>
    <w:p>
      <w:pPr>
        <w:spacing w:after="220"/>
      </w:pPr>
    </w:p>
    <w:p>
      <w:pPr>
        <w:spacing w:after="140" w:line="276"/>
      </w:pPr>
      <w:r>
        <w:rPr>
          <w:rFonts w:ascii="Calibri" w:cs="Calibri" w:eastAsia="Calibri" w:hAnsi="Calibri"/>
          <w:b/>
          <w:bCs/>
          <w:sz w:val="21"/>
          <w:szCs w:val="21"/>
        </w:rPr>
        <w:t xml:space="preserve">Definiciones</w:t>
      </w:r>
      <w:r>
        <w:rPr>
          <w:rFonts w:ascii="Calibri" w:cs="Calibri" w:eastAsia="Calibri" w:hAnsi="Calibri"/>
          <w:sz w:val="21"/>
          <w:szCs w:val="21"/>
        </w:rPr>
        <w:t xml:space="preserve"> (§5.2), recortadas a las que sirvan a lo incorporado: a), d) y g) siempre; b) con desarrollo específico; c) con el Inventario de DT-8·v3; e) con DT-9, ADM-2 o ADM-10; f) y m) con el Anexo V; h) con DT-7; i) con DT-1, ADM-1 o ADM-13; j) con DT-7 o si la solución emplea agentes; k) y l) con ADM-13. En este perfil, al menos a), b), c), d), g), k) y l).</w:t>
      </w:r>
    </w:p>
    <w:p>
      <w:pPr>
        <w:spacing w:after="140" w:line="276"/>
      </w:pPr>
      <w:r>
        <w:rPr>
          <w:rFonts w:ascii="Calibri" w:cs="Calibri" w:eastAsia="Calibri" w:hAnsi="Calibri"/>
          <w:i/>
          <w:iCs/>
          <w:sz w:val="21"/>
          <w:szCs w:val="21"/>
        </w:rPr>
        <w:t xml:space="preserve">Texto vigente de §5.2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Definiciones.</w:t>
            </w:r>
            <w:r>
              <w:rPr>
                <w:rFonts w:ascii="Georgia" w:cs="Georgia" w:eastAsia="Georgia" w:hAnsi="Georgia"/>
                <w:sz w:val="20"/>
                <w:szCs w:val="20"/>
              </w:rPr>
              <w:t xml:space="preserve"> A los efectos de este pliego se entiende por:</w:t>
            </w:r>
          </w:p>
          <w:p>
            <w:pPr>
              <w:spacing w:after="100" w:line="264"/>
            </w:pPr>
            <w:r>
              <w:rPr>
                <w:rFonts w:ascii="Georgia" w:cs="Georgia" w:eastAsia="Georgia" w:hAnsi="Georgia"/>
                <w:b/>
                <w:bCs/>
                <w:sz w:val="20"/>
                <w:szCs w:val="20"/>
              </w:rPr>
              <w:t xml:space="preserve">a) Producto base o estándar.</w:t>
            </w:r>
            <w:r>
              <w:rPr>
                <w:rFonts w:ascii="Georgia" w:cs="Georgia" w:eastAsia="Georgia" w:hAnsi="Georgia"/>
                <w:sz w:val="20"/>
                <w:szCs w:val="20"/>
              </w:rPr>
              <w:t xml:space="preserve"> El programa de ordenador, propiedad del adjudicatario o de un tercero licenciante, que se comercializa con anterioridad e independencia de este contrato, con sus actualizaciones y versiones sucesoras. No forma parte del producto base la parametrización, configuración o desarrollo realizados para el Ayuntamiento.</w:t>
            </w:r>
          </w:p>
          <w:p>
            <w:pPr>
              <w:spacing w:after="100" w:line="264"/>
            </w:pPr>
            <w:r>
              <w:rPr>
                <w:rFonts w:ascii="Georgia" w:cs="Georgia" w:eastAsia="Georgia" w:hAnsi="Georgia"/>
                <w:b/>
                <w:bCs/>
                <w:sz w:val="20"/>
                <w:szCs w:val="20"/>
              </w:rPr>
              <w:t xml:space="preserve">b) Desarrollo específico.</w:t>
            </w:r>
            <w:r>
              <w:rPr>
                <w:rFonts w:ascii="Georgia" w:cs="Georgia" w:eastAsia="Georgia" w:hAnsi="Georgia"/>
                <w:sz w:val="20"/>
                <w:szCs w:val="20"/>
              </w:rPr>
              <w:t xml:space="preserve"> El código, las reglas de negocio, los algoritmos de cálculo o de decisión, los flujos, las integraciones, las plantillas, los modelos ajustados con datos municipales y la documentación técnica correspondiente, diseñados o realizados específicamente para el Ayuntamiento en ejecución de este contrato, cualquiera que sea el soporte y comprendidos tanto el código fuente como el código objeto.</w:t>
            </w:r>
          </w:p>
          <w:p>
            <w:pPr>
              <w:spacing w:after="100" w:line="264"/>
            </w:pPr>
            <w:r>
              <w:rPr>
                <w:rFonts w:ascii="Georgia" w:cs="Georgia" w:eastAsia="Georgia" w:hAnsi="Georgia"/>
                <w:b/>
                <w:bCs/>
                <w:sz w:val="20"/>
                <w:szCs w:val="20"/>
              </w:rPr>
              <w:t xml:space="preserve">c) Inventario de Componentes.</w:t>
            </w:r>
            <w:r>
              <w:rPr>
                <w:rFonts w:ascii="Georgia" w:cs="Georgia" w:eastAsia="Georgia" w:hAnsi="Georgia"/>
                <w:sz w:val="20"/>
                <w:szCs w:val="20"/>
              </w:rPr>
              <w:t xml:space="preserve"> Relación, mantenida y actualizada por el adjudicatario desde el inicio de la ejecución y entregada al Ayuntamiento con la periodicidad que este pliego establece, que identifica y separa: el producto base; los desarrollos específicos; los componentes de terceros integrados, con su licencia y versión; y las configuraciones y parametrizaciones. Su función es delimitar, en cualquier momento de la ejecución, el objeto de la obligación de reversibilidad.</w:t>
            </w:r>
          </w:p>
          <w:p>
            <w:pPr>
              <w:spacing w:after="100" w:line="264"/>
            </w:pPr>
            <w:r>
              <w:rPr>
                <w:rFonts w:ascii="Georgia" w:cs="Georgia" w:eastAsia="Georgia" w:hAnsi="Georgia"/>
                <w:b/>
                <w:bCs/>
                <w:sz w:val="20"/>
                <w:szCs w:val="20"/>
              </w:rPr>
              <w:t xml:space="preserve">d) Reversibilidad.</w:t>
            </w:r>
            <w:r>
              <w:rPr>
                <w:rFonts w:ascii="Georgia" w:cs="Georgia" w:eastAsia="Georgia" w:hAnsi="Georgia"/>
                <w:sz w:val="20"/>
                <w:szCs w:val="20"/>
              </w:rPr>
              <w:t xml:space="preserve"> Conjunto de obligaciones del adjudicatario dirigidas a que el Ayuntamiento pueda continuar prestando el servicio por sí o por medio de otro contratista al término del contrato. Comprende la entrega ordenada, sin coste adicional y en formato abierto, reutilizable y documentado, de los datos y del material de titularidad municipal; la asistencia durante el período de transición; y, cuando el sistema no pueda operarse sin el producto base, una licencia de uso transitoria de éste, limitada a la finalidad de continuidad y migración, por plazo de </w:t>
            </w:r>
            <w:r>
              <w:rPr>
                <w:rFonts w:ascii="Georgia" w:cs="Georgia" w:eastAsia="Georgia" w:hAnsi="Georgia"/>
                <w:b/>
                <w:bCs/>
                <w:sz w:val="20"/>
                <w:szCs w:val="20"/>
              </w:rPr>
              <w:t xml:space="preserve">[X; se recomienda 6] meses</w:t>
            </w:r>
            <w:r>
              <w:rPr>
                <w:rFonts w:ascii="Georgia" w:cs="Georgia" w:eastAsia="Georgia" w:hAnsi="Georgia"/>
                <w:sz w:val="20"/>
                <w:szCs w:val="20"/>
              </w:rPr>
              <w:t xml:space="preserve"> a contar desde la extinción del contrato. El contenido concreto de la entrega, su alcance y sus plazos son los que establece la cláusula </w:t>
            </w:r>
            <w:r>
              <w:rPr>
                <w:rFonts w:ascii="Georgia" w:cs="Georgia" w:eastAsia="Georgia" w:hAnsi="Georgia"/>
                <w:b/>
                <w:bCs/>
                <w:sz w:val="20"/>
                <w:szCs w:val="20"/>
              </w:rPr>
              <w:t xml:space="preserve">[DT-8·v3], apartado 1</w:t>
            </w:r>
            <w:r>
              <w:rPr>
                <w:rFonts w:ascii="Georgia" w:cs="Georgia" w:eastAsia="Georgia" w:hAnsi="Georgia"/>
                <w:sz w:val="20"/>
                <w:szCs w:val="20"/>
              </w:rPr>
              <w:t xml:space="preserve">; los límites de la obligación en materia de derechos de propiedad intelectual, y en particular sobre el código fuente del producto base y el de terceros licenciantes, son los que establece la cláusula </w:t>
            </w:r>
            <w:r>
              <w:rPr>
                <w:rFonts w:ascii="Georgia" w:cs="Georgia" w:eastAsia="Georgia" w:hAnsi="Georgia"/>
                <w:b/>
                <w:bCs/>
                <w:sz w:val="20"/>
                <w:szCs w:val="20"/>
              </w:rPr>
              <w:t xml:space="preserve">[ADM-8·v3], apartado 4</w:t>
            </w:r>
            <w:r>
              <w:rPr>
                <w:rFonts w:ascii="Georgia" w:cs="Georgia" w:eastAsia="Georgia" w:hAnsi="Georgia"/>
                <w:sz w:val="20"/>
                <w:szCs w:val="20"/>
              </w:rPr>
              <w:t xml:space="preserve">. La devolución o supresión de los datos personales se regirá por lo previsto en el artículo 28.3.g) del Reglamento (UE) 2016/679.</w:t>
            </w:r>
          </w:p>
          <w:p>
            <w:pPr>
              <w:spacing w:after="100" w:line="264"/>
            </w:pPr>
            <w:r>
              <w:rPr>
                <w:rFonts w:ascii="Georgia" w:cs="Georgia" w:eastAsia="Georgia" w:hAnsi="Georgia"/>
                <w:b/>
                <w:bCs/>
                <w:sz w:val="20"/>
                <w:szCs w:val="20"/>
              </w:rPr>
              <w:t xml:space="preserve">e) Versión sucesora.</w:t>
            </w:r>
            <w:r>
              <w:rPr>
                <w:rFonts w:ascii="Georgia" w:cs="Georgia" w:eastAsia="Georgia" w:hAnsi="Georgia"/>
                <w:sz w:val="20"/>
                <w:szCs w:val="20"/>
              </w:rPr>
              <w:t xml:space="preserve"> La versión del producto base que, con independencia de su denominación comercial, presente continuidad funcional con el producto contratado, lo sustituya en el catálogo del fabricante o cuente con una ruta de migración ofrecida por el propio fabricante. La concurrencia de cualquiera de estas tres circunstancias se acredita mediante documentación del fabricante.</w:t>
            </w:r>
          </w:p>
          <w:p>
            <w:pPr>
              <w:spacing w:after="100" w:line="264"/>
            </w:pPr>
            <w:r>
              <w:rPr>
                <w:rFonts w:ascii="Georgia" w:cs="Georgia" w:eastAsia="Georgia" w:hAnsi="Georgia"/>
                <w:b/>
                <w:bCs/>
                <w:sz w:val="20"/>
                <w:szCs w:val="20"/>
              </w:rPr>
              <w:t xml:space="preserve">f) Obsolescencia tecnológica.</w:t>
            </w:r>
            <w:r>
              <w:rPr>
                <w:rFonts w:ascii="Georgia" w:cs="Georgia" w:eastAsia="Georgia" w:hAnsi="Georgia"/>
                <w:sz w:val="20"/>
                <w:szCs w:val="20"/>
              </w:rPr>
              <w:t xml:space="preserve"> A los efectos de este contrato, se entiende producida cuando concurra alguna de estas dos circunstancias, y sólo ellas: (i) que el adjudicatario no haya implantado, en el plazo establecido, una exigencia de las relacionadas en el Anexo [V] de este pliego; o (ii) que no haya puesto a disposición del Ayuntamiento, en el plazo comprometido, una versión sucesora del producto contratado. Fuera de estos dos supuestos no existe obligación de evolución exigible al amparo de este pliego. La calificación de estos incumplimientos y sus consecuencias son las que expresamente establece la cláusula [ADM-6·v3].</w:t>
            </w:r>
          </w:p>
          <w:p>
            <w:pPr>
              <w:spacing w:after="100" w:line="264"/>
            </w:pPr>
            <w:r>
              <w:rPr>
                <w:rFonts w:ascii="Georgia" w:cs="Georgia" w:eastAsia="Georgia" w:hAnsi="Georgia"/>
                <w:b/>
                <w:bCs/>
                <w:sz w:val="20"/>
                <w:szCs w:val="20"/>
              </w:rPr>
              <w:t xml:space="preserve">g) Solución equivalente.</w:t>
            </w:r>
            <w:r>
              <w:rPr>
                <w:rFonts w:ascii="Georgia" w:cs="Georgia" w:eastAsia="Georgia" w:hAnsi="Georgia"/>
                <w:sz w:val="20"/>
                <w:szCs w:val="20"/>
              </w:rPr>
              <w:t xml:space="preserve"> La que cumple de forma equivalente los requisitos funcionales exigidos en este pliego, conforme a los artículos 126.7 y 126.8 de la Ley 9/2017. La equivalencia se aprecia respecto de las exigencias funcionales expresadas en la cláusula correspondiente, y no respecto de un producto, marca, protocolo o infraestructura determinados. Corresponde al licitador acreditarla en su oferta, por cualquier medio adecuado, incluidos los medios de prueba supletorios admitidos por el artículo 128.2. El régimen y el trámite de acreditación son los de la cláusula [DT-0·v3].</w:t>
            </w:r>
          </w:p>
          <w:p>
            <w:pPr>
              <w:spacing w:after="100" w:line="264"/>
            </w:pPr>
            <w:r>
              <w:rPr>
                <w:rFonts w:ascii="Georgia" w:cs="Georgia" w:eastAsia="Georgia" w:hAnsi="Georgia"/>
                <w:b/>
                <w:bCs/>
                <w:sz w:val="20"/>
                <w:szCs w:val="20"/>
              </w:rPr>
              <w:t xml:space="preserve">h) Interfaz normalizada de acceso programático.</w:t>
            </w:r>
            <w:r>
              <w:rPr>
                <w:rFonts w:ascii="Georgia" w:cs="Georgia" w:eastAsia="Georgia" w:hAnsi="Georgia"/>
                <w:sz w:val="20"/>
                <w:szCs w:val="20"/>
              </w:rPr>
              <w:t xml:space="preserve"> Interfaz documentada, versionada, autenticada y auditable que expone de forma segura, para su consulta y, cuando el pliego lo prevea, para su operación, los datos y funciones de los módulos identificados en este pliego, con control de acceso diferenciado por módulo, por operación y por ámbito de datos, y con registro de auditoría de las consultas y acciones realizadas. La obligación se define por estas capacidades funcionales, cualquiera que sea el protocolo empleado para prestarlas.</w:t>
            </w:r>
          </w:p>
          <w:p>
            <w:pPr>
              <w:spacing w:after="100" w:line="264"/>
            </w:pPr>
            <w:r>
              <w:rPr>
                <w:rFonts w:ascii="Georgia" w:cs="Georgia" w:eastAsia="Georgia" w:hAnsi="Georgia"/>
                <w:b/>
                <w:bCs/>
                <w:sz w:val="20"/>
                <w:szCs w:val="20"/>
              </w:rPr>
              <w:t xml:space="preserve">i) Sistema de IA</w:t>
            </w:r>
            <w:r>
              <w:rPr>
                <w:rFonts w:ascii="Georgia" w:cs="Georgia" w:eastAsia="Georgia" w:hAnsi="Georgia"/>
                <w:sz w:val="20"/>
                <w:szCs w:val="20"/>
              </w:rPr>
              <w:t xml:space="preserve"> y </w:t>
            </w:r>
            <w:r>
              <w:rPr>
                <w:rFonts w:ascii="Georgia" w:cs="Georgia" w:eastAsia="Georgia" w:hAnsi="Georgia"/>
                <w:b/>
                <w:bCs/>
                <w:sz w:val="20"/>
                <w:szCs w:val="20"/>
              </w:rPr>
              <w:t xml:space="preserve">sistema de IA de alto riesgo.</w:t>
            </w:r>
            <w:r>
              <w:rPr>
                <w:rFonts w:ascii="Georgia" w:cs="Georgia" w:eastAsia="Georgia" w:hAnsi="Georgia"/>
                <w:sz w:val="20"/>
                <w:szCs w:val="20"/>
              </w:rPr>
              <w:t xml:space="preserve"> Los así definidos y clasificados por el Reglamento (UE) 2024/1689, en su redacción vigente.</w:t>
            </w:r>
          </w:p>
          <w:p>
            <w:pPr>
              <w:spacing w:after="100" w:line="264"/>
            </w:pPr>
            <w:r>
              <w:rPr>
                <w:rFonts w:ascii="Georgia" w:cs="Georgia" w:eastAsia="Georgia" w:hAnsi="Georgia"/>
                <w:b/>
                <w:bCs/>
                <w:sz w:val="20"/>
                <w:szCs w:val="20"/>
              </w:rPr>
              <w:t xml:space="preserve">j) Agente de IA.</w:t>
            </w:r>
            <w:r>
              <w:rPr>
                <w:rFonts w:ascii="Georgia" w:cs="Georgia" w:eastAsia="Georgia" w:hAnsi="Georgia"/>
                <w:sz w:val="20"/>
                <w:szCs w:val="20"/>
              </w:rPr>
              <w:t xml:space="preserve"> Sistema de IA que, sobre la base de instrucciones u objetivos, encadena y ejecuta operaciones sobre otros sistemas mediante interfaces, dentro de los límites configurados por el Ayuntamiento, con trazabilidad completa de sus actuaciones, con posibilidad de intervención y parada humana y con capacidad de revertir las actuaciones realizadas.</w:t>
            </w:r>
          </w:p>
          <w:p>
            <w:pPr>
              <w:spacing w:after="100" w:line="264"/>
            </w:pPr>
            <w:r>
              <w:rPr>
                <w:rFonts w:ascii="Georgia" w:cs="Georgia" w:eastAsia="Georgia" w:hAnsi="Georgia"/>
                <w:b/>
                <w:bCs/>
                <w:sz w:val="20"/>
                <w:szCs w:val="20"/>
              </w:rPr>
              <w:t xml:space="preserve">k) Información municipal no pública.</w:t>
            </w:r>
            <w:r>
              <w:rPr>
                <w:rFonts w:ascii="Georgia" w:cs="Georgia" w:eastAsia="Georgia" w:hAnsi="Georgia"/>
                <w:sz w:val="20"/>
                <w:szCs w:val="20"/>
              </w:rPr>
              <w:t xml:space="preserve"> Cualquier información de la que el Ayuntamiento sea responsable y que no haya sido objeto de publicación oficial, incluidos los datos personales, la información sometida a confidencialidad, la relativa a procedimientos en tramitación y la de seguridad de los sistemas.</w:t>
            </w:r>
          </w:p>
          <w:p>
            <w:pPr>
              <w:spacing w:after="100" w:line="264"/>
            </w:pPr>
            <w:r>
              <w:rPr>
                <w:rFonts w:ascii="Georgia" w:cs="Georgia" w:eastAsia="Georgia" w:hAnsi="Georgia"/>
                <w:b/>
                <w:bCs/>
                <w:sz w:val="20"/>
                <w:szCs w:val="20"/>
              </w:rPr>
              <w:t xml:space="preserve">l) Información municipal restringida (nivel 1).</w:t>
            </w:r>
            <w:r>
              <w:rPr>
                <w:rFonts w:ascii="Georgia" w:cs="Georgia" w:eastAsia="Georgia" w:hAnsi="Georgia"/>
                <w:sz w:val="20"/>
                <w:szCs w:val="20"/>
              </w:rPr>
              <w:t xml:space="preserve"> La comprendida en el nivel 1 de la cláusula [ADM-13], apartado 1: datos personales; expedientes en tramitación; documentación contractual no publicada; informes internos; datos de los entornos de producción; y cualquier información municipal clasificada como de acceso restringido por la política de seguridad del Ayuntamiento. Es un subconjunto de la información municipal no pública definida en la letra k) y no comprende los artefactos técnicos del nivel 2 cuando no contengan información de nivel 1.</w:t>
            </w:r>
          </w:p>
          <w:p>
            <w:pPr>
              <w:spacing w:after="100" w:line="264"/>
            </w:pPr>
            <w:r>
              <w:rPr>
                <w:rFonts w:ascii="Georgia" w:cs="Georgia" w:eastAsia="Georgia" w:hAnsi="Georgia"/>
                <w:b/>
                <w:bCs/>
                <w:sz w:val="20"/>
                <w:szCs w:val="20"/>
              </w:rPr>
              <w:t xml:space="preserve">m) Exigencias Tecnológicas Determinadas.</w:t>
            </w:r>
            <w:r>
              <w:rPr>
                <w:rFonts w:ascii="Georgia" w:cs="Georgia" w:eastAsia="Georgia" w:hAnsi="Georgia"/>
                <w:sz w:val="20"/>
                <w:szCs w:val="20"/>
              </w:rPr>
              <w:t xml:space="preserve"> Las capacidades concretas, con plazo y criterios de aceptación verificables, relacionadas en el Anexo [V] de este pliego, que forman parte del alcance ordinario del contrato y se entienden retribuidas con el precio ofertado. El régimen de incorporación física de dicho anexo y su invariabilidad durante la vigencia del contrato y de sus prórrogas son los de la cláusula </w:t>
            </w:r>
            <w:r>
              <w:rPr>
                <w:rFonts w:ascii="Georgia" w:cs="Georgia" w:eastAsia="Georgia" w:hAnsi="Georgia"/>
                <w:b/>
                <w:bCs/>
                <w:sz w:val="20"/>
                <w:szCs w:val="20"/>
              </w:rPr>
              <w:t xml:space="preserve">[DT-9·v3], apartado 2</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Vigencia normativa</w:t>
      </w:r>
      <w:r>
        <w:rPr>
          <w:rFonts w:ascii="Calibri" w:cs="Calibri" w:eastAsia="Calibri" w:hAnsi="Calibri"/>
          <w:sz w:val="21"/>
          <w:szCs w:val="21"/>
        </w:rPr>
        <w:t xml:space="preserve"> (Anexo XIX): el extracto, con su fecha de corte y recortado a las materias de las cláusulas incorporadas; con DT-1·v3 es su Apéndice técnico 3 (Anexo XXV). El proyecto de ley autonómico no entra en él mientras sea proyecto (Anexo XI.4, regla 2).</w:t>
      </w:r>
    </w:p>
    <w:p>
      <w:pPr>
        <w:spacing w:after="140" w:line="276"/>
      </w:pPr>
      <w:r>
        <w:rPr>
          <w:rFonts w:ascii="Calibri" w:cs="Calibri" w:eastAsia="Calibri" w:hAnsi="Calibri"/>
          <w:i/>
          <w:iCs/>
          <w:sz w:val="21"/>
          <w:szCs w:val="21"/>
        </w:rPr>
        <w:t xml:space="preserve">Texto vigente de ANEXO XIX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[N] · VIGENCIA NORMATIVA DE LAS EXIGENCIAS DE ESTE PLIEGO</w:t>
            </w:r>
          </w:p>
          <w:p>
            <w:pPr>
              <w:spacing w:after="100" w:line="264"/>
            </w:pPr>
            <w:r>
              <w:rPr>
                <w:rFonts w:ascii="Georgia" w:cs="Georgia" w:eastAsia="Georgia" w:hAnsi="Georgia"/>
                <w:i/>
                <w:iCs/>
                <w:sz w:val="20"/>
                <w:szCs w:val="20"/>
              </w:rPr>
              <w:t xml:space="preserve">(Fecha de corte: …… / …… / ……)</w:t>
            </w:r>
          </w:p>
          <w:p>
            <w:pPr>
              <w:spacing w:after="100" w:line="264"/>
            </w:pPr>
            <w:r>
              <w:rPr>
                <w:rFonts w:ascii="Georgia" w:cs="Georgia" w:eastAsia="Georgia" w:hAnsi="Georgia"/>
                <w:b/>
                <w:bCs/>
                <w:sz w:val="20"/>
                <w:szCs w:val="20"/>
              </w:rPr>
              <w:t xml:space="preserve">1. Objeto de este apéndice.</w:t>
            </w:r>
            <w:r>
              <w:rPr>
                <w:rFonts w:ascii="Georgia" w:cs="Georgia" w:eastAsia="Georgia" w:hAnsi="Georgia"/>
                <w:sz w:val="20"/>
                <w:szCs w:val="20"/>
              </w:rPr>
              <w:t xml:space="preserve"> Este pliego distingue expresamente entre las obligaciones que una norma en vigor ya impone y las que el Ayuntamiento anticipa como exigencia contractual. La distinción se hace para que el licitador pueda valorar el coste de cada una y para que ninguna exigencia se presente como obligación legal vigente sin serlo.</w:t>
            </w:r>
          </w:p>
          <w:p>
            <w:pPr>
              <w:spacing w:after="100" w:line="264"/>
            </w:pPr>
            <w:r>
              <w:rPr>
                <w:rFonts w:ascii="Georgia" w:cs="Georgia" w:eastAsia="Georgia" w:hAnsi="Georgia"/>
                <w:b/>
                <w:bCs/>
                <w:sz w:val="20"/>
                <w:szCs w:val="20"/>
              </w:rPr>
              <w:t xml:space="preserve">2. Cuadro de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 exigida en este 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¿La impone hoy una norma en vigor?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Desde cuándo, o desde cuándo lo será</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inteligencia artificial y alfabetización en materia de IA (arts. 4 y 5 del 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febrero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sobre la interacción con sistemas de IA y sobre el contenido generado (art. 50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2026, con el régimen transitorio de su art. 111 para los sistemas ya introducidos en el mercado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(capítulo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2 de diciembre de 2027 para los sistemas del art. 6.2 y del anexo III, y el 2 de agosto de 2028 para los del art. 6.1 y del anexo I, conforme al Reglamento (UE) 2026/1744, de 8 de julio de 2026. </w:t>
                  </w:r>
                  <w:r>
                    <w:rPr>
                      <w:rFonts w:ascii="Calibri" w:cs="Calibri" w:eastAsia="Calibri" w:hAnsi="Calibri"/>
                      <w:b/>
                      <w:bCs/>
                      <w:sz w:val="18"/>
                      <w:szCs w:val="18"/>
                    </w:rPr>
                    <w:t xml:space="preserve">Lo que este pliego exige hoy es la entrega de la documentación y de los medios que permitirán cumplirlas: instrucciones de uso, información técnica, registros y capacidad de supervisión humana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el 2 de agosto de 2030, conforme al art. 111, apartado 2, del Reglamento (UE) 2024/1689, en su redacción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personales: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2016/679 y Ley Orgánica 3/2018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y 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de la Ley 40/2015 y art. 22 del Reglamento (UE) 2016/679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su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del Real Decreto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utilización de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Real Decreto 4/2010 y Ley 39/2015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las aplicaciones y su puesta a disposición de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157 y 158 de la Ley 40/2015; art. 308.1 de la Ley 9/2017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del texto refundido de la Ley reguladora de las Haciendas Locales y Real Decreto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viene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que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conforme a la norma designada en este pliego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con las alternativas de acreditación que en él se establecen. Se hace constar que esta certificación </w:t>
                  </w:r>
                  <w:r>
                    <w:rPr>
                      <w:rFonts w:ascii="Calibri" w:cs="Calibri" w:eastAsia="Calibri" w:hAnsi="Calibri"/>
                      <w:b/>
                      <w:bCs/>
                      <w:sz w:val="18"/>
                      <w:szCs w:val="18"/>
                    </w:rPr>
                    <w:t xml:space="preserve">no otorga presunción de conformidad</w:t>
                  </w:r>
                  <w:r>
                    <w:rPr>
                      <w:rFonts w:ascii="Calibri" w:cs="Calibri" w:eastAsia="Calibri" w:hAnsi="Calibri"/>
                      <w:b w:val="false"/>
                      <w:bCs w:val="false"/>
                      <w:sz w:val="18"/>
                      <w:szCs w:val="18"/>
                    </w:rPr>
                    <w:t xml:space="preserve"> con el Reglamento (UE) 2024/1689: esa presunción corresponde a las normas armonizadas publicadas en el Diario Oficial de la Unión Europea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Esquema Nacional de Seguridad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que exceda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inteligencia artificial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relativo a la declaración de sistemas y a la autorización previa de altas</w:t>
                  </w:r>
                </w:p>
              </w:tc>
            </w:tr>
          </w:tbl>
          <w:p>
            <w:pPr>
              <w:spacing w:after="80"/>
            </w:pPr>
          </w:p>
          <w:p>
            <w:pPr>
              <w:spacing w:after="100" w:line="264"/>
            </w:pPr>
            <w:r>
              <w:rPr>
                <w:rFonts w:ascii="Georgia" w:cs="Georgia" w:eastAsia="Georgia" w:hAnsi="Georgia"/>
                <w:b/>
                <w:bCs/>
                <w:sz w:val="20"/>
                <w:szCs w:val="20"/>
              </w:rPr>
              <w:t xml:space="preserve">3. Regla de interpretación.</w:t>
            </w:r>
            <w:r>
              <w:rPr>
                <w:rFonts w:ascii="Georgia" w:cs="Georgia" w:eastAsia="Georgia" w:hAnsi="Georgia"/>
                <w:sz w:val="20"/>
                <w:szCs w:val="20"/>
              </w:rPr>
              <w:t xml:space="preserve"> Las obligaciones de la tercera columna que se identifican como exigencia contractual de este pliego se asumen por el contratista en virtud del contrato y no en virtud de la norma citada. Su incumplimiento produce los efectos previstos en este pliego, y no los que la norma anude a su propio incumplimiento.</w:t>
            </w:r>
          </w:p>
          <w:p>
            <w:pPr>
              <w:spacing w:after="100" w:line="264"/>
            </w:pPr>
            <w:r>
              <w:rPr>
                <w:rFonts w:ascii="Georgia" w:cs="Georgia" w:eastAsia="Georgia" w:hAnsi="Georgia"/>
                <w:b/>
                <w:bCs/>
                <w:sz w:val="20"/>
                <w:szCs w:val="20"/>
              </w:rPr>
              <w:t xml:space="preserve">4. Efecto de las modificaciones normativas posteriores.</w:t>
            </w:r>
            <w:r>
              <w:rPr>
                <w:rFonts w:ascii="Georgia" w:cs="Georgia" w:eastAsia="Georgia" w:hAnsi="Georgia"/>
                <w:sz w:val="20"/>
                <w:szCs w:val="20"/>
              </w:rPr>
              <w:t xml:space="preserve"> La entrada en vigor o la modificación posterior de cualquiera de las normas citadas </w:t>
            </w:r>
            <w:r>
              <w:rPr>
                <w:rFonts w:ascii="Georgia" w:cs="Georgia" w:eastAsia="Georgia" w:hAnsi="Georgia"/>
                <w:b/>
                <w:bCs/>
                <w:sz w:val="20"/>
                <w:szCs w:val="20"/>
              </w:rPr>
              <w:t xml:space="preserve">no altera el contenido de las obligaciones asumidas en este contrato</w:t>
            </w:r>
            <w:r>
              <w:rPr>
                <w:rFonts w:ascii="Georgia" w:cs="Georgia" w:eastAsia="Georgia" w:hAnsi="Georgia"/>
                <w:sz w:val="20"/>
                <w:szCs w:val="20"/>
              </w:rPr>
              <w:t xml:space="preserve">, sin perjuicio del deber general del contratista de cumplir la normativa que le sea aplicable en cada momento. Cuando el Ayuntamiento quiera que una obligación nueva resulte exigible, la incorporará a la licitación siguiente o tramitará la modificación que proceda.</w:t>
            </w:r>
          </w:p>
        </w:tc>
      </w:tr>
    </w:tbl>
    <w:p>
      <w:pPr>
        <w:spacing w:after="220"/>
      </w:pPr>
    </w:p>
    <w:p>
      <w:pPr>
        <w:spacing w:after="140" w:line="276"/>
      </w:pPr>
      <w:r>
        <w:rPr>
          <w:rFonts w:ascii="Calibri" w:cs="Calibri" w:eastAsia="Calibri" w:hAnsi="Calibri"/>
          <w:b/>
          <w:bCs/>
          <w:sz w:val="21"/>
          <w:szCs w:val="21"/>
        </w:rPr>
        <w:t xml:space="preserve">Cláusulas DT</w:t>
      </w:r>
      <w:r>
        <w:rPr>
          <w:rFonts w:ascii="Calibri" w:cs="Calibri" w:eastAsia="Calibri" w:hAnsi="Calibri"/>
          <w:sz w:val="21"/>
          <w:szCs w:val="21"/>
        </w:rPr>
        <w:t xml:space="preserve">, en la sede de su epígrafe 2, y </w:t>
      </w:r>
      <w:r>
        <w:rPr>
          <w:rFonts w:ascii="Calibri" w:cs="Calibri" w:eastAsia="Calibri" w:hAnsi="Calibri"/>
          <w:b/>
          <w:bCs/>
          <w:sz w:val="21"/>
          <w:szCs w:val="21"/>
        </w:rPr>
        <w:t xml:space="preserve">apéndices técnicos</w:t>
      </w:r>
      <w:r>
        <w:rPr>
          <w:rFonts w:ascii="Calibri" w:cs="Calibri" w:eastAsia="Calibri" w:hAnsi="Calibri"/>
          <w:sz w:val="21"/>
          <w:szCs w:val="21"/>
        </w:rPr>
        <w:t xml:space="preserve"> del Anexo XXV, sin renumerar los que no procedan (regla 1): </w:t>
      </w:r>
      <w:r>
        <w:rPr>
          <w:rFonts w:ascii="Calibri" w:cs="Calibri" w:eastAsia="Calibri" w:hAnsi="Calibri"/>
          <w:b/>
          <w:bCs/>
          <w:sz w:val="21"/>
          <w:szCs w:val="21"/>
        </w:rPr>
        <w:t xml:space="preserve">0</w:t>
      </w:r>
      <w:r>
        <w:rPr>
          <w:rFonts w:ascii="Calibri" w:cs="Calibri" w:eastAsia="Calibri" w:hAnsi="Calibri"/>
          <w:sz w:val="21"/>
          <w:szCs w:val="21"/>
        </w:rPr>
        <w:t xml:space="preserve"> Matriz de requisitos funcionales (C1); </w:t>
      </w:r>
      <w:r>
        <w:rPr>
          <w:rFonts w:ascii="Calibri" w:cs="Calibri" w:eastAsia="Calibri" w:hAnsi="Calibri"/>
          <w:b/>
          <w:bCs/>
          <w:sz w:val="21"/>
          <w:szCs w:val="21"/>
        </w:rPr>
        <w:t xml:space="preserve">1</w:t>
      </w:r>
      <w:r>
        <w:rPr>
          <w:rFonts w:ascii="Calibri" w:cs="Calibri" w:eastAsia="Calibri" w:hAnsi="Calibri"/>
          <w:sz w:val="21"/>
          <w:szCs w:val="21"/>
        </w:rPr>
        <w:t xml:space="preserve"> Procesos automatizables (DT-4); </w:t>
      </w:r>
      <w:r>
        <w:rPr>
          <w:rFonts w:ascii="Calibri" w:cs="Calibri" w:eastAsia="Calibri" w:hAnsi="Calibri"/>
          <w:b/>
          <w:bCs/>
          <w:sz w:val="21"/>
          <w:szCs w:val="21"/>
        </w:rPr>
        <w:t xml:space="preserve">2</w:t>
      </w:r>
      <w:r>
        <w:rPr>
          <w:rFonts w:ascii="Calibri" w:cs="Calibri" w:eastAsia="Calibri" w:hAnsi="Calibri"/>
          <w:sz w:val="21"/>
          <w:szCs w:val="21"/>
        </w:rPr>
        <w:t xml:space="preserve"> Exigencias tecnológicas determinadas (DT-7 y DT-9); </w:t>
      </w:r>
      <w:r>
        <w:rPr>
          <w:rFonts w:ascii="Calibri" w:cs="Calibri" w:eastAsia="Calibri" w:hAnsi="Calibri"/>
          <w:b/>
          <w:bCs/>
          <w:sz w:val="21"/>
          <w:szCs w:val="21"/>
        </w:rPr>
        <w:t xml:space="preserve">3</w:t>
      </w:r>
      <w:r>
        <w:rPr>
          <w:rFonts w:ascii="Calibri" w:cs="Calibri" w:eastAsia="Calibri" w:hAnsi="Calibri"/>
          <w:sz w:val="21"/>
          <w:szCs w:val="21"/>
        </w:rPr>
        <w:t xml:space="preserve"> Vigencia normativa (DT-1). Orden: el del ep. 2 de cada cláusula. </w:t>
      </w:r>
      <w:r>
        <w:rPr>
          <w:rFonts w:ascii="Calibri" w:cs="Calibri" w:eastAsia="Calibri" w:hAnsi="Calibri"/>
          <w:b/>
          <w:bCs/>
          <w:sz w:val="21"/>
          <w:szCs w:val="21"/>
        </w:rPr>
        <w:t xml:space="preserve">Los niveles de servicio y los indicadores del PPT no los da el catálogo</w:t>
      </w:r>
      <w:r>
        <w:rPr>
          <w:rFonts w:ascii="Calibri" w:cs="Calibri" w:eastAsia="Calibri" w:hAnsi="Calibri"/>
          <w:sz w:val="21"/>
          <w:szCs w:val="21"/>
        </w:rPr>
        <w:t xml:space="preserve"> y este perfil los necesita: de ellos dependen ADM-4·v3, ap. 3.d), el criterio C3, el supuesto de liberación de ADM-11·v3, ap. 5.b), y los objetivos de recuperación de DT-6·v3, ap. 7 </w:t>
      </w:r>
      <w:r>
        <w:rPr>
          <w:rFonts w:ascii="Calibri" w:cs="Calibri" w:eastAsia="Calibri" w:hAnsi="Calibri"/>
          <w:b/>
          <w:bCs/>
          <w:sz w:val="21"/>
          <w:szCs w:val="21"/>
        </w:rPr>
        <w:t xml:space="preserve">[a cumplimentar con datos del expediente]</w:t>
      </w:r>
      <w:r>
        <w:rPr>
          <w:rFonts w:ascii="Calibri" w:cs="Calibri" w:eastAsia="Calibri" w:hAnsi="Calibri"/>
          <w:sz w:val="21"/>
          <w:szCs w:val="21"/>
        </w:rPr>
        <w:t xml:space="preserve">.</w:t>
      </w:r>
    </w:p>
    <w:p>
      <w:pPr>
        <w:pStyle w:val="Heading2"/>
        <w:keepNext/>
        <w:spacing w:after="140" w:before="320"/>
      </w:pPr>
      <w:r>
        <w:rPr>
          <w:rFonts w:ascii="Georgia" w:cs="Georgia" w:eastAsia="Georgia" w:hAnsi="Georgia"/>
          <w:b/>
          <w:bCs/>
          <w:color w:val="1F3864"/>
          <w:sz w:val="26"/>
          <w:szCs w:val="26"/>
        </w:rPr>
        <w:t xml:space="preserve">4.2 Cláusulas técnicas</w:t>
      </w:r>
    </w:p>
    <w:p>
      <w:pPr>
        <w:pStyle w:val="Heading3"/>
        <w:keepNext/>
        <w:spacing w:after="140" w:before="320"/>
      </w:pPr>
      <w:r>
        <w:rPr>
          <w:rFonts w:ascii="Georgia" w:cs="Georgia" w:eastAsia="Georgia" w:hAnsi="Georgia"/>
          <w:b/>
          <w:bCs/>
          <w:color w:val="2F5496"/>
          <w:sz w:val="22"/>
          <w:szCs w:val="22"/>
        </w:rPr>
        <w:t xml:space="preserve">DT-0·v3 · Equivalencia y acreditación — SÍ</w:t>
      </w:r>
    </w:p>
    <w:p>
      <w:pPr>
        <w:spacing w:after="140" w:line="276"/>
      </w:pPr>
      <w:r>
        <w:rPr>
          <w:rFonts w:ascii="Calibri" w:cs="Calibri" w:eastAsia="Calibri" w:hAnsi="Calibri"/>
          <w:i/>
          <w:iCs/>
          <w:sz w:val="21"/>
          <w:szCs w:val="21"/>
        </w:rPr>
        <w:t xml:space="preserve">Texto vigente de DT-0·v3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DT-0. Régimen de equivalencia y acreditación.</w:t>
            </w:r>
          </w:p>
          <w:p>
            <w:pPr>
              <w:spacing w:after="100" w:line="264"/>
            </w:pPr>
            <w:r>
              <w:rPr>
                <w:rFonts w:ascii="Georgia" w:cs="Georgia" w:eastAsia="Georgia" w:hAnsi="Georgia"/>
                <w:b/>
                <w:bCs/>
                <w:sz w:val="20"/>
                <w:szCs w:val="20"/>
              </w:rPr>
              <w:t xml:space="preserve">1. Formulación funcional.</w:t>
            </w:r>
            <w:r>
              <w:rPr>
                <w:rFonts w:ascii="Georgia" w:cs="Georgia" w:eastAsia="Georgia" w:hAnsi="Georgia"/>
                <w:sz w:val="20"/>
                <w:szCs w:val="20"/>
              </w:rPr>
              <w:t xml:space="preserve"> Todas las prescripciones técnicas de este pliego se formulan en términos de rendimiento y de exigencias funcionales, conforme al artículo 126.5.a) de la Ley 9/2017, de 8 de noviembre, de Contratos del Sector Público (LCSP). Cuando en alguna prescripción se cite un estándar, especificación, red, infraestructura, protocolo, marca, producto o metodología determinados, la cita se efectúa </w:t>
            </w:r>
            <w:r>
              <w:rPr>
                <w:rFonts w:ascii="Georgia" w:cs="Georgia" w:eastAsia="Georgia" w:hAnsi="Georgia"/>
                <w:b/>
                <w:bCs/>
                <w:sz w:val="20"/>
                <w:szCs w:val="20"/>
              </w:rPr>
              <w:t xml:space="preserve">a título ilustrativo y no excluyente</w:t>
            </w:r>
            <w:r>
              <w:rPr>
                <w:rFonts w:ascii="Georgia" w:cs="Georgia" w:eastAsia="Georgia" w:hAnsi="Georgia"/>
                <w:sz w:val="20"/>
                <w:szCs w:val="20"/>
              </w:rPr>
              <w:t xml:space="preserve">, irá acompañada en la propia prescripción de la mención «o equivalente», y no configura por sí sola requisito alguno.</w:t>
            </w:r>
          </w:p>
          <w:p>
            <w:pPr>
              <w:spacing w:after="100" w:line="264"/>
            </w:pPr>
            <w:r>
              <w:rPr>
                <w:rFonts w:ascii="Georgia" w:cs="Georgia" w:eastAsia="Georgia" w:hAnsi="Georgia"/>
                <w:b/>
                <w:bCs/>
                <w:sz w:val="20"/>
                <w:szCs w:val="20"/>
              </w:rPr>
              <w:t xml:space="preserve">2. Prevalencia de la formulación funcional.</w:t>
            </w:r>
            <w:r>
              <w:rPr>
                <w:rFonts w:ascii="Georgia" w:cs="Georgia" w:eastAsia="Georgia" w:hAnsi="Georgia"/>
                <w:sz w:val="20"/>
                <w:szCs w:val="20"/>
              </w:rPr>
              <w:t xml:space="preserve"> En caso de contradicción entre una prescripción que cite un producto, red, infraestructura o protocolo determinados y la formulación funcional de la exigencia, prevalecerá siempre la formulación funcional y la admisión de equivalentes.</w:t>
            </w:r>
          </w:p>
          <w:p>
            <w:pPr>
              <w:spacing w:after="100" w:line="264"/>
            </w:pPr>
            <w:r>
              <w:rPr>
                <w:rFonts w:ascii="Georgia" w:cs="Georgia" w:eastAsia="Georgia" w:hAnsi="Georgia"/>
                <w:b/>
                <w:bCs/>
                <w:sz w:val="20"/>
                <w:szCs w:val="20"/>
              </w:rPr>
              <w:t xml:space="preserve">3. Definición de equivalencia.</w:t>
            </w:r>
            <w:r>
              <w:rPr>
                <w:rFonts w:ascii="Georgia" w:cs="Georgia" w:eastAsia="Georgia" w:hAnsi="Georgia"/>
                <w:sz w:val="20"/>
                <w:szCs w:val="20"/>
              </w:rPr>
              <w:t xml:space="preserve"> Se apreciará que una solución incluida en la oferta de un licitador es equivalente a la citada en este pliego cuando concurran, de forma acumulativa, las tres condiciones siguientes:</w:t>
            </w:r>
          </w:p>
          <w:p>
            <w:pPr>
              <w:spacing w:after="100" w:line="264"/>
            </w:pPr>
            <w:r>
              <w:rPr>
                <w:rFonts w:ascii="Georgia" w:cs="Georgia" w:eastAsia="Georgia" w:hAnsi="Georgia"/>
                <w:sz w:val="20"/>
                <w:szCs w:val="20"/>
              </w:rPr>
              <w:t xml:space="preserve">a) La solución ofertada puede realizar todas las funciones exigidas en la prescripción técnica correspondiente.</w:t>
            </w:r>
          </w:p>
          <w:p>
            <w:pPr>
              <w:spacing w:after="100" w:line="264"/>
            </w:pPr>
            <w:r>
              <w:rPr>
                <w:rFonts w:ascii="Georgia" w:cs="Georgia" w:eastAsia="Georgia" w:hAnsi="Georgia"/>
                <w:sz w:val="20"/>
                <w:szCs w:val="20"/>
              </w:rPr>
              <w:t xml:space="preserve">b) La solución ofertada es interoperable con los sistemas municipales afectados que este pliego identifica, y es capaz de tratar toda la información que trataría la solución citada, sin pérdida de calidad, integridad ni trazabilidad.</w:t>
            </w:r>
          </w:p>
          <w:p>
            <w:pPr>
              <w:spacing w:after="100" w:line="264"/>
            </w:pPr>
            <w:r>
              <w:rPr>
                <w:rFonts w:ascii="Georgia" w:cs="Georgia" w:eastAsia="Georgia" w:hAnsi="Georgia"/>
                <w:sz w:val="20"/>
                <w:szCs w:val="20"/>
              </w:rPr>
              <w:t xml:space="preserve">c) Los costes y esfuerzos que la implantación, configuración, puesta en marcha y operación de la solución ofertada requieran </w:t>
            </w:r>
            <w:r>
              <w:rPr>
                <w:rFonts w:ascii="Georgia" w:cs="Georgia" w:eastAsia="Georgia" w:hAnsi="Georgia"/>
                <w:b/>
                <w:bCs/>
                <w:sz w:val="20"/>
                <w:szCs w:val="20"/>
              </w:rPr>
              <w:t xml:space="preserve">del Ayuntamiento</w:t>
            </w:r>
            <w:r>
              <w:rPr>
                <w:rFonts w:ascii="Georgia" w:cs="Georgia" w:eastAsia="Georgia" w:hAnsi="Georgia"/>
                <w:sz w:val="20"/>
                <w:szCs w:val="20"/>
              </w:rPr>
              <w:t xml:space="preserve"> no exceden de los previstos en este pliego y en su presupuesto base de licitación para la implantación de la prestación. </w:t>
            </w:r>
            <w:r>
              <w:rPr>
                <w:rFonts w:ascii="Georgia" w:cs="Georgia" w:eastAsia="Georgia" w:hAnsi="Georgia"/>
                <w:i/>
                <w:iCs/>
                <w:sz w:val="20"/>
                <w:szCs w:val="20"/>
              </w:rPr>
              <w:t xml:space="preserve">No se computarán como sobrecoste ni como sobreesfuerzo los trabajos de migración, conversión de datos, integración o formación que correspondan al adjudicatario conforme a este pliego, ni los derivados de sustituir una solución preexistente, salvo que este pliego imponga expresamente la continuidad de esa solución y lo justifique en la memoria del expediente.</w:t>
            </w:r>
          </w:p>
          <w:p>
            <w:pPr>
              <w:spacing w:after="100" w:line="264"/>
            </w:pPr>
            <w:r>
              <w:rPr>
                <w:rFonts w:ascii="Georgia" w:cs="Georgia" w:eastAsia="Georgia" w:hAnsi="Georgia"/>
                <w:b/>
                <w:bCs/>
                <w:sz w:val="20"/>
                <w:szCs w:val="20"/>
              </w:rPr>
              <w:t xml:space="preserve">4. Acreditación en la oferta.</w:t>
            </w:r>
            <w:r>
              <w:rPr>
                <w:rFonts w:ascii="Georgia" w:cs="Georgia" w:eastAsia="Georgia" w:hAnsi="Georgia"/>
                <w:sz w:val="20"/>
                <w:szCs w:val="20"/>
              </w:rPr>
              <w:t xml:space="preserve"> El licitador que oferte una solución equivalente deberá aportar </w:t>
            </w:r>
            <w:r>
              <w:rPr>
                <w:rFonts w:ascii="Georgia" w:cs="Georgia" w:eastAsia="Georgia" w:hAnsi="Georgia"/>
                <w:b/>
                <w:bCs/>
                <w:sz w:val="20"/>
                <w:szCs w:val="20"/>
              </w:rPr>
              <w:t xml:space="preserve">en su propia oferta</w:t>
            </w:r>
            <w:r>
              <w:rPr>
                <w:rFonts w:ascii="Georgia" w:cs="Georgia" w:eastAsia="Georgia" w:hAnsi="Georgia"/>
                <w:sz w:val="20"/>
                <w:szCs w:val="20"/>
              </w:rPr>
              <w:t xml:space="preserve"> la prueba de la equivalencia, conforme a los artículos 126.7 y 126.8 LCSP, por cualquier medio adecuado: informe técnico del fabricante, certificado de organismo de evaluación de la conformidad, documentación técnica de la interfaz, informes de ensayo o pruebas, o los resultados de la verificación prevista en el pliego de cláusulas administrativas particulares. Se aceptarán los certificados equivalentes expedidos por organismos establecidos en cualquier Estado miembro y, cuando el licitador no tenga acceso a ellos por causa que no le sea imputable, otros medios de prueba adecuados conforme al artículo 128.2 LCSP. La prueba deberá identificar, condición por condición, cuál de las tres del apartado 3 acredita.</w:t>
            </w:r>
          </w:p>
          <w:p>
            <w:pPr>
              <w:spacing w:after="100" w:line="264"/>
            </w:pPr>
            <w:r>
              <w:rPr>
                <w:rFonts w:ascii="Georgia" w:cs="Georgia" w:eastAsia="Georgia" w:hAnsi="Georgia"/>
                <w:b/>
                <w:bCs/>
                <w:sz w:val="20"/>
                <w:szCs w:val="20"/>
              </w:rPr>
              <w:t xml:space="preserve">5. Motivación del rechazo.</w:t>
            </w:r>
            <w:r>
              <w:rPr>
                <w:rFonts w:ascii="Georgia" w:cs="Georgia" w:eastAsia="Georgia" w:hAnsi="Georgia"/>
                <w:sz w:val="20"/>
                <w:szCs w:val="20"/>
              </w:rPr>
              <w:t xml:space="preserve"> El rechazo de una solución ofertada como equivalente deberá motivarse por escrito mediante informe técnico que identifique cuál de las tres condiciones del apartado 3 no concurre y con qué prueba se sustenta. La apreciación de la equivalencia corresponde al órgano de contratación.</w:t>
            </w:r>
          </w:p>
          <w:p>
            <w:pPr>
              <w:spacing w:after="100" w:line="264"/>
            </w:pPr>
            <w:r>
              <w:rPr>
                <w:rFonts w:ascii="Georgia" w:cs="Georgia" w:eastAsia="Georgia" w:hAnsi="Georgia"/>
                <w:b/>
                <w:bCs/>
                <w:sz w:val="20"/>
                <w:szCs w:val="20"/>
              </w:rPr>
              <w:t xml:space="preserve">6. Prohibición de exigencia nominativa.</w:t>
            </w:r>
            <w:r>
              <w:rPr>
                <w:rFonts w:ascii="Georgia" w:cs="Georgia" w:eastAsia="Georgia" w:hAnsi="Georgia"/>
                <w:sz w:val="20"/>
                <w:szCs w:val="20"/>
              </w:rPr>
              <w:t xml:space="preserve"> En ningún caso podrá configurarse la utilización de un producto, red, infraestructura o protocolo nominados como requisito de admisión, como criterio de solvencia, como condición excluyente ni como criterio de adjudicación referido a su denominación. Lo que se exige y, en su caso, se valora es la capacidad funcional acreditada.</w:t>
            </w:r>
          </w:p>
          <w:p>
            <w:pPr>
              <w:spacing w:after="100" w:line="264"/>
            </w:pPr>
            <w:r>
              <w:rPr>
                <w:rFonts w:ascii="Georgia" w:cs="Georgia" w:eastAsia="Georgia" w:hAnsi="Georgia"/>
                <w:b/>
                <w:bCs/>
                <w:sz w:val="20"/>
                <w:szCs w:val="20"/>
              </w:rPr>
              <w:t xml:space="preserve">7. Excepción: plataformas y servicios comunes de utilización obligatoria.</w:t>
            </w:r>
            <w:r>
              <w:rPr>
                <w:rFonts w:ascii="Georgia" w:cs="Georgia" w:eastAsia="Georgia" w:hAnsi="Georgia"/>
                <w:sz w:val="20"/>
                <w:szCs w:val="20"/>
              </w:rPr>
              <w:t xml:space="preserve"> El régimen de equivalencia de esta cláusula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a las plataformas y servicios comunes de administración electrónica cuya utilización venga impuesta al Ayuntamiento por norma, que este pliego relaciona de forma cerrada en la cláusula DT-5, apartado 2, con indicación de la norma que impone cada uno. Respecto de ellos la integración es obligatoria y no admite sustitución por servicio propio o de tercero.</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Primera cláusula del PPT (ep. 2). Ap. 3.c): variante abierta (Anexo X, fila 27); la de continuidad sólo si el objeto es continuidad de un sistema implantado y la memoria lo justifica, porque fuera de ese supuesto garantiza que gane el producto de referencia (ep. 3). Ap. 7, sólo con servicios comunes (ep. 7). Remisión en el sobre técnico del PCAP (ep. 2).</w:t>
      </w:r>
    </w:p>
    <w:p>
      <w:pPr>
        <w:pStyle w:val="Heading3"/>
        <w:keepNext/>
        <w:spacing w:after="140" w:before="320"/>
      </w:pPr>
      <w:r>
        <w:rPr>
          <w:rFonts w:ascii="Georgia" w:cs="Georgia" w:eastAsia="Georgia" w:hAnsi="Georgia"/>
          <w:b/>
          <w:bCs/>
          <w:color w:val="2F5496"/>
          <w:sz w:val="22"/>
          <w:szCs w:val="22"/>
        </w:rPr>
        <w:t xml:space="preserve">DT-1·v3 · IA, IA generativa y agentes — CONDICIONAL</w:t>
      </w:r>
    </w:p>
    <w:p>
      <w:pPr>
        <w:spacing w:after="140" w:line="276"/>
      </w:pPr>
      <w:r>
        <w:rPr>
          <w:rFonts w:ascii="Calibri" w:cs="Calibri" w:eastAsia="Calibri" w:hAnsi="Calibri"/>
          <w:i/>
          <w:iCs/>
          <w:sz w:val="21"/>
          <w:szCs w:val="21"/>
        </w:rPr>
        <w:t xml:space="preserve">Texto vigente de DT-1·v3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DT-1. Sistemas de inteligencia artificial: clasificación, obligaciones y reparto de papeles.</w:t>
            </w:r>
          </w:p>
          <w:p>
            <w:pPr>
              <w:spacing w:after="100" w:line="264"/>
            </w:pPr>
            <w:r>
              <w:rPr>
                <w:rFonts w:ascii="Georgia" w:cs="Georgia" w:eastAsia="Georgia" w:hAnsi="Georgia"/>
                <w:b/>
                <w:bCs/>
                <w:sz w:val="20"/>
                <w:szCs w:val="20"/>
              </w:rPr>
              <w:t xml:space="preserve">1. Ámbito.</w:t>
            </w:r>
            <w:r>
              <w:rPr>
                <w:rFonts w:ascii="Georgia" w:cs="Georgia" w:eastAsia="Georgia" w:hAnsi="Georgia"/>
                <w:sz w:val="20"/>
                <w:szCs w:val="20"/>
              </w:rPr>
              <w:t xml:space="preserve"> Esta cláusula se aplica a los sistemas de inteligencia artificial que el adjudicatario emplee o entregue en ejecución del contrato, y a las funcionalidades de la solución basadas en tales sistemas. Las referencias al Reglamento (UE) 2024/1689 se entienden hechas </w:t>
            </w:r>
            <w:r>
              <w:rPr>
                <w:rFonts w:ascii="Georgia" w:cs="Georgia" w:eastAsia="Georgia" w:hAnsi="Georgia"/>
                <w:b/>
                <w:bCs/>
                <w:sz w:val="20"/>
                <w:szCs w:val="20"/>
              </w:rPr>
              <w:t xml:space="preserve">en su redacción vigente</w:t>
            </w:r>
            <w:r>
              <w:rPr>
                <w:rFonts w:ascii="Georgia" w:cs="Georgia" w:eastAsia="Georgia" w:hAnsi="Georgia"/>
                <w:sz w:val="20"/>
                <w:szCs w:val="20"/>
              </w:rPr>
              <w:t xml:space="preserve">. El calendario de exigibilidad de cada obligación consta en el Anexo de Vigencia Normativa de este pliego, que distingue entre obligación legal ya exigible en la fecha de la licitación y exigencia contractual anticipada por el Ayuntamiento.</w:t>
            </w:r>
          </w:p>
          <w:p>
            <w:pPr>
              <w:spacing w:after="100" w:line="264"/>
            </w:pPr>
            <w:r>
              <w:rPr>
                <w:rFonts w:ascii="Georgia" w:cs="Georgia" w:eastAsia="Georgia" w:hAnsi="Georgia"/>
                <w:b/>
                <w:bCs/>
                <w:sz w:val="20"/>
                <w:szCs w:val="20"/>
              </w:rPr>
              <w:t xml:space="preserve">2. Inventario y clasificación.</w:t>
            </w:r>
            <w:r>
              <w:rPr>
                <w:rFonts w:ascii="Georgia" w:cs="Georgia" w:eastAsia="Georgia" w:hAnsi="Georgia"/>
                <w:sz w:val="20"/>
                <w:szCs w:val="20"/>
              </w:rPr>
              <w:t xml:space="preserve"> El licitador relacionará en su oferta los sistemas de inteligencia artificial que intervendrán en la prestación, indicando para cada uno su finalidad, su proveedor, si actúa como proveedor o como distribuidor de dicho sistema, y su clasificación conforme al Reglamento (UE) 2024/1689. El adjudicatario mantendrá esa relación actualizada durante toda la vigencia del contrato y de sus prórrogas, y comunicará al responsable del contrato, con una antelación mínima de [X; se recomienda 30] días naturales, cualquier cambio que pueda alterar la clasificación de riesgo de un sistema.</w:t>
            </w:r>
          </w:p>
          <w:p>
            <w:pPr>
              <w:spacing w:after="100" w:line="264"/>
            </w:pP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w:t>
            </w:r>
            <w:r>
              <w:rPr>
                <w:rFonts w:ascii="Georgia" w:cs="Georgia" w:eastAsia="Georgia" w:hAnsi="Georgia"/>
                <w:sz w:val="20"/>
                <w:szCs w:val="20"/>
              </w:rPr>
              <w:t xml:space="preserve"> Para que el Ayuntamiento asigne a cada sistema el nivel de impacto o riesgo previsto en [norma autonómica aplicable, con su precepto], la relación incluirá además, para cada sistema, los extremos siguientes: [relación cerrada; se recomienda: los que enumeren los criterios de asignación publicados a la fecha de la licitación o, si no se han publicado, la finalidad y el ámbito de aplicación, el tipo de datos que trata, el grado de automatización y la modalidad de supervisión humana que admite]. La asignación corresponde al Ayuntamiento. El preaviso del párrafo anterior se extiende a todo cambio que pueda alterar esa asignación.</w:t>
            </w:r>
          </w:p>
          <w:p>
            <w:pPr>
              <w:spacing w:after="100" w:line="264"/>
            </w:pPr>
            <w:r>
              <w:rPr>
                <w:rFonts w:ascii="Georgia" w:cs="Georgia" w:eastAsia="Georgia" w:hAnsi="Georgia"/>
                <w:b/>
                <w:bCs/>
                <w:sz w:val="20"/>
                <w:szCs w:val="20"/>
              </w:rPr>
              <w:t xml:space="preserve">3. Prácticas prohibidas.</w:t>
            </w:r>
            <w:r>
              <w:rPr>
                <w:rFonts w:ascii="Georgia" w:cs="Georgia" w:eastAsia="Georgia" w:hAnsi="Georgia"/>
                <w:sz w:val="20"/>
                <w:szCs w:val="20"/>
              </w:rPr>
              <w:t xml:space="preserve"> Queda prohibido el empleo, en la ejecución del contrato, de sistemas o usos de inteligencia artificial incursos en las prácticas prohibidas del Reglamento (UE) 2024/1689 en su redacción vigente. Esta obligación es exigible desde la formalización del contrato.</w:t>
            </w:r>
          </w:p>
          <w:p>
            <w:pPr>
              <w:spacing w:after="100" w:line="264"/>
            </w:pPr>
            <w:r>
              <w:rPr>
                <w:rFonts w:ascii="Georgia" w:cs="Georgia" w:eastAsia="Georgia" w:hAnsi="Georgia"/>
                <w:b/>
                <w:bCs/>
                <w:sz w:val="20"/>
                <w:szCs w:val="20"/>
              </w:rPr>
              <w:t xml:space="preserve">4. Transparencia.</w:t>
            </w:r>
            <w:r>
              <w:rPr>
                <w:rFonts w:ascii="Georgia" w:cs="Georgia" w:eastAsia="Georgia" w:hAnsi="Georgia"/>
                <w:sz w:val="20"/>
                <w:szCs w:val="20"/>
              </w:rPr>
              <w:t xml:space="preserve"> Cuando la solución interactúe con personas físicas o genere contenido sintético de audio, imagen, vídeo o texto, el adjudicatario garantizará el cumplimiento de las obligaciones de transparencia y de marcado de contenido que resulten exigibles conforme al Reglamento (UE) 2024/1689 en su redacción vigente y al Anexo de Vigencia Normativa de este pliego.</w:t>
            </w:r>
          </w:p>
          <w:p>
            <w:pPr>
              <w:spacing w:after="100" w:line="264"/>
            </w:pPr>
            <w:r>
              <w:rPr>
                <w:rFonts w:ascii="Georgia" w:cs="Georgia" w:eastAsia="Georgia" w:hAnsi="Georgia"/>
                <w:b/>
                <w:bCs/>
                <w:sz w:val="20"/>
                <w:szCs w:val="20"/>
              </w:rPr>
              <w:t xml:space="preserve">5. Alto riesgo.</w:t>
            </w:r>
            <w:r>
              <w:rPr>
                <w:rFonts w:ascii="Georgia" w:cs="Georgia" w:eastAsia="Georgia" w:hAnsi="Georgia"/>
                <w:sz w:val="20"/>
                <w:szCs w:val="20"/>
              </w:rPr>
              <w:t xml:space="preserve"> Cuando un sistema tenga la consideración de alto riesgo, el adjudicatario garantizará, en su condición de proveedor o respecto del proveedor del que sea distribuidor, el cumplimiento de las obligaciones que le correspondan conforme al Reglamento (UE) 2024/1689 en su redacción vigente y en los plazos del Anexo de Vigencia Normativa: sistema de gestión de riesgos, gobernanza y calidad de los datos, documentación técnica y registros, transparencia e información a las personas usuarias, supervisión humana, y niveles adecuados de exactitud, solidez y ciberseguridad.</w:t>
            </w:r>
          </w:p>
          <w:p>
            <w:pPr>
              <w:spacing w:after="100" w:line="264"/>
            </w:pPr>
            <w:r>
              <w:rPr>
                <w:rFonts w:ascii="Georgia" w:cs="Georgia" w:eastAsia="Georgia" w:hAnsi="Georgia"/>
                <w:b/>
                <w:bCs/>
                <w:sz w:val="20"/>
                <w:szCs w:val="20"/>
              </w:rPr>
              <w:t xml:space="preserve">6. Reparto de papeles.</w:t>
            </w:r>
            <w:r>
              <w:rPr>
                <w:rFonts w:ascii="Georgia" w:cs="Georgia" w:eastAsia="Georgia" w:hAnsi="Georgia"/>
                <w:sz w:val="20"/>
                <w:szCs w:val="20"/>
              </w:rPr>
              <w:t xml:space="preserve"> El Ayuntamiento actúa como </w:t>
            </w:r>
            <w:r>
              <w:rPr>
                <w:rFonts w:ascii="Georgia" w:cs="Georgia" w:eastAsia="Georgia" w:hAnsi="Georgia"/>
                <w:b/>
                <w:bCs/>
                <w:sz w:val="20"/>
                <w:szCs w:val="20"/>
              </w:rPr>
              <w:t xml:space="preserve">responsable del despliegue</w:t>
            </w:r>
            <w:r>
              <w:rPr>
                <w:rFonts w:ascii="Georgia" w:cs="Georgia" w:eastAsia="Georgia" w:hAnsi="Georgia"/>
                <w:sz w:val="20"/>
                <w:szCs w:val="20"/>
              </w:rPr>
              <w:t xml:space="preserve">. Le corresponden de forma indelegable las obligaciones que el Reglamento (UE) 2024/1689 atribuye a esa condición, y en particular el uso conforme a las instrucciones, la encomienda de la supervisión humana a personas con la competencia, la formación y la autoridad necesarias, la pertinencia de los datos de entrada, la vigilancia del funcionamiento y la suspensión del uso ante riesgo, la conservación de los archivos de registro, la obligación de registro que corresponde a las autoridades públicas y, cuando proceda, la evaluación de impacto en los derechos fundamentales. </w:t>
            </w:r>
            <w:r>
              <w:rPr>
                <w:rFonts w:ascii="Georgia" w:cs="Georgia" w:eastAsia="Georgia" w:hAnsi="Georgia"/>
                <w:b/>
                <w:bCs/>
                <w:sz w:val="20"/>
                <w:szCs w:val="20"/>
              </w:rPr>
              <w:t xml:space="preserve">El adjudicatario no asume estas obligaciones.</w:t>
            </w:r>
            <w:r>
              <w:rPr>
                <w:rFonts w:ascii="Georgia" w:cs="Georgia" w:eastAsia="Georgia" w:hAnsi="Georgia"/>
                <w:sz w:val="20"/>
                <w:szCs w:val="20"/>
              </w:rPr>
              <w:t xml:space="preserve"> El adjudicatario se obliga a </w:t>
            </w:r>
            <w:r>
              <w:rPr>
                <w:rFonts w:ascii="Georgia" w:cs="Georgia" w:eastAsia="Georgia" w:hAnsi="Georgia"/>
                <w:b/>
                <w:bCs/>
                <w:sz w:val="20"/>
                <w:szCs w:val="20"/>
              </w:rPr>
              <w:t xml:space="preserve">aportar los medios</w:t>
            </w:r>
            <w:r>
              <w:rPr>
                <w:rFonts w:ascii="Georgia" w:cs="Georgia" w:eastAsia="Georgia" w:hAnsi="Georgia"/>
                <w:sz w:val="20"/>
                <w:szCs w:val="20"/>
              </w:rPr>
              <w:t xml:space="preserve"> sin los cuales el Ayuntamiento no puede cumplirlas, y en particular:</w:t>
            </w:r>
          </w:p>
          <w:p>
            <w:pPr>
              <w:spacing w:after="100" w:line="264"/>
            </w:pPr>
            <w:r>
              <w:rPr>
                <w:rFonts w:ascii="Georgia" w:cs="Georgia" w:eastAsia="Georgia" w:hAnsi="Georgia"/>
                <w:sz w:val="20"/>
                <w:szCs w:val="20"/>
              </w:rPr>
              <w:t xml:space="preserve">a) Las instrucciones de uso del sistema, en castellano, con el contenido exigido por el Reglamento.</w:t>
            </w:r>
          </w:p>
          <w:p>
            <w:pPr>
              <w:spacing w:after="100" w:line="264"/>
            </w:pPr>
            <w:r>
              <w:rPr>
                <w:rFonts w:ascii="Georgia" w:cs="Georgia" w:eastAsia="Georgia" w:hAnsi="Georgia"/>
                <w:sz w:val="20"/>
                <w:szCs w:val="20"/>
              </w:rPr>
              <w:t xml:space="preserve">b) La información técnica precisa para que el Ayuntamiento realice la evaluación de impacto en los derechos fundamentales y la evaluación de impacto relativa a la protección de datos, admitiéndose referencias cruzadas entre ambas.</w:t>
            </w:r>
          </w:p>
          <w:p>
            <w:pPr>
              <w:spacing w:after="100" w:line="264"/>
            </w:pPr>
            <w:r>
              <w:rPr>
                <w:rFonts w:ascii="Georgia" w:cs="Georgia" w:eastAsia="Georgia" w:hAnsi="Georgia"/>
                <w:sz w:val="20"/>
                <w:szCs w:val="20"/>
              </w:rPr>
              <w:t xml:space="preserve">c) Archivos de registro exportables en formato abierto y documentado, conservados y entregables por un plazo no inferior a [X; se recomienda 12, con un mínimo de 6] meses.</w:t>
            </w:r>
          </w:p>
          <w:p>
            <w:pPr>
              <w:spacing w:after="100" w:line="264"/>
            </w:pPr>
            <w:r>
              <w:rPr>
                <w:rFonts w:ascii="Georgia" w:cs="Georgia" w:eastAsia="Georgia" w:hAnsi="Georgia"/>
                <w:sz w:val="20"/>
                <w:szCs w:val="20"/>
              </w:rPr>
              <w:t xml:space="preserve">d) Un control propio del Ayuntamiento, accionable con credenciales municipales desde la interfaz de administración de la solución, que suspenda, de forma total o por funcionalidad, cada funcionalidad de la solución basada en inteligencia artificial que no esté sujeta a otro mecanismo de suspensión de este pliego, sin que sea necesaria solicitud, autorización, ticket ni actuación alguna del personal del adjudicatario, sin afectar a las funcionalidades que no dependan del sistema suspendido y con efecto en un plazo máximo de [X; se recomienda 4] horas desde su activación. Están sujetos a otro mecanismo los agentes de inteligencia artificial (apartado 8) y, cuando este pliego incorpore las cláusulas correspondientes, las operaciones a través de la interfaz normalizada de acceso programático (cláusula DT-7, apartado 3, letra f)), las automatizaciones de procesos (cláusula DT-4, apartado 3, letra a)) y la actuación de sistemas o agentes sujeta a la cláusula DT-9, apartado 8.5. </w:t>
            </w:r>
            <w:r>
              <w:rPr>
                <w:rFonts w:ascii="Georgia" w:cs="Georgia" w:eastAsia="Georgia" w:hAnsi="Georgia"/>
                <w:i/>
                <w:iCs/>
                <w:sz w:val="20"/>
                <w:szCs w:val="20"/>
              </w:rPr>
              <w:t xml:space="preserve">[Se suprimen las menciones de las cláusulas que este pliego no incorpore.]</w:t>
            </w:r>
            <w:r>
              <w:rPr>
                <w:rFonts w:ascii="Georgia" w:cs="Georgia" w:eastAsia="Georgia" w:hAnsi="Georgia"/>
                <w:sz w:val="20"/>
                <w:szCs w:val="20"/>
              </w:rPr>
              <w:t xml:space="preserve"> Toda activación quedará registrada en los archivos de la letra c). </w:t>
            </w:r>
            <w:r>
              <w:rPr>
                <w:rFonts w:ascii="Georgia" w:cs="Georgia" w:eastAsia="Georgia" w:hAnsi="Georgia"/>
                <w:i/>
                <w:iCs/>
                <w:sz w:val="20"/>
                <w:szCs w:val="20"/>
              </w:rPr>
              <w:t xml:space="preserve">[Se conserva en contratos de nivel A o B de la Parte I, §2.2, del catálogo; en los de nivel C, sólo si el Informe de Necesidad lo motiva.]</w:t>
            </w:r>
            <w:r>
              <w:rPr>
                <w:rFonts w:ascii="Georgia" w:cs="Georgia" w:eastAsia="Georgia" w:hAnsi="Georgia"/>
                <w:sz w:val="20"/>
                <w:szCs w:val="20"/>
              </w:rPr>
              <w:t xml:space="preserve"> Cuando el licitador declare en su oferta, identificándola, que una funcionalidad determinada no admite ese control por razón de su arquitectura, su suspensión la ejecutará el adjudicatario a requerimiento del responsable del contrato cursado por el canal de la letra e), con efecto en un plazo máximo de [X; se recomienda 24] horas. El funcionamiento del control, o del procedimiento sustitutivo, se comprobará en la aceptación del apartado 9: lo activará personal municipal y se medirá el tiempo transcurrido hasta que la funcionalidad deje de producir resultados.</w:t>
            </w:r>
          </w:p>
          <w:p>
            <w:pPr>
              <w:spacing w:after="100" w:line="264"/>
            </w:pPr>
            <w:r>
              <w:rPr>
                <w:rFonts w:ascii="Georgia" w:cs="Georgia" w:eastAsia="Georgia" w:hAnsi="Georgia"/>
                <w:sz w:val="20"/>
                <w:szCs w:val="20"/>
              </w:rPr>
              <w:t xml:space="preserve">e) Un punto de contacto único, con identificación nominal y canal de comunicación, para incidentes graves, con un plazo máximo de respuesta de [X; se recomienda 24] horas hábiles.</w:t>
            </w:r>
          </w:p>
          <w:p>
            <w:pPr>
              <w:spacing w:after="100" w:line="264"/>
            </w:pPr>
            <w:r>
              <w:rPr>
                <w:rFonts w:ascii="Georgia" w:cs="Georgia" w:eastAsia="Georgia" w:hAnsi="Georgia"/>
                <w:sz w:val="20"/>
                <w:szCs w:val="20"/>
              </w:rPr>
              <w:t xml:space="preserve">f) La formación necesaria para que el personal municipal designado pueda ejercer de forma efectiva la supervisión humana.</w:t>
            </w:r>
          </w:p>
          <w:p>
            <w:pPr>
              <w:spacing w:after="100" w:line="264"/>
            </w:pPr>
            <w:r>
              <w:rPr>
                <w:rFonts w:ascii="Georgia" w:cs="Georgia" w:eastAsia="Georgia" w:hAnsi="Georgia"/>
                <w:b/>
                <w:bCs/>
                <w:sz w:val="20"/>
                <w:szCs w:val="20"/>
              </w:rPr>
              <w:t xml:space="preserve">7. Decisiones automatizadas.</w:t>
            </w:r>
            <w:r>
              <w:rPr>
                <w:rFonts w:ascii="Georgia" w:cs="Georgia" w:eastAsia="Georgia" w:hAnsi="Georgia"/>
                <w:sz w:val="20"/>
                <w:szCs w:val="20"/>
              </w:rPr>
              <w:t xml:space="preserve"> La solución no adoptará decisiones basadas únicamente en el tratamiento automatizado que produzcan efectos jurídicos sobre las personas o las afecten significativamente de modo similar, en el sentido del artículo 22 del Reglamento (UE) 2016/679, salvo que concurra alguna de las habilitaciones de dicho precepto y, cuando se trate de actuación administrativa automatizada, se haya aprobado previamente conforme al artículo 41 de la Ley 40/2015, de 1 de octubre. En tal caso, el adjudicatario facilitará cuanto sea necesario para que el Ayuntamiento pueda determinar y publicar los órganos competentes para la definición de especificaciones, programación, mantenimiento, supervisión, control de calidad y, en su caso, auditoría del sistema de información y de su código fuente, así como el órgano responsable a efectos de impugnación. A tal fin garantizará al Ayuntamiento y a los auditores que éste designe, sujetos a idéntico deber de confidencialidad, el acceso a la lógica, la parametrización, las reglas de decisión y el código fuente </w:t>
            </w:r>
            <w:r>
              <w:rPr>
                <w:rFonts w:ascii="Georgia" w:cs="Georgia" w:eastAsia="Georgia" w:hAnsi="Georgia"/>
                <w:b/>
                <w:bCs/>
                <w:sz w:val="20"/>
                <w:szCs w:val="20"/>
              </w:rPr>
              <w:t xml:space="preserve">de los componentes desarrollados específicamente para el Ayuntamiento</w:t>
            </w:r>
            <w:r>
              <w:rPr>
                <w:rFonts w:ascii="Georgia" w:cs="Georgia" w:eastAsia="Georgia" w:hAnsi="Georgia"/>
                <w:sz w:val="20"/>
                <w:szCs w:val="20"/>
              </w:rPr>
              <w:t xml:space="preserve">, con la exclusiva finalidad de auditoría y sin facultad alguna de explotación.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El adjudicatario entregará además, antes de la aceptación del apartado 9, una descripción del diseño y del funcionamiento del sistema en esa actuación y de los mecanismos de supervisión, control, trazabilidad y suspensión que la solución ofrece, redactada para su publicación en la sede electrónica y depurada de secretos técnicos o comerciales, que el Ayuntamiento podrá incorporar a la resolución que determine la actuación automatizada. En todo caso se garantizará el derecho a obtener intervención humana, a expresar el punto de vista y a impugnar la decisión.</w:t>
            </w:r>
          </w:p>
          <w:p>
            <w:pPr>
              <w:spacing w:after="100" w:line="264"/>
            </w:pPr>
            <w:r>
              <w:rPr>
                <w:rFonts w:ascii="Georgia" w:cs="Georgia" w:eastAsia="Georgia" w:hAnsi="Georgia"/>
                <w:b/>
                <w:bCs/>
                <w:sz w:val="20"/>
                <w:szCs w:val="20"/>
              </w:rPr>
              <w:t xml:space="preserve">8. Agentes: límites y reversibilidad.</w:t>
            </w:r>
            <w:r>
              <w:rPr>
                <w:rFonts w:ascii="Georgia" w:cs="Georgia" w:eastAsia="Georgia" w:hAnsi="Georgia"/>
                <w:sz w:val="20"/>
                <w:szCs w:val="20"/>
              </w:rPr>
              <w:t xml:space="preserve"> Cuando se empleen agentes de inteligencia artificial, su actuación estará sujeta a límites configurables por el Ayuntamiento, con trazabilidad completa de consultas, propuestas y acciones, registro de auditoría, mecanismos de intervención y suspensión humana y capacidad de revertir las actuaciones ejecutadas o, cuando la reversión automática no sea técnicamente posible, procedimiento documentado de reversión con indicación del tiempo estimado y del responsable de ejecutarlo.</w:t>
            </w:r>
          </w:p>
          <w:p>
            <w:pPr>
              <w:spacing w:after="100" w:line="264"/>
            </w:pPr>
            <w:r>
              <w:rPr>
                <w:rFonts w:ascii="Georgia" w:cs="Georgia" w:eastAsia="Georgia" w:hAnsi="Georgia"/>
                <w:b/>
                <w:bCs/>
                <w:sz w:val="20"/>
                <w:szCs w:val="20"/>
              </w:rPr>
              <w:t xml:space="preserve">9. Aceptación previa.</w:t>
            </w:r>
            <w:r>
              <w:rPr>
                <w:rFonts w:ascii="Georgia" w:cs="Georgia" w:eastAsia="Georgia" w:hAnsi="Georgia"/>
                <w:sz w:val="20"/>
                <w:szCs w:val="20"/>
              </w:rPr>
              <w:t xml:space="preserve"> Antes de su puesta en producción, toda funcionalidad basada en inteligencia artificial deberá ser aceptada expresamente por el Ayuntamiento, previas las pruebas técnicas, funcionales, de seguridad y de integración que se estimen necesarias, documentadas en acta. La aceptación no exime de responsabilidad por defectos, errores, sesgos, vulnerabilidades, incumplimientos normativos, uso inadecuado de datos o degradación posterior del servicio. No podrá otorgarse mientras no consten en el expediente los informes, consultas o autorizaciones que la normativa aplicable al Ayuntamiento exija con carácter previo a la implantación del sistema —[relación y precepto que los exige; se recomienda relacionar, cuando proceda, la consulta previa a la autoridad de control del artículo 36 del Reglamento (UE) 2016/679 y, si la entidad está sujeta a la Ley de la Administración Digital e Inteligencia Artificial de la Comunidad de Madrid o a norma autonómica equivalente, el informe preceptivo y vinculante previo a la implantación que esa norma prevea]— ni, cuando el informe sea vinculante, mientras su sentido no sea favorable. El adjudicatario aportará, de entre la información que este pliego le obliga a entregar, la que se precise para solicitarlos. El tiempo que medie hasta su emisión no se computará en los plazos de este pliego que dependan de la puesta en producción. Si el informe vinculante es desfavorable, la supresión de la funcionalidad y su efecto sobre el precio se rigen por la cláusula de reducción prevista del pliego de cláusulas administrativas particulares [cláusula complementaria de ADM-14, si se incorpora].</w:t>
            </w:r>
          </w:p>
          <w:p>
            <w:pPr>
              <w:spacing w:after="100" w:line="264"/>
            </w:pPr>
            <w:r>
              <w:rPr>
                <w:rFonts w:ascii="Georgia" w:cs="Georgia" w:eastAsia="Georgia" w:hAnsi="Georgia"/>
                <w:b/>
                <w:bCs/>
                <w:sz w:val="20"/>
                <w:szCs w:val="20"/>
              </w:rPr>
              <w:t xml:space="preserve">10. Alfabetización.</w:t>
            </w:r>
            <w:r>
              <w:rPr>
                <w:rFonts w:ascii="Georgia" w:cs="Georgia" w:eastAsia="Georgia" w:hAnsi="Georgia"/>
                <w:sz w:val="20"/>
                <w:szCs w:val="20"/>
              </w:rPr>
              <w:t xml:space="preserve"> El adjudicatario adoptará medidas para promover la alfabetización en materia de inteligencia artificial del personal que, por su cuenta, se encargue del funcionamiento y la utilización de los sistemas objeto del contrato. Esta obligación no exige garantizar un nivel específico de alfabetización de ninguna persona en particular.</w:t>
            </w:r>
          </w:p>
          <w:p>
            <w:pPr>
              <w:spacing w:after="100" w:line="264"/>
            </w:pPr>
            <w:r>
              <w:rPr>
                <w:rFonts w:ascii="Georgia" w:cs="Georgia" w:eastAsia="Georgia" w:hAnsi="Georgia"/>
                <w:b/>
                <w:bCs/>
                <w:sz w:val="20"/>
                <w:szCs w:val="20"/>
              </w:rPr>
              <w:t xml:space="preserve">11. Criterios aplicados en cada resultado.</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de inteligencia artificial interviene en la tramitación de procedimientos administrativos.]</w:t>
            </w:r>
            <w:r>
              <w:rPr>
                <w:rFonts w:ascii="Georgia" w:cs="Georgia" w:eastAsia="Georgia" w:hAnsi="Georgia"/>
                <w:sz w:val="20"/>
                <w:szCs w:val="20"/>
              </w:rPr>
              <w:t xml:space="preserve"> Cuando un sistema de inteligencia artificial produzca, en la tramitación de un procedimiento administrativo, una propuesta, una clasificación, una puntuación, un borrador o cualquier otro resultado que pueda servir de fundamento a un acto, la solución dejará constancia, por cada resultado, de los criterios, reglas o factores que lo han determinado, expresados de forma comprensible y con el detalle que la técnica del sistema permita, para que el órgano competente pueda motivar el acto, </w:t>
            </w:r>
            <w:r>
              <w:rPr>
                <w:rFonts w:ascii="Georgia" w:cs="Georgia" w:eastAsia="Georgia" w:hAnsi="Georgia"/>
                <w:b/>
                <w:bCs/>
                <w:sz w:val="20"/>
                <w:szCs w:val="20"/>
              </w:rPr>
              <w:t xml:space="preserve">también cuando el sistema sólo proponga y la decisión la adopte una persona</w:t>
            </w:r>
            <w:r>
              <w:rPr>
                <w:rFonts w:ascii="Georgia" w:cs="Georgia" w:eastAsia="Georgia" w:hAnsi="Georgia"/>
                <w:sz w:val="20"/>
                <w:szCs w:val="20"/>
              </w:rPr>
              <w:t xml:space="preserve">. Cuando el sistema no pueda identificarlos para un resultado concreto, lo hará constar expresamente.</w:t>
            </w:r>
          </w:p>
          <w:p>
            <w:pPr>
              <w:spacing w:after="100" w:line="264"/>
            </w:pPr>
            <w:r>
              <w:rPr>
                <w:rFonts w:ascii="Georgia" w:cs="Georgia" w:eastAsia="Georgia" w:hAnsi="Georgia"/>
                <w:sz w:val="20"/>
                <w:szCs w:val="20"/>
              </w:rPr>
              <w:t xml:space="preserve">La constancia se integrará en los archivos de registro del apartado 6, letra c), o en el registro de ejecución que este pliego exija para la automatización o el agente de que se trate, y quedará vinculada al expediente, a la versión del sistema y a los datos de entrada empleados, que el registro identificará cuando no consten ya en él. El personal municipal podrá exportarla por expediente, junto con esos datos, en formato abierto y documentado y sin intervención del adjudicatario. Se conservará, como mínimo, durante el plazo del apartado 6, letra c). Su generación y su exportación se comprobarán en la aceptación del apartado 9. Esta obligación no comprende la entrega del código fuente del producto base ni de los componentes de terceros, que se rige por la cláusula [ADM-8], apartado 4, del pliego de cláusulas administrativas particulares.</w:t>
            </w:r>
          </w:p>
          <w:p>
            <w:pPr>
              <w:spacing w:after="100" w:line="264"/>
            </w:pPr>
            <w:r>
              <w:rPr>
                <w:rFonts w:ascii="Georgia" w:cs="Georgia" w:eastAsia="Georgia" w:hAnsi="Georgia"/>
                <w:b/>
                <w:bCs/>
                <w:sz w:val="20"/>
                <w:szCs w:val="20"/>
              </w:rPr>
              <w:t xml:space="preserve">12. Recogida y etiquetado de los datos.</w:t>
            </w:r>
            <w:r>
              <w:rPr>
                <w:rFonts w:ascii="Georgia" w:cs="Georgia" w:eastAsia="Georgia" w:hAnsi="Georgia"/>
                <w:sz w:val="20"/>
                <w:szCs w:val="20"/>
              </w:rPr>
              <w:t xml:space="preserve"> Antes de la aceptación del apartado 9 de la primera funcionalidad que lo emplee, el adjudicatario entregará, para cada sistema de inteligencia artificial de la relación del apartado 2, una descripción de los datos con que se ha entrenado, ajustado o configurado y de los que emplea como entrada en este contrato, que indique su origen y su tipo y, cuando consten al adjudicatario o a su proveedor, el modo en que se recogieron y se etiquetaron.</w:t>
            </w:r>
          </w:p>
          <w:p>
            <w:pPr>
              <w:spacing w:after="100" w:line="264"/>
            </w:pPr>
            <w:r>
              <w:rPr>
                <w:rFonts w:ascii="Georgia" w:cs="Georgia" w:eastAsia="Georgia" w:hAnsi="Georgia"/>
                <w:sz w:val="20"/>
                <w:szCs w:val="20"/>
              </w:rPr>
              <w:t xml:space="preserve">La descripción se redactará con el detalle que el adjudicatario pueda dar sin revelar secretos técnicos o comerciales propios o de su proveedor. Cuando un extremo no conste al adjudicatario, o no pueda facilitarse por esa razón, la descripción lo dirá expresamente y, en el segundo caso, identificará la parte reservada. Lo que el adjudicatario identifique de forma motivada como secreto técnico o comercial no será publicado ni divulgado por el Ayuntamiento, con el alcance que el artículo 133 de la LCSP da a los secretos técnicos o comerciales y sin perjuicio de la legislación de acceso a la información pública y del acceso de los órganos de control y de los auditores del apartado 7; el resto podrá publicarse. Se actualizará antes de poner en producción cualquier cambio que altere su contenido.</w:t>
            </w:r>
          </w:p>
          <w:p>
            <w:pPr>
              <w:spacing w:after="100" w:line="264"/>
            </w:pPr>
            <w:r>
              <w:rPr>
                <w:rFonts w:ascii="Georgia" w:cs="Georgia" w:eastAsia="Georgia" w:hAnsi="Georgia"/>
                <w:b/>
                <w:bCs/>
                <w:sz w:val="20"/>
                <w:szCs w:val="20"/>
              </w:rPr>
              <w:t xml:space="preserve">13. Prevención y detección de sesgos.</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produce resultados referidos a personas físicas.]</w:t>
            </w:r>
            <w:r>
              <w:rPr>
                <w:rFonts w:ascii="Georgia" w:cs="Georgia" w:eastAsia="Georgia" w:hAnsi="Georgia"/>
                <w:sz w:val="20"/>
                <w:szCs w:val="20"/>
              </w:rPr>
              <w:t xml:space="preserve"> Cuando un sistema de inteligencia artificial, sea o no de alto riesgo, produzca propuestas, clasificaciones, priorizaciones, puntuaciones u otros resultados referidos a personas físicas, el adjudicatario:</w:t>
            </w:r>
          </w:p>
          <w:p>
            <w:pPr>
              <w:spacing w:after="100" w:line="264"/>
            </w:pPr>
            <w:r>
              <w:rPr>
                <w:rFonts w:ascii="Georgia" w:cs="Georgia" w:eastAsia="Georgia" w:hAnsi="Georgia"/>
                <w:sz w:val="20"/>
                <w:szCs w:val="20"/>
              </w:rPr>
              <w:t xml:space="preserve">a) Documentará, junto con la descripción del apartado 12, las medidas adoptadas por él o por su proveedor para prevenir sesgos discriminatorios en los datos, en la configuración y en los resultados, y los riesgos de sesgo que conozca para el uso previsto en este contrato.</w:t>
            </w:r>
          </w:p>
          <w:p>
            <w:pPr>
              <w:spacing w:after="100" w:line="264"/>
            </w:pPr>
            <w:r>
              <w:rPr>
                <w:rFonts w:ascii="Georgia" w:cs="Georgia" w:eastAsia="Georgia" w:hAnsi="Georgia"/>
                <w:sz w:val="20"/>
                <w:szCs w:val="20"/>
              </w:rPr>
              <w:t xml:space="preserve">b) Permitirá al Ayuntamiento ejecutar una muestra de verificación de, como mínimo, [X; se recomienda 50] casos que el Ayuntamiento elija o elabore, sobre el entorno de pruebas del contrato o, en su defecto, sobre un entorno sin datos de producción que el adjudicatario habilite a tal fin, y exportar sus resultados en formato reutilizable, para compararlos entre grupos de personas o con la revisión humana. La muestra se ejecutará en la aceptación del apartado 9 y cada vez que se modifique el sistema o su configuración de forma que pueda alterar sus resultados.</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el Informe de Necesidad lo motiva; por defecto, en contratos de nivel C de la Parte I, §2.2, del catálogo.]</w:t>
            </w:r>
            <w:r>
              <w:rPr>
                <w:rFonts w:ascii="Georgia" w:cs="Georgia" w:eastAsia="Georgia" w:hAnsi="Georgia"/>
                <w:sz w:val="20"/>
                <w:szCs w:val="20"/>
              </w:rPr>
              <w:t xml:space="preserve"> Entregará con periodicidad [X; se recomienda semestral] indicadores de los resultados del sistema desagregados por las variables que el Ayuntamiento indique de entre las que consten en los datos tratados en el contrato.</w:t>
            </w:r>
          </w:p>
          <w:p>
            <w:pPr>
              <w:spacing w:after="100" w:line="264"/>
            </w:pPr>
            <w:r>
              <w:rPr>
                <w:rFonts w:ascii="Georgia" w:cs="Georgia" w:eastAsia="Georgia" w:hAnsi="Georgia"/>
                <w:sz w:val="20"/>
                <w:szCs w:val="20"/>
              </w:rPr>
              <w:t xml:space="preserve">d) Comunicará al responsable del contrato, en el plazo de [X; se recomienda 15] días naturales desde que los conozca, los sesgos que detecte o que le comunique su proveedor, con las medidas correctoras que proponga.</w:t>
            </w:r>
          </w:p>
          <w:p>
            <w:pPr>
              <w:spacing w:after="100" w:line="264"/>
            </w:pPr>
            <w:r>
              <w:rPr>
                <w:rFonts w:ascii="Georgia" w:cs="Georgia" w:eastAsia="Georgia" w:hAnsi="Georgia"/>
                <w:sz w:val="20"/>
                <w:szCs w:val="20"/>
              </w:rPr>
              <w:t xml:space="preserve">Este apartado es exigible desde la formalización del contrato, con independencia del apartado 5 y de sus plazos. No habilita el tratamiento de categorías especiales de datos personales ni el de datos que el Ayuntamiento no haya puesto a disposición del adjudicatario para esta finalidad, y no obliga a garantizar la ausencia de todo sesgo: obliga a documentar, a permitir la comprobación y a comunicar.</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Ap. 6.e): </w:t>
      </w:r>
      <w:r>
        <w:rPr>
          <w:rFonts w:ascii="Calibri" w:cs="Calibri" w:eastAsia="Calibri" w:hAnsi="Calibri"/>
          <w:b/>
          <w:bCs/>
          <w:sz w:val="21"/>
          <w:szCs w:val="21"/>
        </w:rPr>
        <w:t xml:space="preserve">[4] horas</w:t>
      </w:r>
      <w:r>
        <w:rPr>
          <w:rFonts w:ascii="Calibri" w:cs="Calibri" w:eastAsia="Calibri" w:hAnsi="Calibri"/>
          <w:sz w:val="21"/>
          <w:szCs w:val="21"/>
        </w:rPr>
        <w:t xml:space="preserve">, el valor del catálogo «en servicios de disponibilidad crítica» (Anexo X, fila 30). Ap. 6.c): [12] meses, o [24] con plazos de impugnación largos (fila 29). Se suprimen el ap. 5 sin sistemas de alto riesgo y el ap. 7 desde su segundo inciso sin actuación administrativa automatizada del art. 41 de la Ley 40/2015 (ep. 7), que en tributos y recaudación se comprueba </w:t>
      </w:r>
      <w:r>
        <w:rPr>
          <w:rFonts w:ascii="Calibri" w:cs="Calibri" w:eastAsia="Calibri" w:hAnsi="Calibri"/>
          <w:b/>
          <w:bCs/>
          <w:sz w:val="21"/>
          <w:szCs w:val="21"/>
        </w:rPr>
        <w:t xml:space="preserve">[a cumplimentar con datos del expediente]</w:t>
      </w:r>
      <w:r>
        <w:rPr>
          <w:rFonts w:ascii="Calibri" w:cs="Calibri" w:eastAsia="Calibri" w:hAnsi="Calibri"/>
          <w:sz w:val="21"/>
          <w:szCs w:val="21"/>
        </w:rPr>
        <w:t xml:space="preserve">. Incisos con el corchete del proyecto de ley autonómico: se suprimen mientras la entidad no esté sujeta, que es el valor por defecto (Anexo X, fila 50). Exige el Apéndice técnico 3 (Anexo XXV).</w:t>
      </w:r>
    </w:p>
    <w:p>
      <w:pPr>
        <w:pStyle w:val="Heading3"/>
        <w:keepNext/>
        <w:spacing w:after="140" w:before="320"/>
      </w:pPr>
      <w:r>
        <w:rPr>
          <w:rFonts w:ascii="Georgia" w:cs="Georgia" w:eastAsia="Georgia" w:hAnsi="Georgia"/>
          <w:b/>
          <w:bCs/>
          <w:color w:val="2F5496"/>
          <w:sz w:val="22"/>
          <w:szCs w:val="22"/>
        </w:rPr>
        <w:t xml:space="preserve">DT-4·v3 · Automatización de procesos — CONDICIONAL</w:t>
      </w:r>
    </w:p>
    <w:p>
      <w:pPr>
        <w:spacing w:after="140" w:line="276"/>
      </w:pPr>
      <w:r>
        <w:rPr>
          <w:rFonts w:ascii="Calibri" w:cs="Calibri" w:eastAsia="Calibri" w:hAnsi="Calibri"/>
          <w:i/>
          <w:iCs/>
          <w:sz w:val="21"/>
          <w:szCs w:val="21"/>
        </w:rPr>
        <w:t xml:space="preserve">Texto vigente de DT-4·v3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DT-4. Automatización de procesos municipales identificados.</w:t>
            </w:r>
          </w:p>
          <w:p>
            <w:pPr>
              <w:spacing w:after="100" w:line="264"/>
            </w:pPr>
            <w:r>
              <w:rPr>
                <w:rFonts w:ascii="Georgia" w:cs="Georgia" w:eastAsia="Georgia" w:hAnsi="Georgia"/>
                <w:b/>
                <w:bCs/>
                <w:sz w:val="20"/>
                <w:szCs w:val="20"/>
              </w:rPr>
              <w:t xml:space="preserve">1. Objeto y lista cerrada.</w:t>
            </w:r>
            <w:r>
              <w:rPr>
                <w:rFonts w:ascii="Georgia" w:cs="Georgia" w:eastAsia="Georgia" w:hAnsi="Georgia"/>
                <w:sz w:val="20"/>
                <w:szCs w:val="20"/>
              </w:rPr>
              <w:t xml:space="preserve"> La solución permitirá automatizar, total o parcialmente, los procesos administrativos que se relacionan de forma cerrada y numerada en el </w:t>
            </w:r>
            <w:r>
              <w:rPr>
                <w:rFonts w:ascii="Georgia" w:cs="Georgia" w:eastAsia="Georgia" w:hAnsi="Georgia"/>
                <w:b/>
                <w:bCs/>
                <w:sz w:val="20"/>
                <w:szCs w:val="20"/>
              </w:rPr>
              <w:t xml:space="preserve">Apéndice [núm.] de este pliego</w:t>
            </w:r>
            <w:r>
              <w:rPr>
                <w:rFonts w:ascii="Georgia" w:cs="Georgia" w:eastAsia="Georgia" w:hAnsi="Georgia"/>
                <w:sz w:val="20"/>
                <w:szCs w:val="20"/>
              </w:rPr>
              <w:t xml:space="preserve">. El licitador indicará en su oferta, sobre esa relación y proceso por proceso, cuáles se compromete a automatizar, con qué alcance y en qué plazo. No se admitirán propuestas de automatización referidas a procesos ajenos a dicha relación.</w:t>
            </w:r>
          </w:p>
          <w:p>
            <w:pPr>
              <w:spacing w:after="100" w:line="264"/>
            </w:pPr>
            <w:r>
              <w:rPr>
                <w:rFonts w:ascii="Georgia" w:cs="Georgia" w:eastAsia="Georgia" w:hAnsi="Georgia"/>
                <w:b/>
                <w:bCs/>
                <w:sz w:val="20"/>
                <w:szCs w:val="20"/>
              </w:rPr>
              <w:t xml:space="preserve">2. Número mínimo.</w:t>
            </w:r>
            <w:r>
              <w:rPr>
                <w:rFonts w:ascii="Georgia" w:cs="Georgia" w:eastAsia="Georgia" w:hAnsi="Georgia"/>
                <w:sz w:val="20"/>
                <w:szCs w:val="20"/>
              </w:rPr>
              <w:t xml:space="preserve"> El adjudicatario automatizará, como mínimo, [X; se recomienda 3] de los procesos relacionados en el Apéndice [núm.], en el plazo máximo de [X; se recomienda 6] meses desde la formalización del contrato o, si fuera posterior, desde la puesta en producción del módulo correspondiente.</w:t>
            </w:r>
          </w:p>
          <w:p>
            <w:pPr>
              <w:spacing w:after="100" w:line="264"/>
            </w:pPr>
            <w:r>
              <w:rPr>
                <w:rFonts w:ascii="Georgia" w:cs="Georgia" w:eastAsia="Georgia" w:hAnsi="Georgia"/>
                <w:b/>
                <w:bCs/>
                <w:sz w:val="20"/>
                <w:szCs w:val="20"/>
              </w:rPr>
              <w:t xml:space="preserve">3. Requisitos de toda automatización.</w:t>
            </w:r>
            <w:r>
              <w:rPr>
                <w:rFonts w:ascii="Georgia" w:cs="Georgia" w:eastAsia="Georgia" w:hAnsi="Georgia"/>
                <w:sz w:val="20"/>
                <w:szCs w:val="20"/>
              </w:rPr>
              <w:t xml:space="preserve"> Cada automatización deberá cumplir:</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Supervisión humana.</w:t>
            </w:r>
            <w:r>
              <w:rPr>
                <w:rFonts w:ascii="Georgia" w:cs="Georgia" w:eastAsia="Georgia" w:hAnsi="Georgia"/>
                <w:sz w:val="20"/>
                <w:szCs w:val="20"/>
              </w:rPr>
              <w:t xml:space="preserve"> Identificación del puesto responsable de supervisar la ejecución, con capacidad efectiva de intervenir, detener y corregir.</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Trazabilidad.</w:t>
            </w:r>
            <w:r>
              <w:rPr>
                <w:rFonts w:ascii="Georgia" w:cs="Georgia" w:eastAsia="Georgia" w:hAnsi="Georgia"/>
                <w:sz w:val="20"/>
                <w:szCs w:val="20"/>
              </w:rPr>
              <w:t xml:space="preserve"> Registro de cada ejecución, con marca temporal, datos de entrada y de salida, resultado e incidencias, exportable en formato abierto y documentado.</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Reversibilidad.</w:t>
            </w:r>
            <w:r>
              <w:rPr>
                <w:rFonts w:ascii="Georgia" w:cs="Georgia" w:eastAsia="Georgia" w:hAnsi="Georgia"/>
                <w:sz w:val="20"/>
                <w:szCs w:val="20"/>
              </w:rPr>
              <w:t xml:space="preserve"> Posibilidad de revertir los efectos de una ejecución errónea o, cuando la reversión automática no sea técnicamente posible, procedimiento documentado de reversión con indicación del tiempo estimado y del puesto responsable de ejecutarlo.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Puntos de parada y tratamiento de errores.</w:t>
            </w:r>
            <w:r>
              <w:rPr>
                <w:rFonts w:ascii="Georgia" w:cs="Georgia" w:eastAsia="Georgia" w:hAnsi="Georgia"/>
                <w:sz w:val="20"/>
                <w:szCs w:val="20"/>
              </w:rPr>
              <w:t xml:space="preserve"> Condiciones de terminación definidas, límites de reintentos, y comportamiento explícito ante error, sin que la automatización pueda quedar en ejecución indefinida.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Respeto del procedimiento administrativo.</w:t>
            </w:r>
            <w:r>
              <w:rPr>
                <w:rFonts w:ascii="Georgia" w:cs="Georgia" w:eastAsia="Georgia" w:hAnsi="Georgia"/>
                <w:sz w:val="20"/>
                <w:szCs w:val="20"/>
              </w:rPr>
              <w:t xml:space="preserve"> Cuando la automatización afecte a un procedimiento administrativo, se ajustará a lo dispuesto en las Leyes 39/2015 y 40/2015; si constituye actuación administrativa automatizada, requerirá su aprobación previa conforme al artículo 41 de la Ley 40/2015, de 1 de octubre, y el adjudicatario facilitará cuanto sea necesario para que el Ayuntamiento determine y publique los órganos que ese precepto exige y, en su caso, audite el sistema. </w:t>
            </w:r>
            <w:r>
              <w:rPr>
                <w:rFonts w:ascii="Georgia" w:cs="Georgia" w:eastAsia="Georgia" w:hAnsi="Georgia"/>
                <w:i/>
                <w:iCs/>
                <w:sz w:val="20"/>
                <w:szCs w:val="20"/>
              </w:rPr>
              <w:t xml:space="preserve">[Si este pliego incorpora la cláusula DT-1, se añade: «En lo demás, se estará a lo previsto en la cláusula DT-1, apartado 7.»]</w:t>
            </w:r>
            <w:r>
              <w:rPr>
                <w:rFonts w:ascii="Georgia" w:cs="Georgia" w:eastAsia="Georgia" w:hAnsi="Georgia"/>
                <w:sz w:val="20"/>
                <w:szCs w:val="20"/>
              </w:rPr>
              <w:t xml:space="preserve">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Cuando la automatización constituya actuación administrativa automatizada, el adjudicatario entregará, antes de la aceptación del apartado 5, una descripción del diseño y del funcionamiento de la automatización y de los mecanismos de las letras a) a d), redactada para su publicación en la sede electrónica y depurada de secretos técnicos o comerciales.</w:t>
            </w:r>
          </w:p>
          <w:p>
            <w:pPr>
              <w:spacing w:after="100" w:line="264"/>
            </w:pPr>
            <w:r>
              <w:rPr>
                <w:rFonts w:ascii="Georgia" w:cs="Georgia" w:eastAsia="Georgia" w:hAnsi="Georgia"/>
                <w:b/>
                <w:bCs/>
                <w:sz w:val="20"/>
                <w:szCs w:val="20"/>
              </w:rPr>
              <w:t xml:space="preserve">4. Medición.</w:t>
            </w:r>
            <w:r>
              <w:rPr>
                <w:rFonts w:ascii="Georgia" w:cs="Georgia" w:eastAsia="Georgia" w:hAnsi="Georgia"/>
                <w:sz w:val="20"/>
                <w:szCs w:val="20"/>
              </w:rPr>
              <w:t xml:space="preserve"> Para cada proceso automatizado se medirán, con periodicidad [X; se recomienda trimestral], al menos los siguientes indicadores, cuyo valor de partida se fijará antes de la automatización: número de ejecuciones, tasa de ejecuciones que requieren intervención humana, tiempo medio de tramitación antes y después, y tasa de error. El adjudicatario entregará los indicadores en formato reutilizable.</w:t>
            </w:r>
          </w:p>
          <w:p>
            <w:pPr>
              <w:spacing w:after="100" w:line="264"/>
            </w:pPr>
            <w:r>
              <w:rPr>
                <w:rFonts w:ascii="Georgia" w:cs="Georgia" w:eastAsia="Georgia" w:hAnsi="Georgia"/>
                <w:b/>
                <w:bCs/>
                <w:sz w:val="20"/>
                <w:szCs w:val="20"/>
              </w:rPr>
              <w:t xml:space="preserve">5. Aceptación.</w:t>
            </w:r>
            <w:r>
              <w:rPr>
                <w:rFonts w:ascii="Georgia" w:cs="Georgia" w:eastAsia="Georgia" w:hAnsi="Georgia"/>
                <w:sz w:val="20"/>
                <w:szCs w:val="20"/>
              </w:rPr>
              <w:t xml:space="preserve"> Cada automatización se aceptará expresamente previa prueba sobre el entorno de pruebas, documentada en acta, en la que se verificarán las letras a) a e) del apartado 3. La aceptación no exime de responsabilidad por degradación posterior.</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Los del perfil base (Anexo X, filas 34 a 36); esta capa no los mueve.</w:t>
      </w:r>
    </w:p>
    <w:p>
      <w:pPr>
        <w:pStyle w:val="Heading3"/>
        <w:keepNext/>
        <w:spacing w:after="140" w:before="320"/>
      </w:pPr>
      <w:r>
        <w:rPr>
          <w:rFonts w:ascii="Georgia" w:cs="Georgia" w:eastAsia="Georgia" w:hAnsi="Georgia"/>
          <w:b/>
          <w:bCs/>
          <w:color w:val="2F5496"/>
          <w:sz w:val="22"/>
          <w:szCs w:val="22"/>
        </w:rPr>
        <w:t xml:space="preserve">DT-9·v3 · Exigencias tecnológicas determinadas — CONDICIONAL</w:t>
      </w:r>
    </w:p>
    <w:p>
      <w:pPr>
        <w:spacing w:after="140" w:line="276"/>
      </w:pPr>
      <w:r>
        <w:rPr>
          <w:rFonts w:ascii="Calibri" w:cs="Calibri" w:eastAsia="Calibri" w:hAnsi="Calibri"/>
          <w:i/>
          <w:iCs/>
          <w:sz w:val="21"/>
          <w:szCs w:val="21"/>
        </w:rPr>
        <w:t xml:space="preserve">Texto vigente de DT-9·v3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DT-9. Exigencias tecnológicas determinadas del ejercicio.</w:t>
            </w:r>
          </w:p>
          <w:p>
            <w:pPr>
              <w:spacing w:after="100" w:line="264"/>
            </w:pPr>
            <w:r>
              <w:rPr>
                <w:rFonts w:ascii="Georgia" w:cs="Georgia" w:eastAsia="Georgia" w:hAnsi="Georgia"/>
                <w:b/>
                <w:bCs/>
                <w:sz w:val="20"/>
                <w:szCs w:val="20"/>
              </w:rPr>
              <w:t xml:space="preserve">1. Objeto y alcance.</w:t>
            </w:r>
            <w:r>
              <w:rPr>
                <w:rFonts w:ascii="Georgia" w:cs="Georgia" w:eastAsia="Georgia" w:hAnsi="Georgia"/>
                <w:sz w:val="20"/>
                <w:szCs w:val="20"/>
              </w:rPr>
              <w:t xml:space="preserve"> La solución objeto del contrato incorporará las capacidades tecnológicas relacionadas en el </w:t>
            </w:r>
            <w:r>
              <w:rPr>
                <w:rFonts w:ascii="Georgia" w:cs="Georgia" w:eastAsia="Georgia" w:hAnsi="Georgia"/>
                <w:b/>
                <w:bCs/>
                <w:sz w:val="20"/>
                <w:szCs w:val="20"/>
              </w:rPr>
              <w:t xml:space="preserve">Anexo de Exigencias Tecnológicas Determinadas, versión [núm.], de [fecha], aprobado por [órgano]</w:t>
            </w:r>
            <w:r>
              <w:rPr>
                <w:rFonts w:ascii="Georgia" w:cs="Georgia" w:eastAsia="Georgia" w:hAnsi="Georgia"/>
                <w:sz w:val="20"/>
                <w:szCs w:val="20"/>
              </w:rPr>
              <w:t xml:space="preserve">, que se transcribe íntegramente en el Apéndice [núm.] de este pliego, en los plazos y con los criterios de aceptación que en él se establecen. Dichas exigencias forman parte del alcance ordinario del contrato y se entienden retribuidas con el precio ofertado, sin que su cumplimiento dé lugar a facturación adicional ni requiera modificación contractual alguna.</w:t>
            </w:r>
          </w:p>
          <w:p>
            <w:pPr>
              <w:spacing w:after="100" w:line="264"/>
            </w:pPr>
            <w:r>
              <w:rPr>
                <w:rFonts w:ascii="Georgia" w:cs="Georgia" w:eastAsia="Georgia" w:hAnsi="Georgia"/>
                <w:b/>
                <w:bCs/>
                <w:sz w:val="20"/>
                <w:szCs w:val="20"/>
              </w:rPr>
              <w:t xml:space="preserve">2. Invariabilidad.</w:t>
            </w:r>
            <w:r>
              <w:rPr>
                <w:rFonts w:ascii="Georgia" w:cs="Georgia" w:eastAsia="Georgia" w:hAnsi="Georgia"/>
                <w:sz w:val="20"/>
                <w:szCs w:val="20"/>
              </w:rPr>
              <w:t xml:space="preserve"> El contenido del Apéndice [núm.] se determina en el momento de la licitación y </w:t>
            </w:r>
            <w:r>
              <w:rPr>
                <w:rFonts w:ascii="Georgia" w:cs="Georgia" w:eastAsia="Georgia" w:hAnsi="Georgia"/>
                <w:b/>
                <w:bCs/>
                <w:sz w:val="20"/>
                <w:szCs w:val="20"/>
              </w:rPr>
              <w:t xml:space="preserve">permanece invariable durante toda la vigencia del contrato y de sus prórrogas</w:t>
            </w:r>
            <w:r>
              <w:rPr>
                <w:rFonts w:ascii="Georgia" w:cs="Georgia" w:eastAsia="Georgia" w:hAnsi="Georgia"/>
                <w:sz w:val="20"/>
                <w:szCs w:val="20"/>
              </w:rPr>
              <w:t xml:space="preserve">. Las revisiones posteriores del Anexo de Exigencias Tecnológicas Determinadas no resultan exigibles a este contrato. Este pliego no remite a versiones futuras de dicho Anexo.</w:t>
            </w:r>
          </w:p>
          <w:p>
            <w:pPr>
              <w:spacing w:after="100" w:line="264"/>
            </w:pPr>
            <w:r>
              <w:rPr>
                <w:rFonts w:ascii="Georgia" w:cs="Georgia" w:eastAsia="Georgia" w:hAnsi="Georgia"/>
                <w:b/>
                <w:bCs/>
                <w:sz w:val="20"/>
                <w:szCs w:val="20"/>
              </w:rPr>
              <w:t xml:space="preserve">3. Agotamiento.</w:t>
            </w:r>
            <w:r>
              <w:rPr>
                <w:rFonts w:ascii="Georgia" w:cs="Georgia" w:eastAsia="Georgia" w:hAnsi="Georgia"/>
                <w:sz w:val="20"/>
                <w:szCs w:val="20"/>
              </w:rPr>
              <w:t xml:space="preserve"> Fuera del Apéndice [núm.] no existe obligación de evolución tecnológica exigible al amparo de este pliego. Lo que exceda de él se tramitará, en su caso, conforme a los artículos 203 y 204 LCSP o mediante nueva licitación.</w:t>
            </w:r>
          </w:p>
          <w:p>
            <w:pPr>
              <w:spacing w:after="100" w:line="264"/>
            </w:pPr>
            <w:r>
              <w:rPr>
                <w:rFonts w:ascii="Georgia" w:cs="Georgia" w:eastAsia="Georgia" w:hAnsi="Georgia"/>
                <w:b/>
                <w:bCs/>
                <w:sz w:val="20"/>
                <w:szCs w:val="20"/>
              </w:rPr>
              <w:t xml:space="preserve">4. Criterios de aceptación.</w:t>
            </w:r>
            <w:r>
              <w:rPr>
                <w:rFonts w:ascii="Georgia" w:cs="Georgia" w:eastAsia="Georgia" w:hAnsi="Georgia"/>
                <w:sz w:val="20"/>
                <w:szCs w:val="20"/>
              </w:rPr>
              <w:t xml:space="preserve"> Cada exigencia del Apéndice [núm.] va acompañada de criterios de aceptación </w:t>
            </w:r>
            <w:r>
              <w:rPr>
                <w:rFonts w:ascii="Georgia" w:cs="Georgia" w:eastAsia="Georgia" w:hAnsi="Georgia"/>
                <w:b/>
                <w:bCs/>
                <w:sz w:val="20"/>
                <w:szCs w:val="20"/>
              </w:rPr>
              <w:t xml:space="preserve">binarios y comprobables</w:t>
            </w:r>
            <w:r>
              <w:rPr>
                <w:rFonts w:ascii="Georgia" w:cs="Georgia" w:eastAsia="Georgia" w:hAnsi="Georgia"/>
                <w:sz w:val="20"/>
                <w:szCs w:val="20"/>
              </w:rPr>
              <w:t xml:space="preserve">, formulados de modo que su cumplimiento pueda determinarse mediante una prueba con resultado inequívoco. No se admiten criterios cuyo cumplimiento dependa de una apreciación de grado.</w:t>
            </w:r>
          </w:p>
          <w:p>
            <w:pPr>
              <w:spacing w:after="100" w:line="264"/>
            </w:pPr>
            <w:r>
              <w:rPr>
                <w:rFonts w:ascii="Georgia" w:cs="Georgia" w:eastAsia="Georgia" w:hAnsi="Georgia"/>
                <w:b/>
                <w:bCs/>
                <w:sz w:val="20"/>
                <w:szCs w:val="20"/>
              </w:rPr>
              <w:t xml:space="preserve">5. Verificación y aceptación.</w:t>
            </w:r>
            <w:r>
              <w:rPr>
                <w:rFonts w:ascii="Georgia" w:cs="Georgia" w:eastAsia="Georgia" w:hAnsi="Georgia"/>
                <w:sz w:val="20"/>
                <w:szCs w:val="20"/>
              </w:rPr>
              <w:t xml:space="preserve"> El cumplimiento de cada exigencia se verificará sobre el entorno de pruebas previsto en la cláusula DT-5, apartado 6, mediante las pruebas técnicas, funcionales y de seguridad que se estimen necesarias, y se documentará en </w:t>
            </w:r>
            <w:r>
              <w:rPr>
                <w:rFonts w:ascii="Georgia" w:cs="Georgia" w:eastAsia="Georgia" w:hAnsi="Georgia"/>
                <w:b/>
                <w:bCs/>
                <w:sz w:val="20"/>
                <w:szCs w:val="20"/>
              </w:rPr>
              <w:t xml:space="preserve">acta suscrita por el responsable del contrato</w:t>
            </w:r>
            <w:r>
              <w:rPr>
                <w:rFonts w:ascii="Georgia" w:cs="Georgia" w:eastAsia="Georgia" w:hAnsi="Georgia"/>
                <w:sz w:val="20"/>
                <w:szCs w:val="20"/>
              </w:rPr>
              <w:t xml:space="preserve">, con una fila por criterio y el resultado de cada uno. La exigencia cuya acta no recoja el resultado de todos sus criterios no se tiene por cumplida.</w:t>
            </w:r>
          </w:p>
          <w:p>
            <w:pPr>
              <w:spacing w:after="100" w:line="264"/>
            </w:pPr>
            <w:r>
              <w:rPr>
                <w:rFonts w:ascii="Georgia" w:cs="Georgia" w:eastAsia="Georgia" w:hAnsi="Georgia"/>
                <w:b/>
                <w:bCs/>
                <w:sz w:val="20"/>
                <w:szCs w:val="20"/>
              </w:rPr>
              <w:t xml:space="preserve">6. Mantenimiento de la capacidad.</w:t>
            </w:r>
            <w:r>
              <w:rPr>
                <w:rFonts w:ascii="Georgia" w:cs="Georgia" w:eastAsia="Georgia" w:hAnsi="Georgia"/>
                <w:sz w:val="20"/>
                <w:szCs w:val="20"/>
              </w:rPr>
              <w:t xml:space="preserve"> La aceptación no exime al adjudicatario de responsabilidad por defectos, errores, vulnerabilidades, incumplimientos normativos o degradación posterior de la capacidad verificada, que deberá mantenerse operativa durante el resto de la vigencia del contrato y de sus prórrogas. La degradación de una capacidad ya aceptada se tratará como incumplimiento sobrevenido de la exigencia correspondiente.</w:t>
            </w:r>
          </w:p>
          <w:p>
            <w:pPr>
              <w:spacing w:after="100" w:line="264"/>
            </w:pPr>
            <w:r>
              <w:rPr>
                <w:rFonts w:ascii="Georgia" w:cs="Georgia" w:eastAsia="Georgia" w:hAnsi="Georgia"/>
                <w:b/>
                <w:bCs/>
                <w:sz w:val="20"/>
                <w:szCs w:val="20"/>
              </w:rPr>
              <w:t xml:space="preserve">7. Versiones sucesoras.</w:t>
            </w:r>
            <w:r>
              <w:rPr>
                <w:rFonts w:ascii="Georgia" w:cs="Georgia" w:eastAsia="Georgia" w:hAnsi="Georgia"/>
                <w:sz w:val="20"/>
                <w:szCs w:val="20"/>
              </w:rPr>
              <w:t xml:space="preserve"> El adjudicatario pondrá a disposición del Ayuntamiento, sin coste adicional durante la vigencia del contrato y de sus prórrogas, las versiones sucesoras del producto contratado, con independencia de su denominación comercial, según la definición de «versión sucesora» del cuadro de definiciones de este pliego. El adjudicatario comunicará al Ayuntamiento la publicación de cada versión sucesora en el plazo de [X; se recomienda 30] días naturales desde su disponibilidad general.</w:t>
            </w:r>
          </w:p>
          <w:p>
            <w:pPr>
              <w:spacing w:after="100" w:line="264"/>
            </w:pPr>
            <w:r>
              <w:rPr>
                <w:rFonts w:ascii="Georgia" w:cs="Georgia" w:eastAsia="Georgia" w:hAnsi="Georgia"/>
                <w:b/>
                <w:bCs/>
                <w:sz w:val="20"/>
                <w:szCs w:val="20"/>
              </w:rPr>
              <w:t xml:space="preserve">8. Criterios de aceptación de aplicación general.</w:t>
            </w:r>
            <w:r>
              <w:rPr>
                <w:rFonts w:ascii="Georgia" w:cs="Georgia" w:eastAsia="Georgia" w:hAnsi="Georgia"/>
                <w:sz w:val="20"/>
                <w:szCs w:val="20"/>
              </w:rPr>
              <w:t xml:space="preserve"> Cuando el Apéndice [núm.] exija registro de la actuación de sistemas o agentes de inteligencia artificial, o mecanismos de suspensión de dicha actuación, los criterios de aceptación correspondientes serán, como mínimo, los siguientes:</w:t>
            </w:r>
          </w:p>
          <w:p>
            <w:pPr>
              <w:spacing w:after="100" w:line="264"/>
            </w:pPr>
            <w:r>
              <w:rPr>
                <w:rFonts w:ascii="Georgia" w:cs="Georgia" w:eastAsia="Georgia" w:hAnsi="Georgia"/>
                <w:b/>
                <w:bCs/>
                <w:sz w:val="20"/>
                <w:szCs w:val="20"/>
              </w:rPr>
              <w:t xml:space="preserve">8.1. Integridad verificable del registro.</w:t>
            </w:r>
            <w:r>
              <w:rPr>
                <w:rFonts w:ascii="Georgia" w:cs="Georgia" w:eastAsia="Georgia" w:hAnsi="Georgia"/>
                <w:sz w:val="20"/>
                <w:szCs w:val="20"/>
              </w:rPr>
              <w:t xml:space="preserve"> El registro incorpora, por cada asiento o por cada bloque de asientos correspondiente a un período no superior a [X; se recomienda 24] horas, un valor de integridad criptográfico encadenado con el anterior, de modo que cualquier alteración o supresión posterior de un asiento sea </w:t>
            </w:r>
            <w:r>
              <w:rPr>
                <w:rFonts w:ascii="Georgia" w:cs="Georgia" w:eastAsia="Georgia" w:hAnsi="Georgia"/>
                <w:b/>
                <w:bCs/>
                <w:sz w:val="20"/>
                <w:szCs w:val="20"/>
              </w:rPr>
              <w:t xml:space="preserve">detectable por el Ayuntamiento con herramienta propia y sin intervención del adjudicatario</w:t>
            </w:r>
            <w:r>
              <w:rPr>
                <w:rFonts w:ascii="Georgia" w:cs="Georgia" w:eastAsia="Georgia" w:hAnsi="Georgia"/>
                <w:sz w:val="20"/>
                <w:szCs w:val="20"/>
              </w:rPr>
              <w:t xml:space="preserve">. Se acredita ejecutando la verificación sobre una muestra y sobre una muestra deliberadamente alterada en el entorno de pruebas.</w:t>
            </w:r>
          </w:p>
          <w:p>
            <w:pPr>
              <w:spacing w:after="100" w:line="264"/>
            </w:pPr>
            <w:r>
              <w:rPr>
                <w:rFonts w:ascii="Georgia" w:cs="Georgia" w:eastAsia="Georgia" w:hAnsi="Georgia"/>
                <w:b/>
                <w:bCs/>
                <w:sz w:val="20"/>
                <w:szCs w:val="20"/>
              </w:rPr>
              <w:t xml:space="preserve">8.2. Retención garantizada.</w:t>
            </w:r>
            <w:r>
              <w:rPr>
                <w:rFonts w:ascii="Georgia" w:cs="Georgia" w:eastAsia="Georgia" w:hAnsi="Georgia"/>
                <w:sz w:val="20"/>
                <w:szCs w:val="20"/>
              </w:rPr>
              <w:t xml:space="preserve"> El registro se conserva por un plazo no inferior a [X; se recomienda 24] meses y no puede ser purgado antes de ese plazo mediante operación ordinaria del servicio. Se acredita mediante la configuración documentada de la política de retención y la comprobación de que la operación de purga anticipada no está disponible en los perfiles de operación.</w:t>
            </w:r>
          </w:p>
          <w:p>
            <w:pPr>
              <w:spacing w:after="100" w:line="264"/>
            </w:pPr>
            <w:r>
              <w:rPr>
                <w:rFonts w:ascii="Georgia" w:cs="Georgia" w:eastAsia="Georgia" w:hAnsi="Georgia"/>
                <w:b/>
                <w:bCs/>
                <w:sz w:val="20"/>
                <w:szCs w:val="20"/>
              </w:rPr>
              <w:t xml:space="preserve">8.3. Segregación de funciones.</w:t>
            </w:r>
            <w:r>
              <w:rPr>
                <w:rFonts w:ascii="Georgia" w:cs="Georgia" w:eastAsia="Georgia" w:hAnsi="Georgia"/>
                <w:sz w:val="20"/>
                <w:szCs w:val="20"/>
              </w:rPr>
              <w:t xml:space="preserve"> La modificación o supresión de asientos del registro requiere un perfil administrativo distinto del empleado para operar el servicio; toda actuación con ese perfil queda a su vez registrada y se notifica automáticamente al Ayuntamiento. Se acredita mediante la matriz de perfiles y una prueba de notificación.</w:t>
            </w:r>
          </w:p>
          <w:p>
            <w:pPr>
              <w:spacing w:after="100" w:line="264"/>
            </w:pPr>
            <w:r>
              <w:rPr>
                <w:rFonts w:ascii="Georgia" w:cs="Georgia" w:eastAsia="Georgia" w:hAnsi="Georgia"/>
                <w:b/>
                <w:bCs/>
                <w:sz w:val="20"/>
                <w:szCs w:val="20"/>
              </w:rPr>
              <w:t xml:space="preserve">8.4. Copia fuera del ámbito de operación.</w:t>
            </w:r>
            <w:r>
              <w:rPr>
                <w:rFonts w:ascii="Georgia" w:cs="Georgia" w:eastAsia="Georgia" w:hAnsi="Georgia"/>
                <w:sz w:val="20"/>
                <w:szCs w:val="20"/>
              </w:rPr>
              <w:t xml:space="preserve"> El registro se exporta automáticamente, con periodicidad [X; se recomienda diaria], a un repositorio designado por el Ayuntamiento, o se pone a disposición mediante interfaz que permita al Ayuntamiento extraerlo de forma autónoma. Se acredita mediante la ejecución de una exportación por personal municipal.</w:t>
            </w:r>
          </w:p>
          <w:p>
            <w:pPr>
              <w:spacing w:after="100" w:line="264"/>
            </w:pPr>
            <w:r>
              <w:rPr>
                <w:rFonts w:ascii="Georgia" w:cs="Georgia" w:eastAsia="Georgia" w:hAnsi="Georgia"/>
                <w:b/>
                <w:bCs/>
                <w:sz w:val="20"/>
                <w:szCs w:val="20"/>
              </w:rPr>
              <w:t xml:space="preserve">8.5. Suspensión accionable por el Ayuntamiento.</w:t>
            </w:r>
            <w:r>
              <w:rPr>
                <w:rFonts w:ascii="Georgia" w:cs="Georgia" w:eastAsia="Georgia" w:hAnsi="Georgia"/>
                <w:sz w:val="20"/>
                <w:szCs w:val="20"/>
              </w:rPr>
              <w:t xml:space="preserve"> Existe un control accionable con credenciales municipales, desde la interfaz de administración de la solución, que suspende la actuación de sistemas o agentes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con efecto en un plazo máximo de [X; se recomienda 5] minutos. Se acredita activando el control con usuario municipal en el entorno de pruebas y midiendo el tiempo transcurrido hasta que la siguiente invocación es rechazada.</w:t>
            </w:r>
          </w:p>
          <w:p>
            <w:pPr>
              <w:spacing w:after="100" w:line="264"/>
            </w:pPr>
            <w:r>
              <w:rPr>
                <w:rFonts w:ascii="Georgia" w:cs="Georgia" w:eastAsia="Georgia" w:hAnsi="Georgia"/>
                <w:b/>
                <w:bCs/>
                <w:sz w:val="20"/>
                <w:szCs w:val="20"/>
              </w:rPr>
              <w:t xml:space="preserve">8.6. Reversibilidad de las actuaciones.</w:t>
            </w:r>
            <w:r>
              <w:rPr>
                <w:rFonts w:ascii="Georgia" w:cs="Georgia" w:eastAsia="Georgia" w:hAnsi="Georgia"/>
                <w:sz w:val="20"/>
                <w:szCs w:val="20"/>
              </w:rPr>
              <w:t xml:space="preserve"> Toda operación ejecutada por un sistema o agente de inteligencia artificial es reversible </w:t>
            </w:r>
            <w:r>
              <w:rPr>
                <w:rFonts w:ascii="Georgia" w:cs="Georgia" w:eastAsia="Georgia" w:hAnsi="Georgia"/>
                <w:b/>
                <w:bCs/>
                <w:sz w:val="20"/>
                <w:szCs w:val="20"/>
              </w:rPr>
              <w:t xml:space="preserve">desde la propia solución</w:t>
            </w:r>
            <w:r>
              <w:rPr>
                <w:rFonts w:ascii="Georgia" w:cs="Georgia" w:eastAsia="Georgia" w:hAnsi="Georgia"/>
                <w:sz w:val="20"/>
                <w:szCs w:val="20"/>
              </w:rPr>
              <w:t xml:space="preserve">, sin intervención del personal del adjudicatario. Se acredita revirtiendo efectivamente, sobre el entorno de pruebas, al menos una operación de cada tipo, y documentándolo en acta.</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Los del perfil base, con el Anexo V transcrito en el Apéndice técnico 2 (Anexo XXV). Si hay ap. 8, sus 8.2 y 8.5 llevan los mismos valores que DT-7·v3, ap. 3.c) y 3.f) (II.13).</w:t>
      </w:r>
    </w:p>
    <w:p>
      <w:pPr>
        <w:pStyle w:val="Heading3"/>
        <w:keepNext/>
        <w:spacing w:after="140" w:before="320"/>
      </w:pPr>
      <w:r>
        <w:rPr>
          <w:rFonts w:ascii="Georgia" w:cs="Georgia" w:eastAsia="Georgia" w:hAnsi="Georgia"/>
          <w:b/>
          <w:bCs/>
          <w:color w:val="2F5496"/>
          <w:sz w:val="22"/>
          <w:szCs w:val="22"/>
        </w:rPr>
        <w:t xml:space="preserve">DT-5·v3 · Interoperabilidad y soberanía del dato — SÍ</w:t>
      </w:r>
    </w:p>
    <w:p>
      <w:pPr>
        <w:spacing w:after="140" w:line="276"/>
      </w:pPr>
      <w:r>
        <w:rPr>
          <w:rFonts w:ascii="Calibri" w:cs="Calibri" w:eastAsia="Calibri" w:hAnsi="Calibri"/>
          <w:i/>
          <w:iCs/>
          <w:sz w:val="21"/>
          <w:szCs w:val="21"/>
        </w:rPr>
        <w:t xml:space="preserve">Texto vigente de DT-5·v3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DT-5. Interoperabilidad, servicios comunes y soberanía del dato.</w:t>
            </w:r>
          </w:p>
          <w:p>
            <w:pPr>
              <w:spacing w:after="100" w:line="264"/>
            </w:pPr>
            <w:r>
              <w:rPr>
                <w:rFonts w:ascii="Georgia" w:cs="Georgia" w:eastAsia="Georgia" w:hAnsi="Georgia"/>
                <w:b/>
                <w:bCs/>
                <w:sz w:val="20"/>
                <w:szCs w:val="20"/>
              </w:rPr>
              <w:t xml:space="preserve">1. Interoperabilidad.</w:t>
            </w:r>
            <w:r>
              <w:rPr>
                <w:rFonts w:ascii="Georgia" w:cs="Georgia" w:eastAsia="Georgia" w:hAnsi="Georgia"/>
                <w:sz w:val="20"/>
                <w:szCs w:val="20"/>
              </w:rPr>
              <w:t xml:space="preserve"> La solución cumplirá el Esquema Nacional de Interoperabilidad (Real Decreto 4/2010, de 8 de enero) y las Normas Técnicas de Interoperabilidad que le resulten aplicables, y empleará formatos estándar y abiertos para el intercambio y la conservación de la información.</w:t>
            </w:r>
          </w:p>
          <w:p>
            <w:pPr>
              <w:spacing w:after="100" w:line="264"/>
            </w:pPr>
            <w:r>
              <w:rPr>
                <w:rFonts w:ascii="Georgia" w:cs="Georgia" w:eastAsia="Georgia" w:hAnsi="Georgia"/>
                <w:b/>
                <w:bCs/>
                <w:sz w:val="20"/>
                <w:szCs w:val="20"/>
              </w:rPr>
              <w:t xml:space="preserve">2. Servicios comunes de utilización obligatoria.</w:t>
            </w:r>
            <w:r>
              <w:rPr>
                <w:rFonts w:ascii="Georgia" w:cs="Georgia" w:eastAsia="Georgia" w:hAnsi="Georgia"/>
                <w:sz w:val="20"/>
                <w:szCs w:val="20"/>
              </w:rPr>
              <w:t xml:space="preserve"> La solución se integrará con las plataformas y servicios comunes de administración electrónica que se relacionan a continuación, cuya utilización viene impuesta al Ayuntamiento por la norma que en cada caso se indica: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Plataforma o servicio común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impone su utilización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integración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[precepto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 envío / ambos]</w:t>
                  </w:r>
                </w:p>
              </w:tc>
            </w:tr>
          </w:tbl>
          <w:p>
            <w:pPr>
              <w:spacing w:after="80"/>
            </w:pPr>
          </w:p>
          <w:p>
            <w:pPr>
              <w:spacing w:after="100" w:line="264"/>
            </w:pPr>
            <w:r>
              <w:rPr>
                <w:rFonts w:ascii="Georgia" w:cs="Georgia" w:eastAsia="Georgia" w:hAnsi="Georgia"/>
                <w:sz w:val="20"/>
                <w:szCs w:val="20"/>
              </w:rPr>
              <w:t xml:space="preserve">Respecto de estos servicios </w:t>
            </w:r>
            <w:r>
              <w:rPr>
                <w:rFonts w:ascii="Georgia" w:cs="Georgia" w:eastAsia="Georgia" w:hAnsi="Georgia"/>
                <w:b/>
                <w:bCs/>
                <w:sz w:val="20"/>
                <w:szCs w:val="20"/>
              </w:rPr>
              <w:t xml:space="preserve">no será de aplicación el régimen de equivalencia de la cláusula DT-0</w:t>
            </w:r>
            <w:r>
              <w:rPr>
                <w:rFonts w:ascii="Georgia" w:cs="Georgia" w:eastAsia="Georgia" w:hAnsi="Georgia"/>
                <w:sz w:val="20"/>
                <w:szCs w:val="20"/>
              </w:rPr>
              <w:t xml:space="preserve">: la integración es obligatoria y no admite sustitución por servicio propio del adjudicatario o de tercero. El adjudicatario acreditará cada integración mediante prueba ejecutada sobre el entorno de pruebas y documentada en acta.</w:t>
            </w:r>
          </w:p>
          <w:p>
            <w:pPr>
              <w:spacing w:after="100" w:line="264"/>
            </w:pPr>
            <w:r>
              <w:rPr>
                <w:rFonts w:ascii="Georgia" w:cs="Georgia" w:eastAsia="Georgia" w:hAnsi="Georgia"/>
                <w:b/>
                <w:bCs/>
                <w:sz w:val="20"/>
                <w:szCs w:val="20"/>
              </w:rPr>
              <w:t xml:space="preserve">3. Interfaces de programación.</w:t>
            </w:r>
            <w:r>
              <w:rPr>
                <w:rFonts w:ascii="Georgia" w:cs="Georgia" w:eastAsia="Georgia" w:hAnsi="Georgia"/>
                <w:sz w:val="20"/>
                <w:szCs w:val="20"/>
              </w:rPr>
              <w:t xml:space="preserve"> El adjudicatario proveerá interfaces de programación documentadas, versionadas y autenticadas que permitan a los sistemas autorizados del Ayuntamiento consultar y extraer los datos de la solución y ejecutar las funciones que el pliego identifique, sin desarrollos a medida y sin coste por consulta. La documentación se entregará en el plazo de [X; se recomienda 30] días naturales desde la formalización o, si fuera posterior, desde la puesta en producción del módulo, y se mantendrá actualizada con cada versión.</w:t>
            </w:r>
          </w:p>
          <w:p>
            <w:pPr>
              <w:spacing w:after="100" w:line="264"/>
            </w:pPr>
            <w:r>
              <w:rPr>
                <w:rFonts w:ascii="Georgia" w:cs="Georgia" w:eastAsia="Georgia" w:hAnsi="Georgia"/>
                <w:b/>
                <w:bCs/>
                <w:sz w:val="20"/>
                <w:szCs w:val="20"/>
              </w:rPr>
              <w:t xml:space="preserve">4. Exportación de datos.</w:t>
            </w:r>
            <w:r>
              <w:rPr>
                <w:rFonts w:ascii="Georgia" w:cs="Georgia" w:eastAsia="Georgia" w:hAnsi="Georgia"/>
                <w:sz w:val="20"/>
                <w:szCs w:val="20"/>
              </w:rPr>
              <w:t xml:space="preserve"> El Ayuntamiento podrá extraer la totalidad de los datos de la solución, y sus metadatos, en formatos abiertos, documentados y reutilizables, mediante procedimiento autónomo que no requiera intervención del personal del adjudicatario, con la periodicidad que determine y, en todo caso, bajo demanda. El adjudicatario entregará y mantendrá actualizado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suficiente para interpretar la información exportada sin su asistencia.</w:t>
            </w:r>
          </w:p>
          <w:p>
            <w:pPr>
              <w:spacing w:after="100" w:line="264"/>
            </w:pPr>
            <w:r>
              <w:rPr>
                <w:rFonts w:ascii="Georgia" w:cs="Georgia" w:eastAsia="Georgia" w:hAnsi="Georgia"/>
                <w:b/>
                <w:bCs/>
                <w:sz w:val="20"/>
                <w:szCs w:val="20"/>
              </w:rPr>
              <w:t xml:space="preserve">5. Soberanía del dato y ubicación.</w:t>
            </w:r>
            <w:r>
              <w:rPr>
                <w:rFonts w:ascii="Georgia" w:cs="Georgia" w:eastAsia="Georgia" w:hAnsi="Georgia"/>
                <w:sz w:val="20"/>
                <w:szCs w:val="20"/>
              </w:rPr>
              <w:t xml:space="preserve"> Los datos son de titularidad municipal, cualquiera que sea el soporte y el lugar en que se alojen. Cuando la ejecución del contrato requiera el tratamiento por el contratista de datos personales por cuenta del Ayuntamiento, el licitador indicará en su oferta el país o países en que se ubicarán los servidores mediante los que se prestarán los servicios asociados al contrato y el lugar desde el que se prestarán dichos servicios, y se obligará a comunicar cualquier cambio que se produzca a lo largo de la ejecución, conforme al artículo 122.2 LCSP.</w:t>
            </w:r>
          </w:p>
          <w:p>
            <w:pPr>
              <w:spacing w:after="100" w:line="264"/>
            </w:pPr>
            <w:r>
              <w:rPr>
                <w:rFonts w:ascii="Georgia" w:cs="Georgia" w:eastAsia="Georgia" w:hAnsi="Georgia"/>
                <w:b/>
                <w:bCs/>
                <w:sz w:val="20"/>
                <w:szCs w:val="20"/>
              </w:rPr>
              <w:t xml:space="preserve">6. Entorno de pruebas.</w:t>
            </w:r>
            <w:r>
              <w:rPr>
                <w:rFonts w:ascii="Georgia" w:cs="Georgia" w:eastAsia="Georgia" w:hAnsi="Georgia"/>
                <w:sz w:val="20"/>
                <w:szCs w:val="20"/>
              </w:rPr>
              <w:t xml:space="preserve"> El adjudicatario mantendrá a disposición del Ayuntamiento, durante toda la vigencia del contrato y de sus prórrogas, un entorno de pruebas equivalente en funcionalidad al de producción, con datos ficticios o anonimizados, en el que puedan verificarse las integraciones, las exportaciones y las funcionalidades exigidas por este pliego.</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Ap. 2: caso por caso, con el precepto de cada servicio y sin copiar la tabla de arranque; si queda vacío, se suprime (ep. 3). Ap. 3: [30] días (Anexo X, fila 37). Ap. 4: prueba de exportación autónoma al menos anual (ep. 5). Ap. 5, segundo inciso: sólo con tratamiento por cuenta, y entonces esencial </w:t>
      </w:r>
      <w:r>
        <w:rPr>
          <w:rFonts w:ascii="Calibri" w:cs="Calibri" w:eastAsia="Calibri" w:hAnsi="Calibri"/>
          <w:i/>
          <w:iCs/>
          <w:sz w:val="21"/>
          <w:szCs w:val="21"/>
        </w:rPr>
        <w:t xml:space="preserve">ex lege</w:t>
      </w:r>
      <w:r>
        <w:rPr>
          <w:rFonts w:ascii="Calibri" w:cs="Calibri" w:eastAsia="Calibri" w:hAnsi="Calibri"/>
          <w:sz w:val="21"/>
          <w:szCs w:val="21"/>
        </w:rPr>
        <w:t xml:space="preserve"> en ADM-6, bloque A (ep. 6).</w:t>
      </w:r>
    </w:p>
    <w:p>
      <w:pPr>
        <w:pStyle w:val="Heading3"/>
        <w:keepNext/>
        <w:spacing w:after="140" w:before="320"/>
      </w:pPr>
      <w:r>
        <w:rPr>
          <w:rFonts w:ascii="Georgia" w:cs="Georgia" w:eastAsia="Georgia" w:hAnsi="Georgia"/>
          <w:b/>
          <w:bCs/>
          <w:color w:val="2F5496"/>
          <w:sz w:val="22"/>
          <w:szCs w:val="22"/>
        </w:rPr>
        <w:t xml:space="preserve">DT-7·v3 · Interfaz para agentes de IA — CONDICIONAL</w:t>
      </w:r>
    </w:p>
    <w:p>
      <w:pPr>
        <w:spacing w:after="140" w:line="276"/>
      </w:pPr>
      <w:r>
        <w:rPr>
          <w:rFonts w:ascii="Calibri" w:cs="Calibri" w:eastAsia="Calibri" w:hAnsi="Calibri"/>
          <w:i/>
          <w:iCs/>
          <w:sz w:val="21"/>
          <w:szCs w:val="21"/>
        </w:rPr>
        <w:t xml:space="preserve">Texto vigente de DT-7·v3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DT-7. Interfaz normalizada de acceso programático para agentes de inteligencia artificial.</w:t>
            </w:r>
          </w:p>
          <w:p>
            <w:pPr>
              <w:spacing w:after="100" w:line="264"/>
            </w:pPr>
            <w:r>
              <w:rPr>
                <w:rFonts w:ascii="Georgia" w:cs="Georgia" w:eastAsia="Georgia" w:hAnsi="Georgia"/>
                <w:b/>
                <w:bCs/>
                <w:sz w:val="20"/>
                <w:szCs w:val="20"/>
              </w:rPr>
              <w:t xml:space="preserve">1. Objeto.</w:t>
            </w:r>
            <w:r>
              <w:rPr>
                <w:rFonts w:ascii="Georgia" w:cs="Georgia" w:eastAsia="Georgia" w:hAnsi="Georgia"/>
                <w:sz w:val="20"/>
                <w:szCs w:val="20"/>
              </w:rPr>
              <w:t xml:space="preserve"> El adjudicatario entregará una interfaz normalizada de acceso programático que exponga, de forma segura, controlada y trazable, los datos y las funciones de los módulos objeto de este contrato, de modo que puedan ser consultados y operados por sistemas y agentes de inteligencia artificial autorizados por el Ayuntamiento, bajo supervisión humana.</w:t>
            </w:r>
          </w:p>
          <w:p>
            <w:pPr>
              <w:spacing w:after="100" w:line="264"/>
            </w:pPr>
            <w:r>
              <w:rPr>
                <w:rFonts w:ascii="Georgia" w:cs="Georgia" w:eastAsia="Georgia" w:hAnsi="Georgia"/>
                <w:b/>
                <w:bCs/>
                <w:sz w:val="20"/>
                <w:szCs w:val="20"/>
              </w:rPr>
              <w:t xml:space="preserve">2. Ámbito.</w:t>
            </w:r>
            <w:r>
              <w:rPr>
                <w:rFonts w:ascii="Georgia" w:cs="Georgia" w:eastAsia="Georgia" w:hAnsi="Georgia"/>
                <w:sz w:val="20"/>
                <w:szCs w:val="20"/>
              </w:rPr>
              <w:t xml:space="preserve"> La exigencia se aplica exclusivamente a los módulos y funcionalidades relacionados en el </w:t>
            </w:r>
            <w:r>
              <w:rPr>
                <w:rFonts w:ascii="Georgia" w:cs="Georgia" w:eastAsia="Georgia" w:hAnsi="Georgia"/>
                <w:b/>
                <w:bCs/>
                <w:sz w:val="20"/>
                <w:szCs w:val="20"/>
              </w:rPr>
              <w:t xml:space="preserve">Apéndice técnico 2 · Exigencias tecnológicas determinadas</w:t>
            </w:r>
            <w:r>
              <w:rPr>
                <w:rFonts w:ascii="Georgia" w:cs="Georgia" w:eastAsia="Georgia" w:hAnsi="Georgia"/>
                <w:sz w:val="20"/>
                <w:szCs w:val="20"/>
              </w:rPr>
              <w:t xml:space="preserve"> de este pliego, apartado de módulos y funciones de la interfaz normalizada, atendiendo a la relación directa, clara y proporcional con el objeto del contrato exigida por el artículo 116.4.e) LCSP. No se extiende a otras aplicaciones municipales, ni a prestaciones ajenas al objeto de este contrato. </w:t>
            </w:r>
            <w:r>
              <w:rPr>
                <w:rFonts w:ascii="Georgia" w:cs="Georgia" w:eastAsia="Georgia" w:hAnsi="Georgia"/>
                <w:b/>
                <w:bCs/>
                <w:sz w:val="20"/>
                <w:szCs w:val="20"/>
              </w:rPr>
              <w:t xml:space="preserve">Ese apartado del Apéndice técnico 2 es la única relación de este pliego sobre los módulos y las funciones de la interfaz</w:t>
            </w:r>
            <w:r>
              <w:rPr>
                <w:rFonts w:ascii="Georgia" w:cs="Georgia" w:eastAsia="Georgia" w:hAnsi="Georgia"/>
                <w:sz w:val="20"/>
                <w:szCs w:val="20"/>
              </w:rPr>
              <w:t xml:space="preserve">; ningún otro documento del pliego contiene una relación distinta sobre la misma interfaz.</w:t>
            </w:r>
          </w:p>
          <w:p>
            <w:pPr>
              <w:spacing w:after="100" w:line="264"/>
            </w:pPr>
            <w:r>
              <w:rPr>
                <w:rFonts w:ascii="Georgia" w:cs="Georgia" w:eastAsia="Georgia" w:hAnsi="Georgia"/>
                <w:b/>
                <w:bCs/>
                <w:sz w:val="20"/>
                <w:szCs w:val="20"/>
              </w:rPr>
              <w:t xml:space="preserve">3. Exigencias funcionales.</w:t>
            </w:r>
            <w:r>
              <w:rPr>
                <w:rFonts w:ascii="Georgia" w:cs="Georgia" w:eastAsia="Georgia" w:hAnsi="Georgia"/>
                <w:sz w:val="20"/>
                <w:szCs w:val="20"/>
              </w:rPr>
              <w:t xml:space="preserve"> La interfaz cumplirá, como mínimo:</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Inventario de funciones.</w:t>
            </w:r>
            <w:r>
              <w:rPr>
                <w:rFonts w:ascii="Georgia" w:cs="Georgia" w:eastAsia="Georgia" w:hAnsi="Georgia"/>
                <w:sz w:val="20"/>
                <w:szCs w:val="20"/>
              </w:rPr>
              <w:t xml:space="preserve"> Expone, como mínimo, las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relacionadas en el apartado de módulos y funciones del Apéndice técnico 2 sobre los módulos allí identificados y, cuando ese apartado lo indique, las funciones de escritura que en él se relacionen;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El adjudicatario entregará el inventario de funciones expuestas, con su descripción y sus parámetros.</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Autenticación y autorización.</w:t>
            </w:r>
            <w:r>
              <w:rPr>
                <w:rFonts w:ascii="Georgia" w:cs="Georgia" w:eastAsia="Georgia" w:hAnsi="Georgia"/>
                <w:sz w:val="20"/>
                <w:szCs w:val="20"/>
              </w:rPr>
              <w:t xml:space="preserve"> Integradas con el directorio corporativo del Ayuntamiento, con control de acceso diferenciado por módulo, por operación y por ámbito de datos, y con distinción efectiva entre operaciones de consulta y de escritura.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Registro de auditoría.</w:t>
            </w:r>
            <w:r>
              <w:rPr>
                <w:rFonts w:ascii="Georgia" w:cs="Georgia" w:eastAsia="Georgia" w:hAnsi="Georgia"/>
                <w:sz w:val="20"/>
                <w:szCs w:val="20"/>
              </w:rPr>
              <w:t xml:space="preserve"> De todas las consultas y acciones realizadas a través de la interfaz, con identificación del sistema o agente actuante, de la persona usuaria responsable, marca temporal y datos afectados; exportable en formato abierto y documentado, y conservado durante [X; se recomienda 24] meses.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Documentación.</w:t>
            </w:r>
            <w:r>
              <w:rPr>
                <w:rFonts w:ascii="Georgia" w:cs="Georgia" w:eastAsia="Georgia" w:hAnsi="Georgia"/>
                <w:sz w:val="20"/>
                <w:szCs w:val="20"/>
              </w:rPr>
              <w:t xml:space="preserve"> Especificación técnica de la interfaz, modelo de permisos e instrucciones de despliegue, publicadas y versionadas, actualizadas con cada versión.</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Entorno de pruebas.</w:t>
            </w:r>
            <w:r>
              <w:rPr>
                <w:rFonts w:ascii="Georgia" w:cs="Georgia" w:eastAsia="Georgia" w:hAnsi="Georgia"/>
                <w:sz w:val="20"/>
                <w:szCs w:val="20"/>
              </w:rPr>
              <w:t xml:space="preserve"> El previsto en la cláusula DT-5, apartado 6, que permitirá verificar las letras a) a h) de este apartado y estará operativo, respecto de la interfaz, como mínimo [X; se recomienda 60] días naturales antes de la fecha comprometida de puesta en producción.</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Límites y suspensión.</w:t>
            </w:r>
            <w:r>
              <w:rPr>
                <w:rFonts w:ascii="Georgia" w:cs="Georgia" w:eastAsia="Georgia" w:hAnsi="Georgia"/>
                <w:sz w:val="20"/>
                <w:szCs w:val="20"/>
              </w:rPr>
              <w:t xml:space="preserve"> Los límites de actuación son configurables por el Ayuntamiento y permiten habilitar y deshabilitar de forma independiente cada operación. El Ayuntamiento dispondrá de un control propio, accionable con credenciales municipales desde la interfaz de administración de la solución, que suspenda la ejecución de operaciones a través de la interfaz,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y cuyo efecto se producirá en un plazo máximo de [X; se recomienda 5] minutos. Toda activación de ese control quedará registrada conforme a la letra c).</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Seguridad y protección de datos.</w:t>
            </w:r>
            <w:r>
              <w:rPr>
                <w:rFonts w:ascii="Georgia" w:cs="Georgia" w:eastAsia="Georgia" w:hAnsi="Georgia"/>
                <w:sz w:val="20"/>
                <w:szCs w:val="20"/>
              </w:rPr>
              <w:t xml:space="preserve"> Conformidad con el Esquema Nacional de Seguridad en la categoría determinada conforme a la cláusula DT-6, y con el Reglamento (UE) 2016/679.</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Titularidad y portabilidad.</w:t>
            </w:r>
            <w:r>
              <w:rPr>
                <w:rFonts w:ascii="Georgia" w:cs="Georgia" w:eastAsia="Georgia" w:hAnsi="Georgia"/>
                <w:sz w:val="20"/>
                <w:szCs w:val="20"/>
              </w:rPr>
              <w:t xml:space="preserve"> La interfaz entregada, su documentación y su configuración son de titularidad municipal en los términos del pliego de cláusulas administrativas particulares, y quedan sujetas al régimen de reversibilidad de la cláusula DT-8.</w:t>
            </w:r>
          </w:p>
          <w:p>
            <w:pPr>
              <w:spacing w:after="100" w:line="264"/>
            </w:pPr>
            <w:r>
              <w:rPr>
                <w:rFonts w:ascii="Georgia" w:cs="Georgia" w:eastAsia="Georgia" w:hAnsi="Georgia"/>
                <w:b/>
                <w:bCs/>
                <w:sz w:val="20"/>
                <w:szCs w:val="20"/>
              </w:rPr>
              <w:t xml:space="preserve">4. Neutralidad tecnológica.</w:t>
            </w:r>
            <w:r>
              <w:rPr>
                <w:rFonts w:ascii="Georgia" w:cs="Georgia" w:eastAsia="Georgia" w:hAnsi="Georgia"/>
                <w:sz w:val="20"/>
                <w:szCs w:val="20"/>
              </w:rPr>
              <w:t xml:space="preserve"> Este pliego </w:t>
            </w:r>
            <w:r>
              <w:rPr>
                <w:rFonts w:ascii="Georgia" w:cs="Georgia" w:eastAsia="Georgia" w:hAnsi="Georgia"/>
                <w:b/>
                <w:bCs/>
                <w:sz w:val="20"/>
                <w:szCs w:val="20"/>
              </w:rPr>
              <w:t xml:space="preserve">no impone protocolo, especificación ni producto alguno</w:t>
            </w:r>
            <w:r>
              <w:rPr>
                <w:rFonts w:ascii="Georgia" w:cs="Georgia" w:eastAsia="Georgia" w:hAnsi="Georgia"/>
                <w:sz w:val="20"/>
                <w:szCs w:val="20"/>
              </w:rPr>
              <w:t xml:space="preserve">. El licitador describirá en su oferta el protocolo o mecanismo técnico mediante el cual satisface las letras a) a h) del apartado 3, y acreditará ese cumplimiento por los medios previstos en el apartado 6. La valoración y la aceptación se refieren exclusivamente al cumplimiento de dichas letras.</w:t>
            </w:r>
          </w:p>
          <w:p>
            <w:pPr>
              <w:spacing w:after="100" w:line="264"/>
            </w:pPr>
            <w:r>
              <w:rPr>
                <w:rFonts w:ascii="Georgia" w:cs="Georgia" w:eastAsia="Georgia" w:hAnsi="Georgia"/>
                <w:b/>
                <w:bCs/>
                <w:sz w:val="20"/>
                <w:szCs w:val="20"/>
              </w:rPr>
              <w:t xml:space="preserve">5. Plazo.</w:t>
            </w:r>
            <w:r>
              <w:rPr>
                <w:rFonts w:ascii="Georgia" w:cs="Georgia" w:eastAsia="Georgia" w:hAnsi="Georgia"/>
                <w:sz w:val="20"/>
                <w:szCs w:val="20"/>
              </w:rPr>
              <w:t xml:space="preserve"> La interfaz se entregará en el plazo máximo de [X; se recomienda 12] meses desde la formalización del contrato o, si fuera posterior, desde la puesta en producción del módulo correspondiente. El plazo que el licitador oferte por debajo de ese máximo se incorpora al contrato como obligación.</w:t>
            </w:r>
          </w:p>
          <w:p>
            <w:pPr>
              <w:spacing w:after="100" w:line="264"/>
            </w:pPr>
            <w:r>
              <w:rPr>
                <w:rFonts w:ascii="Georgia" w:cs="Georgia" w:eastAsia="Georgia" w:hAnsi="Georgia"/>
                <w:b/>
                <w:bCs/>
                <w:sz w:val="20"/>
                <w:szCs w:val="20"/>
              </w:rPr>
              <w:t xml:space="preserve">6. Comprobación.</w:t>
            </w:r>
            <w:r>
              <w:rPr>
                <w:rFonts w:ascii="Georgia" w:cs="Georgia" w:eastAsia="Georgia" w:hAnsi="Georgia"/>
                <w:sz w:val="20"/>
                <w:szCs w:val="20"/>
              </w:rPr>
              <w:t xml:space="preserve"> El cumplimiento de las letras a) a h) del apartado 3 se comprobará mediante prueba de aceptación ejecutada por los servicios municipales sobre el entorno de pruebas, documentada en acta, en la que se verificará expresamente cada letra. La prueba de la letra f) incluirá la activación del control de suspensión por personal municipal y la medición del tiempo transcurrido hasta que la siguiente invocación es rechazada.</w:t>
            </w:r>
          </w:p>
          <w:p>
            <w:pPr>
              <w:spacing w:after="100" w:line="264"/>
            </w:pPr>
            <w:r>
              <w:rPr>
                <w:rFonts w:ascii="Georgia" w:cs="Georgia" w:eastAsia="Georgia" w:hAnsi="Georgia"/>
                <w:b/>
                <w:bCs/>
                <w:sz w:val="20"/>
                <w:szCs w:val="20"/>
              </w:rPr>
              <w:t xml:space="preserve">7. Disponibilidad previa.</w:t>
            </w:r>
            <w:r>
              <w:rPr>
                <w:rFonts w:ascii="Georgia" w:cs="Georgia" w:eastAsia="Georgia" w:hAnsi="Georgia"/>
                <w:sz w:val="20"/>
                <w:szCs w:val="20"/>
              </w:rPr>
              <w:t xml:space="preserve"> La disponibilidad de una interfaz de estas características con anterioridad a la licitación </w:t>
            </w:r>
            <w:r>
              <w:rPr>
                <w:rFonts w:ascii="Georgia" w:cs="Georgia" w:eastAsia="Georgia" w:hAnsi="Georgia"/>
                <w:b/>
                <w:bCs/>
                <w:sz w:val="20"/>
                <w:szCs w:val="20"/>
              </w:rPr>
              <w:t xml:space="preserve">no será objeto de valoración</w:t>
            </w:r>
            <w:r>
              <w:rPr>
                <w:rFonts w:ascii="Georgia" w:cs="Georgia" w:eastAsia="Georgia" w:hAnsi="Georgia"/>
                <w:sz w:val="20"/>
                <w:szCs w:val="20"/>
              </w:rPr>
              <w:t xml:space="preserve">. Lo que se valora, en su caso, es el alcance funcional comprometido para este contrato y el plazo ofertado, conforme al pliego de cláusulas administrativas particulares.</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Ap. 3.c): </w:t>
      </w:r>
      <w:r>
        <w:rPr>
          <w:rFonts w:ascii="Calibri" w:cs="Calibri" w:eastAsia="Calibri" w:hAnsi="Calibri"/>
          <w:b/>
          <w:bCs/>
          <w:sz w:val="21"/>
          <w:szCs w:val="21"/>
        </w:rPr>
        <w:t xml:space="preserve">[24] meses</w:t>
      </w:r>
      <w:r>
        <w:rPr>
          <w:rFonts w:ascii="Calibri" w:cs="Calibri" w:eastAsia="Calibri" w:hAnsi="Calibri"/>
          <w:sz w:val="21"/>
          <w:szCs w:val="21"/>
        </w:rPr>
        <w:t xml:space="preserve">; reducirlo a 12 exige que el sistema no sostenga control interno ni actos impugnables (Anexo X, fila 4) </w:t>
      </w:r>
      <w:r>
        <w:rPr>
          <w:rFonts w:ascii="Calibri" w:cs="Calibri" w:eastAsia="Calibri" w:hAnsi="Calibri"/>
          <w:b/>
          <w:bCs/>
          <w:sz w:val="21"/>
          <w:szCs w:val="21"/>
        </w:rPr>
        <w:t xml:space="preserve">[a cumplimentar con datos del expediente]</w:t>
      </w:r>
      <w:r>
        <w:rPr>
          <w:rFonts w:ascii="Calibri" w:cs="Calibri" w:eastAsia="Calibri" w:hAnsi="Calibri"/>
          <w:sz w:val="21"/>
          <w:szCs w:val="21"/>
        </w:rPr>
        <w:t xml:space="preserve">. Ap. 3.f): </w:t>
      </w:r>
      <w:r>
        <w:rPr>
          <w:rFonts w:ascii="Calibri" w:cs="Calibri" w:eastAsia="Calibri" w:hAnsi="Calibri"/>
          <w:b/>
          <w:bCs/>
          <w:sz w:val="21"/>
          <w:szCs w:val="21"/>
        </w:rPr>
        <w:t xml:space="preserve">[1] minuto</w:t>
      </w:r>
      <w:r>
        <w:rPr>
          <w:rFonts w:ascii="Calibri" w:cs="Calibri" w:eastAsia="Calibri" w:hAnsi="Calibri"/>
          <w:sz w:val="21"/>
          <w:szCs w:val="21"/>
        </w:rPr>
        <w:t xml:space="preserve"> con operaciones de escritura sobre terceros (II.13). La interfaz no es la finalidad de estas plataformas: la letra g) de ADM-6, B.2, no se marca por defecto (ep. 6).</w:t>
      </w:r>
    </w:p>
    <w:p>
      <w:pPr>
        <w:pStyle w:val="Heading3"/>
        <w:keepNext/>
        <w:spacing w:after="140" w:before="320"/>
      </w:pPr>
      <w:r>
        <w:rPr>
          <w:rFonts w:ascii="Georgia" w:cs="Georgia" w:eastAsia="Georgia" w:hAnsi="Georgia"/>
          <w:b/>
          <w:bCs/>
          <w:color w:val="2F5496"/>
          <w:sz w:val="22"/>
          <w:szCs w:val="22"/>
        </w:rPr>
        <w:t xml:space="preserve">DT-6·v3 · Seguridad conforme al ENS — SÍ</w:t>
      </w:r>
    </w:p>
    <w:p>
      <w:pPr>
        <w:spacing w:after="140" w:line="276"/>
      </w:pPr>
      <w:r>
        <w:rPr>
          <w:rFonts w:ascii="Calibri" w:cs="Calibri" w:eastAsia="Calibri" w:hAnsi="Calibri"/>
          <w:i/>
          <w:iCs/>
          <w:sz w:val="21"/>
          <w:szCs w:val="21"/>
        </w:rPr>
        <w:t xml:space="preserve">Texto vigente de DT-6·v3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DT-6. Seguridad conforme al Esquema Nacional de Seguridad en la categoría que corresponda y protección de datos desde el diseño.</w:t>
            </w:r>
          </w:p>
          <w:p>
            <w:pPr>
              <w:spacing w:after="100" w:line="264"/>
            </w:pPr>
            <w:r>
              <w:rPr>
                <w:rFonts w:ascii="Georgia" w:cs="Georgia" w:eastAsia="Georgia" w:hAnsi="Georgia"/>
                <w:b/>
                <w:bCs/>
                <w:sz w:val="20"/>
                <w:szCs w:val="20"/>
              </w:rPr>
              <w:t xml:space="preserve">1. Requisitos de conformidad.</w:t>
            </w:r>
            <w:r>
              <w:rPr>
                <w:rFonts w:ascii="Georgia" w:cs="Georgia" w:eastAsia="Georgia" w:hAnsi="Georgia"/>
                <w:sz w:val="20"/>
                <w:szCs w:val="20"/>
              </w:rPr>
              <w:t xml:space="preserve"> En cumplimiento del artículo 2.3 del Real Decreto 311/2022, de 3 de mayo, este pliego contempla los requisitos necesarios para asegurar la conformidad con el Esquema Nacional de Seguridad de los sistemas de información en los que se sustenten los servicios prestados por el contratista. Esta cautela se extiende a la cadena de suministro del contratista en la medida en que resulte necesario y de acuerdo con los resultados del análisis de riesgos incorporado al expediente.</w:t>
            </w:r>
          </w:p>
          <w:p>
            <w:pPr>
              <w:spacing w:after="100" w:line="264"/>
            </w:pPr>
            <w:r>
              <w:rPr>
                <w:rFonts w:ascii="Georgia" w:cs="Georgia" w:eastAsia="Georgia" w:hAnsi="Georgia"/>
                <w:b/>
                <w:bCs/>
                <w:sz w:val="20"/>
                <w:szCs w:val="20"/>
              </w:rPr>
              <w:t xml:space="preserve">2. Categoría de seguridad.</w:t>
            </w:r>
            <w:r>
              <w:rPr>
                <w:rFonts w:ascii="Georgia" w:cs="Georgia" w:eastAsia="Georgia" w:hAnsi="Georgia"/>
                <w:sz w:val="20"/>
                <w:szCs w:val="20"/>
              </w:rPr>
              <w:t xml:space="preserve"> La categoría de seguridad exigible es la que resulta de la aplicación del anexo I del Real Decreto 311/2022 al sistema objeto de este contrato y consta determinada y motivada en la memoria justificativa del expediente: </w:t>
            </w:r>
            <w:r>
              <w:rPr>
                <w:rFonts w:ascii="Georgia" w:cs="Georgia" w:eastAsia="Georgia" w:hAnsi="Georgia"/>
                <w:b/>
                <w:bCs/>
                <w:sz w:val="20"/>
                <w:szCs w:val="20"/>
              </w:rPr>
              <w:t xml:space="preserve">[BÁSICA / MEDIA / ALTA]</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Acreditación de la conformidad.</w:t>
            </w:r>
            <w:r>
              <w:rPr>
                <w:rFonts w:ascii="Georgia" w:cs="Georgia" w:eastAsia="Georgia" w:hAnsi="Georgia"/>
                <w:sz w:val="20"/>
                <w:szCs w:val="20"/>
              </w:rPr>
              <w:t xml:space="preserve"> El adjudicatario acreditará la conformidad con el Esquema Nacional de Seguridad mediante: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Certificación de conformidad</w:t>
            </w:r>
            <w:r>
              <w:rPr>
                <w:rFonts w:ascii="Georgia" w:cs="Georgia" w:eastAsia="Georgia" w:hAnsi="Georgia"/>
                <w:sz w:val="20"/>
                <w:szCs w:val="20"/>
              </w:rPr>
              <w:t xml:space="preserve">, cuando la categoría determinada en el apartado 2 sea MEDIA o ALTA.</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Declaración de conformidad basada en autoevaluación</w:t>
            </w:r>
            <w:r>
              <w:rPr>
                <w:rFonts w:ascii="Georgia" w:cs="Georgia" w:eastAsia="Georgia" w:hAnsi="Georgia"/>
                <w:sz w:val="20"/>
                <w:szCs w:val="20"/>
              </w:rPr>
              <w:t xml:space="preserve">, cuando la categoría determinada en el apartado 2 sea BÁSICA.</w:t>
            </w:r>
          </w:p>
          <w:p>
            <w:pPr>
              <w:spacing w:after="100" w:line="264"/>
            </w:pPr>
            <w:r>
              <w:rPr>
                <w:rFonts w:ascii="Georgia" w:cs="Georgia" w:eastAsia="Georgia" w:hAnsi="Georgia"/>
                <w:sz w:val="20"/>
                <w:szCs w:val="20"/>
              </w:rPr>
              <w:t xml:space="preserve">Todo ello conforme al artículo 38.1 del Real Decreto 311/2022. Si el licitador no dispusiera de la acreditación exigible en el momento de la formalización, dispondrá de un plazo de [X; se recomienda 6] meses para obtenerla, aplicando entretanto las medidas de seguridad correspondientes a la categoría, documentadas y verificables.</w:t>
            </w:r>
          </w:p>
          <w:p>
            <w:pPr>
              <w:spacing w:after="100" w:line="264"/>
            </w:pPr>
            <w:r>
              <w:rPr>
                <w:rFonts w:ascii="Georgia" w:cs="Georgia" w:eastAsia="Georgia" w:hAnsi="Georgia"/>
                <w:b/>
                <w:bCs/>
                <w:sz w:val="20"/>
                <w:szCs w:val="20"/>
              </w:rPr>
              <w:t xml:space="preserve">4. Política de seguridad.</w:t>
            </w:r>
            <w:r>
              <w:rPr>
                <w:rFonts w:ascii="Georgia" w:cs="Georgia" w:eastAsia="Georgia" w:hAnsi="Georgia"/>
                <w:sz w:val="20"/>
                <w:szCs w:val="20"/>
              </w:rPr>
              <w:t xml:space="preserve"> El adjudicatario dispondrá de una política de seguridad de la información aprobada por el órgano que ostente sus máximas competencias ejecutivas, en los términos del artículo 12 del Real Decreto 311/2022, y la pondrá a disposición del Ayuntamiento.</w:t>
            </w:r>
          </w:p>
          <w:p>
            <w:pPr>
              <w:spacing w:after="100" w:line="264"/>
            </w:pPr>
            <w:r>
              <w:rPr>
                <w:rFonts w:ascii="Georgia" w:cs="Georgia" w:eastAsia="Georgia" w:hAnsi="Georgia"/>
                <w:b/>
                <w:bCs/>
                <w:sz w:val="20"/>
                <w:szCs w:val="20"/>
              </w:rPr>
              <w:t xml:space="preserve">5. Protección de datos desde el diseño.</w:t>
            </w:r>
            <w:r>
              <w:rPr>
                <w:rFonts w:ascii="Georgia" w:cs="Georgia" w:eastAsia="Georgia" w:hAnsi="Georgia"/>
                <w:sz w:val="20"/>
                <w:szCs w:val="20"/>
              </w:rPr>
              <w:t xml:space="preserve"> La solución cumplirá el Reglamento (UE) 2016/679 y la Ley Orgánica 3/2018, con protección de datos desde el diseño y por defecto, minimización, y realización de la evaluación de impacto relativa a la protección de datos cuando proceda, para la que el adjudicatario aportará la información técnica necesaria.</w:t>
            </w:r>
          </w:p>
          <w:p>
            <w:pPr>
              <w:spacing w:after="100" w:line="264"/>
            </w:pPr>
            <w:r>
              <w:rPr>
                <w:rFonts w:ascii="Georgia" w:cs="Georgia" w:eastAsia="Georgia" w:hAnsi="Georgia"/>
                <w:b/>
                <w:bCs/>
                <w:sz w:val="20"/>
                <w:szCs w:val="20"/>
              </w:rPr>
              <w:t xml:space="preserve">6. Gestión de vulnerabilidades.</w:t>
            </w:r>
            <w:r>
              <w:rPr>
                <w:rFonts w:ascii="Georgia" w:cs="Georgia" w:eastAsia="Georgia" w:hAnsi="Georgia"/>
                <w:sz w:val="20"/>
                <w:szCs w:val="20"/>
              </w:rPr>
              <w:t xml:space="preserve"> El adjudicatario mantendrá un proceso continuo de gestión de vulnerabilidades y las subsanará, desde su identificación o comunicación, en los plazos máximos siguientes: severidad crítica, [X; se recomienda 15] días naturales; severidad alta, [X; se recomienda 30] días naturales; severidad media, [X; se recomienda 90] días naturales. Comunicará al Ayuntamiento toda vulnerabilidad de severidad crítica o alta que afecte a la solución en el plazo de [X; se recomienda 48] horas desde su conocimiento.</w:t>
            </w:r>
          </w:p>
          <w:p>
            <w:pPr>
              <w:spacing w:after="100" w:line="264"/>
            </w:pPr>
            <w:r>
              <w:rPr>
                <w:rFonts w:ascii="Georgia" w:cs="Georgia" w:eastAsia="Georgia" w:hAnsi="Georgia"/>
                <w:b/>
                <w:bCs/>
                <w:sz w:val="20"/>
                <w:szCs w:val="20"/>
              </w:rPr>
              <w:t xml:space="preserve">7. Continuidad.</w:t>
            </w:r>
            <w:r>
              <w:rPr>
                <w:rFonts w:ascii="Georgia" w:cs="Georgia" w:eastAsia="Georgia" w:hAnsi="Georgia"/>
                <w:sz w:val="20"/>
                <w:szCs w:val="20"/>
              </w:rPr>
              <w:t xml:space="preserve"> El adjudicatario dispondrá de plan de continuidad y de recuperación de la solución, con objetivos de tiempo y de punto de recuperación acordes con la categoría del apartado 2, y lo probará con periodicidad [X; se recomienda anual], entregando al Ayuntamiento el informe de la prueba.</w:t>
            </w:r>
          </w:p>
          <w:p>
            <w:pPr>
              <w:spacing w:after="100" w:line="264"/>
            </w:pPr>
            <w:r>
              <w:rPr>
                <w:rFonts w:ascii="Georgia" w:cs="Georgia" w:eastAsia="Georgia" w:hAnsi="Georgia"/>
                <w:b/>
                <w:bCs/>
                <w:sz w:val="20"/>
                <w:szCs w:val="20"/>
              </w:rPr>
              <w:t xml:space="preserve">8. Auditorías.</w:t>
            </w:r>
            <w:r>
              <w:rPr>
                <w:rFonts w:ascii="Georgia" w:cs="Georgia" w:eastAsia="Georgia" w:hAnsi="Georgia"/>
                <w:sz w:val="20"/>
                <w:szCs w:val="20"/>
              </w:rPr>
              <w:t xml:space="preserve"> El Ayuntamiento podrá auditar, por sí o por tercero designado sujeto a idéntico deber de confidencialidad, el cumplimiento de esta cláusula, con preaviso de [X; se recomienda 15] días hábiles, salvo incidente de seguridad en curso, en cuyo caso el preaviso no será exigible. Cuando el adjudicatario trate datos personales por cuenta del Ayuntamiento, esta previsión se entiende sin perjuicio y en refuerzo de las obligaciones del encargado del tratamiento conforme al Reglamento (UE) 2016/679.</w:t>
            </w:r>
          </w:p>
        </w:tc>
      </w:tr>
    </w:tbl>
    <w:p>
      <w:pPr>
        <w:spacing w:after="220"/>
      </w:pPr>
    </w:p>
    <w:p>
      <w:pPr>
        <w:spacing w:after="140" w:line="276"/>
      </w:pPr>
      <w:r>
        <w:rPr>
          <w:rFonts w:ascii="Calibri" w:cs="Calibri" w:eastAsia="Calibri" w:hAnsi="Calibri"/>
          <w:b/>
          <w:bCs/>
          <w:sz w:val="21"/>
          <w:szCs w:val="21"/>
        </w:rPr>
        <w:t xml:space="preserve">Ajustes.</w:t>
      </w:r>
    </w:p>
    <w:p>
      <w:pPr>
        <w:pStyle w:val="ListParagraph"/>
        <w:numPr>
          <w:ilvl w:val="0"/>
          <w:numId w:val="1"/>
        </w:numPr>
        <w:spacing w:after="70" w:line="268"/>
      </w:pPr>
      <w:r>
        <w:rPr>
          <w:rFonts w:ascii="Calibri" w:cs="Calibri" w:eastAsia="Calibri" w:hAnsi="Calibri"/>
          <w:b/>
          <w:bCs/>
          <w:sz w:val="21"/>
          <w:szCs w:val="21"/>
        </w:rPr>
        <w:t xml:space="preserve">Ap. 2</w:t>
      </w:r>
      <w:r>
        <w:rPr>
          <w:rFonts w:ascii="Calibri" w:cs="Calibri" w:eastAsia="Calibri" w:hAnsi="Calibri"/>
          <w:sz w:val="21"/>
          <w:szCs w:val="21"/>
        </w:rPr>
        <w:t xml:space="preserve">: la categoría resultante, MEDIA o ALTA, que no tiene valor por defecto (Anexo X, fila 1). Se motiva en la memoria </w:t>
      </w:r>
      <w:r>
        <w:rPr>
          <w:rFonts w:ascii="Calibri" w:cs="Calibri" w:eastAsia="Calibri" w:hAnsi="Calibri"/>
          <w:b/>
          <w:bCs/>
          <w:sz w:val="21"/>
          <w:szCs w:val="21"/>
        </w:rPr>
        <w:t xml:space="preserve">antes de aprobar el pliego</w:t>
      </w:r>
      <w:r>
        <w:rPr>
          <w:rFonts w:ascii="Calibri" w:cs="Calibri" w:eastAsia="Calibri" w:hAnsi="Calibri"/>
          <w:sz w:val="21"/>
          <w:szCs w:val="21"/>
        </w:rPr>
        <w:t xml:space="preserve"> (ep. 3), con el nivel de cada dimensión (Anexo III, ap. 8), del que depende ADM-11 (su ap. 1.a). La rúbrica no se toca: escribir «Nivel Alto» sin que el sistema lo sea es el defecto que señala el ep. 3, y el supuesto de la Resolución 383/2024, de 3 de octubre de 2024, del Tribunal Administrativo de Contratación Pública de la Comunidad de Madrid, que estimó el recurso por falta de justificación en la memoria (art. 116.2 LCSP), no por desproporción (Parte I, §3.8).</w:t>
      </w:r>
    </w:p>
    <w:p>
      <w:pPr>
        <w:pStyle w:val="ListParagraph"/>
        <w:numPr>
          <w:ilvl w:val="0"/>
          <w:numId w:val="1"/>
        </w:numPr>
        <w:spacing w:after="70" w:line="268"/>
      </w:pPr>
      <w:r>
        <w:rPr>
          <w:rFonts w:ascii="Calibri" w:cs="Calibri" w:eastAsia="Calibri" w:hAnsi="Calibri"/>
          <w:b/>
          <w:bCs/>
          <w:sz w:val="21"/>
          <w:szCs w:val="21"/>
        </w:rPr>
        <w:t xml:space="preserve">Ap. 3</w:t>
      </w:r>
      <w:r>
        <w:rPr>
          <w:rFonts w:ascii="Calibri" w:cs="Calibri" w:eastAsia="Calibri" w:hAnsi="Calibri"/>
          <w:sz w:val="21"/>
          <w:szCs w:val="21"/>
        </w:rPr>
        <w:t xml:space="preserve">: certificación del 3.a) y fuera el 3.b) (ep. 7); plazo de [6] meses (fila 38).</w:t>
      </w:r>
    </w:p>
    <w:p>
      <w:pPr>
        <w:pStyle w:val="ListParagraph"/>
        <w:numPr>
          <w:ilvl w:val="0"/>
          <w:numId w:val="1"/>
        </w:numPr>
        <w:spacing w:after="70" w:line="268"/>
      </w:pPr>
      <w:r>
        <w:rPr>
          <w:rFonts w:ascii="Calibri" w:cs="Calibri" w:eastAsia="Calibri" w:hAnsi="Calibri"/>
          <w:b/>
          <w:bCs/>
          <w:sz w:val="21"/>
          <w:szCs w:val="21"/>
        </w:rPr>
        <w:t xml:space="preserve">En categoría ALTA</w:t>
      </w:r>
      <w:r>
        <w:rPr>
          <w:rFonts w:ascii="Calibri" w:cs="Calibri" w:eastAsia="Calibri" w:hAnsi="Calibri"/>
          <w:sz w:val="21"/>
          <w:szCs w:val="21"/>
        </w:rPr>
        <w:t xml:space="preserve">: plazos de subsanación del ap. 6 reducidos, sin cifra en el catálogo </w:t>
      </w:r>
      <w:r>
        <w:rPr>
          <w:rFonts w:ascii="Calibri" w:cs="Calibri" w:eastAsia="Calibri" w:hAnsi="Calibri"/>
          <w:b/>
          <w:bCs/>
          <w:sz w:val="21"/>
          <w:szCs w:val="21"/>
        </w:rPr>
        <w:t xml:space="preserve">[a fijar por el responsable de la seguridad]</w:t>
      </w:r>
      <w:r>
        <w:rPr>
          <w:rFonts w:ascii="Calibri" w:cs="Calibri" w:eastAsia="Calibri" w:hAnsi="Calibri"/>
          <w:sz w:val="21"/>
          <w:szCs w:val="21"/>
        </w:rPr>
        <w:t xml:space="preserve"> (fila 39); comunicación en </w:t>
      </w:r>
      <w:r>
        <w:rPr>
          <w:rFonts w:ascii="Calibri" w:cs="Calibri" w:eastAsia="Calibri" w:hAnsi="Calibri"/>
          <w:b/>
          <w:bCs/>
          <w:sz w:val="21"/>
          <w:szCs w:val="21"/>
        </w:rPr>
        <w:t xml:space="preserve">[24] horas</w:t>
      </w:r>
      <w:r>
        <w:rPr>
          <w:rFonts w:ascii="Calibri" w:cs="Calibri" w:eastAsia="Calibri" w:hAnsi="Calibri"/>
          <w:sz w:val="21"/>
          <w:szCs w:val="21"/>
        </w:rPr>
        <w:t xml:space="preserve"> (fila 40); prueba de continuidad </w:t>
      </w:r>
      <w:r>
        <w:rPr>
          <w:rFonts w:ascii="Calibri" w:cs="Calibri" w:eastAsia="Calibri" w:hAnsi="Calibri"/>
          <w:b/>
          <w:bCs/>
          <w:sz w:val="21"/>
          <w:szCs w:val="21"/>
        </w:rPr>
        <w:t xml:space="preserve">[semestral]</w:t>
      </w:r>
      <w:r>
        <w:rPr>
          <w:rFonts w:ascii="Calibri" w:cs="Calibri" w:eastAsia="Calibri" w:hAnsi="Calibri"/>
          <w:sz w:val="21"/>
          <w:szCs w:val="21"/>
        </w:rPr>
        <w:t xml:space="preserve"> (fila 41). Preaviso de auditoría de </w:t>
      </w:r>
      <w:r>
        <w:rPr>
          <w:rFonts w:ascii="Calibri" w:cs="Calibri" w:eastAsia="Calibri" w:hAnsi="Calibri"/>
          <w:b/>
          <w:bCs/>
          <w:sz w:val="21"/>
          <w:szCs w:val="21"/>
        </w:rPr>
        <w:t xml:space="preserve">[5]</w:t>
      </w:r>
      <w:r>
        <w:rPr>
          <w:rFonts w:ascii="Calibri" w:cs="Calibri" w:eastAsia="Calibri" w:hAnsi="Calibri"/>
          <w:sz w:val="21"/>
          <w:szCs w:val="21"/>
        </w:rPr>
        <w:t xml:space="preserve"> días hábiles en alta criticidad (fila 42).</w:t>
      </w:r>
    </w:p>
    <w:p>
      <w:pPr>
        <w:pStyle w:val="ListParagraph"/>
        <w:numPr>
          <w:ilvl w:val="0"/>
          <w:numId w:val="1"/>
        </w:numPr>
        <w:spacing w:after="70" w:line="268"/>
      </w:pPr>
      <w:r>
        <w:rPr>
          <w:rFonts w:ascii="Calibri" w:cs="Calibri" w:eastAsia="Calibri" w:hAnsi="Calibri"/>
          <w:b/>
          <w:bCs/>
          <w:sz w:val="21"/>
          <w:szCs w:val="21"/>
        </w:rPr>
        <w:t xml:space="preserve">Ap. 7</w:t>
      </w:r>
      <w:r>
        <w:rPr>
          <w:rFonts w:ascii="Calibri" w:cs="Calibri" w:eastAsia="Calibri" w:hAnsi="Calibri"/>
          <w:sz w:val="21"/>
          <w:szCs w:val="21"/>
        </w:rPr>
        <w:t xml:space="preserve">: objetivos de recuperación «acordes con la categoría», tomados del análisis de impacto </w:t>
      </w:r>
      <w:r>
        <w:rPr>
          <w:rFonts w:ascii="Calibri" w:cs="Calibri" w:eastAsia="Calibri" w:hAnsi="Calibri"/>
          <w:b/>
          <w:bCs/>
          <w:sz w:val="21"/>
          <w:szCs w:val="21"/>
        </w:rPr>
        <w:t xml:space="preserve">[a cumplimentar con datos del expediente]</w:t>
      </w:r>
      <w:r>
        <w:rPr>
          <w:rFonts w:ascii="Calibri" w:cs="Calibri" w:eastAsia="Calibri" w:hAnsi="Calibri"/>
          <w:sz w:val="21"/>
          <w:szCs w:val="21"/>
        </w:rPr>
        <w:t xml:space="preserve">. </w:t>
      </w:r>
      <w:r>
        <w:rPr>
          <w:rFonts w:ascii="Calibri" w:cs="Calibri" w:eastAsia="Calibri" w:hAnsi="Calibri"/>
          <w:b/>
          <w:bCs/>
          <w:sz w:val="21"/>
          <w:szCs w:val="21"/>
        </w:rPr>
        <w:t xml:space="preserve">Ap. 1</w:t>
      </w:r>
      <w:r>
        <w:rPr>
          <w:rFonts w:ascii="Calibri" w:cs="Calibri" w:eastAsia="Calibri" w:hAnsi="Calibri"/>
          <w:sz w:val="21"/>
          <w:szCs w:val="21"/>
        </w:rPr>
        <w:t xml:space="preserve">: cadena de suministro según el análisis de riesgos (V.4.11).</w:t>
      </w:r>
    </w:p>
    <w:p>
      <w:pPr>
        <w:pStyle w:val="Heading3"/>
        <w:keepNext/>
        <w:spacing w:after="140" w:before="320"/>
      </w:pPr>
      <w:r>
        <w:rPr>
          <w:rFonts w:ascii="Georgia" w:cs="Georgia" w:eastAsia="Georgia" w:hAnsi="Georgia"/>
          <w:b/>
          <w:bCs/>
          <w:color w:val="2F5496"/>
          <w:sz w:val="22"/>
          <w:szCs w:val="22"/>
        </w:rPr>
        <w:t xml:space="preserve">DT-3·v3 · Criptoagilidad — CONDICIONAL</w:t>
      </w:r>
    </w:p>
    <w:p>
      <w:pPr>
        <w:spacing w:after="140" w:line="276"/>
      </w:pPr>
      <w:r>
        <w:rPr>
          <w:rFonts w:ascii="Calibri" w:cs="Calibri" w:eastAsia="Calibri" w:hAnsi="Calibri"/>
          <w:i/>
          <w:iCs/>
          <w:sz w:val="21"/>
          <w:szCs w:val="21"/>
        </w:rPr>
        <w:t xml:space="preserve">Texto vigente de DT-3·v3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DT-3. Criptoagilidad y preparación para la criptografía post-cuántica.</w:t>
            </w:r>
          </w:p>
          <w:p>
            <w:pPr>
              <w:spacing w:after="100" w:line="264"/>
            </w:pPr>
            <w:r>
              <w:rPr>
                <w:rFonts w:ascii="Georgia" w:cs="Georgia" w:eastAsia="Georgia" w:hAnsi="Georgia"/>
                <w:b/>
                <w:bCs/>
                <w:sz w:val="20"/>
                <w:szCs w:val="20"/>
              </w:rPr>
              <w:t xml:space="preserve">1. Presupuesto de aplicación.</w:t>
            </w:r>
            <w:r>
              <w:rPr>
                <w:rFonts w:ascii="Georgia" w:cs="Georgia" w:eastAsia="Georgia" w:hAnsi="Georgia"/>
                <w:sz w:val="20"/>
                <w:szCs w:val="20"/>
              </w:rPr>
              <w:t xml:space="preserve"> Esta cláusula se incorpora cuando la solución trate datos de las categorías especiales del artículo 9 del Reglamento (UE) 2016/679, o información cuyo período de conservación exigible sea igual o superior a [X; se recomienda 5] años, y así conste en la memoria del expediente.</w:t>
            </w:r>
          </w:p>
          <w:p>
            <w:pPr>
              <w:spacing w:after="100" w:line="264"/>
            </w:pPr>
            <w:r>
              <w:rPr>
                <w:rFonts w:ascii="Georgia" w:cs="Georgia" w:eastAsia="Georgia" w:hAnsi="Georgia"/>
                <w:b/>
                <w:bCs/>
                <w:sz w:val="20"/>
                <w:szCs w:val="20"/>
              </w:rPr>
              <w:t xml:space="preserve">2. Criptoagilidad.</w:t>
            </w:r>
            <w:r>
              <w:rPr>
                <w:rFonts w:ascii="Georgia" w:cs="Georgia" w:eastAsia="Georgia" w:hAnsi="Georgia"/>
                <w:sz w:val="20"/>
                <w:szCs w:val="20"/>
              </w:rPr>
              <w:t xml:space="preserve"> La solución permitirá sustituir los algoritmos, longitudes de clave y protocolos criptográficos que emplea sin rediseñar el sistema ni interrumpir el servicio más allá de las ventanas de mantenimiento pactadas. El adjudicatario documentará el procedimiento de sustitución y el tiempo estimado de ejecución.</w:t>
            </w:r>
          </w:p>
          <w:p>
            <w:pPr>
              <w:spacing w:after="100" w:line="264"/>
            </w:pPr>
            <w:r>
              <w:rPr>
                <w:rFonts w:ascii="Georgia" w:cs="Georgia" w:eastAsia="Georgia" w:hAnsi="Georgia"/>
                <w:b/>
                <w:bCs/>
                <w:sz w:val="20"/>
                <w:szCs w:val="20"/>
              </w:rPr>
              <w:t xml:space="preserve">3. Inventario criptográfico.</w:t>
            </w:r>
            <w:r>
              <w:rPr>
                <w:rFonts w:ascii="Georgia" w:cs="Georgia" w:eastAsia="Georgia" w:hAnsi="Georgia"/>
                <w:sz w:val="20"/>
                <w:szCs w:val="20"/>
              </w:rPr>
              <w:t xml:space="preserve"> El adjudicatario elaborará y mantendrá actualizado, con periodicidad [X; se recomienda anual], un inventario de los algoritmos, protocolos, longitudes de clave, certificados y componentes criptográficos empleados por la solución, con identificación de los datos que protege cada uno y de su fecha prevista de retirada.</w:t>
            </w:r>
          </w:p>
          <w:p>
            <w:pPr>
              <w:spacing w:after="100" w:line="264"/>
            </w:pPr>
            <w:r>
              <w:rPr>
                <w:rFonts w:ascii="Georgia" w:cs="Georgia" w:eastAsia="Georgia" w:hAnsi="Georgia"/>
                <w:b/>
                <w:bCs/>
                <w:sz w:val="20"/>
                <w:szCs w:val="20"/>
              </w:rPr>
              <w:t xml:space="preserve">4. Plan de transición.</w:t>
            </w:r>
            <w:r>
              <w:rPr>
                <w:rFonts w:ascii="Georgia" w:cs="Georgia" w:eastAsia="Georgia" w:hAnsi="Georgia"/>
                <w:sz w:val="20"/>
                <w:szCs w:val="20"/>
              </w:rPr>
              <w:t xml:space="preserve"> El adjudicatario presentará, en el plazo de [X; se recomienda 6] meses desde la formalización, y actualizará anualmente, un plan de transición a algoritmos resistentes a la computación cuántica, con hitos y fechas, referido a los sistemas y datos del inventario del apartado 3.</w:t>
            </w:r>
          </w:p>
          <w:p>
            <w:pPr>
              <w:spacing w:after="100" w:line="264"/>
            </w:pPr>
            <w:r>
              <w:rPr>
                <w:rFonts w:ascii="Georgia" w:cs="Georgia" w:eastAsia="Georgia" w:hAnsi="Georgia"/>
                <w:b/>
                <w:bCs/>
                <w:sz w:val="20"/>
                <w:szCs w:val="20"/>
              </w:rPr>
              <w:t xml:space="preserve">5. Algoritmos exigibles.</w:t>
            </w:r>
            <w:r>
              <w:rPr>
                <w:rFonts w:ascii="Georgia" w:cs="Georgia" w:eastAsia="Georgia" w:hAnsi="Georgia"/>
                <w:sz w:val="20"/>
                <w:szCs w:val="20"/>
              </w:rPr>
              <w:t xml:space="preserve"> Los algoritmos criptográficos empleados se ajustarán a las normas europeas o internacionales aplicables y a las guías CCN-STIC del Centro Criptológico Nacional vigentes en cada momento en el ámbito del Esquema Nacional de Seguridad, o a especificaciones equivalentes acreditadas conforme a la cláusula DT-0. No se impone algoritmo, familia ni especificación nominados.</w:t>
            </w:r>
          </w:p>
          <w:p>
            <w:pPr>
              <w:spacing w:after="100" w:line="264"/>
            </w:pPr>
            <w:r>
              <w:rPr>
                <w:rFonts w:ascii="Georgia" w:cs="Georgia" w:eastAsia="Georgia" w:hAnsi="Georgia"/>
                <w:b/>
                <w:bCs/>
                <w:sz w:val="20"/>
                <w:szCs w:val="20"/>
              </w:rPr>
              <w:t xml:space="preserve">6. Datos de conservación prolongada.</w:t>
            </w:r>
            <w:r>
              <w:rPr>
                <w:rFonts w:ascii="Georgia" w:cs="Georgia" w:eastAsia="Georgia" w:hAnsi="Georgia"/>
                <w:sz w:val="20"/>
                <w:szCs w:val="20"/>
              </w:rPr>
              <w:t xml:space="preserve"> El plan del apartado 4 identificará expresamente los conjuntos de datos expuestos a la amenaza de captura anticipada y descifrado posterior, y priorizará su protección.</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Tras DT-6 (ep. 2). El presupuesto del ap. 1 es necesario, no suficiente: la Parte VI deja la cláusula en NA con datos contables de conservación larga porque su confidencialidad no era el riesgo dominante (VI.4.3). Ap. 1: [5] años, [3] con categorías especiales del art. 9 RGPD (fila 31). Ap. 3: </w:t>
      </w:r>
      <w:r>
        <w:rPr>
          <w:rFonts w:ascii="Calibri" w:cs="Calibri" w:eastAsia="Calibri" w:hAnsi="Calibri"/>
          <w:b/>
          <w:bCs/>
          <w:sz w:val="21"/>
          <w:szCs w:val="21"/>
        </w:rPr>
        <w:t xml:space="preserve">[semestral]</w:t>
      </w:r>
      <w:r>
        <w:rPr>
          <w:rFonts w:ascii="Calibri" w:cs="Calibri" w:eastAsia="Calibri" w:hAnsi="Calibri"/>
          <w:sz w:val="21"/>
          <w:szCs w:val="21"/>
        </w:rPr>
        <w:t xml:space="preserve"> en ALTA (fila 32). Ap. 4: [6] meses (fila 33).</w:t>
      </w:r>
    </w:p>
    <w:p>
      <w:pPr>
        <w:pStyle w:val="Heading3"/>
        <w:keepNext/>
        <w:spacing w:after="140" w:before="320"/>
      </w:pPr>
      <w:r>
        <w:rPr>
          <w:rFonts w:ascii="Georgia" w:cs="Georgia" w:eastAsia="Georgia" w:hAnsi="Georgia"/>
          <w:b/>
          <w:bCs/>
          <w:color w:val="2F5496"/>
          <w:sz w:val="22"/>
          <w:szCs w:val="22"/>
        </w:rPr>
        <w:t xml:space="preserve">DT-8·v3 · Reversibilidad, Inventario y Dossier — SÍ, completa</w:t>
      </w:r>
    </w:p>
    <w:p>
      <w:pPr>
        <w:spacing w:after="140" w:line="276"/>
      </w:pPr>
      <w:r>
        <w:rPr>
          <w:rFonts w:ascii="Calibri" w:cs="Calibri" w:eastAsia="Calibri" w:hAnsi="Calibri"/>
          <w:i/>
          <w:iCs/>
          <w:sz w:val="21"/>
          <w:szCs w:val="21"/>
        </w:rPr>
        <w:t xml:space="preserve">Texto vigente de DT-8·v3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DT-8. Reversibilidad, Inventario de Componentes y Dossier de Reversibilidad.</w:t>
            </w:r>
          </w:p>
          <w:p>
            <w:pPr>
              <w:spacing w:after="100" w:line="264"/>
            </w:pPr>
            <w:r>
              <w:rPr>
                <w:rFonts w:ascii="Georgia" w:cs="Georgia" w:eastAsia="Georgia" w:hAnsi="Georgia"/>
                <w:b/>
                <w:bCs/>
                <w:sz w:val="20"/>
                <w:szCs w:val="20"/>
              </w:rPr>
              <w:t xml:space="preserve">1. Objeto de la entrega.</w:t>
            </w:r>
            <w:r>
              <w:rPr>
                <w:rFonts w:ascii="Georgia" w:cs="Georgia" w:eastAsia="Georgia" w:hAnsi="Georgia"/>
                <w:sz w:val="20"/>
                <w:szCs w:val="20"/>
              </w:rPr>
              <w:t xml:space="preserve"> A la finalización del contrato por cualquier causa, el adjudicatario entregará de forma ordenada, sin coste adicional y en formatos abiertos, documentados y reutilizables conforme al Esquema Nacional de Interoperabilidad:</w:t>
            </w:r>
          </w:p>
          <w:p>
            <w:pPr>
              <w:spacing w:after="100" w:line="264"/>
            </w:pPr>
            <w:r>
              <w:rPr>
                <w:rFonts w:ascii="Georgia" w:cs="Georgia" w:eastAsia="Georgia" w:hAnsi="Georgia"/>
                <w:sz w:val="20"/>
                <w:szCs w:val="20"/>
              </w:rPr>
              <w:t xml:space="preserve">a) Los datos municipales y sus modelos, con el diccionario de datos previsto en la cláusula DT-5, apartado 4, actualizado a la fecha de la entrega.</w:t>
            </w:r>
          </w:p>
          <w:p>
            <w:pPr>
              <w:spacing w:after="100" w:line="264"/>
            </w:pPr>
            <w:r>
              <w:rPr>
                <w:rFonts w:ascii="Georgia" w:cs="Georgia" w:eastAsia="Georgia" w:hAnsi="Georgia"/>
                <w:sz w:val="20"/>
                <w:szCs w:val="20"/>
              </w:rPr>
              <w:t xml:space="preserve">b) El código fuente y el código objeto de los desarrollos realizados específicamente para el Ayuntamiento.</w:t>
            </w:r>
          </w:p>
          <w:p>
            <w:pPr>
              <w:spacing w:after="100" w:line="264"/>
            </w:pPr>
            <w:r>
              <w:rPr>
                <w:rFonts w:ascii="Georgia" w:cs="Georgia" w:eastAsia="Georgia" w:hAnsi="Georgia"/>
                <w:sz w:val="20"/>
                <w:szCs w:val="20"/>
              </w:rPr>
              <w:t xml:space="preserve">c) Las configuraciones, parametrizaciones, reglas de negocio, algoritmos de cálculo o de decisión diseñados específicamente para el Ayuntamiento, y su documentación técnica.</w:t>
            </w:r>
          </w:p>
          <w:p>
            <w:pPr>
              <w:spacing w:after="100" w:line="264"/>
            </w:pPr>
            <w:r>
              <w:rPr>
                <w:rFonts w:ascii="Georgia" w:cs="Georgia" w:eastAsia="Georgia" w:hAnsi="Georgia"/>
                <w:sz w:val="20"/>
                <w:szCs w:val="20"/>
              </w:rPr>
              <w:t xml:space="preserve">d) Los prompts corporativos, bases de conocimiento y modelos ajustados con datos municipales.</w:t>
            </w:r>
          </w:p>
          <w:p>
            <w:pPr>
              <w:spacing w:after="100" w:line="264"/>
            </w:pPr>
            <w:r>
              <w:rPr>
                <w:rFonts w:ascii="Georgia" w:cs="Georgia" w:eastAsia="Georgia" w:hAnsi="Georgia"/>
                <w:sz w:val="20"/>
                <w:szCs w:val="20"/>
              </w:rPr>
              <w:t xml:space="preserve">e) La documentación técnica, de construcción y de despliegue.</w:t>
            </w:r>
          </w:p>
          <w:p>
            <w:pPr>
              <w:spacing w:after="100" w:line="264"/>
            </w:pPr>
            <w:r>
              <w:rPr>
                <w:rFonts w:ascii="Georgia" w:cs="Georgia" w:eastAsia="Georgia" w:hAnsi="Georgia"/>
                <w:sz w:val="20"/>
                <w:szCs w:val="20"/>
              </w:rPr>
              <w:t xml:space="preserve">f) El Inventario de Componentes del apartado 2 y el Dossier de Reversibilidad del apartado 6.</w:t>
            </w:r>
          </w:p>
          <w:p>
            <w:pPr>
              <w:spacing w:after="100" w:line="264"/>
            </w:pPr>
            <w:r>
              <w:rPr>
                <w:rFonts w:ascii="Georgia" w:cs="Georgia" w:eastAsia="Georgia" w:hAnsi="Georgia"/>
                <w:b/>
                <w:bCs/>
                <w:sz w:val="20"/>
                <w:szCs w:val="20"/>
              </w:rPr>
              <w:t xml:space="preserve">Esta obligación no alcanza al código fuente del producto base, estándar o de mercado del adjudicatario ni al de terceros licenciantes</w:t>
            </w:r>
            <w:r>
              <w:rPr>
                <w:rFonts w:ascii="Georgia" w:cs="Georgia" w:eastAsia="Georgia" w:hAnsi="Georgia"/>
                <w:sz w:val="20"/>
                <w:szCs w:val="20"/>
              </w:rPr>
              <w:t xml:space="preserve">, en los términos y con la delimitación que establece la cláusula [ADM-8], apartado 4, del pliego de cláusulas administrativas particulares, a la que se remite íntegramente.</w:t>
            </w:r>
          </w:p>
          <w:p>
            <w:pPr>
              <w:spacing w:after="100" w:line="264"/>
            </w:pPr>
            <w:r>
              <w:rPr>
                <w:rFonts w:ascii="Georgia" w:cs="Georgia" w:eastAsia="Georgia" w:hAnsi="Georgia"/>
                <w:b/>
                <w:bCs/>
                <w:sz w:val="20"/>
                <w:szCs w:val="20"/>
              </w:rPr>
              <w:t xml:space="preserve">2. Inventario de Componentes.</w:t>
            </w:r>
            <w:r>
              <w:rPr>
                <w:rFonts w:ascii="Georgia" w:cs="Georgia" w:eastAsia="Georgia" w:hAnsi="Georgia"/>
                <w:sz w:val="20"/>
                <w:szCs w:val="20"/>
              </w:rPr>
              <w:t xml:space="preserve"> El adjudicatario mantendrá y entregará un Inventario de Componentes que identifique y separe: (a) el producto base o estándar; (b) los desarrollos realizados específicamente para el Ayuntamiento; (c) los componentes de terceros integrados, con su licencia y sus restricciones de uso; y (d) las configuraciones y parametrizaciones. Lo entregará por primera vez en el plazo de [X; se recomienda 30] días naturales desde la formalización del contrato y, a partir de entonces, actualizado </w:t>
            </w:r>
            <w:r>
              <w:rPr>
                <w:rFonts w:ascii="Georgia" w:cs="Georgia" w:eastAsia="Georgia" w:hAnsi="Georgia"/>
                <w:b/>
                <w:bCs/>
                <w:sz w:val="20"/>
                <w:szCs w:val="20"/>
              </w:rPr>
              <w:t xml:space="preserve">con cada versión puesta en producción</w:t>
            </w:r>
            <w:r>
              <w:rPr>
                <w:rFonts w:ascii="Georgia" w:cs="Georgia" w:eastAsia="Georgia" w:hAnsi="Georgia"/>
                <w:sz w:val="20"/>
                <w:szCs w:val="20"/>
              </w:rPr>
              <w:t xml:space="preserve">. </w:t>
            </w:r>
            <w:r>
              <w:rPr>
                <w:rFonts w:ascii="Georgia" w:cs="Georgia" w:eastAsia="Georgia" w:hAnsi="Georgia"/>
                <w:b/>
                <w:bCs/>
                <w:sz w:val="20"/>
                <w:szCs w:val="20"/>
              </w:rPr>
              <w:t xml:space="preserve">La falta de este inventario impide tener por cumplida la obligación de reversibilidad.</w:t>
            </w:r>
          </w:p>
          <w:p>
            <w:pPr>
              <w:spacing w:after="100" w:line="264"/>
            </w:pPr>
            <w:r>
              <w:rPr>
                <w:rFonts w:ascii="Georgia" w:cs="Georgia" w:eastAsia="Georgia" w:hAnsi="Georgia"/>
                <w:b/>
                <w:bCs/>
                <w:sz w:val="20"/>
                <w:szCs w:val="20"/>
              </w:rPr>
              <w:t xml:space="preserve">3. Plan de Reversibilidad y ensayo.</w:t>
            </w:r>
            <w:r>
              <w:rPr>
                <w:rFonts w:ascii="Georgia" w:cs="Georgia" w:eastAsia="Georgia" w:hAnsi="Georgia"/>
                <w:sz w:val="20"/>
                <w:szCs w:val="20"/>
              </w:rPr>
              <w:t xml:space="preserve"> El adjudicatario entregará un Plan de Reversibilidad en los [X; se recomienda 3] primeros meses de ejecución, lo actualizará anualmente y realizará, a su costa, al menos [X; se recomienda 1] ensayo de reversibilidad por cada [X; se recomienda 24] meses de vigencia y, en todo caso, uno durante el último año del contrato. El ensayo consistirá en la extracción y restitución efectivas de una muestra representativa de datos y configuraciones en un entorno ajeno a la infraestructura del adjudicatario, y se documentará en acta con el resultado y el tiempo empleado. Cuando el contrato comprenda desarrollos realizados específicamente para el Ayuntamiento, el ensayo comprobará además que el código fuente de la versión en producción de esos desarrollos, con su documentación de construcción y despliegue (letras b) y e) del apartado 1), compila y se despliega en un entorno funcional siguiendo únicamente esa documentación; el acta identificará el entorno y el resultado.</w:t>
            </w:r>
          </w:p>
          <w:p>
            <w:pPr>
              <w:spacing w:after="100" w:line="264"/>
            </w:pPr>
            <w:r>
              <w:rPr>
                <w:rFonts w:ascii="Georgia" w:cs="Georgia" w:eastAsia="Georgia" w:hAnsi="Georgia"/>
                <w:b/>
                <w:bCs/>
                <w:sz w:val="20"/>
                <w:szCs w:val="20"/>
              </w:rPr>
              <w:t xml:space="preserve">4. Calendario de la reversión.</w:t>
            </w:r>
            <w:r>
              <w:rPr>
                <w:rFonts w:ascii="Georgia" w:cs="Georgia" w:eastAsia="Georgia" w:hAnsi="Georgia"/>
                <w:sz w:val="20"/>
                <w:szCs w:val="20"/>
              </w:rPr>
              <w:t xml:space="preserve"> El período de reversión comenzará [X; se recomienda 3] meses antes de la fecha prevista de finalización del contrato o, en caso de resolución anticipada, desde la notificación del acuerdo de resolución. La entrega íntegra del apartado 1 deberá completarse dentro de ese período y, en todo caso, en el plazo máximo de [X; se recomienda 30] días naturales desde la finalización del contrato. </w:t>
            </w:r>
            <w:r>
              <w:rPr>
                <w:rFonts w:ascii="Georgia" w:cs="Georgia" w:eastAsia="Georgia" w:hAnsi="Georgia"/>
                <w:b/>
                <w:bCs/>
                <w:sz w:val="20"/>
                <w:szCs w:val="20"/>
              </w:rPr>
              <w:t xml:space="preserve">El período de reversión se computa dentro del plazo de ejecución del contrato, que este pliego fija incluyéndolo.</w:t>
            </w:r>
          </w:p>
          <w:p>
            <w:pPr>
              <w:spacing w:after="100" w:line="264"/>
            </w:pPr>
            <w:r>
              <w:rPr>
                <w:rFonts w:ascii="Georgia" w:cs="Georgia" w:eastAsia="Georgia" w:hAnsi="Georgia"/>
                <w:b/>
                <w:bCs/>
                <w:sz w:val="20"/>
                <w:szCs w:val="20"/>
              </w:rPr>
              <w:t xml:space="preserve">5. Licencia de continuidad.</w:t>
            </w:r>
            <w:r>
              <w:rPr>
                <w:rFonts w:ascii="Georgia" w:cs="Georgia" w:eastAsia="Georgia" w:hAnsi="Georgia"/>
                <w:sz w:val="20"/>
                <w:szCs w:val="20"/>
              </w:rPr>
              <w:t xml:space="preserve"> Durante el período de reversión y hasta [X; se recomienda 6] meses desde la finalización del contrato, el adjudicatario mantendrá vigente a favor del Ayuntamiento la licencia de uso del producto base estrictamente necesaria para continuar operando la solución hasta completar la migración. Esta licencia forma parte del objeto del contrato y se entiende retribuida con el precio de éste, habiéndose computado su coste en el presupuesto base de licitación conforme al artículo 100.2 LCSP.</w:t>
            </w:r>
          </w:p>
          <w:p>
            <w:pPr>
              <w:spacing w:after="100" w:line="264"/>
            </w:pPr>
            <w:r>
              <w:rPr>
                <w:rFonts w:ascii="Georgia" w:cs="Georgia" w:eastAsia="Georgia" w:hAnsi="Georgia"/>
                <w:b/>
                <w:bCs/>
                <w:sz w:val="20"/>
                <w:szCs w:val="20"/>
              </w:rPr>
              <w:t xml:space="preserve">6. Dossier de Reversibilidad.</w:t>
            </w:r>
            <w:r>
              <w:rPr>
                <w:rFonts w:ascii="Georgia" w:cs="Georgia" w:eastAsia="Georgia" w:hAnsi="Georgia"/>
                <w:sz w:val="20"/>
                <w:szCs w:val="20"/>
              </w:rPr>
              <w:t xml:space="preserve"> El adjudicatario mantendrá actualizado y entregará un Dossier de Reversibilidad que comprenda el modelo de datos, la relación de interfaces, el Inventario de Componentes, el procedimiento de migración y la estimación de esfuerzo de migración. El Ayuntamiento podrá incorporar dicho Dossier, depurado de información confidencial y de secretos técnicos o comerciales, al pliego de la licitación siguiente.</w:t>
            </w:r>
          </w:p>
          <w:p>
            <w:pPr>
              <w:spacing w:after="100" w:line="264"/>
            </w:pPr>
            <w:r>
              <w:rPr>
                <w:rFonts w:ascii="Georgia" w:cs="Georgia" w:eastAsia="Georgia" w:hAnsi="Georgia"/>
                <w:b/>
                <w:bCs/>
                <w:sz w:val="20"/>
                <w:szCs w:val="20"/>
              </w:rPr>
              <w:t xml:space="preserve">7. Datos personales.</w:t>
            </w:r>
            <w:r>
              <w:rPr>
                <w:rFonts w:ascii="Georgia" w:cs="Georgia" w:eastAsia="Georgia" w:hAnsi="Georgia"/>
                <w:sz w:val="20"/>
                <w:szCs w:val="20"/>
              </w:rPr>
              <w:t xml:space="preserve"> La devolución o supresión de los datos personales tratados por cuenta del Ayuntamiento se realizará conforme al artículo 28.3.g) del Reglamento (UE) 2016/679, con entrega de certificación de supresión de las copias existentes.</w:t>
            </w:r>
          </w:p>
          <w:p>
            <w:pPr>
              <w:spacing w:after="100" w:line="264"/>
            </w:pPr>
            <w:r>
              <w:rPr>
                <w:rFonts w:ascii="Georgia" w:cs="Georgia" w:eastAsia="Georgia" w:hAnsi="Georgia"/>
                <w:b/>
                <w:bCs/>
                <w:sz w:val="20"/>
                <w:szCs w:val="20"/>
              </w:rPr>
              <w:t xml:space="preserve">8. Acta de reversión y efectos.</w:t>
            </w:r>
            <w:r>
              <w:rPr>
                <w:rFonts w:ascii="Georgia" w:cs="Georgia" w:eastAsia="Georgia" w:hAnsi="Georgia"/>
                <w:sz w:val="20"/>
                <w:szCs w:val="20"/>
              </w:rPr>
              <w:t xml:space="preserve"> Completada la entrega, el Ayuntamiento levantará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en el plazo de [X; se recomienda 15] días hábiles desde que el adjudicatario comunique la entrega íntegra, haciendo constar en ella los defectos apreciados y el plazo de subsanación. Transcurrido dicho plazo sin que el Ayuntamiento levante el acta ni formule objeciones, la reversión se tendrá por conforme a todos los efectos. </w:t>
            </w:r>
            <w:r>
              <w:rPr>
                <w:rFonts w:ascii="Georgia" w:cs="Georgia" w:eastAsia="Georgia" w:hAnsi="Georgia"/>
                <w:b/>
                <w:bCs/>
                <w:sz w:val="20"/>
                <w:szCs w:val="20"/>
              </w:rPr>
              <w:t xml:space="preserve">El plazo de garantía del contrato es de [X; se recomienda 12] meses y se computa desde la fecha del acta de reversión o, en su defecto, desde el día siguiente al vencimiento del plazo previsto en este apartado para levantarla.</w:t>
            </w:r>
          </w:p>
        </w:tc>
      </w:tr>
    </w:tbl>
    <w:p>
      <w:pPr>
        <w:spacing w:after="220"/>
      </w:pPr>
    </w:p>
    <w:p>
      <w:pPr>
        <w:spacing w:after="140" w:line="276"/>
      </w:pPr>
      <w:r>
        <w:rPr>
          <w:rFonts w:ascii="Calibri" w:cs="Calibri" w:eastAsia="Calibri" w:hAnsi="Calibri"/>
          <w:b/>
          <w:bCs/>
          <w:sz w:val="21"/>
          <w:szCs w:val="21"/>
        </w:rPr>
        <w:t xml:space="preserve">Ajustes.</w:t>
      </w:r>
    </w:p>
    <w:p>
      <w:pPr>
        <w:pStyle w:val="ListParagraph"/>
        <w:numPr>
          <w:ilvl w:val="0"/>
          <w:numId w:val="1"/>
        </w:numPr>
        <w:spacing w:after="70" w:line="268"/>
      </w:pPr>
      <w:r>
        <w:rPr>
          <w:rFonts w:ascii="Calibri" w:cs="Calibri" w:eastAsia="Calibri" w:hAnsi="Calibri"/>
          <w:b/>
          <w:bCs/>
          <w:sz w:val="21"/>
          <w:szCs w:val="21"/>
        </w:rPr>
        <w:t xml:space="preserve">Ap. 3</w:t>
      </w:r>
      <w:r>
        <w:rPr>
          <w:rFonts w:ascii="Calibri" w:cs="Calibri" w:eastAsia="Calibri" w:hAnsi="Calibri"/>
          <w:sz w:val="21"/>
          <w:szCs w:val="21"/>
        </w:rPr>
        <w:t xml:space="preserve">: ensayo </w:t>
      </w:r>
      <w:r>
        <w:rPr>
          <w:rFonts w:ascii="Calibri" w:cs="Calibri" w:eastAsia="Calibri" w:hAnsi="Calibri"/>
          <w:b/>
          <w:bCs/>
          <w:sz w:val="21"/>
          <w:szCs w:val="21"/>
        </w:rPr>
        <w:t xml:space="preserve">[1] cada [12] meses</w:t>
      </w:r>
      <w:r>
        <w:rPr>
          <w:rFonts w:ascii="Calibri" w:cs="Calibri" w:eastAsia="Calibri" w:hAnsi="Calibri"/>
          <w:sz w:val="21"/>
          <w:szCs w:val="21"/>
        </w:rPr>
        <w:t xml:space="preserve"> en categoría ALTA (Anexo X, fila 11; II.13: «Anual en contratos de criticidad alta»); [24] en MEDIA salvo motivación. </w:t>
      </w:r>
      <w:r>
        <w:rPr>
          <w:rFonts w:ascii="Calibri" w:cs="Calibri" w:eastAsia="Calibri" w:hAnsi="Calibri"/>
          <w:b/>
          <w:bCs/>
          <w:sz w:val="21"/>
          <w:szCs w:val="21"/>
        </w:rPr>
        <w:t xml:space="preserve">El ensayo no se suprime</w:t>
      </w:r>
      <w:r>
        <w:rPr>
          <w:rFonts w:ascii="Calibri" w:cs="Calibri" w:eastAsia="Calibri" w:hAnsi="Calibri"/>
          <w:sz w:val="21"/>
          <w:szCs w:val="21"/>
        </w:rPr>
        <w:t xml:space="preserve">: la salida que admite el ep. 5 deja la reversibilidad en declarada; si faltan horas, se dota la función o se reducen otras cláusulas (ADM-4·v3, ep. 5, regla de cierre).</w:t>
      </w:r>
    </w:p>
    <w:p>
      <w:pPr>
        <w:pStyle w:val="ListParagraph"/>
        <w:numPr>
          <w:ilvl w:val="0"/>
          <w:numId w:val="1"/>
        </w:numPr>
        <w:spacing w:after="70" w:line="268"/>
      </w:pPr>
      <w:r>
        <w:rPr>
          <w:rFonts w:ascii="Calibri" w:cs="Calibri" w:eastAsia="Calibri" w:hAnsi="Calibri"/>
          <w:b/>
          <w:bCs/>
          <w:sz w:val="21"/>
          <w:szCs w:val="21"/>
        </w:rPr>
        <w:t xml:space="preserve">Ap. 4</w:t>
      </w:r>
      <w:r>
        <w:rPr>
          <w:rFonts w:ascii="Calibri" w:cs="Calibri" w:eastAsia="Calibri" w:hAnsi="Calibri"/>
          <w:sz w:val="21"/>
          <w:szCs w:val="21"/>
        </w:rPr>
        <w:t xml:space="preserve">: inicio de la reversión </w:t>
      </w:r>
      <w:r>
        <w:rPr>
          <w:rFonts w:ascii="Calibri" w:cs="Calibri" w:eastAsia="Calibri" w:hAnsi="Calibri"/>
          <w:b/>
          <w:bCs/>
          <w:sz w:val="21"/>
          <w:szCs w:val="21"/>
        </w:rPr>
        <w:t xml:space="preserve">[6] meses</w:t>
      </w:r>
      <w:r>
        <w:rPr>
          <w:rFonts w:ascii="Calibri" w:cs="Calibri" w:eastAsia="Calibri" w:hAnsi="Calibri"/>
          <w:sz w:val="21"/>
          <w:szCs w:val="21"/>
        </w:rPr>
        <w:t xml:space="preserve"> antes si la migración es compleja (fila 44); entrega en [30] días, sin ampliar (fila 45). </w:t>
      </w:r>
      <w:r>
        <w:rPr>
          <w:rFonts w:ascii="Calibri" w:cs="Calibri" w:eastAsia="Calibri" w:hAnsi="Calibri"/>
          <w:b/>
          <w:bCs/>
          <w:sz w:val="21"/>
          <w:szCs w:val="21"/>
        </w:rPr>
        <w:t xml:space="preserve">Ap. 5</w:t>
      </w:r>
      <w:r>
        <w:rPr>
          <w:rFonts w:ascii="Calibri" w:cs="Calibri" w:eastAsia="Calibri" w:hAnsi="Calibri"/>
          <w:sz w:val="21"/>
          <w:szCs w:val="21"/>
        </w:rPr>
        <w:t xml:space="preserve">: licencia de [6] meses, ampliable sólo con su coste en el PBL (fila 12); se suprime si la solución es municipal o de fuentes abiertas (ep. 7). </w:t>
      </w:r>
      <w:r>
        <w:rPr>
          <w:rFonts w:ascii="Calibri" w:cs="Calibri" w:eastAsia="Calibri" w:hAnsi="Calibri"/>
          <w:b/>
          <w:bCs/>
          <w:sz w:val="21"/>
          <w:szCs w:val="21"/>
        </w:rPr>
        <w:t xml:space="preserve">Ap. 2</w:t>
      </w:r>
      <w:r>
        <w:rPr>
          <w:rFonts w:ascii="Calibri" w:cs="Calibri" w:eastAsia="Calibri" w:hAnsi="Calibri"/>
          <w:sz w:val="21"/>
          <w:szCs w:val="21"/>
        </w:rPr>
        <w:t xml:space="preserve">: [30] días (fila 10). </w:t>
      </w:r>
      <w:r>
        <w:rPr>
          <w:rFonts w:ascii="Calibri" w:cs="Calibri" w:eastAsia="Calibri" w:hAnsi="Calibri"/>
          <w:b/>
          <w:bCs/>
          <w:sz w:val="21"/>
          <w:szCs w:val="21"/>
        </w:rPr>
        <w:t xml:space="preserve">Ap. 8</w:t>
      </w:r>
      <w:r>
        <w:rPr>
          <w:rFonts w:ascii="Calibri" w:cs="Calibri" w:eastAsia="Calibri" w:hAnsi="Calibri"/>
          <w:sz w:val="21"/>
          <w:szCs w:val="21"/>
        </w:rPr>
        <w:t xml:space="preserve">: [15] días hábiles y garantía de [12] meses (filas 46 y 47).</w:t>
      </w:r>
    </w:p>
    <w:p>
      <w:pPr>
        <w:pStyle w:val="ListParagraph"/>
        <w:numPr>
          <w:ilvl w:val="0"/>
          <w:numId w:val="1"/>
        </w:numPr>
        <w:spacing w:after="70" w:line="268"/>
      </w:pPr>
      <w:r>
        <w:rPr>
          <w:rFonts w:ascii="Calibri" w:cs="Calibri" w:eastAsia="Calibri" w:hAnsi="Calibri"/>
          <w:sz w:val="21"/>
          <w:szCs w:val="21"/>
        </w:rPr>
        <w:t xml:space="preserve">Reflejo obligatorio en el PCAP del plazo de ejecución, del desglose del PBL y de la garantía (ep. 2). Actas: modelos B y C del Anexo XVIII.</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5 · Extracto para el Pliego de Cláusulas Administrativas Particulares</w:t>
      </w:r>
    </w:p>
    <w:p>
      <w:pPr>
        <w:pStyle w:val="Heading2"/>
        <w:keepNext/>
        <w:spacing w:after="140" w:before="320"/>
      </w:pPr>
      <w:r>
        <w:rPr>
          <w:rFonts w:ascii="Georgia" w:cs="Georgia" w:eastAsia="Georgia" w:hAnsi="Georgia"/>
          <w:b/>
          <w:bCs/>
          <w:color w:val="1F3864"/>
          <w:sz w:val="26"/>
          <w:szCs w:val="26"/>
        </w:rPr>
        <w:t xml:space="preserve">5.1 Composición</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el primero de los dos bloques que se reproducen en el §4.1. Su apartado 1 sólo va si la entidad ha aprobado el catálogo y se cumplen las condiciones de aplicación del §M11; si no, se suprime y el apartado 4 emplea la fórmula alternativa que trae el propio bloque.</w:t>
      </w:r>
    </w:p>
    <w:p>
      <w:pPr>
        <w:spacing w:after="140" w:line="276"/>
      </w:pPr>
      <w:r>
        <w:rPr>
          <w:rFonts w:ascii="Calibri" w:cs="Calibri" w:eastAsia="Calibri" w:hAnsi="Calibri"/>
          <w:b/>
          <w:bCs/>
          <w:sz w:val="21"/>
          <w:szCs w:val="21"/>
        </w:rPr>
        <w:t xml:space="preserve">Identificación del catálogo aplicado</w:t>
      </w:r>
      <w:r>
        <w:rPr>
          <w:rFonts w:ascii="Calibri" w:cs="Calibri" w:eastAsia="Calibri" w:hAnsi="Calibri"/>
          <w:sz w:val="21"/>
          <w:szCs w:val="21"/>
        </w:rPr>
        <w:t xml:space="preserve"> (Parte V, V.8.4), con el mismo corchete: sin catálogo aprobado, el pliego no lo cita, y la versión y la fecha del Anexo V constan en su propia transcripción.</w:t>
      </w:r>
    </w:p>
    <w:p>
      <w:pPr>
        <w:spacing w:after="140" w:line="276"/>
      </w:pPr>
      <w:r>
        <w:rPr>
          <w:rFonts w:ascii="Calibri" w:cs="Calibri" w:eastAsia="Calibri" w:hAnsi="Calibri"/>
          <w:i/>
          <w:iCs/>
          <w:sz w:val="21"/>
          <w:szCs w:val="21"/>
        </w:rPr>
        <w:t xml:space="preserve">Texto vigente de V.8.4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el pliego no cita el catálogo y la versión y la fecha del Anexo V constan en su propia transcripción (V.8.5).]</w:t>
            </w:r>
            <w:r>
              <w:rPr>
                <w:rFonts w:ascii="Georgia" w:cs="Georgia" w:eastAsia="Georgia" w:hAnsi="Georgia"/>
                <w:sz w:val="20"/>
                <w:szCs w:val="20"/>
              </w:rPr>
              <w:t xml:space="preserve"> </w:t>
            </w:r>
            <w:r>
              <w:rPr>
                <w:rFonts w:ascii="Georgia" w:cs="Georgia" w:eastAsia="Georgia" w:hAnsi="Georgia"/>
                <w:b/>
                <w:bCs/>
                <w:sz w:val="20"/>
                <w:szCs w:val="20"/>
              </w:rPr>
              <w:t xml:space="preserve">Identificación del catálogo aplicado.</w:t>
            </w:r>
            <w:r>
              <w:rPr>
                <w:rFonts w:ascii="Georgia" w:cs="Georgia" w:eastAsia="Georgia" w:hAnsi="Georgia"/>
                <w:sz w:val="20"/>
                <w:szCs w:val="20"/>
              </w:rPr>
              <w:t xml:space="preserve"> Las cláusulas [códigos] del presente pliego se han redactado a partir del </w:t>
            </w:r>
            <w:r>
              <w:rPr>
                <w:rFonts w:ascii="Georgia" w:cs="Georgia" w:eastAsia="Georgia" w:hAnsi="Georgia"/>
                <w:i/>
                <w:iCs/>
                <w:sz w:val="20"/>
                <w:szCs w:val="20"/>
              </w:rPr>
              <w:t xml:space="preserve">Clausulado de Inteligencia Artificial y Deep Tech</w:t>
            </w:r>
            <w:r>
              <w:rPr>
                <w:rFonts w:ascii="Georgia" w:cs="Georgia" w:eastAsia="Georgia" w:hAnsi="Georgia"/>
                <w:sz w:val="20"/>
                <w:szCs w:val="20"/>
              </w:rPr>
              <w:t xml:space="preserve"> de [entidad], </w:t>
            </w:r>
            <w:r>
              <w:rPr>
                <w:rFonts w:ascii="Georgia" w:cs="Georgia" w:eastAsia="Georgia" w:hAnsi="Georgia"/>
                <w:b/>
                <w:bCs/>
                <w:sz w:val="20"/>
                <w:szCs w:val="20"/>
              </w:rPr>
              <w:t xml:space="preserve">versión [n.º], aprobada por [órgano] con fecha [dd/mm/aaaa]</w:t>
            </w:r>
            <w:r>
              <w:rPr>
                <w:rFonts w:ascii="Georgia" w:cs="Georgia" w:eastAsia="Georgia" w:hAnsi="Georgia"/>
                <w:sz w:val="20"/>
                <w:szCs w:val="20"/>
              </w:rPr>
              <w:t xml:space="preserve">, y del Anexo V </w:t>
            </w:r>
            <w:r>
              <w:rPr>
                <w:rFonts w:ascii="Georgia" w:cs="Georgia" w:eastAsia="Georgia" w:hAnsi="Georgia"/>
                <w:i/>
                <w:iCs/>
                <w:sz w:val="20"/>
                <w:szCs w:val="20"/>
              </w:rPr>
              <w:t xml:space="preserve">Exigencias Tecnológicas Determinadas</w:t>
            </w:r>
            <w:r>
              <w:rPr>
                <w:rFonts w:ascii="Georgia" w:cs="Georgia" w:eastAsia="Georgia" w:hAnsi="Georgia"/>
                <w:sz w:val="20"/>
                <w:szCs w:val="20"/>
              </w:rPr>
              <w:t xml:space="preserve"> del ejercicio [año], </w:t>
            </w:r>
            <w:r>
              <w:rPr>
                <w:rFonts w:ascii="Georgia" w:cs="Georgia" w:eastAsia="Georgia" w:hAnsi="Georgia"/>
                <w:b/>
                <w:bCs/>
                <w:sz w:val="20"/>
                <w:szCs w:val="20"/>
              </w:rPr>
              <w:t xml:space="preserve">versión [n.º], de fecha [dd/mm/aaaa]</w:t>
            </w:r>
            <w:r>
              <w:rPr>
                <w:rFonts w:ascii="Georgia" w:cs="Georgia" w:eastAsia="Georgia" w:hAnsi="Georgia"/>
                <w:sz w:val="20"/>
                <w:szCs w:val="20"/>
              </w:rPr>
              <w:t xml:space="preserve">, que se transcribe íntegramente en el [apartado/anexo] de este pliego. Las revisiones posteriores de dicho catálogo o de su Anexo V no afectarán al presente contrato.</w:t>
            </w:r>
          </w:p>
        </w:tc>
      </w:tr>
    </w:tbl>
    <w:p>
      <w:pPr>
        <w:spacing w:after="220"/>
      </w:pPr>
    </w:p>
    <w:p>
      <w:pPr>
        <w:spacing w:after="140" w:line="276"/>
      </w:pPr>
      <w:r>
        <w:rPr>
          <w:rFonts w:ascii="Calibri" w:cs="Calibri" w:eastAsia="Calibri" w:hAnsi="Calibri"/>
          <w:b/>
          <w:bCs/>
          <w:sz w:val="21"/>
          <w:szCs w:val="21"/>
        </w:rPr>
        <w:t xml:space="preserve">Cierre de versión</w:t>
      </w:r>
      <w:r>
        <w:rPr>
          <w:rFonts w:ascii="Calibri" w:cs="Calibri" w:eastAsia="Calibri" w:hAnsi="Calibri"/>
          <w:sz w:val="21"/>
          <w:szCs w:val="21"/>
        </w:rPr>
        <w:t xml:space="preserve"> (V.8.5), sólo con el Anexo V transcrito.</w:t>
      </w:r>
    </w:p>
    <w:p>
      <w:pPr>
        <w:spacing w:after="140" w:line="276"/>
      </w:pPr>
      <w:r>
        <w:rPr>
          <w:rFonts w:ascii="Calibri" w:cs="Calibri" w:eastAsia="Calibri" w:hAnsi="Calibri"/>
          <w:i/>
          <w:iCs/>
          <w:sz w:val="21"/>
          <w:szCs w:val="21"/>
        </w:rPr>
        <w:t xml:space="preserve">Texto vigente de V.8.5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Cierre de versión.</w:t>
            </w:r>
            <w:r>
              <w:rPr>
                <w:rFonts w:ascii="Georgia" w:cs="Georgia" w:eastAsia="Georgia" w:hAnsi="Georgia"/>
                <w:sz w:val="20"/>
                <w:szCs w:val="20"/>
              </w:rPr>
              <w:t xml:space="preserve"> Las exigencias tecnológicas que rigen este contrato son exclusivamente las transcritas en el [apartado/anexo] de este pliego, correspondientes a la versión [n.º], de fecha [dd/mm/aaaa], del Anexo V del catálogo municipal. Fuera de ellas no existe obligación de evolución tecnológica exigible al contratista al amparo de dicho catálogo.</w:t>
            </w:r>
          </w:p>
        </w:tc>
      </w:tr>
    </w:tbl>
    <w:p>
      <w:pPr>
        <w:spacing w:after="220"/>
      </w:pPr>
    </w:p>
    <w:p>
      <w:pPr>
        <w:spacing w:after="140" w:line="276"/>
      </w:pPr>
      <w:r>
        <w:rPr>
          <w:rFonts w:ascii="Calibri" w:cs="Calibri" w:eastAsia="Calibri" w:hAnsi="Calibri"/>
          <w:b/>
          <w:bCs/>
          <w:sz w:val="21"/>
          <w:szCs w:val="21"/>
        </w:rPr>
        <w:t xml:space="preserve">Método de cálculo del valor estimado</w:t>
      </w:r>
      <w:r>
        <w:rPr>
          <w:rFonts w:ascii="Calibri" w:cs="Calibri" w:eastAsia="Calibri" w:hAnsi="Calibri"/>
          <w:sz w:val="21"/>
          <w:szCs w:val="21"/>
        </w:rPr>
        <w:t xml:space="preserve"> (V.4.10), que va al PCAP (art. 101.5 LCSP). En este perfil, la letra c) con la bolsa del perfil base, si la hay, y la d) con </w:t>
      </w:r>
      <w:r>
        <w:rPr>
          <w:rFonts w:ascii="Calibri" w:cs="Calibri" w:eastAsia="Calibri" w:hAnsi="Calibri"/>
          <w:b/>
          <w:bCs/>
          <w:sz w:val="21"/>
          <w:szCs w:val="21"/>
        </w:rPr>
        <w:t xml:space="preserve">[0] %</w:t>
      </w:r>
      <w:r>
        <w:rPr>
          <w:rFonts w:ascii="Calibri" w:cs="Calibri" w:eastAsia="Calibri" w:hAnsi="Calibri"/>
          <w:sz w:val="21"/>
          <w:szCs w:val="21"/>
        </w:rPr>
        <w:t xml:space="preserve">, porque ADM-14·v3 no se incorpora; el coste del depósito o del plan de ADM-11·v3 va en el presupuesto base como partida independiente (ADM-11·v3, ap. 8).</w:t>
      </w:r>
    </w:p>
    <w:p>
      <w:pPr>
        <w:spacing w:after="140" w:line="276"/>
      </w:pPr>
      <w:r>
        <w:rPr>
          <w:rFonts w:ascii="Calibri" w:cs="Calibri" w:eastAsia="Calibri" w:hAnsi="Calibri"/>
          <w:i/>
          <w:iCs/>
          <w:sz w:val="21"/>
          <w:szCs w:val="21"/>
        </w:rPr>
        <w:t xml:space="preserve">Texto vigente de V.4.10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Método de cálculo del valor estimado</w:t>
            </w:r>
            <w:r>
              <w:rPr>
                <w:rFonts w:ascii="Georgia" w:cs="Georgia" w:eastAsia="Georgia" w:hAnsi="Georgia"/>
                <w:sz w:val="20"/>
                <w:szCs w:val="20"/>
              </w:rPr>
              <w:t xml:space="preserve"> (artículo 101.5 de la Ley 9/2017).</w:t>
            </w:r>
          </w:p>
          <w:p>
            <w:pPr>
              <w:spacing w:after="100" w:line="264"/>
            </w:pPr>
            <w:r>
              <w:rPr>
                <w:rFonts w:ascii="Georgia" w:cs="Georgia" w:eastAsia="Georgia" w:hAnsi="Georgia"/>
                <w:sz w:val="20"/>
                <w:szCs w:val="20"/>
              </w:rPr>
              <w:t xml:space="preserve">El valor estimado del contrato asciende a [importe] euros, IVA excluido, y se ha calculado como suma de los conceptos de las letras a), b) y d). Los importes de las letras c) y c bis) forman parte del presupuesto base de licitación y de las prórrogas, ya están comprendidos en las letras a) y b) y se desglosan para que conste su cuantía: no se suman de nuevo.</w:t>
            </w:r>
          </w:p>
          <w:p>
            <w:pPr>
              <w:spacing w:after="100" w:line="264"/>
            </w:pPr>
            <w:r>
              <w:rPr>
                <w:rFonts w:ascii="Georgia" w:cs="Georgia" w:eastAsia="Georgia" w:hAnsi="Georgia"/>
                <w:sz w:val="20"/>
                <w:szCs w:val="20"/>
              </w:rPr>
              <w:t xml:space="preserve">a) Presupuesto base de licitación del periodo inicial, sin IVA: [importe] euros, del que corresponden a costes directos de personal [importe] euros, a otros costes directos [importe] euros, a gastos generales de estructura [importe] euros y a beneficio industrial [importe] euros. Comprende la bolsa de la letra c) y, en su caso, los accesos de la letra c bis) correspondientes a ese periodo.</w:t>
            </w:r>
          </w:p>
          <w:p>
            <w:pPr>
              <w:spacing w:after="100" w:line="264"/>
            </w:pPr>
            <w:r>
              <w:rPr>
                <w:rFonts w:ascii="Georgia" w:cs="Georgia" w:eastAsia="Georgia" w:hAnsi="Georgia"/>
                <w:sz w:val="20"/>
                <w:szCs w:val="20"/>
              </w:rPr>
              <w:t xml:space="preserve">b) Prórrogas previstas: [número] prórroga(s) de [duración] cada una, por importe de [importe] euros, que comprende la bolsa y los accesos adicionales cuando el cuadro de características los dote también para las anualidades prorrogadas.</w:t>
            </w:r>
          </w:p>
          <w:p>
            <w:pPr>
              <w:spacing w:after="100" w:line="264"/>
            </w:pPr>
            <w:r>
              <w:rPr>
                <w:rFonts w:ascii="Georgia" w:cs="Georgia" w:eastAsia="Georgia" w:hAnsi="Georgia"/>
                <w:sz w:val="20"/>
                <w:szCs w:val="20"/>
              </w:rPr>
              <w:t xml:space="preserve">c) Bolsa de servicios evolutivos prevista en la cláusula [código], comprendida en las letras a) y b): [importe] euros en el periodo inicial y [importe] euros en las prórrogas. c bis) [Si la cláusula de acceso de los órganos de control interno prevé accesos adicionales: su importe máximo, comprendido en las letras a) y b), [número] accesos por [número] años al precio máximo por acceso y año del cuadro de características: [importe] euros.]</w:t>
            </w:r>
          </w:p>
          <w:p>
            <w:pPr>
              <w:spacing w:after="100" w:line="264"/>
            </w:pPr>
            <w:r>
              <w:rPr>
                <w:rFonts w:ascii="Georgia" w:cs="Georgia" w:eastAsia="Georgia" w:hAnsi="Georgia"/>
                <w:sz w:val="20"/>
                <w:szCs w:val="20"/>
              </w:rPr>
              <w:t xml:space="preserve">d) Importe máximo de las modificaciones al alza previstas al amparo del artículo 204 de la Ley 9/2017: [X; se recomienda 0 —la modificación prevista no se utiliza por defecto—; si se utiliza, en ningún caso superior al VEINTE] por ciento del precio inicial, equivalente a [importe] euros.</w:t>
            </w:r>
          </w:p>
          <w:p>
            <w:pPr>
              <w:spacing w:after="100" w:line="264"/>
            </w:pPr>
            <w:r>
              <w:rPr>
                <w:rFonts w:ascii="Georgia" w:cs="Georgia" w:eastAsia="Georgia" w:hAnsi="Georgia"/>
                <w:sz w:val="20"/>
                <w:szCs w:val="20"/>
              </w:rPr>
              <w:t xml:space="preserve">No se han previsto opciones eventuales distintas de las anteriores ni primas o pagos a los licitadores.</w:t>
            </w:r>
          </w:p>
        </w:tc>
      </w:tr>
    </w:tbl>
    <w:p>
      <w:pPr>
        <w:spacing w:after="220"/>
      </w:pPr>
    </w:p>
    <w:p>
      <w:pPr>
        <w:spacing w:after="140" w:line="276"/>
      </w:pPr>
      <w:r>
        <w:rPr>
          <w:rFonts w:ascii="Calibri" w:cs="Calibri" w:eastAsia="Calibri" w:hAnsi="Calibri"/>
          <w:b/>
          <w:bCs/>
          <w:sz w:val="21"/>
          <w:szCs w:val="21"/>
        </w:rPr>
        <w:t xml:space="preserve">Cláusulas ADM</w:t>
      </w:r>
      <w:r>
        <w:rPr>
          <w:rFonts w:ascii="Calibri" w:cs="Calibri" w:eastAsia="Calibri" w:hAnsi="Calibri"/>
          <w:sz w:val="21"/>
          <w:szCs w:val="21"/>
        </w:rPr>
        <w:t xml:space="preserve">: orden orientativo, el del ep. 2 de cada cláusula.</w:t>
      </w:r>
    </w:p>
    <w:p>
      <w:pPr>
        <w:pStyle w:val="Heading2"/>
        <w:keepNext/>
        <w:spacing w:after="140" w:before="320"/>
      </w:pPr>
      <w:r>
        <w:rPr>
          <w:rFonts w:ascii="Georgia" w:cs="Georgia" w:eastAsia="Georgia" w:hAnsi="Georgia"/>
          <w:b/>
          <w:bCs/>
          <w:color w:val="1F3864"/>
          <w:sz w:val="26"/>
          <w:szCs w:val="26"/>
        </w:rPr>
        <w:t xml:space="preserve">5.2 Cláusulas administrativas</w:t>
      </w:r>
    </w:p>
    <w:p>
      <w:pPr>
        <w:pStyle w:val="Heading3"/>
        <w:keepNext/>
        <w:spacing w:after="140" w:before="320"/>
      </w:pPr>
      <w:r>
        <w:rPr>
          <w:rFonts w:ascii="Georgia" w:cs="Georgia" w:eastAsia="Georgia" w:hAnsi="Georgia"/>
          <w:b/>
          <w:bCs/>
          <w:color w:val="2F5496"/>
          <w:sz w:val="22"/>
          <w:szCs w:val="22"/>
        </w:rPr>
        <w:t xml:space="preserve">ADM-1·v3 · Gobernanza de IA y certificaciones — CONDICIONAL</w:t>
      </w:r>
    </w:p>
    <w:p>
      <w:pPr>
        <w:spacing w:after="140" w:line="276"/>
      </w:pPr>
      <w:r>
        <w:rPr>
          <w:rFonts w:ascii="Calibri" w:cs="Calibri" w:eastAsia="Calibri" w:hAnsi="Calibri"/>
          <w:i/>
          <w:iCs/>
          <w:sz w:val="21"/>
          <w:szCs w:val="21"/>
        </w:rPr>
        <w:t xml:space="preserve">Texto vigente de ADM-1·v3 en el catálogo, versión 4.0 (3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Solvencia técnica. Medidas de gestión de la calidad aplicables a los sistemas de inteligencia artificial.</w:t>
            </w:r>
          </w:p>
          <w:p>
            <w:pPr>
              <w:pStyle w:val="ListParagraph"/>
              <w:numPr>
                <w:ilvl w:val="0"/>
                <w:numId w:val="2"/>
              </w:numPr>
              <w:spacing w:after="60" w:line="264"/>
            </w:pPr>
            <w:r>
              <w:rPr>
                <w:rFonts w:ascii="Georgia" w:cs="Georgia" w:eastAsia="Georgia" w:hAnsi="Georgia"/>
                <w:sz w:val="20"/>
                <w:szCs w:val="20"/>
              </w:rPr>
              <w:t xml:space="preserve">El licitador acreditará que aplica un sistema de gestión de la inteligencia artificial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las actividades que constituyen el objeto de este contrato.</w:t>
            </w:r>
          </w:p>
          <w:p>
            <w:pPr>
              <w:pStyle w:val="ListParagraph"/>
              <w:numPr>
                <w:ilvl w:val="0"/>
                <w:numId w:val="2"/>
              </w:numPr>
              <w:spacing w:after="60" w:line="264"/>
            </w:pPr>
            <w:r>
              <w:rPr>
                <w:rFonts w:ascii="Georgia" w:cs="Georgia" w:eastAsia="Georgia" w:hAnsi="Georgia"/>
                <w:sz w:val="20"/>
                <w:szCs w:val="20"/>
              </w:rPr>
              <w:t xml:space="preserve">La acreditación podrá realizarse indistintamente mediante:</w:t>
            </w:r>
          </w:p>
          <w:p>
            <w:pPr>
              <w:spacing w:after="100" w:line="264"/>
            </w:pPr>
            <w:r>
              <w:rPr>
                <w:rFonts w:ascii="Georgia" w:cs="Georgia" w:eastAsia="Georgia" w:hAnsi="Georgia"/>
                <w:sz w:val="20"/>
                <w:szCs w:val="20"/>
              </w:rPr>
              <w:t xml:space="preserve">a) Certificado en vigor expedido por entidad de certificación acreditada.</w:t>
            </w:r>
          </w:p>
          <w:p>
            <w:pPr>
              <w:spacing w:after="100" w:line="264"/>
            </w:pPr>
            <w:r>
              <w:rPr>
                <w:rFonts w:ascii="Georgia" w:cs="Georgia" w:eastAsia="Georgia" w:hAnsi="Georgia"/>
                <w:sz w:val="20"/>
                <w:szCs w:val="20"/>
              </w:rPr>
              <w:t xml:space="preserve">b) Certificado equivalente expedido por organismo establecido en cualquier Estado miembro de la Unión Europea.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Otras pruebas de medidas equivalentes de garantía de la calidad</w:t>
            </w:r>
            <w:r>
              <w:rPr>
                <w:rFonts w:ascii="Georgia" w:cs="Georgia" w:eastAsia="Georgia" w:hAnsi="Georgia"/>
                <w:sz w:val="20"/>
                <w:szCs w:val="20"/>
              </w:rPr>
              <w:t xml:space="preserve">, conforme al artículo 93.2 de la Ley 9/2017, de Contratos del Sector Público. A estos efectos se admitirán, y bastarán, los siguientes documentos referidos a la organización del licitador y en vigor a la fecha final de presentación de ofertas: (i) política de gestión de la inteligencia artificial aprobada por el órgano de dirección; (ii) procedimiento documentado de identificación, análisis y tratamiento de los riesgos de los sistemas de inteligencia artificial; (iii) procedimiento documentado de supervisión humana, con identificación de los puestos que la ejercen; (iv) registro de incidencias y de cambios de modelo o de versión; (v) informe de la última revisión interna o externa del sistema de gestión, de antigüedad no superior a [X; se recomienda 24] meses.</w:t>
            </w:r>
          </w:p>
          <w:p>
            <w:pPr>
              <w:pStyle w:val="ListParagraph"/>
              <w:numPr>
                <w:ilvl w:val="0"/>
                <w:numId w:val="2"/>
              </w:numPr>
              <w:spacing w:after="60" w:line="264"/>
            </w:pPr>
            <w:r>
              <w:rPr>
                <w:rFonts w:ascii="Georgia" w:cs="Georgia" w:eastAsia="Georgia" w:hAnsi="Georgia"/>
                <w:sz w:val="20"/>
                <w:szCs w:val="20"/>
              </w:rPr>
              <w:t xml:space="preserve">La designación de la norma se entiende hecha a la </w:t>
            </w:r>
            <w:r>
              <w:rPr>
                <w:rFonts w:ascii="Georgia" w:cs="Georgia" w:eastAsia="Georgia" w:hAnsi="Georgia"/>
                <w:b/>
                <w:bCs/>
                <w:sz w:val="20"/>
                <w:szCs w:val="20"/>
              </w:rPr>
              <w:t xml:space="preserve">versión vigente a la fecha de publicación del anuncio de licitación</w:t>
            </w:r>
            <w:r>
              <w:rPr>
                <w:rFonts w:ascii="Georgia" w:cs="Georgia" w:eastAsia="Georgia" w:hAnsi="Georgia"/>
                <w:sz w:val="20"/>
                <w:szCs w:val="20"/>
              </w:rPr>
              <w:t xml:space="preserve">. La publicación posterior de una revisión, o su sustitución por otra norma, no modificará el contenido de esta exigencia ni el alcance de las obligaciones asumidas por el adjudicatario.</w:t>
            </w:r>
          </w:p>
          <w:p>
            <w:pPr>
              <w:pStyle w:val="ListParagraph"/>
              <w:numPr>
                <w:ilvl w:val="0"/>
                <w:numId w:val="2"/>
              </w:numPr>
              <w:spacing w:after="60" w:line="264"/>
            </w:pPr>
            <w:r>
              <w:rPr>
                <w:rFonts w:ascii="Georgia" w:cs="Georgia" w:eastAsia="Georgia" w:hAnsi="Georgia"/>
                <w:sz w:val="20"/>
                <w:szCs w:val="20"/>
              </w:rPr>
              <w:t xml:space="preserve">El cumplimiento de este requisito no se valora en la adjudicación.</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Sistema de gestión de la inteligencia artificial aplicado a la solución contratada.</w:t>
            </w:r>
          </w:p>
          <w:p>
            <w:pPr>
              <w:pStyle w:val="ListParagraph"/>
              <w:numPr>
                <w:ilvl w:val="0"/>
                <w:numId w:val="2"/>
              </w:numPr>
              <w:spacing w:after="60" w:line="264"/>
            </w:pPr>
            <w:r>
              <w:rPr>
                <w:rFonts w:ascii="Georgia" w:cs="Georgia" w:eastAsia="Georgia" w:hAnsi="Georgia"/>
                <w:b/>
                <w:bCs/>
                <w:sz w:val="20"/>
                <w:szCs w:val="20"/>
              </w:rPr>
              <w:t xml:space="preserve">Objeto.</w:t>
            </w:r>
            <w:r>
              <w:rPr>
                <w:rFonts w:ascii="Georgia" w:cs="Georgia" w:eastAsia="Georgia" w:hAnsi="Georgia"/>
                <w:sz w:val="20"/>
                <w:szCs w:val="20"/>
              </w:rPr>
              <w:t xml:space="preserve"> Durante toda la ejecución del contrato y de sus prórrogas, el contratista aplicará </w:t>
            </w:r>
            <w:r>
              <w:rPr>
                <w:rFonts w:ascii="Georgia" w:cs="Georgia" w:eastAsia="Georgia" w:hAnsi="Georgia"/>
                <w:b/>
                <w:bCs/>
                <w:sz w:val="20"/>
                <w:szCs w:val="20"/>
              </w:rPr>
              <w:t xml:space="preserve">a la solución objeto de este contrato y al equipo adscrito a su ejecución</w:t>
            </w:r>
            <w:r>
              <w:rPr>
                <w:rFonts w:ascii="Georgia" w:cs="Georgia" w:eastAsia="Georgia" w:hAnsi="Georgia"/>
                <w:sz w:val="20"/>
                <w:szCs w:val="20"/>
              </w:rPr>
              <w:t xml:space="preserve"> un sistema de gestión de la inteligencia artificial que comprenda, como mínimo:</w:t>
            </w:r>
          </w:p>
          <w:p>
            <w:pPr>
              <w:spacing w:after="100" w:line="264"/>
            </w:pPr>
            <w:r>
              <w:rPr>
                <w:rFonts w:ascii="Georgia" w:cs="Georgia" w:eastAsia="Georgia" w:hAnsi="Georgia"/>
                <w:sz w:val="20"/>
                <w:szCs w:val="20"/>
              </w:rPr>
              <w:t xml:space="preserve">a) Inventario, actualizado y a disposición del responsable del contrato, de los sistemas de inteligencia artificial que intervienen en la prestación, con indicación de proveedor, finalidad y datos municipales tratados. [Si el pliego de prescripciones técnicas incorpora la cláusula DT-1, esta letra se cumple con la relación de su apartado 2, mantenida actualizada y completada con los datos municipales tratados: no se pide un segundo inventario.]</w:t>
            </w:r>
          </w:p>
          <w:p>
            <w:pPr>
              <w:spacing w:after="100" w:line="264"/>
            </w:pPr>
            <w:r>
              <w:rPr>
                <w:rFonts w:ascii="Georgia" w:cs="Georgia" w:eastAsia="Georgia" w:hAnsi="Georgia"/>
                <w:sz w:val="20"/>
                <w:szCs w:val="20"/>
              </w:rPr>
              <w:t xml:space="preserve">b) Análisis documentado de los riesgos de esos sistemas referido a los datos y procesos municipales de este contrato, y medidas de tratamiento adoptadas.</w:t>
            </w:r>
          </w:p>
          <w:p>
            <w:pPr>
              <w:spacing w:after="100" w:line="264"/>
            </w:pPr>
            <w:r>
              <w:rPr>
                <w:rFonts w:ascii="Georgia" w:cs="Georgia" w:eastAsia="Georgia" w:hAnsi="Georgia"/>
                <w:sz w:val="20"/>
                <w:szCs w:val="20"/>
              </w:rPr>
              <w:t xml:space="preserve">c) Identificación de las operaciones sujetas a supervisión humana y de los perfiles que la ejercen, con la formación acreditada de las personas que operan los sistemas.</w:t>
            </w:r>
          </w:p>
          <w:p>
            <w:pPr>
              <w:spacing w:after="100" w:line="264"/>
            </w:pPr>
            <w:r>
              <w:rPr>
                <w:rFonts w:ascii="Georgia" w:cs="Georgia" w:eastAsia="Georgia" w:hAnsi="Georgia"/>
                <w:sz w:val="20"/>
                <w:szCs w:val="20"/>
              </w:rPr>
              <w:t xml:space="preserve">d) Registro de incidencias, de cambios de modelo y de cambios de versión que afecten a la prestación, con comunicación al responsable del contrato de los que alteren el comportamiento funcional.</w:t>
            </w:r>
          </w:p>
          <w:p>
            <w:pPr>
              <w:spacing w:after="100" w:line="264"/>
            </w:pPr>
            <w:r>
              <w:rPr>
                <w:rFonts w:ascii="Georgia" w:cs="Georgia" w:eastAsia="Georgia" w:hAnsi="Georgia"/>
                <w:sz w:val="20"/>
                <w:szCs w:val="20"/>
              </w:rPr>
              <w:t xml:space="preserve">e) Revisión documentada, al menos anual, del funcionamiento de las letras anteriores.</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se acredita, a elección del contratista, mediante: (i) certificado en vigor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 prestación objeto de este contrato, o certificado equivalente, o (ii) la documentación descrita en el apartado 1, mantenida actualizada y puesta a disposición del responsable del contrato en el plazo de [X; se recomienda 10] días hábiles desde su requerimiento.</w:t>
            </w:r>
          </w:p>
          <w:p>
            <w:pPr>
              <w:pStyle w:val="ListParagraph"/>
              <w:numPr>
                <w:ilvl w:val="0"/>
                <w:numId w:val="2"/>
              </w:numPr>
              <w:spacing w:after="60" w:line="264"/>
            </w:pPr>
            <w:r>
              <w:rPr>
                <w:rFonts w:ascii="Georgia" w:cs="Georgia" w:eastAsia="Georgia" w:hAnsi="Georgia"/>
                <w:b/>
                <w:bCs/>
                <w:sz w:val="20"/>
                <w:szCs w:val="20"/>
              </w:rPr>
              <w:t xml:space="preserve">Plazo.</w:t>
            </w:r>
            <w:r>
              <w:rPr>
                <w:rFonts w:ascii="Georgia" w:cs="Georgia" w:eastAsia="Georgia" w:hAnsi="Georgia"/>
                <w:sz w:val="20"/>
                <w:szCs w:val="20"/>
              </w:rPr>
              <w:t xml:space="preserve"> [Sólo si el pliego exige certificación:] El contratista dispondrá de [X; se recomienda 12] meses desde la formalización del contrato para obtener la certificación indicada en el apartado 2.(i). Hasta entonces, y en caso de no obtenerla, el cumplimiento se acredita por la vía del apartado 2.(ii), sin que ello constituya incumplimiento. </w:t>
            </w:r>
            <w:r>
              <w:rPr>
                <w:rFonts w:ascii="Georgia" w:cs="Georgia" w:eastAsia="Georgia" w:hAnsi="Georgia"/>
                <w:b/>
                <w:bCs/>
                <w:sz w:val="20"/>
                <w:szCs w:val="20"/>
              </w:rPr>
              <w:t xml:space="preserve">Las penalidades previstas en este pliego operan sobre la falta de acreditación por cualquiera de las dos vías del apartado 2, nunca sobre la pérdida del certificado en sí.</w:t>
            </w:r>
          </w:p>
          <w:p>
            <w:pPr>
              <w:pStyle w:val="ListParagraph"/>
              <w:numPr>
                <w:ilvl w:val="0"/>
                <w:numId w:val="2"/>
              </w:numPr>
              <w:spacing w:after="60" w:line="264"/>
            </w:pPr>
            <w:r>
              <w:rPr>
                <w:rFonts w:ascii="Georgia" w:cs="Georgia" w:eastAsia="Georgia" w:hAnsi="Georgia"/>
                <w:b/>
                <w:bCs/>
                <w:sz w:val="20"/>
                <w:szCs w:val="20"/>
              </w:rPr>
              <w:t xml:space="preserve">No exigencia previa.</w:t>
            </w:r>
            <w:r>
              <w:rPr>
                <w:rFonts w:ascii="Georgia" w:cs="Georgia" w:eastAsia="Georgia" w:hAnsi="Georgia"/>
                <w:sz w:val="20"/>
                <w:szCs w:val="20"/>
              </w:rPr>
              <w:t xml:space="preserve"> No se exige disponer de certificación alguna a la fecha de presentación de ofertas, ni se valora su tenencia en la adjudicación.</w:t>
            </w:r>
          </w:p>
          <w:p>
            <w:pPr>
              <w:pStyle w:val="ListParagraph"/>
              <w:numPr>
                <w:ilvl w:val="0"/>
                <w:numId w:val="2"/>
              </w:numPr>
              <w:spacing w:after="60" w:line="264"/>
            </w:pPr>
            <w:r>
              <w:rPr>
                <w:rFonts w:ascii="Georgia" w:cs="Georgia" w:eastAsia="Georgia" w:hAnsi="Georgia"/>
                <w:b/>
                <w:bCs/>
                <w:sz w:val="20"/>
                <w:szCs w:val="20"/>
              </w:rPr>
              <w:t xml:space="preserve">Referencia estática.</w:t>
            </w:r>
            <w:r>
              <w:rPr>
                <w:rFonts w:ascii="Georgia" w:cs="Georgia" w:eastAsia="Georgia" w:hAnsi="Georgia"/>
                <w:sz w:val="20"/>
                <w:szCs w:val="20"/>
              </w:rPr>
              <w:t xml:space="preserve"> La designación de la norma se entiende hecha a la versión vigente a la fecha de publicación del anuncio de licitación. La publicación posterior de una revisión, o su sustitución por otra norma, no modificará el contenido de esta obligación. El contratista podrá acogerse voluntariamente a la versión posterior.</w:t>
            </w:r>
          </w:p>
          <w:p>
            <w:pPr>
              <w:pStyle w:val="ListParagraph"/>
              <w:numPr>
                <w:ilvl w:val="0"/>
                <w:numId w:val="2"/>
              </w:numPr>
              <w:spacing w:after="60" w:line="264"/>
            </w:pPr>
            <w:r>
              <w:rPr>
                <w:rFonts w:ascii="Georgia" w:cs="Georgia" w:eastAsia="Georgia" w:hAnsi="Georgia"/>
                <w:b/>
                <w:bCs/>
                <w:sz w:val="20"/>
                <w:szCs w:val="20"/>
              </w:rPr>
              <w:t xml:space="preserve">Naturaleza.</w:t>
            </w:r>
            <w:r>
              <w:rPr>
                <w:rFonts w:ascii="Georgia" w:cs="Georgia" w:eastAsia="Georgia" w:hAnsi="Georgia"/>
                <w:sz w:val="20"/>
                <w:szCs w:val="20"/>
              </w:rPr>
              <w:t xml:space="preserve"> Esta condición especial de ejecución se establece al amparo de los artículos 202.1 y 202.2 de la Ley 9/2017, está vinculada al objeto del contrato en el sentido del artículo 145.6 de la misma ley y se ejecuta durante el cumplimiento de la prestación contratada. Su incumplimiento dará lugar a las penalidades de la cláusula de penalidades de este pliego. </w:t>
            </w:r>
            <w:r>
              <w:rPr>
                <w:rFonts w:ascii="Georgia" w:cs="Georgia" w:eastAsia="Georgia" w:hAnsi="Georgia"/>
                <w:b/>
                <w:bCs/>
                <w:sz w:val="20"/>
                <w:szCs w:val="20"/>
              </w:rPr>
              <w:t xml:space="preserve">No tiene carácter de obligación contractual esencial.</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Otras certificaciones y marcos aplicables.</w:t>
            </w:r>
          </w:p>
          <w:p>
            <w:pPr>
              <w:pStyle w:val="ListParagraph"/>
              <w:numPr>
                <w:ilvl w:val="0"/>
                <w:numId w:val="2"/>
              </w:numPr>
              <w:spacing w:after="60" w:line="264"/>
            </w:pPr>
            <w:r>
              <w:rPr>
                <w:rFonts w:ascii="Georgia" w:cs="Georgia" w:eastAsia="Georgia" w:hAnsi="Georgia"/>
                <w:b/>
                <w:bCs/>
                <w:sz w:val="20"/>
                <w:szCs w:val="20"/>
              </w:rPr>
              <w:t xml:space="preserve">Esquema Nacional de Seguridad.</w:t>
            </w:r>
            <w:r>
              <w:rPr>
                <w:rFonts w:ascii="Georgia" w:cs="Georgia" w:eastAsia="Georgia" w:hAnsi="Georgia"/>
                <w:sz w:val="20"/>
                <w:szCs w:val="20"/>
              </w:rPr>
              <w:t xml:space="preserve"> La conformidad con el Esquema Nacional de Seguridad se exige en los términos de la cláusula técnica correspondiente de este pliego, </w:t>
            </w:r>
            <w:r>
              <w:rPr>
                <w:rFonts w:ascii="Georgia" w:cs="Georgia" w:eastAsia="Georgia" w:hAnsi="Georgia"/>
                <w:b/>
                <w:bCs/>
                <w:sz w:val="20"/>
                <w:szCs w:val="20"/>
              </w:rPr>
              <w:t xml:space="preserve">en la categoría que resulte del anexo I del Real Decreto 311/2022</w:t>
            </w:r>
            <w:r>
              <w:rPr>
                <w:rFonts w:ascii="Georgia" w:cs="Georgia" w:eastAsia="Georgia" w:hAnsi="Georgia"/>
                <w:sz w:val="20"/>
                <w:szCs w:val="20"/>
              </w:rPr>
              <w:t xml:space="preserve"> para el sistema de información de que se trate, según conste determinada en el expediente. No se exige categoría alguna con carácter general ni por remisión a un nivel predeterminado.</w:t>
            </w:r>
          </w:p>
          <w:p>
            <w:pPr>
              <w:pStyle w:val="ListParagraph"/>
              <w:numPr>
                <w:ilvl w:val="0"/>
                <w:numId w:val="2"/>
              </w:numPr>
              <w:spacing w:after="60" w:line="264"/>
            </w:pPr>
            <w:r>
              <w:rPr>
                <w:rFonts w:ascii="Georgia" w:cs="Georgia" w:eastAsia="Georgia" w:hAnsi="Georgia"/>
                <w:b/>
                <w:bCs/>
                <w:sz w:val="20"/>
                <w:szCs w:val="20"/>
              </w:rPr>
              <w:t xml:space="preserve">Sistemas de gestión de la seguridad de la información y de la privacidad.</w:t>
            </w:r>
            <w:r>
              <w:rPr>
                <w:rFonts w:ascii="Georgia" w:cs="Georgia" w:eastAsia="Georgia" w:hAnsi="Georgia"/>
                <w:sz w:val="20"/>
                <w:szCs w:val="20"/>
              </w:rPr>
              <w:t xml:space="preserve"> [Sólo si el Informe de Necesidad lo motiva:] Se exige la aplicación de un sistema de gestión conforme a </w:t>
            </w:r>
            <w:r>
              <w:rPr>
                <w:rFonts w:ascii="Georgia" w:cs="Georgia" w:eastAsia="Georgia" w:hAnsi="Georgia"/>
                <w:b/>
                <w:bCs/>
                <w:sz w:val="20"/>
                <w:szCs w:val="20"/>
              </w:rPr>
              <w:t xml:space="preserve">UNE-EN ISO/IEC 27001:[año vigente]</w:t>
            </w:r>
            <w:r>
              <w:rPr>
                <w:rFonts w:ascii="Georgia" w:cs="Georgia" w:eastAsia="Georgia" w:hAnsi="Georgia"/>
                <w:sz w:val="20"/>
                <w:szCs w:val="20"/>
              </w:rPr>
              <w:t xml:space="preserve"> [y </w:t>
            </w:r>
            <w:r>
              <w:rPr>
                <w:rFonts w:ascii="Georgia" w:cs="Georgia" w:eastAsia="Georgia" w:hAnsi="Georgia"/>
                <w:b/>
                <w:bCs/>
                <w:sz w:val="20"/>
                <w:szCs w:val="20"/>
              </w:rPr>
              <w:t xml:space="preserve">UNE-EN ISO/IEC 27701:[año vigente]</w:t>
            </w:r>
            <w:r>
              <w:rPr>
                <w:rFonts w:ascii="Georgia" w:cs="Georgia" w:eastAsia="Georgia" w:hAnsi="Georgia"/>
                <w:sz w:val="20"/>
                <w:szCs w:val="20"/>
              </w:rPr>
              <w:t xml:space="preserve">], acreditada mediante certificado en vigor, certificado equivalente expedido por organismo de cualquier Estado miembro, u otras pruebas de medidas equivalentes conforme al artículo 93.2 de la Ley 9/2017. Se aplica a esta exigencia la regla de referencia estática del apartado anterior.</w:t>
            </w:r>
          </w:p>
          <w:p>
            <w:pPr>
              <w:pStyle w:val="ListParagraph"/>
              <w:numPr>
                <w:ilvl w:val="0"/>
                <w:numId w:val="2"/>
              </w:numPr>
              <w:spacing w:after="60" w:line="264"/>
            </w:pPr>
            <w:r>
              <w:rPr>
                <w:rFonts w:ascii="Georgia" w:cs="Georgia" w:eastAsia="Georgia" w:hAnsi="Georgia"/>
                <w:b/>
                <w:bCs/>
                <w:sz w:val="20"/>
                <w:szCs w:val="20"/>
              </w:rPr>
              <w:t xml:space="preserve">Servicios electrónicos de confianza.</w:t>
            </w:r>
            <w:r>
              <w:rPr>
                <w:rFonts w:ascii="Georgia" w:cs="Georgia" w:eastAsia="Georgia" w:hAnsi="Georgia"/>
                <w:sz w:val="20"/>
                <w:szCs w:val="20"/>
              </w:rPr>
              <w:t xml:space="preserve"> Cuando el objeto comprenda la prestación de servicios electrónicos de confianza, se exigirá la condición de prestador cualificado en los términos de la normativa europea de identificación electrónica y servicios de confianza.</w:t>
            </w:r>
          </w:p>
          <w:p>
            <w:pPr>
              <w:pStyle w:val="ListParagraph"/>
              <w:numPr>
                <w:ilvl w:val="0"/>
                <w:numId w:val="2"/>
              </w:numPr>
              <w:spacing w:after="60" w:line="264"/>
            </w:pPr>
            <w:r>
              <w:rPr>
                <w:rFonts w:ascii="Georgia" w:cs="Georgia" w:eastAsia="Georgia" w:hAnsi="Georgia"/>
                <w:b/>
                <w:bCs/>
                <w:sz w:val="20"/>
                <w:szCs w:val="20"/>
              </w:rPr>
              <w:t xml:space="preserve">Regla común.</w:t>
            </w:r>
            <w:r>
              <w:rPr>
                <w:rFonts w:ascii="Georgia" w:cs="Georgia" w:eastAsia="Georgia" w:hAnsi="Georgia"/>
                <w:sz w:val="20"/>
                <w:szCs w:val="20"/>
              </w:rPr>
              <w:t xml:space="preserve"> Ninguna de las certificaciones o marcos de este pliego se valora como criterio de adjudicación.</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Una sola modalidad, B por defecto; la A exige contrato armonizado e IA determinante de la prestación, que aquí es la continuidad del servicio. </w:t>
      </w:r>
      <w:r>
        <w:rPr>
          <w:rFonts w:ascii="Calibri" w:cs="Calibri" w:eastAsia="Calibri" w:hAnsi="Calibri"/>
          <w:b/>
          <w:bCs/>
          <w:sz w:val="21"/>
          <w:szCs w:val="21"/>
        </w:rPr>
        <w:t xml:space="preserve">Si el baremo incluye el criterio E, la B se transcribe sólo con sus letras a), d) y e)</w:t>
      </w:r>
      <w:r>
        <w:rPr>
          <w:rFonts w:ascii="Calibri" w:cs="Calibri" w:eastAsia="Calibri" w:hAnsi="Calibri"/>
          <w:sz w:val="21"/>
          <w:szCs w:val="21"/>
        </w:rPr>
        <w:t xml:space="preserve">: las b) y c) —análisis de riesgos y supervisión humana— no se transcriben porque las puntúa E, y puntuar una condición especial de ejecución es la combinación 3 del §7.3 (VI.4.3; Anexo I, fila 17). Sobre un perfil base SaaS, cuya calificación de suministro ya la limita a a), b) y d), quedan a) y d). La C, con ella: ap. 2 (27001/27701) sólo si el informe de necesidad lo motiva. Sin IA no se incorpora y la seguridad se acredita sólo por DT-6·v3, ap. 3 (ep. 7). Ninguna certificación se puntúa (modalidad C, ap. 4).</w:t>
      </w:r>
    </w:p>
    <w:p>
      <w:pPr>
        <w:pStyle w:val="Heading3"/>
        <w:keepNext/>
        <w:spacing w:after="140" w:before="320"/>
      </w:pPr>
      <w:r>
        <w:rPr>
          <w:rFonts w:ascii="Georgia" w:cs="Georgia" w:eastAsia="Georgia" w:hAnsi="Georgia"/>
          <w:b/>
          <w:bCs/>
          <w:color w:val="2F5496"/>
          <w:sz w:val="22"/>
          <w:szCs w:val="22"/>
        </w:rPr>
        <w:t xml:space="preserve">ADM-7·v3 · Criterios de adjudicación — SÍ</w:t>
      </w:r>
    </w:p>
    <w:p>
      <w:pPr>
        <w:spacing w:after="140" w:line="276"/>
      </w:pPr>
      <w:r>
        <w:rPr>
          <w:rFonts w:ascii="Calibri" w:cs="Calibri" w:eastAsia="Calibri" w:hAnsi="Calibri"/>
          <w:i/>
          <w:iCs/>
          <w:sz w:val="21"/>
          <w:szCs w:val="21"/>
        </w:rPr>
        <w:t xml:space="preserve">Texto vigente de ADM-7·v3 en el catálogo, versión 4.0 (4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Criterios de adjudicación: reglas de construcción del baremo.</w:t>
            </w:r>
          </w:p>
          <w:p>
            <w:pPr>
              <w:pStyle w:val="ListParagraph"/>
              <w:numPr>
                <w:ilvl w:val="0"/>
                <w:numId w:val="2"/>
              </w:numPr>
              <w:spacing w:after="60" w:line="264"/>
            </w:pPr>
            <w:r>
              <w:rPr>
                <w:rFonts w:ascii="Georgia" w:cs="Georgia" w:eastAsia="Georgia" w:hAnsi="Georgia"/>
                <w:b/>
                <w:bCs/>
                <w:sz w:val="20"/>
                <w:szCs w:val="20"/>
              </w:rPr>
              <w:t xml:space="preserve">Regla de separación de instrumentos.</w:t>
            </w:r>
            <w:r>
              <w:rPr>
                <w:rFonts w:ascii="Georgia" w:cs="Georgia" w:eastAsia="Georgia" w:hAnsi="Georgia"/>
                <w:sz w:val="20"/>
                <w:szCs w:val="20"/>
              </w:rPr>
              <w:t xml:space="preserve"> Cada exigencia de este contrato se asigna a un único instrumento —prescripción técnica (artículos 124 a 126 LCSP), criterio de solvencia (artículos 90, 93 y 94 LCSP), compromiso de adscripción de medios (artículo 76 LCSP), condición especial de ejecución (artículo 202 LCSP) o criterio de adjudicación (artículo 145 LCSP)— y no puede computarse en más de uno. Queda prohibido, en particular:</w:t>
            </w:r>
          </w:p>
          <w:p>
            <w:pPr>
              <w:spacing w:after="100" w:line="264"/>
            </w:pPr>
            <w:r>
              <w:rPr>
                <w:rFonts w:ascii="Georgia" w:cs="Georgia" w:eastAsia="Georgia" w:hAnsi="Georgia"/>
                <w:sz w:val="20"/>
                <w:szCs w:val="20"/>
              </w:rPr>
              <w:t xml:space="preserve">a) valorar como criterio de adjudicación una exigencia que este pliego configure como requisito de solvencia;</w:t>
            </w:r>
          </w:p>
          <w:p>
            <w:pPr>
              <w:spacing w:after="100" w:line="264"/>
            </w:pPr>
            <w:r>
              <w:rPr>
                <w:rFonts w:ascii="Georgia" w:cs="Georgia" w:eastAsia="Georgia" w:hAnsi="Georgia"/>
                <w:sz w:val="20"/>
                <w:szCs w:val="20"/>
              </w:rPr>
              <w:t xml:space="preserve">b) valorar como criterio de adjudicación el cumplimiento de una prescripción técnica que el pliego de prescripciones técnicas o sus anexos impongan como obligatoria; sólo podrá valorarse el </w:t>
            </w:r>
            <w:r>
              <w:rPr>
                <w:rFonts w:ascii="Georgia" w:cs="Georgia" w:eastAsia="Georgia" w:hAnsi="Georgia"/>
                <w:b/>
                <w:bCs/>
                <w:sz w:val="20"/>
                <w:szCs w:val="20"/>
              </w:rPr>
              <w:t xml:space="preserve">incremento ofertado sobre el mínimo obligatorio</w:t>
            </w:r>
            <w:r>
              <w:rPr>
                <w:rFonts w:ascii="Georgia" w:cs="Georgia" w:eastAsia="Georgia" w:hAnsi="Georgia"/>
                <w:sz w:val="20"/>
                <w:szCs w:val="20"/>
              </w:rPr>
              <w:t xml:space="preserve">, expresado sobre la misma unidad de medida y sobre la misma relación cerrada y numerada que fije el mínimo;</w:t>
            </w:r>
          </w:p>
          <w:p>
            <w:pPr>
              <w:spacing w:after="100" w:line="264"/>
            </w:pPr>
            <w:r>
              <w:rPr>
                <w:rFonts w:ascii="Georgia" w:cs="Georgia" w:eastAsia="Georgia" w:hAnsi="Georgia"/>
                <w:sz w:val="20"/>
                <w:szCs w:val="20"/>
              </w:rPr>
              <w:t xml:space="preserve">c) valorar como criterio de adjudicación el contenido de una condición especial de ejecución de este contrato. Cuando una prestación se configure como condición especial de ejecución, no se puntúa; cuando se puntúe, no se configura además como condición especial de ejecución sobre el mismo contenido.</w:t>
            </w:r>
          </w:p>
          <w:p>
            <w:pPr>
              <w:pStyle w:val="ListParagraph"/>
              <w:numPr>
                <w:ilvl w:val="0"/>
                <w:numId w:val="2"/>
              </w:numPr>
              <w:spacing w:after="60" w:line="264"/>
            </w:pPr>
            <w:r>
              <w:rPr>
                <w:rFonts w:ascii="Georgia" w:cs="Georgia" w:eastAsia="Georgia" w:hAnsi="Georgia"/>
                <w:b/>
                <w:bCs/>
                <w:sz w:val="20"/>
                <w:szCs w:val="20"/>
              </w:rPr>
              <w:t xml:space="preserve">Regla de no valoración de la tenencia previa.</w:t>
            </w:r>
            <w:r>
              <w:rPr>
                <w:rFonts w:ascii="Georgia" w:cs="Georgia" w:eastAsia="Georgia" w:hAnsi="Georgia"/>
                <w:sz w:val="20"/>
                <w:szCs w:val="20"/>
              </w:rPr>
              <w:t xml:space="preserve"> No se configurarán como criterios de adjudicación las circunstancias que describen a la empresa licitadora y no a la prestación que se contrata. En particular, no se valorarán: la mera tenencia de certificaciones que acrediten sistemas de gestión de la empresa; la experiencia previa del licitador; la disponibilidad, a la fecha de finalización del plazo de presentación de ofertas, de medios personales, medios materiales o instalaciones; ni la titularidad o disponibilidad, a esa misma fecha, de desarrollos, productos o infraestructuras </w:t>
            </w:r>
            <w:r>
              <w:rPr>
                <w:rFonts w:ascii="Georgia" w:cs="Georgia" w:eastAsia="Georgia" w:hAnsi="Georgia"/>
                <w:b/>
                <w:bCs/>
                <w:sz w:val="20"/>
                <w:szCs w:val="20"/>
              </w:rPr>
              <w:t xml:space="preserve">ajenos al objeto de este contrato</w:t>
            </w:r>
            <w:r>
              <w:rPr>
                <w:rFonts w:ascii="Georgia" w:cs="Georgia" w:eastAsia="Georgia" w:hAnsi="Georgia"/>
                <w:sz w:val="20"/>
                <w:szCs w:val="20"/>
              </w:rPr>
              <w:t xml:space="preserve">. Estas circunstancias se sitúan, cuando proceda y esté justificado en el expediente, en la solvencia, en el compromiso de adscripción de medios del artículo 76 LCSP —acreditable por el licitador propuesto como adjudicatario en el trámite del artículo 150.2 LCSP— o en una condición especial de ejecución.</w:t>
            </w:r>
          </w:p>
          <w:p>
            <w:pPr>
              <w:spacing w:after="100" w:line="264"/>
            </w:pPr>
            <w:r>
              <w:rPr>
                <w:rFonts w:ascii="Georgia" w:cs="Georgia" w:eastAsia="Georgia" w:hAnsi="Georgia"/>
                <w:b/>
                <w:bCs/>
                <w:sz w:val="20"/>
                <w:szCs w:val="20"/>
              </w:rPr>
              <w:t xml:space="preserve">Lo que sí se valora: la prestación comprometida.</w:t>
            </w:r>
            <w:r>
              <w:rPr>
                <w:rFonts w:ascii="Georgia" w:cs="Georgia" w:eastAsia="Georgia" w:hAnsi="Georgia"/>
                <w:sz w:val="20"/>
                <w:szCs w:val="20"/>
              </w:rPr>
              <w:t xml:space="preserve"> El alcance funcional que el licitador se compromete a entregar sobre las relaciones cerradas y numeradas publicadas en el pliego de prescripciones técnicas y en sus apéndices es contenido de la prestación contratada, y se valora </w:t>
            </w:r>
            <w:r>
              <w:rPr>
                <w:rFonts w:ascii="Georgia" w:cs="Georgia" w:eastAsia="Georgia" w:hAnsi="Georgia"/>
                <w:b/>
                <w:bCs/>
                <w:sz w:val="20"/>
                <w:szCs w:val="20"/>
              </w:rPr>
              <w:t xml:space="preserve">con independencia de que la solución ofertada lo cubra desde su entrega inicial o de que el licitador deba desarrollarlo dentro del plazo de ejecución fijado en el pliego</w:t>
            </w:r>
            <w:r>
              <w:rPr>
                <w:rFonts w:ascii="Georgia" w:cs="Georgia" w:eastAsia="Georgia" w:hAnsi="Georgia"/>
                <w:sz w:val="20"/>
                <w:szCs w:val="20"/>
              </w:rPr>
              <w:t xml:space="preserve">. En consecuencia, ningún criterio de adjudicación podrá condicionar la puntuación a que la funcionalidad esté disponible a la fecha de finalización del plazo de presentación de ofertas, ni excluir de la puntuación lo que el licitador se comprometa a desarrollar dentro de plazo. El alcance comprometido se incorpora al contrato como obligación contractual exigible, en los términos del criterio que lo valore.</w:t>
            </w:r>
          </w:p>
          <w:p>
            <w:pPr>
              <w:pStyle w:val="ListParagraph"/>
              <w:numPr>
                <w:ilvl w:val="0"/>
                <w:numId w:val="2"/>
              </w:numPr>
              <w:spacing w:after="60" w:line="264"/>
            </w:pPr>
            <w:r>
              <w:rPr>
                <w:rFonts w:ascii="Georgia" w:cs="Georgia" w:eastAsia="Georgia" w:hAnsi="Georgia"/>
                <w:b/>
                <w:bCs/>
                <w:sz w:val="20"/>
                <w:szCs w:val="20"/>
              </w:rPr>
              <w:t xml:space="preserve">Regla de correspondencia con el pliego técnico.</w:t>
            </w:r>
            <w:r>
              <w:rPr>
                <w:rFonts w:ascii="Georgia" w:cs="Georgia" w:eastAsia="Georgia" w:hAnsi="Georgia"/>
                <w:sz w:val="20"/>
                <w:szCs w:val="20"/>
              </w:rPr>
              <w:t xml:space="preserve"> No se incorporará ningún criterio de adjudicación que valore una capacidad, prestación o integración que el pliego de prescripciones técnicas no exija ni describa. Si una cláusula técnica se marca como NO APLICA en la Ficha de Aplicabilidad, se suprime el criterio de adjudicación que la valoraba y </w:t>
            </w:r>
            <w:r>
              <w:rPr>
                <w:rFonts w:ascii="Georgia" w:cs="Georgia" w:eastAsia="Georgia" w:hAnsi="Georgia"/>
                <w:b/>
                <w:bCs/>
                <w:sz w:val="20"/>
                <w:szCs w:val="20"/>
              </w:rPr>
              <w:t xml:space="preserve">se recompone el baremo antes de publicar el anuncio de licitación, sin que quepa redistribución alguna una vez iniciada la licitación (apartado 6)</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Reglas de proporción.</w:t>
            </w:r>
            <w:r>
              <w:rPr>
                <w:rFonts w:ascii="Georgia" w:cs="Georgia" w:eastAsia="Georgia" w:hAnsi="Georgia"/>
                <w:sz w:val="20"/>
                <w:szCs w:val="20"/>
              </w:rPr>
              <w:t xml:space="preserve"> En la determinación del baremo:</w:t>
            </w:r>
          </w:p>
          <w:p>
            <w:pPr>
              <w:spacing w:after="100" w:line="264"/>
            </w:pPr>
            <w:r>
              <w:rPr>
                <w:rFonts w:ascii="Georgia" w:cs="Georgia" w:eastAsia="Georgia" w:hAnsi="Georgia"/>
                <w:sz w:val="20"/>
                <w:szCs w:val="20"/>
              </w:rPr>
              <w:t xml:space="preserve">a) el conjunto de los criterios agrupados en el bloque «Innovación y tecnología» no superará el </w:t>
            </w:r>
            <w:r>
              <w:rPr>
                <w:rFonts w:ascii="Georgia" w:cs="Georgia" w:eastAsia="Georgia" w:hAnsi="Georgia"/>
                <w:b/>
                <w:bCs/>
                <w:sz w:val="20"/>
                <w:szCs w:val="20"/>
              </w:rPr>
              <w:t xml:space="preserve">[X; se recomienda 25] por ciento</w:t>
            </w:r>
            <w:r>
              <w:rPr>
                <w:rFonts w:ascii="Georgia" w:cs="Georgia" w:eastAsia="Georgia" w:hAnsi="Georgia"/>
                <w:sz w:val="20"/>
                <w:szCs w:val="20"/>
              </w:rPr>
              <w:t xml:space="preserve"> de la puntuación total del contrato y, en ningún caso, el cuarenta por ciento;</w:t>
            </w:r>
          </w:p>
          <w:p>
            <w:pPr>
              <w:spacing w:after="100" w:line="264"/>
            </w:pPr>
            <w:r>
              <w:rPr>
                <w:rFonts w:ascii="Georgia" w:cs="Georgia" w:eastAsia="Georgia" w:hAnsi="Georgia"/>
                <w:sz w:val="20"/>
                <w:szCs w:val="20"/>
              </w:rPr>
              <w:t xml:space="preserve">b) se dará preponderancia a los criterios evaluables mediante la mera aplicación de fórmulas (artículo 146.2, párrafo primero, LCSP);</w:t>
            </w:r>
          </w:p>
          <w:p>
            <w:pPr>
              <w:spacing w:after="100" w:line="264"/>
            </w:pPr>
            <w:r>
              <w:rPr>
                <w:rFonts w:ascii="Georgia" w:cs="Georgia" w:eastAsia="Georgia" w:hAnsi="Georgia"/>
                <w:sz w:val="20"/>
                <w:szCs w:val="20"/>
              </w:rPr>
              <w:t xml:space="preserve">c) si, pese a lo anterior, la ponderación conjunta de los criterios sujetos a juicio de valor resultara superior a la de los evaluables mediante fórmulas, será </w:t>
            </w:r>
            <w:r>
              <w:rPr>
                <w:rFonts w:ascii="Georgia" w:cs="Georgia" w:eastAsia="Georgia" w:hAnsi="Georgia"/>
                <w:b/>
                <w:bCs/>
                <w:sz w:val="20"/>
                <w:szCs w:val="20"/>
              </w:rPr>
              <w:t xml:space="preserve">preceptiva</w:t>
            </w:r>
            <w:r>
              <w:rPr>
                <w:rFonts w:ascii="Georgia" w:cs="Georgia" w:eastAsia="Georgia" w:hAnsi="Georgia"/>
                <w:sz w:val="20"/>
                <w:szCs w:val="20"/>
              </w:rPr>
              <w:t xml:space="preserve"> la constitución del comité de expertos del artículo 146.2.a) LCSP, con un mínimo de tres miembros con cualificación apropiada no adscritos al órgano proponente del contrato, cuya composición, procedimiento de designación, metodología y plazo de valoración constarán identificados en este pliego y publicados en el perfil de contratante con anterioridad a la apertura del sobre correspondiente;</w:t>
            </w:r>
          </w:p>
          <w:p>
            <w:pPr>
              <w:spacing w:after="100" w:line="264"/>
            </w:pPr>
            <w:r>
              <w:rPr>
                <w:rFonts w:ascii="Georgia" w:cs="Georgia" w:eastAsia="Georgia" w:hAnsi="Georgia"/>
                <w:sz w:val="20"/>
                <w:szCs w:val="20"/>
              </w:rPr>
              <w:t xml:space="preserve">d) las mejoras que se valoren mediante juicio de valor no superarán el 2,5 por ciento de la puntuación total y estarán suficientemente especificadas (artículo 145.7 LCSP);</w:t>
            </w:r>
          </w:p>
          <w:p>
            <w:pPr>
              <w:spacing w:after="100" w:line="264"/>
            </w:pPr>
            <w:r>
              <w:rPr>
                <w:rFonts w:ascii="Georgia" w:cs="Georgia" w:eastAsia="Georgia" w:hAnsi="Georgia"/>
                <w:sz w:val="20"/>
                <w:szCs w:val="20"/>
              </w:rPr>
              <w:t xml:space="preserve">e) cuando el objeto del contrato sean prestaciones de carácter intelectual, los criterios relacionados con la calidad representarán al menos el 51 por ciento de la puntuación asignable (artículo 145.4 LCSP), extremo que se motivará en el expediente;</w:t>
            </w:r>
          </w:p>
          <w:p>
            <w:pPr>
              <w:spacing w:after="100" w:line="264"/>
            </w:pPr>
            <w:r>
              <w:rPr>
                <w:rFonts w:ascii="Georgia" w:cs="Georgia" w:eastAsia="Georgia" w:hAnsi="Georgia"/>
                <w:sz w:val="20"/>
                <w:szCs w:val="20"/>
              </w:rPr>
              <w:t xml:space="preserve">f) no se emplea la categoría «mixto»: cada criterio es evaluable mediante fórmula o sujeto a juicio de valor, sin excepción, y así consta en la columna correspondiente del baremo.</w:t>
            </w:r>
          </w:p>
          <w:p>
            <w:pPr>
              <w:pStyle w:val="ListParagraph"/>
              <w:numPr>
                <w:ilvl w:val="0"/>
                <w:numId w:val="2"/>
              </w:numPr>
              <w:spacing w:after="60" w:line="264"/>
            </w:pPr>
            <w:r>
              <w:rPr>
                <w:rFonts w:ascii="Georgia" w:cs="Georgia" w:eastAsia="Georgia" w:hAnsi="Georgia"/>
                <w:b/>
                <w:bCs/>
                <w:sz w:val="20"/>
                <w:szCs w:val="20"/>
              </w:rPr>
              <w:t xml:space="preserve">Verificabilidad.</w:t>
            </w:r>
            <w:r>
              <w:rPr>
                <w:rFonts w:ascii="Georgia" w:cs="Georgia" w:eastAsia="Georgia" w:hAnsi="Georgia"/>
                <w:sz w:val="20"/>
                <w:szCs w:val="20"/>
              </w:rPr>
              <w:t xml:space="preserve"> Cada criterio va acompañado en este pliego de la especificación del medio por el que se comprobará de manera efectiva la información facilitada por los licitadores (artículo 145.5.c LCSP). El criterio que no pueda comprobarse de manera efectiva no se incorpora al baremo.</w:t>
            </w:r>
          </w:p>
          <w:p>
            <w:pPr>
              <w:pStyle w:val="ListParagraph"/>
              <w:numPr>
                <w:ilvl w:val="0"/>
                <w:numId w:val="2"/>
              </w:numPr>
              <w:spacing w:after="60" w:line="264"/>
            </w:pPr>
            <w:r>
              <w:rPr>
                <w:rFonts w:ascii="Georgia" w:cs="Georgia" w:eastAsia="Georgia" w:hAnsi="Georgia"/>
                <w:b/>
                <w:bCs/>
                <w:sz w:val="20"/>
                <w:szCs w:val="20"/>
              </w:rPr>
              <w:t xml:space="preserve">Ponderaciones.</w:t>
            </w:r>
            <w:r>
              <w:rPr>
                <w:rFonts w:ascii="Georgia" w:cs="Georgia" w:eastAsia="Georgia" w:hAnsi="Georgia"/>
                <w:sz w:val="20"/>
                <w:szCs w:val="20"/>
              </w:rPr>
              <w:t xml:space="preserve"> Las ponderaciones publicadas en este pliego no serán objeto de reescalado ni de redistribución una vez publicado el anuncio de licitación.</w:t>
            </w:r>
          </w:p>
          <w:p>
            <w:pPr>
              <w:pStyle w:val="ListParagraph"/>
              <w:numPr>
                <w:ilvl w:val="0"/>
                <w:numId w:val="2"/>
              </w:numPr>
              <w:spacing w:after="60" w:line="264"/>
            </w:pPr>
            <w:r>
              <w:rPr>
                <w:rFonts w:ascii="Georgia" w:cs="Georgia" w:eastAsia="Georgia" w:hAnsi="Georgia"/>
                <w:b/>
                <w:bCs/>
                <w:sz w:val="20"/>
                <w:szCs w:val="20"/>
              </w:rPr>
              <w:t xml:space="preserve">Ofertas anormalmente bajas.</w:t>
            </w:r>
            <w:r>
              <w:rPr>
                <w:rFonts w:ascii="Georgia" w:cs="Georgia" w:eastAsia="Georgia" w:hAnsi="Georgia"/>
                <w:sz w:val="20"/>
                <w:szCs w:val="20"/>
              </w:rPr>
              <w:t xml:space="preserve"> Este pliego publica, en el apartado [ ], los </w:t>
            </w:r>
            <w:r>
              <w:rPr>
                <w:rFonts w:ascii="Georgia" w:cs="Georgia" w:eastAsia="Georgia" w:hAnsi="Georgia"/>
                <w:b/>
                <w:bCs/>
                <w:sz w:val="20"/>
                <w:szCs w:val="20"/>
              </w:rPr>
              <w:t xml:space="preserve">parámetros objetivos</w:t>
            </w:r>
            <w:r>
              <w:rPr>
                <w:rFonts w:ascii="Georgia" w:cs="Georgia" w:eastAsia="Georgia" w:hAnsi="Georgia"/>
                <w:sz w:val="20"/>
                <w:szCs w:val="20"/>
              </w:rPr>
              <w:t xml:space="preserve"> con arreglo a los cuales se identificará la oferta presuntamente anormalmente baja, referidos a </w:t>
            </w:r>
            <w:r>
              <w:rPr>
                <w:rFonts w:ascii="Georgia" w:cs="Georgia" w:eastAsia="Georgia" w:hAnsi="Georgia"/>
                <w:b/>
                <w:bCs/>
                <w:sz w:val="20"/>
                <w:szCs w:val="20"/>
              </w:rPr>
              <w:t xml:space="preserve">[la oferta en su conjunto / el criterio de precio]</w:t>
            </w:r>
            <w:r>
              <w:rPr>
                <w:rFonts w:ascii="Georgia" w:cs="Georgia" w:eastAsia="Georgia" w:hAnsi="Georgia"/>
                <w:sz w:val="20"/>
                <w:szCs w:val="20"/>
              </w:rPr>
              <w:t xml:space="preserve">, sin remisión a parámetros supletorios de normas de desarrollo. Identificada una oferta como presuntamente anormal, se requerirá al licitador para que la justifique, se recabará el informe técnico y se resolverá de forma motivada conforme al artículo 149 de la LCSP </w:t>
            </w:r>
            <w:r>
              <w:rPr>
                <w:rFonts w:ascii="Georgia" w:cs="Georgia" w:eastAsia="Georgia" w:hAnsi="Georgia"/>
                <w:b/>
                <w:bCs/>
                <w:sz w:val="20"/>
                <w:szCs w:val="20"/>
              </w:rPr>
              <w:t xml:space="preserve">con anterioridad a la aplicación de las fórmulas de valoración</w:t>
            </w:r>
            <w:r>
              <w:rPr>
                <w:rFonts w:ascii="Georgia" w:cs="Georgia" w:eastAsia="Georgia" w:hAnsi="Georgia"/>
                <w:sz w:val="20"/>
                <w:szCs w:val="20"/>
              </w:rPr>
              <w:t xml:space="preserve">. </w:t>
            </w:r>
            <w:r>
              <w:rPr>
                <w:rFonts w:ascii="Georgia" w:cs="Georgia" w:eastAsia="Georgia" w:hAnsi="Georgia"/>
                <w:b/>
                <w:bCs/>
                <w:sz w:val="20"/>
                <w:szCs w:val="20"/>
              </w:rPr>
              <w:t xml:space="preserve">La oferta excluida no se computará como referencia de cálculo en ninguna fórmula de este pliego.</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comprobación efectiva (art. 145.5.c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del servicio.</w:t>
                  </w:r>
                  <w:r>
                    <w:rPr>
                      <w:rFonts w:ascii="Calibri" w:cs="Calibri" w:eastAsia="Calibri" w:hAnsi="Calibri"/>
                      <w:b w:val="false"/>
                      <w:bCs w:val="false"/>
                      <w:sz w:val="18"/>
                      <w:szCs w:val="18"/>
                    </w:rPr>
                    <w:t xml:space="preserve"> Baja sobre el presupuesto base de licitación, con la fórmula publicada en el apartado [ ] de este pliego y el tratamiento de las ofertas anormalmente bajas del artículo 149 de la LCSP y del apartado [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económica, modelo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Cobertura funcional comprometida</w:t>
                  </w:r>
                  <w:r>
                    <w:rPr>
                      <w:rFonts w:ascii="Calibri" w:cs="Calibri" w:eastAsia="Calibri" w:hAnsi="Calibri"/>
                      <w:b w:val="false"/>
                      <w:bCs w:val="false"/>
                      <w:sz w:val="18"/>
                      <w:szCs w:val="18"/>
                    </w:rPr>
                    <w:t xml:space="preserve"> sobre la relación cerrada y numerada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del pliego de prescripciones técnicas, aplicando la fórmula de cantidad reproducida íntegramente en el apartado [ ] de este PCAP, correspondiente a la </w:t>
                  </w:r>
                  <w:r>
                    <w:rPr>
                      <w:rFonts w:ascii="Calibri" w:cs="Calibri" w:eastAsia="Calibri" w:hAnsi="Calibri"/>
                      <w:b/>
                      <w:bCs/>
                      <w:sz w:val="18"/>
                      <w:szCs w:val="18"/>
                    </w:rPr>
                    <w:t xml:space="preserve">fórmula E del Anexo XVII</w:t>
                  </w:r>
                  <w:r>
                    <w:rPr>
                      <w:rFonts w:ascii="Calibri" w:cs="Calibri" w:eastAsia="Calibri" w:hAnsi="Calibri"/>
                      <w:b w:val="false"/>
                      <w:bCs w:val="false"/>
                      <w:sz w:val="18"/>
                      <w:szCs w:val="18"/>
                    </w:rPr>
                    <w:t xml:space="preserve"> de este catálogo, con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Se cuentan únicamente los requisitos que el licitador se compromete a tener operativos en el plazo fijado en el PPT. </w:t>
                  </w:r>
                  <w:r>
                    <w:rPr>
                      <w:rFonts w:ascii="Calibri" w:cs="Calibri" w:eastAsia="Calibri" w:hAnsi="Calibri"/>
                      <w:b/>
                      <w:bCs/>
                      <w:sz w:val="18"/>
                      <w:szCs w:val="18"/>
                    </w:rPr>
                    <w:t xml:space="preserve">Es indiferente que el requisito lo cubra la solución ofertada desde su entrega inicial o que se cubra mediante desarrollo dentro de ese plazo</w:t>
                  </w:r>
                  <w:r>
                    <w:rPr>
                      <w:rFonts w:ascii="Calibri" w:cs="Calibri" w:eastAsia="Calibri" w:hAnsi="Calibri"/>
                      <w:b w:val="false"/>
                      <w:bCs w:val="false"/>
                      <w:sz w:val="18"/>
                      <w:szCs w:val="18"/>
                    </w:rPr>
                    <w:t xml:space="preserve">: se valora el compromiso, no la disponibilidad a la fecha de la oferta (apartado 2 de la cláusula anterior). Los requisitos del bloque A, «mínimos obligatorios», no puntúan.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el bloque B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La cobertura comprometida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implantación y migración de datos</w:t>
                  </w:r>
                  <w:r>
                    <w:rPr>
                      <w:rFonts w:ascii="Calibri" w:cs="Calibri" w:eastAsia="Calibri" w:hAnsi="Calibri"/>
                      <w:b w:val="false"/>
                      <w:bCs w:val="false"/>
                      <w:sz w:val="18"/>
                      <w:szCs w:val="18"/>
                    </w:rPr>
                    <w:t xml:space="preserve">: migración de los ejercicios históricos, plan de pruebas y plan de vuelta atrás, valorados conforme a la rúbrica con descriptores por tramos publicada en el Anexo [ ] de este pliego. El plan es obligatorio conforme al pliego de prescripciones técnicas; se valora únicamente su contenido por encima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Niveles de servicio ofertados por encima del mínimo del pliego de prescripciones técnicas</w:t>
                  </w:r>
                  <w:r>
                    <w:rPr>
                      <w:rFonts w:ascii="Calibri" w:cs="Calibri" w:eastAsia="Calibri" w:hAnsi="Calibri"/>
                      <w:b w:val="false"/>
                      <w:bCs w:val="false"/>
                      <w:sz w:val="18"/>
                      <w:szCs w:val="18"/>
                    </w:rPr>
                    <w:t xml:space="preserve">: tiempo máximo de respuesta y tiempo máximo de resolución de incidencias críticas, en horas por debajo del máximo exigido.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los niveles ofertados se incorporan al contrato y se penalizan conforme a la cláusula [ADM-5]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formación y acompañamiento</w:t>
                  </w:r>
                  <w:r>
                    <w:rPr>
                      <w:rFonts w:ascii="Calibri" w:cs="Calibri" w:eastAsia="Calibri" w:hAnsi="Calibri"/>
                      <w:b w:val="false"/>
                      <w:bCs w:val="false"/>
                      <w:sz w:val="18"/>
                      <w:szCs w:val="18"/>
                    </w:rPr>
                    <w:t xml:space="preserve"> al personal del servicio gestor y de los órganos de control interno, valorado conforme a la rúbrica con descriptores por tramos publicada en el Anexo [ ] de este pliego, y por encima de las horas mínimas exigidas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Alcance funcional adicional de la interfaz normalizada de acceso programático</w:t>
                  </w:r>
                  <w:r>
                    <w:rPr>
                      <w:rFonts w:ascii="Calibri" w:cs="Calibri" w:eastAsia="Calibri" w:hAnsi="Calibri"/>
                      <w:b w:val="false"/>
                      <w:bCs w:val="false"/>
                      <w:sz w:val="18"/>
                      <w:szCs w:val="18"/>
                    </w:rPr>
                    <w:t xml:space="preserve">, sobre la relación cerrada y numerada de módulos y funciones contenida en 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pliego de prescripciones técnicas, contando únicamente las funciones y conjuntos de datos del bloque de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el licitador se compromete a exponer por encima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relacionadas en ese mismo bloque. No se computa ninguna función que no figure en esa relación, que es la única del pliego sobre esta interfaz.</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El alcance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Plazo ofertado de puesta en producción de la interfaz</w:t>
                  </w:r>
                  <w:r>
                    <w:rPr>
                      <w:rFonts w:ascii="Calibri" w:cs="Calibri" w:eastAsia="Calibri" w:hAnsi="Calibri"/>
                      <w:b w:val="false"/>
                      <w:bCs w:val="false"/>
                      <w:sz w:val="18"/>
                      <w:szCs w:val="18"/>
                    </w:rPr>
                    <w:t xml:space="preserve">, en meses por debajo del máximo de </w:t>
                  </w:r>
                  <w:r>
                    <w:rPr>
                      <w:rFonts w:ascii="Calibri" w:cs="Calibri" w:eastAsia="Calibri" w:hAnsi="Calibri"/>
                      <w:b/>
                      <w:bCs/>
                      <w:sz w:val="18"/>
                      <w:szCs w:val="18"/>
                    </w:rPr>
                    <w:t xml:space="preserve">[X; se recomienda 12] meses</w:t>
                  </w:r>
                  <w:r>
                    <w:rPr>
                      <w:rFonts w:ascii="Calibri" w:cs="Calibri" w:eastAsia="Calibri" w:hAnsi="Calibri"/>
                      <w:b w:val="false"/>
                      <w:bCs w:val="false"/>
                      <w:sz w:val="18"/>
                      <w:szCs w:val="18"/>
                    </w:rPr>
                    <w:t xml:space="preserve"> fijado en el pliego de prescripciones técnicas, con </w:t>
                  </w:r>
                  <w:r>
                    <w:rPr>
                      <w:rFonts w:ascii="Calibri" w:cs="Calibri" w:eastAsia="Calibri" w:hAnsi="Calibri"/>
                      <w:b/>
                      <w:bCs/>
                      <w:sz w:val="18"/>
                      <w:szCs w:val="18"/>
                    </w:rPr>
                    <w:t xml:space="preserve">suelo en [X; se recomienda 6] meses</w:t>
                  </w:r>
                  <w:r>
                    <w:rPr>
                      <w:rFonts w:ascii="Calibri" w:cs="Calibri" w:eastAsia="Calibri" w:hAnsi="Calibri"/>
                      <w:b w:val="false"/>
                      <w:bCs w:val="false"/>
                      <w:sz w:val="18"/>
                      <w:szCs w:val="18"/>
                    </w:rPr>
                    <w:t xml:space="preserve">: por debajo de ese suelo no se atribuye puntuación adicional.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el plazo ofertado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Tratamiento del caso de uso municipal publicado.</w:t>
                  </w:r>
                  <w:r>
                    <w:rPr>
                      <w:rFonts w:ascii="Calibri" w:cs="Calibri" w:eastAsia="Calibri" w:hAnsi="Calibri"/>
                      <w:b w:val="false"/>
                      <w:bCs w:val="false"/>
                      <w:sz w:val="18"/>
                      <w:szCs w:val="18"/>
                    </w:rPr>
                    <w:t xml:space="preserve"> Descripción, en la memoria técnica presentada en plazo, de cómo la solución ofertada resuelve las tareas del caso de uso único publicado en este pliego, valorada conforme a la rúbrica del Anexo [ ] de este pliego. </w:t>
                  </w:r>
                  <w:r>
                    <w:rPr>
                      <w:rFonts w:ascii="Calibri" w:cs="Calibri" w:eastAsia="Calibri" w:hAnsi="Calibri"/>
                      <w:b/>
                      <w:bCs/>
                      <w:sz w:val="18"/>
                      <w:szCs w:val="18"/>
                    </w:rPr>
                    <w:t xml:space="preserve">Se valora lo descrito por escrito, no el desempeño en sala.</w:t>
                  </w:r>
                  <w:r>
                    <w:rPr>
                      <w:rFonts w:ascii="Calibri" w:cs="Calibri" w:eastAsia="Calibri" w:hAnsi="Calibri"/>
                      <w:b w:val="false"/>
                      <w:bCs w:val="false"/>
                      <w:sz w:val="18"/>
                      <w:szCs w:val="18"/>
                    </w:rPr>
                    <w:t xml:space="preserve"> La demostración funcional de la cláusula [ADM-9] confirma o retira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 y acta de la sesión de comprobación de la cláusula [ADM-9]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gobernanza de la inteligencia artificial aplicado a este contrato</w:t>
                  </w:r>
                  <w:r>
                    <w:rPr>
                      <w:rFonts w:ascii="Calibri" w:cs="Calibri" w:eastAsia="Calibri" w:hAnsi="Calibri"/>
                      <w:b w:val="false"/>
                      <w:bCs w:val="false"/>
                      <w:sz w:val="18"/>
                      <w:szCs w:val="18"/>
                    </w:rPr>
                    <w:t xml:space="preserve">, valorado </w:t>
                  </w:r>
                  <w:r>
                    <w:rPr>
                      <w:rFonts w:ascii="Calibri" w:cs="Calibri" w:eastAsia="Calibri" w:hAnsi="Calibri"/>
                      <w:b/>
                      <w:bCs/>
                      <w:sz w:val="18"/>
                      <w:szCs w:val="18"/>
                    </w:rPr>
                    <w:t xml:space="preserve">sólo en lo que exceda</w:t>
                  </w:r>
                  <w:r>
                    <w:rPr>
                      <w:rFonts w:ascii="Calibri" w:cs="Calibri" w:eastAsia="Calibri" w:hAnsi="Calibri"/>
                      <w:b w:val="false"/>
                      <w:bCs w:val="false"/>
                      <w:sz w:val="18"/>
                      <w:szCs w:val="18"/>
                    </w:rPr>
                    <w:t xml:space="preserve"> de lo que imponen el pliego de prescripciones técnicas y las condiciones especiales de ejecución de este pliego, y </w:t>
                  </w:r>
                  <w:r>
                    <w:rPr>
                      <w:rFonts w:ascii="Calibri" w:cs="Calibri" w:eastAsia="Calibri" w:hAnsi="Calibri"/>
                      <w:b/>
                      <w:bCs/>
                      <w:sz w:val="18"/>
                      <w:szCs w:val="18"/>
                    </w:rPr>
                    <w:t xml:space="preserve">sólo sobre estos tres aspectos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E.1 · Supervisión humana</w:t>
                  </w:r>
                  <w:r>
                    <w:rPr>
                      <w:rFonts w:ascii="Calibri" w:cs="Calibri" w:eastAsia="Calibri" w:hAnsi="Calibri"/>
                      <w:b w:val="false"/>
                      <w:bCs w:val="false"/>
                      <w:sz w:val="18"/>
                      <w:szCs w:val="18"/>
                    </w:rPr>
                    <w:t xml:space="preserve"> de las operaciones de este contrato que afecten a derechos: relación de esas operaciones, perfil del equipo adscrito que asiste a quien la ejerce, modo de intervención y plazo de respuesta del adjudicatario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E.2 · Riesgos y sesgos</w:t>
                  </w:r>
                  <w:r>
                    <w:rPr>
                      <w:rFonts w:ascii="Calibri" w:cs="Calibri" w:eastAsia="Calibri" w:hAnsi="Calibri"/>
                      <w:b w:val="false"/>
                      <w:bCs w:val="false"/>
                      <w:sz w:val="18"/>
                      <w:szCs w:val="18"/>
                    </w:rPr>
                    <w:t xml:space="preserve">: análisis de los riesgos de cada sistema sobre los datos y procesos municipales de este contrato, con su medida de tratamiento, y medidas de mitigación de sesgos que se aplicarán en él, distintas de la documentación, la muestra de verificación y la comunicación que exija el pliego de prescripciones técnicas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E.3 · Información periódica</w:t>
                  </w:r>
                  <w:r>
                    <w:rPr>
                      <w:rFonts w:ascii="Calibri" w:cs="Calibri" w:eastAsia="Calibri" w:hAnsi="Calibri"/>
                      <w:b w:val="false"/>
                      <w:bCs w:val="false"/>
                      <w:sz w:val="18"/>
                      <w:szCs w:val="18"/>
                    </w:rPr>
                    <w:t xml:space="preserve"> al Ayuntamiento y al órgano interventor: contenido, destinatarios y calendario, con periodicidad más frecuente que la mínima de los pliegos (</w:t>
                  </w:r>
                  <w:r>
                    <w:rPr>
                      <w:rFonts w:ascii="Calibri" w:cs="Calibri" w:eastAsia="Calibri" w:hAnsi="Calibri"/>
                      <w:b/>
                      <w:bCs/>
                      <w:sz w:val="18"/>
                      <w:szCs w:val="18"/>
                    </w:rPr>
                    <w:t xml:space="preserve">1 punto</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Es obligatorio y no puntúa</w:t>
                  </w:r>
                  <w:r>
                    <w:rPr>
                      <w:rFonts w:ascii="Calibri" w:cs="Calibri" w:eastAsia="Calibri" w:hAnsi="Calibri"/>
                      <w:b w:val="false"/>
                      <w:bCs w:val="false"/>
                      <w:sz w:val="18"/>
                      <w:szCs w:val="18"/>
                    </w:rPr>
                    <w:t xml:space="preserve">: el inventario de sistemas, los archivos de registro, la constancia de los criterios de cada resultado, el control de suspensión, la formación para la supervisión humana y la documentación, la muestra y la comunicación de sesgos, en los términos del pliego de prescripciones técnicas [cláusula DT-1, apartados 2, 6.c), 6.d), 6.f), 11 y 13, en lo que se incorpore], y lo que imponga la condición especial de ejecución [cláusula ADM-1, modalidad B, si se incorpora: sin sus letras b) y c)]. No se valora la tenencia de certificación alguna ni el cumplimiento del Reglamento (UE) 2024/1689 en su redacción vigente, que es obligación legal exigida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por aspecto del Anexo [ ] de este pliego. Lo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unitario ponderado del Cuadro de Precios Unitarios.</w:t>
                  </w:r>
                  <w:r>
                    <w:rPr>
                      <w:rFonts w:ascii="Calibri" w:cs="Calibri" w:eastAsia="Calibri" w:hAnsi="Calibri"/>
                      <w:b w:val="false"/>
                      <w:bCs w:val="false"/>
                      <w:sz w:val="18"/>
                      <w:szCs w:val="18"/>
                    </w:rPr>
                    <w:t xml:space="preserve"> Precio/hora ofertado por cada uno de los </w:t>
                  </w:r>
                  <w:r>
                    <w:rPr>
                      <w:rFonts w:ascii="Calibri" w:cs="Calibri" w:eastAsia="Calibri" w:hAnsi="Calibri"/>
                      <w:b/>
                      <w:bCs/>
                      <w:sz w:val="18"/>
                      <w:szCs w:val="18"/>
                    </w:rPr>
                    <w:t xml:space="preserve">[X; se recomienda 5]</w:t>
                  </w:r>
                  <w:r>
                    <w:rPr>
                      <w:rFonts w:ascii="Calibri" w:cs="Calibri" w:eastAsia="Calibri" w:hAnsi="Calibri"/>
                      <w:b w:val="false"/>
                      <w:bCs w:val="false"/>
                      <w:sz w:val="18"/>
                      <w:szCs w:val="18"/>
                    </w:rPr>
                    <w:t xml:space="preserve"> perfiles profesionales de la relación cerrada del Anexo [ ] de este pliego, ponderados según la cesta de consumo publicada (F.1) y, si el Cuadro incluye unidades de despliegue, precio de cada unidad respecto de su precio máximo, ponderado (F.2; Anexo XVII, fórmula C bis).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Precios Unitarios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automatizados adicionales</w:t>
                  </w:r>
                  <w:r>
                    <w:rPr>
                      <w:rFonts w:ascii="Calibri" w:cs="Calibri" w:eastAsia="Calibri" w:hAnsi="Calibri"/>
                      <w:b w:val="false"/>
                      <w:bCs w:val="false"/>
                      <w:sz w:val="18"/>
                      <w:szCs w:val="18"/>
                    </w:rPr>
                    <w:t xml:space="preserve">, sobre la relación cerrada y numerada de procesos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pliego de prescripciones técnicas, contando únicamente los que excedan del mínimo obligatorio allí fijado.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proceso por proceso, la versión y el módulo que lo soporta o, cuando se comprometa a desarrollarlo, el hito del plan de implantación en que se entregará. Cuando este pliego incorpore la cláusula [ADM-9], la exactitud de la declaración se comprobará además conforme al trámite de su apartado 5. Los procesos comprometidos se incorporan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w:t>
            </w:r>
          </w:p>
          <w:p>
            <w:pPr>
              <w:spacing w:after="100" w:line="264"/>
            </w:pPr>
            <w:r>
              <w:rPr>
                <w:rFonts w:ascii="Georgia" w:cs="Georgia" w:eastAsia="Georgia" w:hAnsi="Georgia"/>
                <w:sz w:val="20"/>
                <w:szCs w:val="20"/>
              </w:rPr>
              <w:t xml:space="preserve">Se aplica el baremo de la variante A con las siguientes reglas imperativas:</w:t>
            </w:r>
          </w:p>
          <w:p>
            <w:pPr>
              <w:pStyle w:val="ListParagraph"/>
              <w:numPr>
                <w:ilvl w:val="0"/>
                <w:numId w:val="2"/>
              </w:numPr>
              <w:spacing w:after="60" w:line="264"/>
            </w:pPr>
            <w:r>
              <w:rPr>
                <w:rFonts w:ascii="Georgia" w:cs="Georgia" w:eastAsia="Georgia" w:hAnsi="Georgia"/>
                <w:sz w:val="20"/>
                <w:szCs w:val="20"/>
              </w:rPr>
              <w:t xml:space="preserve">La suma de los criterios sujetos a juicio de valor no superará el </w:t>
            </w:r>
            <w:r>
              <w:rPr>
                <w:rFonts w:ascii="Georgia" w:cs="Georgia" w:eastAsia="Georgia" w:hAnsi="Georgia"/>
                <w:b/>
                <w:bCs/>
                <w:sz w:val="20"/>
                <w:szCs w:val="20"/>
              </w:rPr>
              <w:t xml:space="preserve">25 por ciento</w:t>
            </w:r>
            <w:r>
              <w:rPr>
                <w:rFonts w:ascii="Georgia" w:cs="Georgia" w:eastAsia="Georgia" w:hAnsi="Georgia"/>
                <w:sz w:val="20"/>
                <w:szCs w:val="20"/>
              </w:rPr>
              <w:t xml:space="preserve"> de la puntuación total, o el </w:t>
            </w:r>
            <w:r>
              <w:rPr>
                <w:rFonts w:ascii="Georgia" w:cs="Georgia" w:eastAsia="Georgia" w:hAnsi="Georgia"/>
                <w:b/>
                <w:bCs/>
                <w:sz w:val="20"/>
                <w:szCs w:val="20"/>
              </w:rPr>
              <w:t xml:space="preserve">45 por ciento</w:t>
            </w:r>
            <w:r>
              <w:rPr>
                <w:rFonts w:ascii="Georgia" w:cs="Georgia" w:eastAsia="Georgia" w:hAnsi="Georgia"/>
                <w:sz w:val="20"/>
                <w:szCs w:val="20"/>
              </w:rPr>
              <w:t xml:space="preserve"> cuando el expediente motive que el objeto del contrato son prestaciones de carácter intelectual (artículo 159.1.b LCSP).</w:t>
            </w:r>
          </w:p>
          <w:p>
            <w:pPr>
              <w:pStyle w:val="ListParagraph"/>
              <w:numPr>
                <w:ilvl w:val="0"/>
                <w:numId w:val="2"/>
              </w:numPr>
              <w:spacing w:after="60" w:line="264"/>
            </w:pPr>
            <w:r>
              <w:rPr>
                <w:rFonts w:ascii="Georgia" w:cs="Georgia" w:eastAsia="Georgia" w:hAnsi="Georgia"/>
                <w:sz w:val="20"/>
                <w:szCs w:val="20"/>
              </w:rPr>
              <w:t xml:space="preserve">El baremo de la variante A, con </w:t>
            </w:r>
            <w:r>
              <w:rPr>
                <w:rFonts w:ascii="Georgia" w:cs="Georgia" w:eastAsia="Georgia" w:hAnsi="Georgia"/>
                <w:b/>
                <w:bCs/>
                <w:sz w:val="20"/>
                <w:szCs w:val="20"/>
              </w:rPr>
              <w:t xml:space="preserve">24 puntos</w:t>
            </w:r>
            <w:r>
              <w:rPr>
                <w:rFonts w:ascii="Georgia" w:cs="Georgia" w:eastAsia="Georgia" w:hAnsi="Georgia"/>
                <w:sz w:val="20"/>
                <w:szCs w:val="20"/>
              </w:rPr>
              <w:t xml:space="preserve"> sujetos a juicio de valor, cabe en esta variante sin modificación alguna. Si el órgano de contratación altera las ponderaciones y el resultado supera el 25 por ciento, la reducción se practicará </w:t>
            </w:r>
            <w:r>
              <w:rPr>
                <w:rFonts w:ascii="Georgia" w:cs="Georgia" w:eastAsia="Georgia" w:hAnsi="Georgia"/>
                <w:b/>
                <w:bCs/>
                <w:sz w:val="20"/>
                <w:szCs w:val="20"/>
              </w:rPr>
              <w:t xml:space="preserve">antes de la publicación del anuncio</w:t>
            </w:r>
            <w:r>
              <w:rPr>
                <w:rFonts w:ascii="Georgia" w:cs="Georgia" w:eastAsia="Georgia" w:hAnsi="Georgia"/>
                <w:sz w:val="20"/>
                <w:szCs w:val="20"/>
              </w:rPr>
              <w:t xml:space="preserve"> y se documentará en la memoria de criterios, sin que quepa alteración alguna una vez publicados los pliegos.</w:t>
            </w:r>
          </w:p>
          <w:p>
            <w:pPr>
              <w:pStyle w:val="ListParagraph"/>
              <w:numPr>
                <w:ilvl w:val="0"/>
                <w:numId w:val="2"/>
              </w:numPr>
              <w:spacing w:after="60" w:line="264"/>
            </w:pPr>
            <w:r>
              <w:rPr>
                <w:rFonts w:ascii="Georgia" w:cs="Georgia" w:eastAsia="Georgia" w:hAnsi="Georgia"/>
                <w:sz w:val="20"/>
                <w:szCs w:val="20"/>
              </w:rPr>
              <w:t xml:space="preserve">No se exigirá la verificación mediante demostración funcional de la cláusula [ADM-9] cuando su celebración impida cumplir los plazos del artículo 159.</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 abreviado).</w:t>
            </w:r>
          </w:p>
          <w:p>
            <w:pPr>
              <w:pStyle w:val="ListParagraph"/>
              <w:numPr>
                <w:ilvl w:val="0"/>
                <w:numId w:val="2"/>
              </w:numPr>
              <w:spacing w:after="60" w:line="264"/>
            </w:pPr>
            <w:r>
              <w:rPr>
                <w:rFonts w:ascii="Georgia" w:cs="Georgia" w:eastAsia="Georgia" w:hAnsi="Georgia"/>
                <w:sz w:val="20"/>
                <w:szCs w:val="20"/>
              </w:rPr>
              <w:t xml:space="preserve">La totalidad de los criterios de adjudicación es evaluable mediante la mera aplicación de fórmulas. No se incorpora ningún criterio sujeto a juicio de valor (artículo 159.6.c LCSP).</w:t>
            </w:r>
          </w:p>
          <w:p>
            <w:pPr>
              <w:pStyle w:val="ListParagraph"/>
              <w:numPr>
                <w:ilvl w:val="0"/>
                <w:numId w:val="2"/>
              </w:numPr>
              <w:spacing w:after="60" w:line="264"/>
            </w:pPr>
            <w:r>
              <w:rPr>
                <w:rFonts w:ascii="Georgia" w:cs="Georgia" w:eastAsia="Georgia" w:hAnsi="Georgia"/>
                <w:sz w:val="20"/>
                <w:szCs w:val="20"/>
              </w:rPr>
              <w:t xml:space="preserve">Se suprimen los criterios </w:t>
            </w:r>
            <w:r>
              <w:rPr>
                <w:rFonts w:ascii="Georgia" w:cs="Georgia" w:eastAsia="Georgia" w:hAnsi="Georgia"/>
                <w:b/>
                <w:bCs/>
                <w:sz w:val="20"/>
                <w:szCs w:val="20"/>
              </w:rPr>
              <w:t xml:space="preserve">C2, C4, D y E</w:t>
            </w:r>
            <w:r>
              <w:rPr>
                <w:rFonts w:ascii="Georgia" w:cs="Georgia" w:eastAsia="Georgia" w:hAnsi="Georgia"/>
                <w:sz w:val="20"/>
                <w:szCs w:val="20"/>
              </w:rPr>
              <w:t xml:space="preserve"> —los cuatro sujetos a juicio de valor— y, con ellos, toda remisión a rúbricas. Baremo recomendado por defecto: </w:t>
            </w:r>
            <w:r>
              <w:rPr>
                <w:rFonts w:ascii="Georgia" w:cs="Georgia" w:eastAsia="Georgia" w:hAnsi="Georgia"/>
                <w:b/>
                <w:bCs/>
                <w:sz w:val="20"/>
                <w:szCs w:val="20"/>
              </w:rPr>
              <w:t xml:space="preserve">P 45 · C1 20 · C3 10 · A 12 · B 8 · F 5</w:t>
            </w:r>
            <w:r>
              <w:rPr>
                <w:rFonts w:ascii="Georgia" w:cs="Georgia" w:eastAsia="Georgia" w:hAnsi="Georgia"/>
                <w:sz w:val="20"/>
                <w:szCs w:val="20"/>
              </w:rPr>
              <w:t xml:space="preserve">. Si el pliego de prescripciones técnicas incorpora la relación cerrada y numerada de procesos automatizables, el criterio </w:t>
            </w:r>
            <w:r>
              <w:rPr>
                <w:rFonts w:ascii="Georgia" w:cs="Georgia" w:eastAsia="Georgia" w:hAnsi="Georgia"/>
                <w:b/>
                <w:bCs/>
                <w:sz w:val="20"/>
                <w:szCs w:val="20"/>
              </w:rPr>
              <w:t xml:space="preserve">H</w:t>
            </w:r>
            <w:r>
              <w:rPr>
                <w:rFonts w:ascii="Georgia" w:cs="Georgia" w:eastAsia="Georgia" w:hAnsi="Georgia"/>
                <w:sz w:val="20"/>
                <w:szCs w:val="20"/>
              </w:rPr>
              <w:t xml:space="preserve"> puede conservarse, detrayendo sus puntos de C1.</w:t>
            </w:r>
          </w:p>
          <w:p>
            <w:pPr>
              <w:pStyle w:val="ListParagraph"/>
              <w:numPr>
                <w:ilvl w:val="0"/>
                <w:numId w:val="2"/>
              </w:numPr>
              <w:spacing w:after="60" w:line="264"/>
            </w:pPr>
            <w:r>
              <w:rPr>
                <w:rFonts w:ascii="Georgia" w:cs="Georgia" w:eastAsia="Georgia" w:hAnsi="Georgia"/>
                <w:sz w:val="20"/>
                <w:szCs w:val="20"/>
              </w:rPr>
              <w:t xml:space="preserve">No se aplica la cláusula [ADM-9]; los criterios C1, A y H conservan su medio de comprobación documental.</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Reglas de ADM-7.1 y la variante de baremo del procedimiento del perfil base; la hoja de ADM-7.5 va al expediente. Este perfil no fija pesos propios.</w:t>
      </w:r>
    </w:p>
    <w:p>
      <w:pPr>
        <w:pStyle w:val="ListParagraph"/>
        <w:numPr>
          <w:ilvl w:val="0"/>
          <w:numId w:val="1"/>
        </w:numPr>
        <w:spacing w:after="70" w:line="268"/>
      </w:pPr>
      <w:r>
        <w:rPr>
          <w:rFonts w:ascii="Calibri" w:cs="Calibri" w:eastAsia="Calibri" w:hAnsi="Calibri"/>
          <w:b/>
          <w:bCs/>
          <w:sz w:val="21"/>
          <w:szCs w:val="21"/>
        </w:rPr>
        <w:t xml:space="preserve">Pertinentes</w:t>
      </w:r>
      <w:r>
        <w:rPr>
          <w:rFonts w:ascii="Calibri" w:cs="Calibri" w:eastAsia="Calibri" w:hAnsi="Calibri"/>
          <w:sz w:val="21"/>
          <w:szCs w:val="21"/>
        </w:rPr>
        <w:t xml:space="preserve">: </w:t>
      </w:r>
      <w:r>
        <w:rPr>
          <w:rFonts w:ascii="Calibri" w:cs="Calibri" w:eastAsia="Calibri" w:hAnsi="Calibri"/>
          <w:b/>
          <w:bCs/>
          <w:sz w:val="21"/>
          <w:szCs w:val="21"/>
        </w:rPr>
        <w:t xml:space="preserve">C2</w:t>
      </w:r>
      <w:r>
        <w:rPr>
          <w:rFonts w:ascii="Calibri" w:cs="Calibri" w:eastAsia="Calibri" w:hAnsi="Calibri"/>
          <w:sz w:val="21"/>
          <w:szCs w:val="21"/>
        </w:rPr>
        <w:t xml:space="preserve">, plan de implantación y migración con plan de vuelta atrás, sólo por encima del mínimo del PPT; </w:t>
      </w:r>
      <w:r>
        <w:rPr>
          <w:rFonts w:ascii="Calibri" w:cs="Calibri" w:eastAsia="Calibri" w:hAnsi="Calibri"/>
          <w:b/>
          <w:bCs/>
          <w:sz w:val="21"/>
          <w:szCs w:val="21"/>
        </w:rPr>
        <w:t xml:space="preserve">C3</w:t>
      </w:r>
      <w:r>
        <w:rPr>
          <w:rFonts w:ascii="Calibri" w:cs="Calibri" w:eastAsia="Calibri" w:hAnsi="Calibri"/>
          <w:sz w:val="21"/>
          <w:szCs w:val="21"/>
        </w:rPr>
        <w:t xml:space="preserve">, niveles de servicio por encima del mínimo del PPT, que se incorporan al contrato.</w:t>
      </w:r>
    </w:p>
    <w:p>
      <w:pPr>
        <w:pStyle w:val="ListParagraph"/>
        <w:numPr>
          <w:ilvl w:val="0"/>
          <w:numId w:val="1"/>
        </w:numPr>
        <w:spacing w:after="70" w:line="268"/>
      </w:pPr>
      <w:r>
        <w:rPr>
          <w:rFonts w:ascii="Calibri" w:cs="Calibri" w:eastAsia="Calibri" w:hAnsi="Calibri"/>
          <w:b/>
          <w:bCs/>
          <w:sz w:val="21"/>
          <w:szCs w:val="21"/>
        </w:rPr>
        <w:t xml:space="preserve">Sólo con su cláusula</w:t>
      </w:r>
      <w:r>
        <w:rPr>
          <w:rFonts w:ascii="Calibri" w:cs="Calibri" w:eastAsia="Calibri" w:hAnsi="Calibri"/>
          <w:sz w:val="21"/>
          <w:szCs w:val="21"/>
        </w:rPr>
        <w:t xml:space="preserve">: A y B con DT-7 —y entonces las letras e) y g) de ADM-6, B.2, no se marcan sobre lo ofertado (ADM-7.2, segunda advertencia)—; E con DT-1, sin puntuar lo que exigen DT-1·v3, apartados 6.c), 6.d), 11 y 13, en lo incorporado, ni las letras a), d) y e) de ADM-1·v3 B, sino sólo lo que excede de ellos (VI.4.6), y decae si el PPT exige el plan (Anexo I, fila 17); con E, la B de ADM-1·v3 va sin sus letras b) y c); F con la bolsa; H con DT-4.</w:t>
      </w:r>
    </w:p>
    <w:p>
      <w:pPr>
        <w:pStyle w:val="ListParagraph"/>
        <w:numPr>
          <w:ilvl w:val="0"/>
          <w:numId w:val="1"/>
        </w:numPr>
        <w:spacing w:after="70" w:line="268"/>
      </w:pPr>
      <w:r>
        <w:rPr>
          <w:rFonts w:ascii="Calibri" w:cs="Calibri" w:eastAsia="Calibri" w:hAnsi="Calibri"/>
          <w:b/>
          <w:bCs/>
          <w:sz w:val="21"/>
          <w:szCs w:val="21"/>
        </w:rPr>
        <w:t xml:space="preserve">Nunca se puntúa</w:t>
      </w:r>
      <w:r>
        <w:rPr>
          <w:rFonts w:ascii="Calibri" w:cs="Calibri" w:eastAsia="Calibri" w:hAnsi="Calibri"/>
          <w:sz w:val="21"/>
          <w:szCs w:val="21"/>
        </w:rPr>
        <w:t xml:space="preserve">: la categoría o certificación ENS, ni las normas 27001, 27701 o 42001 (ADM-1·v3, modalidad C, ap. 4; ADM-7.1, ap. 2); el depósito o el plan de continuidad (ADM-11·v3, ap. 8); la reversibilidad, su ensayo o el Inventario, y los accesos de control (Anexo I, filas 15 y 25); la experiencia o la disponibilidad previa (ADM-7.1, ap. 2; ADM-9·v3, ap. 4).</w:t>
      </w:r>
    </w:p>
    <w:p>
      <w:pPr>
        <w:pStyle w:val="ListParagraph"/>
        <w:numPr>
          <w:ilvl w:val="0"/>
          <w:numId w:val="1"/>
        </w:numPr>
        <w:spacing w:after="70" w:line="268"/>
      </w:pPr>
      <w:r>
        <w:rPr>
          <w:rFonts w:ascii="Calibri" w:cs="Calibri" w:eastAsia="Calibri" w:hAnsi="Calibri"/>
          <w:sz w:val="21"/>
          <w:szCs w:val="21"/>
        </w:rPr>
        <w:t xml:space="preserve">Bloque «Innovación y tecnología»: [25] %, </w:t>
      </w:r>
      <w:r>
        <w:rPr>
          <w:rFonts w:ascii="Calibri" w:cs="Calibri" w:eastAsia="Calibri" w:hAnsi="Calibri"/>
          <w:b/>
          <w:bCs/>
          <w:sz w:val="21"/>
          <w:szCs w:val="21"/>
        </w:rPr>
        <w:t xml:space="preserve">[15] %</w:t>
      </w:r>
      <w:r>
        <w:rPr>
          <w:rFonts w:ascii="Calibri" w:cs="Calibri" w:eastAsia="Calibri" w:hAnsi="Calibri"/>
          <w:sz w:val="21"/>
          <w:szCs w:val="21"/>
        </w:rPr>
        <w:t xml:space="preserve"> si el componente tecnológico es accesorio (Anexo X, fila 16). El baremo se recompone antes del anuncio (ADM-7.1, ap. 3 y 6) y la hoja se pasa sobre el baremo entero (ADM-7.5).</w:t>
      </w:r>
    </w:p>
    <w:p>
      <w:pPr>
        <w:pStyle w:val="Heading3"/>
        <w:keepNext/>
        <w:spacing w:after="140" w:before="320"/>
      </w:pPr>
      <w:r>
        <w:rPr>
          <w:rFonts w:ascii="Georgia" w:cs="Georgia" w:eastAsia="Georgia" w:hAnsi="Georgia"/>
          <w:b/>
          <w:bCs/>
          <w:color w:val="2F5496"/>
          <w:sz w:val="22"/>
          <w:szCs w:val="22"/>
        </w:rPr>
        <w:t xml:space="preserve">ADM-9·v3 · Demostración funcional — CONDICIONAL</w:t>
      </w:r>
    </w:p>
    <w:p>
      <w:pPr>
        <w:spacing w:after="140" w:line="276"/>
      </w:pPr>
      <w:r>
        <w:rPr>
          <w:rFonts w:ascii="Calibri" w:cs="Calibri" w:eastAsia="Calibri" w:hAnsi="Calibri"/>
          <w:i/>
          <w:iCs/>
          <w:sz w:val="21"/>
          <w:szCs w:val="21"/>
        </w:rPr>
        <w:t xml:space="preserve">Texto vigente de ADM-9·v3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Verificación mediante demostración funcional.</w:t>
            </w:r>
          </w:p>
          <w:p>
            <w:pPr>
              <w:pStyle w:val="ListParagraph"/>
              <w:numPr>
                <w:ilvl w:val="0"/>
                <w:numId w:val="2"/>
              </w:numPr>
              <w:spacing w:after="60" w:line="264"/>
            </w:pPr>
            <w:r>
              <w:rPr>
                <w:rFonts w:ascii="Georgia" w:cs="Georgia" w:eastAsia="Georgia" w:hAnsi="Georgia"/>
                <w:b/>
                <w:bCs/>
                <w:sz w:val="20"/>
                <w:szCs w:val="20"/>
              </w:rPr>
              <w:t xml:space="preserve">Naturaleza y función.</w:t>
            </w:r>
            <w:r>
              <w:rPr>
                <w:rFonts w:ascii="Georgia" w:cs="Georgia" w:eastAsia="Georgia" w:hAnsi="Georgia"/>
                <w:sz w:val="20"/>
                <w:szCs w:val="20"/>
              </w:rPr>
              <w:t xml:space="preserve"> La demostración funcional es un medio de comprobación efectiva de la exactitud de la información facilitada por los licitadores, conforme al artículo 145.5.c) de la LCSP. </w:t>
            </w:r>
            <w:r>
              <w:rPr>
                <w:rFonts w:ascii="Georgia" w:cs="Georgia" w:eastAsia="Georgia" w:hAnsi="Georgia"/>
                <w:b/>
                <w:bCs/>
                <w:sz w:val="20"/>
                <w:szCs w:val="20"/>
              </w:rPr>
              <w:t xml:space="preserve">No constituye criterio de adjudicación y no atribuye puntuación alguna.</w:t>
            </w:r>
            <w:r>
              <w:rPr>
                <w:rFonts w:ascii="Georgia" w:cs="Georgia" w:eastAsia="Georgia" w:hAnsi="Georgia"/>
                <w:sz w:val="20"/>
                <w:szCs w:val="20"/>
              </w:rPr>
              <w:t xml:space="preserve"> Su único efecto es confirmar o retirar la puntuación previamente asignada a las declaraciones contenidas por escrito en la oferta.</w:t>
            </w:r>
          </w:p>
          <w:p>
            <w:pPr>
              <w:pStyle w:val="ListParagraph"/>
              <w:numPr>
                <w:ilvl w:val="0"/>
                <w:numId w:val="2"/>
              </w:numPr>
              <w:spacing w:after="60" w:line="264"/>
            </w:pPr>
            <w:r>
              <w:rPr>
                <w:rFonts w:ascii="Georgia" w:cs="Georgia" w:eastAsia="Georgia" w:hAnsi="Georgia"/>
                <w:b/>
                <w:bCs/>
                <w:sz w:val="20"/>
                <w:szCs w:val="20"/>
              </w:rPr>
              <w:t xml:space="preserve">Objeto acotado.</w:t>
            </w:r>
            <w:r>
              <w:rPr>
                <w:rFonts w:ascii="Georgia" w:cs="Georgia" w:eastAsia="Georgia" w:hAnsi="Georgia"/>
                <w:sz w:val="20"/>
                <w:szCs w:val="20"/>
              </w:rPr>
              <w:t xml:space="preserve"> Únicamente se verificarán los elementos que figuren en la </w:t>
            </w:r>
            <w:r>
              <w:rPr>
                <w:rFonts w:ascii="Georgia" w:cs="Georgia" w:eastAsia="Georgia" w:hAnsi="Georgia"/>
                <w:b/>
                <w:bCs/>
                <w:sz w:val="20"/>
                <w:szCs w:val="20"/>
              </w:rPr>
              <w:t xml:space="preserve">relación cerrada y numerada</w:t>
            </w:r>
            <w:r>
              <w:rPr>
                <w:rFonts w:ascii="Georgia" w:cs="Georgia" w:eastAsia="Georgia" w:hAnsi="Georgia"/>
                <w:sz w:val="20"/>
                <w:szCs w:val="20"/>
              </w:rPr>
              <w:t xml:space="preserve"> publicada en el Anexo [ ] de este pliego, y sólo en la medida en que el licitador los haya descrito por escrito en su oferta, presentada en plazo. Las capacidades mostradas durante la sesión que no consten descritas en la oferta </w:t>
            </w:r>
            <w:r>
              <w:rPr>
                <w:rFonts w:ascii="Georgia" w:cs="Georgia" w:eastAsia="Georgia" w:hAnsi="Georgia"/>
                <w:b/>
                <w:bCs/>
                <w:sz w:val="20"/>
                <w:szCs w:val="20"/>
              </w:rPr>
              <w:t xml:space="preserve">no se valorarán en ningún caso</w:t>
            </w:r>
            <w:r>
              <w:rPr>
                <w:rFonts w:ascii="Georgia" w:cs="Georgia" w:eastAsia="Georgia" w:hAnsi="Georgia"/>
                <w:sz w:val="20"/>
                <w:szCs w:val="20"/>
              </w:rPr>
              <w:t xml:space="preserve">. Las capacidades descritas en la oferta y no acreditadas por el medio previsto para el tipo de criterio se puntuarán con cero en el subcriterio correspondiente.</w:t>
            </w:r>
          </w:p>
          <w:p>
            <w:pPr>
              <w:spacing w:after="100" w:line="264"/>
            </w:pPr>
            <w:r>
              <w:rPr>
                <w:rFonts w:ascii="Georgia" w:cs="Georgia" w:eastAsia="Georgia" w:hAnsi="Georgia"/>
                <w:b/>
                <w:bCs/>
                <w:sz w:val="20"/>
                <w:szCs w:val="20"/>
              </w:rPr>
              <w:t xml:space="preserve">Sobre en que se presenta cada declaración.</w:t>
            </w:r>
            <w:r>
              <w:rPr>
                <w:rFonts w:ascii="Georgia" w:cs="Georgia" w:eastAsia="Georgia" w:hAnsi="Georgia"/>
                <w:sz w:val="20"/>
                <w:szCs w:val="20"/>
              </w:rPr>
              <w:t xml:space="preserve"> Cada declaración del licitador se presenta en el sobre que corresponde al criterio al que sirve, sin excepción. Las que sirven a criterios sujetos a juicio de valor se presentan en el sobre de criterios sujetos a juicio de valor. Las que sirven a criterios evaluables mediante la mera aplicación de fórmulas —matriz de requisitos funcionales, relación de funciones expuestas por la interfaz y relación de procesos automatizados— </w:t>
            </w:r>
            <w:r>
              <w:rPr>
                <w:rFonts w:ascii="Georgia" w:cs="Georgia" w:eastAsia="Georgia" w:hAnsi="Georgia"/>
                <w:b/>
                <w:bCs/>
                <w:sz w:val="20"/>
                <w:szCs w:val="20"/>
              </w:rPr>
              <w:t xml:space="preserve">se presentan en el sobre de criterios evaluables mediante fórmulas</w:t>
            </w:r>
            <w:r>
              <w:rPr>
                <w:rFonts w:ascii="Georgia" w:cs="Georgia" w:eastAsia="Georgia" w:hAnsi="Georgia"/>
                <w:sz w:val="20"/>
                <w:szCs w:val="20"/>
              </w:rPr>
              <w:t xml:space="preserve">, junto con el resto de la proposición sometida a ese régimen (artículos 26 y 30.2 del Real Decreto 817/2009, de 8 de mayo, y artículo 146.2 de la LCSP).</w:t>
            </w:r>
          </w:p>
          <w:p>
            <w:pPr>
              <w:spacing w:after="100" w:line="264"/>
            </w:pPr>
            <w:r>
              <w:rPr>
                <w:rFonts w:ascii="Georgia" w:cs="Georgia" w:eastAsia="Georgia" w:hAnsi="Georgia"/>
                <w:b/>
                <w:bCs/>
                <w:sz w:val="20"/>
                <w:szCs w:val="20"/>
              </w:rPr>
              <w:t xml:space="preserve">Objeto de la sesión.</w:t>
            </w:r>
            <w:r>
              <w:rPr>
                <w:rFonts w:ascii="Georgia" w:cs="Georgia" w:eastAsia="Georgia" w:hAnsi="Georgia"/>
                <w:sz w:val="20"/>
                <w:szCs w:val="20"/>
              </w:rPr>
              <w:t xml:space="preserve"> La sesión regulada en el apartado 5 versa </w:t>
            </w:r>
            <w:r>
              <w:rPr>
                <w:rFonts w:ascii="Georgia" w:cs="Georgia" w:eastAsia="Georgia" w:hAnsi="Georgia"/>
                <w:b/>
                <w:bCs/>
                <w:sz w:val="20"/>
                <w:szCs w:val="20"/>
              </w:rPr>
              <w:t xml:space="preserve">exclusivamente sobre los elementos de la relación cerrada que sirven a criterios sujetos a juicio de valor</w:t>
            </w:r>
            <w:r>
              <w:rPr>
                <w:rFonts w:ascii="Georgia" w:cs="Georgia" w:eastAsia="Georgia" w:hAnsi="Georgia"/>
                <w:sz w:val="20"/>
                <w:szCs w:val="20"/>
              </w:rPr>
              <w:t xml:space="preserve">. La exactitud de las declaraciones que sirven a criterios evaluables mediante fórmulas no se comprueba en esa sesión, sino mediante la comprobación documental anterior a la clasificación prevista en el apartado 5.</w:t>
            </w:r>
          </w:p>
          <w:p>
            <w:pPr>
              <w:pStyle w:val="ListParagraph"/>
              <w:numPr>
                <w:ilvl w:val="0"/>
                <w:numId w:val="2"/>
              </w:numPr>
              <w:spacing w:after="60" w:line="264"/>
            </w:pPr>
            <w:r>
              <w:rPr>
                <w:rFonts w:ascii="Georgia" w:cs="Georgia" w:eastAsia="Georgia" w:hAnsi="Georgia"/>
                <w:b/>
                <w:bCs/>
                <w:sz w:val="20"/>
                <w:szCs w:val="20"/>
              </w:rPr>
              <w:t xml:space="preserve">La demostración no integra la oferta.</w:t>
            </w:r>
            <w:r>
              <w:rPr>
                <w:rFonts w:ascii="Georgia" w:cs="Georgia" w:eastAsia="Georgia" w:hAnsi="Georgia"/>
                <w:sz w:val="20"/>
                <w:szCs w:val="20"/>
              </w:rPr>
              <w:t xml:space="preserve"> No se admitirá, ni se hará constar en acta a efectos de valoración, manifestación oral alguna que amplíe, aclare, rectifique o complete la oferta escrita. La oferta es, a todos los efectos, el documento presentado dentro del plazo de presentación.</w:t>
            </w:r>
          </w:p>
          <w:p>
            <w:pPr>
              <w:pStyle w:val="ListParagraph"/>
              <w:numPr>
                <w:ilvl w:val="0"/>
                <w:numId w:val="2"/>
              </w:numPr>
              <w:spacing w:after="60" w:line="264"/>
            </w:pPr>
            <w:r>
              <w:rPr>
                <w:rFonts w:ascii="Georgia" w:cs="Georgia" w:eastAsia="Georgia" w:hAnsi="Georgia"/>
                <w:b/>
                <w:bCs/>
                <w:sz w:val="20"/>
                <w:szCs w:val="20"/>
              </w:rPr>
              <w:t xml:space="preserve">Prohibición de valorar la disponibilidad previa.</w:t>
            </w:r>
            <w:r>
              <w:rPr>
                <w:rFonts w:ascii="Georgia" w:cs="Georgia" w:eastAsia="Georgia" w:hAnsi="Georgia"/>
                <w:sz w:val="20"/>
                <w:szCs w:val="20"/>
              </w:rPr>
              <w:t xml:space="preserve"> No se asignará puntuación alguna por la disponibilidad de la solución, de sus módulos o de sus integraciones a la fecha de finalización del plazo de presentación de ofertas, ni por el resultado de la demostración considerado en sí mismo.</w:t>
            </w:r>
          </w:p>
          <w:p>
            <w:pPr>
              <w:pStyle w:val="ListParagraph"/>
              <w:numPr>
                <w:ilvl w:val="0"/>
                <w:numId w:val="2"/>
              </w:numPr>
              <w:spacing w:after="60" w:line="264"/>
            </w:pPr>
            <w:r>
              <w:rPr>
                <w:rFonts w:ascii="Georgia" w:cs="Georgia" w:eastAsia="Georgia" w:hAnsi="Georgia"/>
                <w:b/>
                <w:bCs/>
                <w:sz w:val="20"/>
                <w:szCs w:val="20"/>
              </w:rPr>
              <w:t xml:space="preserve">Momento.</w:t>
            </w:r>
            <w:r>
              <w:rPr>
                <w:rFonts w:ascii="Georgia" w:cs="Georgia" w:eastAsia="Georgia" w:hAnsi="Georgia"/>
                <w:sz w:val="20"/>
                <w:szCs w:val="20"/>
              </w:rPr>
              <w:t xml:space="preserve"> La demostración se celebrará una vez abierto el sobre de criterios sujetos a juicio de valor y, en todo caso, </w:t>
            </w:r>
            <w:r>
              <w:rPr>
                <w:rFonts w:ascii="Georgia" w:cs="Georgia" w:eastAsia="Georgia" w:hAnsi="Georgia"/>
                <w:b/>
                <w:bCs/>
                <w:sz w:val="20"/>
                <w:szCs w:val="20"/>
              </w:rPr>
              <w:t xml:space="preserve">antes de la apertura del sobre que contenga los criterios evaluables mediante la mera aplicación de fórmulas</w:t>
            </w:r>
            <w:r>
              <w:rPr>
                <w:rFonts w:ascii="Georgia" w:cs="Georgia" w:eastAsia="Georgia" w:hAnsi="Georgia"/>
                <w:sz w:val="20"/>
                <w:szCs w:val="20"/>
              </w:rPr>
              <w:t xml:space="preserve">, dejándose constancia documental de la valoración con carácter previo a dicha apertura (artículos 139.2 y 146.2 de la LCSP y artículos 26, 27.2 y 30.2 del Real Decreto 817/2009, de 8 de mayo). El calendario y el orden de intervención se determinarán por sorteo ante la mesa de contratación y se comunicarán a todos los licitadores con una antelación mínima de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Este momento no podrá alterarse una vez publicados los pliegos.</w:t>
            </w:r>
          </w:p>
          <w:p>
            <w:pPr>
              <w:spacing w:after="100" w:line="264"/>
            </w:pPr>
            <w:r>
              <w:rPr>
                <w:rFonts w:ascii="Georgia" w:cs="Georgia" w:eastAsia="Georgia" w:hAnsi="Georgia"/>
                <w:b/>
                <w:bCs/>
                <w:sz w:val="20"/>
                <w:szCs w:val="20"/>
              </w:rPr>
              <w:t xml:space="preserve">Comprobación de las declaraciones que sirven a criterios evaluables mediante fórmulas.</w:t>
            </w:r>
            <w:r>
              <w:rPr>
                <w:rFonts w:ascii="Georgia" w:cs="Georgia" w:eastAsia="Georgia" w:hAnsi="Georgia"/>
                <w:sz w:val="20"/>
                <w:szCs w:val="20"/>
              </w:rPr>
              <w:t xml:space="preserve"> Abierto el sobre de criterios evaluables mediante fórmulas, y con anterioridad a la clasificación de las ofertas, la mesa de contratación comprobará por medios documentales la exactitud de las declaraciones que sirvan de base a esos criterios, respecto de todas las ofertas admitidas, sobre la relación cerrada del Anexo [ ]. Apreciada una duda, se requerirá al licitador de que se trate,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para que aporte la documentación técnica que la resuelva, sin que la respuesta pueda ampliar ni modificar la oferta. Si la comprobación acredita que una declaración no es exacta, la puntuación se calculará aplicando la fórmula publicada sobre los elementos efectivamente acreditados. Esta comprobación no atribuye puntuación adicional y no puede fundar por sí sola la exclusión.</w:t>
            </w:r>
          </w:p>
          <w:p>
            <w:pPr>
              <w:pStyle w:val="ListParagraph"/>
              <w:numPr>
                <w:ilvl w:val="0"/>
                <w:numId w:val="2"/>
              </w:numPr>
              <w:spacing w:after="60" w:line="264"/>
            </w:pPr>
            <w:r>
              <w:rPr>
                <w:rFonts w:ascii="Georgia" w:cs="Georgia" w:eastAsia="Georgia" w:hAnsi="Georgia"/>
                <w:b/>
                <w:bCs/>
                <w:sz w:val="20"/>
                <w:szCs w:val="20"/>
              </w:rPr>
              <w:t xml:space="preserve">Igualdad de condiciones.</w:t>
            </w:r>
            <w:r>
              <w:rPr>
                <w:rFonts w:ascii="Georgia" w:cs="Georgia" w:eastAsia="Georgia" w:hAnsi="Georgia"/>
                <w:sz w:val="20"/>
                <w:szCs w:val="20"/>
              </w:rPr>
              <w:t xml:space="preserve"> La sesión se regirá por el guion único publicado en el Anexo [ ], con la relación cerrada de elementos a verificar. Todos los licitadores dispondrán de idéntica duración máxima, del mismo entorno de referencia y de los mismos evaluadores. Cada sesión se celebrará sin presencia de los restantes licitadores y sin que se facilite información alguna sobre las demás ofertas. Ante una incidencia técnica no imputable al licitador se admitirá una única repetición, dejando constancia en acta.</w:t>
            </w:r>
          </w:p>
          <w:p>
            <w:pPr>
              <w:pStyle w:val="ListParagraph"/>
              <w:numPr>
                <w:ilvl w:val="0"/>
                <w:numId w:val="2"/>
              </w:numPr>
              <w:spacing w:after="60" w:line="264"/>
            </w:pPr>
            <w:r>
              <w:rPr>
                <w:rFonts w:ascii="Georgia" w:cs="Georgia" w:eastAsia="Georgia" w:hAnsi="Georgia"/>
                <w:b/>
                <w:bCs/>
                <w:sz w:val="20"/>
                <w:szCs w:val="20"/>
              </w:rPr>
              <w:t xml:space="preserve">Proporcionalidad y coste.</w:t>
            </w:r>
            <w:r>
              <w:rPr>
                <w:rFonts w:ascii="Georgia" w:cs="Georgia" w:eastAsia="Georgia" w:hAnsi="Georgia"/>
                <w:sz w:val="20"/>
                <w:szCs w:val="20"/>
              </w:rPr>
              <w:t xml:space="preserve"> La demostración se realizará </w:t>
            </w:r>
            <w:r>
              <w:rPr>
                <w:rFonts w:ascii="Georgia" w:cs="Georgia" w:eastAsia="Georgia" w:hAnsi="Georgia"/>
                <w:b/>
                <w:bCs/>
                <w:sz w:val="20"/>
                <w:szCs w:val="20"/>
              </w:rPr>
              <w:t xml:space="preserve">por videoconferencia sobre el entorno del propio licitador</w:t>
            </w:r>
            <w:r>
              <w:rPr>
                <w:rFonts w:ascii="Georgia" w:cs="Georgia" w:eastAsia="Georgia" w:hAnsi="Georgia"/>
                <w:sz w:val="20"/>
                <w:szCs w:val="20"/>
              </w:rPr>
              <w:t xml:space="preserve">, con una duración máxima de </w:t>
            </w:r>
            <w:r>
              <w:rPr>
                <w:rFonts w:ascii="Georgia" w:cs="Georgia" w:eastAsia="Georgia" w:hAnsi="Georgia"/>
                <w:b/>
                <w:bCs/>
                <w:sz w:val="20"/>
                <w:szCs w:val="20"/>
              </w:rPr>
              <w:t xml:space="preserve">[X; se recomienda 90] minutos</w:t>
            </w:r>
            <w:r>
              <w:rPr>
                <w:rFonts w:ascii="Georgia" w:cs="Georgia" w:eastAsia="Georgia" w:hAnsi="Georgia"/>
                <w:sz w:val="20"/>
                <w:szCs w:val="20"/>
              </w:rPr>
              <w:t xml:space="preserve">, salvo que el expediente motive expresamente la necesidad de presencialidad. No se exigirá al licitador despliegue, instalación ni integración alguna en los sistemas municipales, ni entrega de bienes, ni asunción de gastos de desplazamiento de personal municipal. Se emplearán datos ficticios o anonimizados facilitados por el Ayuntamiento. La incomparecencia no determina la exclusión: los elementos declarados y no acreditados se puntúan con cero.</w:t>
            </w:r>
          </w:p>
          <w:p>
            <w:pPr>
              <w:pStyle w:val="ListParagraph"/>
              <w:numPr>
                <w:ilvl w:val="0"/>
                <w:numId w:val="2"/>
              </w:numPr>
              <w:spacing w:after="60" w:line="264"/>
            </w:pPr>
            <w:r>
              <w:rPr>
                <w:rFonts w:ascii="Georgia" w:cs="Georgia" w:eastAsia="Georgia" w:hAnsi="Georgia"/>
                <w:b/>
                <w:bCs/>
                <w:sz w:val="20"/>
                <w:szCs w:val="20"/>
              </w:rPr>
              <w:t xml:space="preserve">Documentación.</w:t>
            </w:r>
            <w:r>
              <w:rPr>
                <w:rFonts w:ascii="Georgia" w:cs="Georgia" w:eastAsia="Georgia" w:hAnsi="Georgia"/>
                <w:sz w:val="20"/>
                <w:szCs w:val="20"/>
              </w:rPr>
              <w:t xml:space="preserve"> De cada sesión se levantará </w:t>
            </w:r>
            <w:r>
              <w:rPr>
                <w:rFonts w:ascii="Georgia" w:cs="Georgia" w:eastAsia="Georgia" w:hAnsi="Georgia"/>
                <w:b/>
                <w:bCs/>
                <w:sz w:val="20"/>
                <w:szCs w:val="20"/>
              </w:rPr>
              <w:t xml:space="preserve">acta escrita detallada</w:t>
            </w:r>
            <w:r>
              <w:rPr>
                <w:rFonts w:ascii="Georgia" w:cs="Georgia" w:eastAsia="Georgia" w:hAnsi="Georgia"/>
                <w:sz w:val="20"/>
                <w:szCs w:val="20"/>
              </w:rPr>
              <w:t xml:space="preserve">, en la que se hará constar, en el mismo acto, para cada elemento de la relación cerrada: si consta descrito en la oferta, si ha sido acreditado, y la evidencia observada. Podrá realizarse además grabación sonora o audiovisual cuando el pliego lo prevea; en tal caso se anunciará en el propio pliego y la grabación se conservará hasta que la adjudicación sea firme, a disposición del órgano competente para resolver el recurso especial. El acceso de los demás licitadores al acta y, en su caso, a la grabación se rige por el artículo 133 de la LCSP.</w:t>
            </w:r>
          </w:p>
          <w:p>
            <w:pPr>
              <w:pStyle w:val="ListParagraph"/>
              <w:numPr>
                <w:ilvl w:val="0"/>
                <w:numId w:val="2"/>
              </w:numPr>
              <w:spacing w:after="60" w:line="264"/>
            </w:pPr>
            <w:r>
              <w:rPr>
                <w:rFonts w:ascii="Georgia" w:cs="Georgia" w:eastAsia="Georgia" w:hAnsi="Georgia"/>
                <w:b/>
                <w:bCs/>
                <w:sz w:val="20"/>
                <w:szCs w:val="20"/>
              </w:rPr>
              <w:t xml:space="preserve">Deslinde respecto de la solvencia y de las prescripciones técnicas mínimas.</w:t>
            </w:r>
            <w:r>
              <w:rPr>
                <w:rFonts w:ascii="Georgia" w:cs="Georgia" w:eastAsia="Georgia" w:hAnsi="Georgia"/>
                <w:sz w:val="20"/>
                <w:szCs w:val="20"/>
              </w:rPr>
              <w:t xml:space="preserve"> La demostración no acredita la solvencia técnica ni sustituye los medios de acreditación de los artículos 89 y 90 de la LCSP, y su resultado </w:t>
            </w:r>
            <w:r>
              <w:rPr>
                <w:rFonts w:ascii="Georgia" w:cs="Georgia" w:eastAsia="Georgia" w:hAnsi="Georgia"/>
                <w:b/>
                <w:bCs/>
                <w:sz w:val="20"/>
                <w:szCs w:val="20"/>
              </w:rPr>
              <w:t xml:space="preserve">no podrá fundar por sí solo la exclusión del licitador</w:t>
            </w:r>
            <w:r>
              <w:rPr>
                <w:rFonts w:ascii="Georgia" w:cs="Georgia" w:eastAsia="Georgia" w:hAnsi="Georgia"/>
                <w:sz w:val="20"/>
                <w:szCs w:val="20"/>
              </w:rPr>
              <w:t xml:space="preserve">. Si el órgano de contratación pretende que una comprobación pueda determinar la inadmisión de la oferta por incumplimiento de prescripciones técnicas mínimas, deberá configurarlo así de forma expresa y separada en este pliego, referirlo a esos mínimos, y resolverlo en el momento de la calificación de la documentación, antes de la apertura de los sobres de criterios.</w:t>
            </w:r>
          </w:p>
          <w:p>
            <w:pPr>
              <w:pStyle w:val="ListParagraph"/>
              <w:numPr>
                <w:ilvl w:val="0"/>
                <w:numId w:val="2"/>
              </w:numPr>
              <w:spacing w:after="60" w:line="264"/>
            </w:pPr>
            <w:r>
              <w:rPr>
                <w:rFonts w:ascii="Georgia" w:cs="Georgia" w:eastAsia="Georgia" w:hAnsi="Georgia"/>
                <w:b/>
                <w:bCs/>
                <w:sz w:val="20"/>
                <w:szCs w:val="20"/>
              </w:rPr>
              <w:t xml:space="preserve">Ámbito de aplicación.</w:t>
            </w:r>
            <w:r>
              <w:rPr>
                <w:rFonts w:ascii="Georgia" w:cs="Georgia" w:eastAsia="Georgia" w:hAnsi="Georgia"/>
                <w:sz w:val="20"/>
                <w:szCs w:val="20"/>
              </w:rPr>
              <w:t xml:space="preserve"> Esta cláusula se aplicará únicamente cuando el valor estimado del contrato sea igual o superior a </w:t>
            </w:r>
            <w:r>
              <w:rPr>
                <w:rFonts w:ascii="Georgia" w:cs="Georgia" w:eastAsia="Georgia" w:hAnsi="Georgia"/>
                <w:b/>
                <w:bCs/>
                <w:sz w:val="20"/>
                <w:szCs w:val="20"/>
              </w:rPr>
              <w:t xml:space="preserve">[X; se recomienda 200.000] euros</w:t>
            </w:r>
            <w:r>
              <w:rPr>
                <w:rFonts w:ascii="Georgia" w:cs="Georgia" w:eastAsia="Georgia" w:hAnsi="Georgia"/>
                <w:sz w:val="20"/>
                <w:szCs w:val="20"/>
              </w:rPr>
              <w:t xml:space="preserve"> y el expediente justifique la necesidad de comprobación.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en la tramitación del artículo 159.6 de la LCSP, ni cuando el objeto del contrato sea el desarrollo a medida de una solución que no preexiste, ni cuando su celebración impida cumplir los plazos del artículo 159 de la LCSP.</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Ap. 10: valor estimado </w:t>
      </w:r>
      <w:r>
        <w:rPr>
          <w:rFonts w:ascii="Calibri" w:cs="Calibri" w:eastAsia="Calibri" w:hAnsi="Calibri"/>
          <w:b/>
          <w:bCs/>
          <w:sz w:val="21"/>
          <w:szCs w:val="21"/>
        </w:rPr>
        <w:t xml:space="preserve">igual o superior a [200.000] €</w:t>
      </w:r>
      <w:r>
        <w:rPr>
          <w:rFonts w:ascii="Calibri" w:cs="Calibri" w:eastAsia="Calibri" w:hAnsi="Calibri"/>
          <w:sz w:val="21"/>
          <w:szCs w:val="21"/>
        </w:rPr>
        <w:t xml:space="preserve"> (Anexo X, fila 22), y nunca sobre un desarrollo a medida. Comprueba criterios (C1, D, A, H), no la seguridad ni la continuidad. Ap. 7: [90] minutos (fila 15). Modelos: Anexo XX.</w:t>
      </w:r>
    </w:p>
    <w:p>
      <w:pPr>
        <w:pStyle w:val="Heading3"/>
        <w:keepNext/>
        <w:spacing w:after="140" w:before="320"/>
      </w:pPr>
      <w:r>
        <w:rPr>
          <w:rFonts w:ascii="Georgia" w:cs="Georgia" w:eastAsia="Georgia" w:hAnsi="Georgia"/>
          <w:b/>
          <w:bCs/>
          <w:color w:val="2F5496"/>
          <w:sz w:val="22"/>
          <w:szCs w:val="22"/>
        </w:rPr>
        <w:t xml:space="preserve">ADM-3·v3 · Plazos y bolsa de evolutivos — CONDICIONAL</w:t>
      </w:r>
    </w:p>
    <w:p>
      <w:pPr>
        <w:spacing w:after="140" w:line="276"/>
      </w:pPr>
      <w:r>
        <w:rPr>
          <w:rFonts w:ascii="Calibri" w:cs="Calibri" w:eastAsia="Calibri" w:hAnsi="Calibri"/>
          <w:i/>
          <w:iCs/>
          <w:sz w:val="21"/>
          <w:szCs w:val="21"/>
        </w:rPr>
        <w:t xml:space="preserve">Texto vigente de ADM-3·v3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Plazos de adaptación de las exigencias tecnológicas determinadas.</w:t>
            </w:r>
          </w:p>
          <w:p>
            <w:pPr>
              <w:spacing w:after="100" w:line="264"/>
            </w:pPr>
            <w:r>
              <w:rPr>
                <w:rFonts w:ascii="Georgia" w:cs="Georgia" w:eastAsia="Georgia" w:hAnsi="Georgia"/>
                <w:sz w:val="20"/>
                <w:szCs w:val="20"/>
              </w:rPr>
              <w:t xml:space="preserve">Los plazos de implantación de las exigencias del Anexo de Exigencias Tecnológicas Determinadas son los que el propio Anexo fija para cada una. No podrán establecerse durante la ejecución plazos distintos de los allí previstos, salvo que una norma imponga otro plazo, en cuyo caso se estará al legalmente exigible. Las prestaciones que excedan del alcance del Anexo se tramitarán, en su caso, como modificación del contrato conforme a los artículos 203 y 204 de la Ley 9/2017.</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Bolsa de servicios evolutivos.</w:t>
            </w:r>
          </w:p>
          <w:p>
            <w:pPr>
              <w:pStyle w:val="ListParagraph"/>
              <w:numPr>
                <w:ilvl w:val="0"/>
                <w:numId w:val="2"/>
              </w:numPr>
              <w:spacing w:after="60" w:line="264"/>
            </w:pPr>
            <w:r>
              <w:rPr>
                <w:rFonts w:ascii="Georgia" w:cs="Georgia" w:eastAsia="Georgia" w:hAnsi="Georgia"/>
                <w:b/>
                <w:bCs/>
                <w:sz w:val="20"/>
                <w:szCs w:val="20"/>
              </w:rPr>
              <w:t xml:space="preserve">Objeto y encaje.</w:t>
            </w:r>
            <w:r>
              <w:rPr>
                <w:rFonts w:ascii="Georgia" w:cs="Georgia" w:eastAsia="Georgia" w:hAnsi="Georgia"/>
                <w:sz w:val="20"/>
                <w:szCs w:val="20"/>
              </w:rPr>
              <w:t xml:space="preserve"> Al amparo del artículo 308.3 de la Ley 9/2017, el objeto de este contrato comprende, además de las prestaciones descritas en el Pliego de Prescripciones Técnicas, la ejecución de servicios evolutivos sobre la aplicación contratada, definidos por componentes de prestación y retribuidos por unidades de actividad conforme al Cuadro de Precios Unitarios que forma parte de la oferta del contratista.</w:t>
            </w:r>
          </w:p>
          <w:p>
            <w:pPr>
              <w:pStyle w:val="ListParagraph"/>
              <w:numPr>
                <w:ilvl w:val="0"/>
                <w:numId w:val="2"/>
              </w:numPr>
              <w:spacing w:after="60" w:line="264"/>
            </w:pPr>
            <w:r>
              <w:rPr>
                <w:rFonts w:ascii="Georgia" w:cs="Georgia" w:eastAsia="Georgia" w:hAnsi="Georgia"/>
                <w:b/>
                <w:bCs/>
                <w:sz w:val="20"/>
                <w:szCs w:val="20"/>
              </w:rPr>
              <w:t xml:space="preserve">Catálogo cerrado de peticiones admisibles.</w:t>
            </w:r>
            <w:r>
              <w:rPr>
                <w:rFonts w:ascii="Georgia" w:cs="Georgia" w:eastAsia="Georgia" w:hAnsi="Georgia"/>
                <w:sz w:val="20"/>
                <w:szCs w:val="20"/>
              </w:rPr>
              <w:t xml:space="preserve"> Sólo podrán solicitarse con cargo a esta bolsa las siguientes clases de trabajos, todas ellas referidas a la aplicación objeto del contrato: (i) modificación de formularios, informes, listados o cuadros de mando existentes; (ii) creación o modificación de reglas de validación y de flujos de tramitación ya soportados por la aplicación; (iii) creación o modificación de integraciones con sistemas municipales o con servicios comunes de la Administración, distintas de las que exige el Pliego de Prescripciones Técnicas; (iv) adaptación de la parametrización a cambios organizativos, o a cambios normativos posteriores a la fecha límite de presentación de ofertas que no exijan modificar la solución; (v) migración, depuración o carga de datos; (vi) ampliación del alcance funcional de la interfaz de acceso programático dentro de los módulos contratados, en lo que exceda de lo que exige el Anexo de Exigencias Tecnológicas. </w:t>
            </w:r>
            <w:r>
              <w:rPr>
                <w:rFonts w:ascii="Georgia" w:cs="Georgia" w:eastAsia="Georgia" w:hAnsi="Georgia"/>
                <w:b/>
                <w:bCs/>
                <w:sz w:val="20"/>
                <w:szCs w:val="20"/>
              </w:rPr>
              <w:t xml:space="preserve">Queda excluida toda petición que suponga módulos funcionales nuevos o prestaciones ajenas al objeto del contrato.</w:t>
            </w:r>
          </w:p>
          <w:p>
            <w:pPr>
              <w:spacing w:after="100" w:line="264"/>
            </w:pPr>
            <w:r>
              <w:rPr>
                <w:rFonts w:ascii="Georgia" w:cs="Georgia" w:eastAsia="Georgia" w:hAnsi="Georgia"/>
                <w:b/>
                <w:bCs/>
                <w:sz w:val="20"/>
                <w:szCs w:val="20"/>
              </w:rPr>
              <w:t xml:space="preserve">No podrá imputarse a esta bolsa ninguna prestación que ya retribuya el precio del contrato</w:t>
            </w:r>
            <w:r>
              <w:rPr>
                <w:rFonts w:ascii="Georgia" w:cs="Georgia" w:eastAsia="Georgia" w:hAnsi="Georgia"/>
                <w:sz w:val="20"/>
                <w:szCs w:val="20"/>
              </w:rPr>
              <w:t xml:space="preserve">: las descritas en el Pliego de Prescripciones Técnicas, incluidas las integraciones que exige; las exigencias del Anexo de Exigencias Tecnológicas transcrito en este pliego y las versiones sucesoras que comprende; el mantenimiento correctivo; y la adaptación de la solución a las normas exigibles a la fecha límite de presentación de ofertas. Cada petición de servicio identifica la clase del párrafo anterior a la que pertenece.</w:t>
            </w:r>
          </w:p>
          <w:p>
            <w:pPr>
              <w:spacing w:after="100" w:line="264"/>
            </w:pPr>
            <w:r>
              <w:rPr>
                <w:rFonts w:ascii="Georgia" w:cs="Georgia" w:eastAsia="Georgia" w:hAnsi="Georgia"/>
                <w:b/>
                <w:bCs/>
                <w:sz w:val="20"/>
                <w:szCs w:val="20"/>
              </w:rPr>
              <w:t xml:space="preserve">Prelación con la modificación prevista.</w:t>
            </w:r>
            <w:r>
              <w:rPr>
                <w:rFonts w:ascii="Georgia" w:cs="Georgia" w:eastAsia="Georgia" w:hAnsi="Georgia"/>
                <w:sz w:val="20"/>
                <w:szCs w:val="20"/>
              </w:rPr>
              <w:t xml:space="preserve"> La petición que quepa en una de las clases (i) a (vi) se tramita con cargo a esta bolsa y sólo por ella. No se imputa a la bolsa la que exija extender una capacidad del Anexo de Exigencias Tecnológicas a un módulo o a una operación que no figuren en él, ni la que exija adaptar la solución —no sólo su parametrización— a una de las normas nominadas en la cláusula de modificación prevista: ésas sólo pueden tramitarse como modificación conforme a dicha cláusula, si el pliego la incorpora, o por los artículos 203 a 205 de la Ley 9/2017. El agotamiento de la bolsa no permite tramitar como modificación una petición de las clases (i) a (vi).</w:t>
            </w:r>
          </w:p>
          <w:p>
            <w:pPr>
              <w:pStyle w:val="ListParagraph"/>
              <w:numPr>
                <w:ilvl w:val="0"/>
                <w:numId w:val="2"/>
              </w:numPr>
              <w:spacing w:after="60" w:line="264"/>
            </w:pPr>
            <w:r>
              <w:rPr>
                <w:rFonts w:ascii="Georgia" w:cs="Georgia" w:eastAsia="Georgia" w:hAnsi="Georgia"/>
                <w:b/>
                <w:bCs/>
                <w:sz w:val="20"/>
                <w:szCs w:val="20"/>
              </w:rPr>
              <w:t xml:space="preserve">Volumen máximo y precio.</w:t>
            </w:r>
            <w:r>
              <w:rPr>
                <w:rFonts w:ascii="Georgia" w:cs="Georgia" w:eastAsia="Georgia" w:hAnsi="Georgia"/>
                <w:sz w:val="20"/>
                <w:szCs w:val="20"/>
              </w:rPr>
              <w:t xml:space="preserve"> El número máximo de horas por perfil profesional es el que figura en el cuadro de características de este pliego. Las horas se retribuyen a los precios unitarios de la oferta del contratista, y </w:t>
            </w:r>
            <w:r>
              <w:rPr>
                <w:rFonts w:ascii="Georgia" w:cs="Georgia" w:eastAsia="Georgia" w:hAnsi="Georgia"/>
                <w:b/>
                <w:bCs/>
                <w:sz w:val="20"/>
                <w:szCs w:val="20"/>
              </w:rPr>
              <w:t xml:space="preserve">sólo las efectivamente ejecutadas y recibidas de conformidad</w:t>
            </w:r>
            <w:r>
              <w:rPr>
                <w:rFonts w:ascii="Georgia" w:cs="Georgia" w:eastAsia="Georgia" w:hAnsi="Georgia"/>
                <w:sz w:val="20"/>
                <w:szCs w:val="20"/>
              </w:rPr>
              <w:t xml:space="preserve">. El importe correspondiente a las horas no consumidas no se abona, no genera derecho a indemnización ni a compensación de ningún tipo, y no será objeto de facturación al término del contrato.</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Cada trabajo se solicitará mediante </w:t>
            </w:r>
            <w:r>
              <w:rPr>
                <w:rFonts w:ascii="Georgia" w:cs="Georgia" w:eastAsia="Georgia" w:hAnsi="Georgia"/>
                <w:b/>
                <w:bCs/>
                <w:sz w:val="20"/>
                <w:szCs w:val="20"/>
              </w:rPr>
              <w:t xml:space="preserve">petición de servicio</w:t>
            </w:r>
            <w:r>
              <w:rPr>
                <w:rFonts w:ascii="Georgia" w:cs="Georgia" w:eastAsia="Georgia" w:hAnsi="Georgia"/>
                <w:sz w:val="20"/>
                <w:szCs w:val="20"/>
              </w:rPr>
              <w:t xml:space="preserve"> escrita del responsable del contrato, que identificará el resultado a obtener, los criterios de aceptación y el plazo. El contratista presentará estimación de horas por perfil en el plazo de [X; se recomienda 5] días hábiles. Aceptada la estimación por el responsable del contrato, el contratista ejecutará el trabajo con </w:t>
            </w:r>
            <w:r>
              <w:rPr>
                <w:rFonts w:ascii="Georgia" w:cs="Georgia" w:eastAsia="Georgia" w:hAnsi="Georgia"/>
                <w:b/>
                <w:bCs/>
                <w:sz w:val="20"/>
                <w:szCs w:val="20"/>
              </w:rPr>
              <w:t xml:space="preserve">su propio personal, bajo su exclusiva dirección y organización</w:t>
            </w:r>
            <w:r>
              <w:rPr>
                <w:rFonts w:ascii="Georgia" w:cs="Georgia" w:eastAsia="Georgia" w:hAnsi="Georgia"/>
                <w:sz w:val="20"/>
                <w:szCs w:val="20"/>
              </w:rPr>
              <w:t xml:space="preserve">. La recepción se documentará en acta con verificación de los criterios de aceptación. </w:t>
            </w:r>
            <w:r>
              <w:rPr>
                <w:rFonts w:ascii="Georgia" w:cs="Georgia" w:eastAsia="Georgia" w:hAnsi="Georgia"/>
                <w:b/>
                <w:bCs/>
                <w:sz w:val="20"/>
                <w:szCs w:val="20"/>
              </w:rPr>
              <w:t xml:space="preserve">El Ayuntamiento no dirige ni organiza al personal del contratista, no le asigna tareas individuales, no controla su jornada y no interviene en su régimen laboral.</w:t>
            </w:r>
          </w:p>
          <w:p>
            <w:pPr>
              <w:pStyle w:val="ListParagraph"/>
              <w:numPr>
                <w:ilvl w:val="0"/>
                <w:numId w:val="2"/>
              </w:numPr>
              <w:spacing w:after="60" w:line="264"/>
            </w:pPr>
            <w:r>
              <w:rPr>
                <w:rFonts w:ascii="Georgia" w:cs="Georgia" w:eastAsia="Georgia" w:hAnsi="Georgia"/>
                <w:b/>
                <w:bCs/>
                <w:sz w:val="20"/>
                <w:szCs w:val="20"/>
              </w:rPr>
              <w:t xml:space="preserve">Límite y base de cálculo.</w:t>
            </w:r>
            <w:r>
              <w:rPr>
                <w:rFonts w:ascii="Georgia" w:cs="Georgia" w:eastAsia="Georgia" w:hAnsi="Georgia"/>
                <w:sz w:val="20"/>
                <w:szCs w:val="20"/>
              </w:rPr>
              <w:t xml:space="preserve"> El importe máximo de esta bolsa </w:t>
            </w:r>
            <w:r>
              <w:rPr>
                <w:rFonts w:ascii="Georgia" w:cs="Georgia" w:eastAsia="Georgia" w:hAnsi="Georgia"/>
                <w:b/>
                <w:bCs/>
                <w:sz w:val="20"/>
                <w:szCs w:val="20"/>
              </w:rPr>
              <w:t xml:space="preserve">no excederá del [X; se recomienda 5] por ciento del presupuesto base de licitación correspondiente a la duración inicial del contrato, sin impuesto sobre el valor añadido, ni en ningún caso del 10 por ciento de esa misma base</w:t>
            </w:r>
            <w:r>
              <w:rPr>
                <w:rFonts w:ascii="Georgia" w:cs="Georgia" w:eastAsia="Georgia" w:hAnsi="Georgia"/>
                <w:sz w:val="20"/>
                <w:szCs w:val="20"/>
              </w:rPr>
              <w:t xml:space="preserve">. Cuando el contrato prevea prórrogas, el cuadro de características indicará </w:t>
            </w:r>
            <w:r>
              <w:rPr>
                <w:rFonts w:ascii="Georgia" w:cs="Georgia" w:eastAsia="Georgia" w:hAnsi="Georgia"/>
                <w:b/>
                <w:bCs/>
                <w:sz w:val="20"/>
                <w:szCs w:val="20"/>
              </w:rPr>
              <w:t xml:space="preserve">expresamente si la bolsa se dota también para cada anualidad prorrogada y por qué importe</w:t>
            </w:r>
            <w:r>
              <w:rPr>
                <w:rFonts w:ascii="Georgia" w:cs="Georgia" w:eastAsia="Georgia" w:hAnsi="Georgia"/>
                <w:sz w:val="20"/>
                <w:szCs w:val="20"/>
              </w:rPr>
              <w:t xml:space="preserve">, calculado sobre la misma base y con el mismo porcentaje; el importe correspondiente a las prórrogas sólo se autoriza cuando la prórroga se acuerde. La suma de los importes máximos de todas las anualidades se consigna en el cuadro de características, </w:t>
            </w:r>
            <w:r>
              <w:rPr>
                <w:rFonts w:ascii="Georgia" w:cs="Georgia" w:eastAsia="Georgia" w:hAnsi="Georgia"/>
                <w:b/>
                <w:bCs/>
                <w:sz w:val="20"/>
                <w:szCs w:val="20"/>
              </w:rPr>
              <w:t xml:space="preserve">forma parte del presupuesto base de licitación</w:t>
            </w:r>
            <w:r>
              <w:rPr>
                <w:rFonts w:ascii="Georgia" w:cs="Georgia" w:eastAsia="Georgia" w:hAnsi="Georgia"/>
                <w:sz w:val="20"/>
                <w:szCs w:val="20"/>
              </w:rPr>
              <w:t xml:space="preserve"> —y, con él, del crédito que se autoriza— y </w:t>
            </w:r>
            <w:r>
              <w:rPr>
                <w:rFonts w:ascii="Georgia" w:cs="Georgia" w:eastAsia="Georgia" w:hAnsi="Georgia"/>
                <w:b/>
                <w:bCs/>
                <w:sz w:val="20"/>
                <w:szCs w:val="20"/>
              </w:rPr>
              <w:t xml:space="preserve">se computa en el valor estimado del contrato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Los del perfil base ([5] % del PBL, nunca más del 10 %; Anexo X, fila 19). Advertencia propia de estas plataformas: la clase (iv) del catálogo cerrado —adaptación de la parametrización a cambios organizativos o normativos— roza lo que el mantenimiento ya cubre, y el informe de necesidad separa corrección, adaptación normativa y capacidades nuevas para no pagar dos veces (Anexo III, ap. 6).</w:t>
      </w:r>
    </w:p>
    <w:p>
      <w:pPr>
        <w:pStyle w:val="Heading3"/>
        <w:keepNext/>
        <w:spacing w:after="140" w:before="320"/>
      </w:pPr>
      <w:r>
        <w:rPr>
          <w:rFonts w:ascii="Georgia" w:cs="Georgia" w:eastAsia="Georgia" w:hAnsi="Georgia"/>
          <w:b/>
          <w:bCs/>
          <w:color w:val="2F5496"/>
          <w:sz w:val="22"/>
          <w:szCs w:val="22"/>
        </w:rPr>
        <w:t xml:space="preserve">ADM-2·v3 · Evolución tecnológica determinada — CONDICIONAL</w:t>
      </w:r>
    </w:p>
    <w:p>
      <w:pPr>
        <w:spacing w:after="140" w:line="276"/>
      </w:pPr>
      <w:r>
        <w:rPr>
          <w:rFonts w:ascii="Calibri" w:cs="Calibri" w:eastAsia="Calibri" w:hAnsi="Calibri"/>
          <w:i/>
          <w:iCs/>
          <w:sz w:val="21"/>
          <w:szCs w:val="21"/>
        </w:rPr>
        <w:t xml:space="preserve">Texto vigente de ADM-2·v3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Evolución tecnológica determinada.</w:t>
            </w:r>
          </w:p>
          <w:p>
            <w:pPr>
              <w:spacing w:after="100" w:line="264"/>
            </w:pPr>
            <w:r>
              <w:rPr>
                <w:rFonts w:ascii="Georgia" w:cs="Georgia" w:eastAsia="Georgia" w:hAnsi="Georgia"/>
                <w:b/>
                <w:bCs/>
                <w:sz w:val="20"/>
                <w:szCs w:val="20"/>
              </w:rPr>
              <w:t xml:space="preserve">1. Amparo y vinculación al objeto.</w:t>
            </w:r>
            <w:r>
              <w:rPr>
                <w:rFonts w:ascii="Georgia" w:cs="Georgia" w:eastAsia="Georgia" w:hAnsi="Georgia"/>
                <w:sz w:val="20"/>
                <w:szCs w:val="20"/>
              </w:rPr>
              <w:t xml:space="preserve"> Al amparo de los artículos 202.1 y 202.2 de la Ley 9/2017, de Contratos del Sector Público, que admiten expresamente las condiciones especiales de ejecución relacionadas con la innovación, se establece la obligación del contratista de mantener la solución objeto del contrato en las condiciones funcionales, de seguridad y de interoperabilidad determinadas en 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versión [·] de [fecha], que se transcribe en el Pliego de Prescripciones Técnicas y forma parte del objeto del contrato. La condición está vinculada al objeto del contrato en el sentido del artículo 145.6 de la misma ley y se ejecuta durante el cumplimiento de la prestación contratada.</w:t>
            </w:r>
          </w:p>
          <w:p>
            <w:pPr>
              <w:spacing w:after="100" w:line="264"/>
            </w:pPr>
            <w:r>
              <w:rPr>
                <w:rFonts w:ascii="Georgia" w:cs="Georgia" w:eastAsia="Georgia" w:hAnsi="Georgia"/>
                <w:b/>
                <w:bCs/>
                <w:sz w:val="20"/>
                <w:szCs w:val="20"/>
              </w:rPr>
              <w:t xml:space="preserve">2. Alcance cerrado y regla de agotamiento.</w:t>
            </w:r>
            <w:r>
              <w:rPr>
                <w:rFonts w:ascii="Georgia" w:cs="Georgia" w:eastAsia="Georgia" w:hAnsi="Georgia"/>
                <w:sz w:val="20"/>
                <w:szCs w:val="20"/>
              </w:rPr>
              <w:t xml:space="preserve"> La obligación se agota en las exigencias enumeradas en el Anexo de Exigencias Tecnológicas Determinadas transcrito en este pliego. </w:t>
            </w:r>
            <w:r>
              <w:rPr>
                <w:rFonts w:ascii="Georgia" w:cs="Georgia" w:eastAsia="Georgia" w:hAnsi="Georgia"/>
                <w:b/>
                <w:bCs/>
                <w:sz w:val="20"/>
                <w:szCs w:val="20"/>
              </w:rPr>
              <w:t xml:space="preserve">Fuera de ese Anexo no existe obligación de evolución exigible al amparo de esta cláusula.</w:t>
            </w:r>
            <w:r>
              <w:rPr>
                <w:rFonts w:ascii="Georgia" w:cs="Georgia" w:eastAsia="Georgia" w:hAnsi="Georgia"/>
                <w:sz w:val="20"/>
                <w:szCs w:val="20"/>
              </w:rPr>
              <w:t xml:space="preserve"> Las prestaciones no previstas en él se tramitarán, en su caso, como modificación del contrato conforme a los artículos 203 y 204 de la Ley 9/2017 y a la cláusula de modificación prevista de este pliego, si se ha incorporado, o se atenderán en una licitación posterior.</w:t>
            </w:r>
          </w:p>
          <w:p>
            <w:pPr>
              <w:spacing w:after="100" w:line="264"/>
            </w:pPr>
            <w:r>
              <w:rPr>
                <w:rFonts w:ascii="Georgia" w:cs="Georgia" w:eastAsia="Georgia" w:hAnsi="Georgia"/>
                <w:b/>
                <w:bCs/>
                <w:sz w:val="20"/>
                <w:szCs w:val="20"/>
              </w:rPr>
              <w:t xml:space="preserve">3. Invariabilidad.</w:t>
            </w:r>
            <w:r>
              <w:rPr>
                <w:rFonts w:ascii="Georgia" w:cs="Georgia" w:eastAsia="Georgia" w:hAnsi="Georgia"/>
                <w:sz w:val="20"/>
                <w:szCs w:val="20"/>
              </w:rPr>
              <w:t xml:space="preserve"> El contenido del Anexo transcrito permanece invariable durante toda la vigencia del contrato y de sus prórrogas. Las revisiones posteriores del Anexo que apruebe el Ayuntamiento </w:t>
            </w:r>
            <w:r>
              <w:rPr>
                <w:rFonts w:ascii="Georgia" w:cs="Georgia" w:eastAsia="Georgia" w:hAnsi="Georgia"/>
                <w:b/>
                <w:bCs/>
                <w:sz w:val="20"/>
                <w:szCs w:val="20"/>
              </w:rPr>
              <w:t xml:space="preserve">no serán exigibles a este contrato</w:t>
            </w:r>
            <w:r>
              <w:rPr>
                <w:rFonts w:ascii="Georgia" w:cs="Georgia" w:eastAsia="Georgia" w:hAnsi="Georgia"/>
                <w:sz w:val="20"/>
                <w:szCs w:val="20"/>
              </w:rPr>
              <w:t xml:space="preserve">. Queda excluida toda remisión a versiones futuras del Anexo.</w:t>
            </w:r>
          </w:p>
          <w:p>
            <w:pPr>
              <w:spacing w:after="100" w:line="264"/>
            </w:pPr>
            <w:r>
              <w:rPr>
                <w:rFonts w:ascii="Georgia" w:cs="Georgia" w:eastAsia="Georgia" w:hAnsi="Georgia"/>
                <w:b/>
                <w:bCs/>
                <w:sz w:val="20"/>
                <w:szCs w:val="20"/>
              </w:rPr>
              <w:t xml:space="preserve">4. Retribución.</w:t>
            </w:r>
            <w:r>
              <w:rPr>
                <w:rFonts w:ascii="Georgia" w:cs="Georgia" w:eastAsia="Georgia" w:hAnsi="Georgia"/>
                <w:sz w:val="20"/>
                <w:szCs w:val="20"/>
              </w:rPr>
              <w:t xml:space="preserve"> Las exigencias del Anexo forman parte del alcance ordinario del contrato y se entienden retribuidas con el precio ofertado, sin que su cumplimiento dé lugar a facturación adicional ni requiera modificación contractual.</w:t>
            </w:r>
          </w:p>
          <w:p>
            <w:pPr>
              <w:spacing w:after="100" w:line="264"/>
            </w:pPr>
            <w:r>
              <w:rPr>
                <w:rFonts w:ascii="Georgia" w:cs="Georgia" w:eastAsia="Georgia" w:hAnsi="Georgia"/>
                <w:b/>
                <w:bCs/>
                <w:sz w:val="20"/>
                <w:szCs w:val="20"/>
              </w:rPr>
              <w:t xml:space="preserve">5. Plazos.</w:t>
            </w:r>
            <w:r>
              <w:rPr>
                <w:rFonts w:ascii="Georgia" w:cs="Georgia" w:eastAsia="Georgia" w:hAnsi="Georgia"/>
                <w:sz w:val="20"/>
                <w:szCs w:val="20"/>
              </w:rPr>
              <w:t xml:space="preserve"> Cada exigencia del Anexo se cumplirá en el plazo que el propio Anexo establezca para ella, contado desde la formalización del contrato o, si fuera posterior, desde la puesta en producción del módulo al que se refiera. No podrán fijarse durante la ejecución plazos distintos de los del Anexo. Se admitirá la ampliación del plazo cuando el contratista acredite imposibilidad técnica objetiva mediante documentación del fabricante y el órgano de contratación la acepte de forma motivada.</w:t>
            </w:r>
          </w:p>
          <w:p>
            <w:pPr>
              <w:spacing w:after="100" w:line="264"/>
            </w:pPr>
            <w:r>
              <w:rPr>
                <w:rFonts w:ascii="Georgia" w:cs="Georgia" w:eastAsia="Georgia" w:hAnsi="Georgia"/>
                <w:b/>
                <w:bCs/>
                <w:sz w:val="20"/>
                <w:szCs w:val="20"/>
              </w:rPr>
              <w:t xml:space="preserve">6. Acceso a versiones sucesoras.</w:t>
            </w:r>
            <w:r>
              <w:rPr>
                <w:rFonts w:ascii="Georgia" w:cs="Georgia" w:eastAsia="Georgia" w:hAnsi="Georgia"/>
                <w:sz w:val="20"/>
                <w:szCs w:val="20"/>
              </w:rPr>
              <w:t xml:space="preserve"> Durante la vigencia del contrato y de sus prórrogas, el contratista:</w:t>
            </w:r>
          </w:p>
          <w:p>
            <w:pPr>
              <w:spacing w:after="100" w:line="264"/>
            </w:pPr>
            <w:r>
              <w:rPr>
                <w:rFonts w:ascii="Georgia" w:cs="Georgia" w:eastAsia="Georgia" w:hAnsi="Georgia"/>
                <w:sz w:val="20"/>
                <w:szCs w:val="20"/>
              </w:rPr>
              <w:t xml:space="preserve">a) Comunicará al responsable del contrato la publicación de cada versión sucesora del producto contratado, en el plazo de [X; el mismo que fije la cláusula DT-9, apartado 7, del pliego de prescripciones técnicas; se recomienda 30] días naturales desde su disponibilidad general.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Pondrá a disposición del Ayuntamiento, sin coste adicional, las versiones sucesoras que el fabricante publique</w:t>
            </w:r>
            <w:r>
              <w:rPr>
                <w:rFonts w:ascii="Georgia" w:cs="Georgia" w:eastAsia="Georgia" w:hAnsi="Georgia"/>
                <w:sz w:val="20"/>
                <w:szCs w:val="20"/>
              </w:rPr>
              <w:t xml:space="preserve"> y a las que el contratista tenga acceso en virtud de su propia relación con el fabricante.</w:t>
            </w:r>
          </w:p>
          <w:p>
            <w:pPr>
              <w:spacing w:after="100" w:line="264"/>
            </w:pPr>
            <w:r>
              <w:rPr>
                <w:rFonts w:ascii="Georgia" w:cs="Georgia" w:eastAsia="Georgia" w:hAnsi="Georgia"/>
                <w:sz w:val="20"/>
                <w:szCs w:val="20"/>
              </w:rPr>
              <w:t xml:space="preserve">c) Incluirá en el Plan Anual la previsión de implantación de cada versión sucesora puesta a disposición, y la implantará en el plazo que en él se apruebe. Se considerará </w:t>
            </w:r>
            <w:r>
              <w:rPr>
                <w:rFonts w:ascii="Georgia" w:cs="Georgia" w:eastAsia="Georgia" w:hAnsi="Georgia"/>
                <w:b/>
                <w:bCs/>
                <w:sz w:val="20"/>
                <w:szCs w:val="20"/>
              </w:rPr>
              <w:t xml:space="preserve">versión sucesora</w:t>
            </w:r>
            <w:r>
              <w:rPr>
                <w:rFonts w:ascii="Georgia" w:cs="Georgia" w:eastAsia="Georgia" w:hAnsi="Georgia"/>
                <w:sz w:val="20"/>
                <w:szCs w:val="20"/>
              </w:rPr>
              <w:t xml:space="preserve">,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b/>
                <w:bCs/>
                <w:sz w:val="20"/>
                <w:szCs w:val="20"/>
              </w:rPr>
              <w:t xml:space="preserve">Esta obligación no comporta compromiso alguno sobre la magnitud o el contenido de la evolución del producto.</w:t>
            </w:r>
            <w:r>
              <w:rPr>
                <w:rFonts w:ascii="Georgia" w:cs="Georgia" w:eastAsia="Georgia" w:hAnsi="Georgia"/>
                <w:sz w:val="20"/>
                <w:szCs w:val="20"/>
              </w:rPr>
              <w:t xml:space="preserve"> Si el fabricante no publica versiones sucesoras, no nace obligación alguna a cargo del contratista por este apartado, ni se produce incumplimiento. Cuando el contratista no sea el fabricante y éste le deniegue el acceso, el contratista quedará exonerado acreditando documentalmente la denegación.</w:t>
            </w:r>
          </w:p>
          <w:p>
            <w:pPr>
              <w:spacing w:after="100" w:line="264"/>
            </w:pPr>
            <w:r>
              <w:rPr>
                <w:rFonts w:ascii="Georgia" w:cs="Georgia" w:eastAsia="Georgia" w:hAnsi="Georgia"/>
                <w:b/>
                <w:bCs/>
                <w:sz w:val="20"/>
                <w:szCs w:val="20"/>
              </w:rPr>
              <w:t xml:space="preserve">7. Acreditación del cumplimiento.</w:t>
            </w:r>
            <w:r>
              <w:rPr>
                <w:rFonts w:ascii="Georgia" w:cs="Georgia" w:eastAsia="Georgia" w:hAnsi="Georgia"/>
                <w:sz w:val="20"/>
                <w:szCs w:val="20"/>
              </w:rPr>
              <w:t xml:space="preserve"> El cumplimiento de cada exigencia del Anexo y de las obligaciones del apartado 6 se acreditará, exclusivamente, por los siguientes medios:</w:t>
            </w:r>
          </w:p>
          <w:p>
            <w:pPr>
              <w:spacing w:after="100" w:line="264"/>
            </w:pPr>
            <w:r>
              <w:rPr>
                <w:rFonts w:ascii="Georgia" w:cs="Georgia" w:eastAsia="Georgia" w:hAnsi="Georgia"/>
                <w:sz w:val="20"/>
                <w:szCs w:val="20"/>
              </w:rPr>
              <w:t xml:space="preserve">a) Acta de la prueba de aceptación ejecutada por los servicios municipales sobre el entorno de pruebas, conforme a los criterios de aceptación del Anexo.</w:t>
            </w:r>
          </w:p>
          <w:p>
            <w:pPr>
              <w:spacing w:after="100" w:line="264"/>
            </w:pPr>
            <w:r>
              <w:rPr>
                <w:rFonts w:ascii="Georgia" w:cs="Georgia" w:eastAsia="Georgia" w:hAnsi="Georgia"/>
                <w:sz w:val="20"/>
                <w:szCs w:val="20"/>
              </w:rPr>
              <w:t xml:space="preserve">b) Certificado o nota técnica del fabricante, cuando la exigencia dependa de una capacidad del producto base.</w:t>
            </w:r>
          </w:p>
          <w:p>
            <w:pPr>
              <w:spacing w:after="100" w:line="264"/>
            </w:pPr>
            <w:r>
              <w:rPr>
                <w:rFonts w:ascii="Georgia" w:cs="Georgia" w:eastAsia="Georgia" w:hAnsi="Georgia"/>
                <w:sz w:val="20"/>
                <w:szCs w:val="20"/>
              </w:rPr>
              <w:t xml:space="preserve">c) Acta de despliegue verificado en el entorno de preproducción municipal.</w:t>
            </w:r>
          </w:p>
          <w:p>
            <w:pPr>
              <w:spacing w:after="100" w:line="264"/>
            </w:pPr>
            <w:r>
              <w:rPr>
                <w:rFonts w:ascii="Georgia" w:cs="Georgia" w:eastAsia="Georgia" w:hAnsi="Georgia"/>
                <w:sz w:val="20"/>
                <w:szCs w:val="20"/>
              </w:rPr>
              <w:t xml:space="preserve">d) Acta de la Comisión de Seguimiento en la que se recoja lo anterior.</w:t>
            </w:r>
          </w:p>
          <w:p>
            <w:pPr>
              <w:spacing w:after="100" w:line="264"/>
            </w:pPr>
            <w:r>
              <w:rPr>
                <w:rFonts w:ascii="Georgia" w:cs="Georgia" w:eastAsia="Georgia" w:hAnsi="Georgia"/>
                <w:sz w:val="20"/>
                <w:szCs w:val="20"/>
              </w:rPr>
              <w:t xml:space="preserve">e) Depósito de las evidencias en el repositorio documental del contrato.</w:t>
            </w:r>
          </w:p>
          <w:p>
            <w:pPr>
              <w:spacing w:after="100" w:line="264"/>
            </w:pPr>
            <w:r>
              <w:rPr>
                <w:rFonts w:ascii="Georgia" w:cs="Georgia" w:eastAsia="Georgia" w:hAnsi="Georgia"/>
                <w:b/>
                <w:bCs/>
                <w:sz w:val="20"/>
                <w:szCs w:val="20"/>
              </w:rPr>
              <w:t xml:space="preserve">La ausencia de estos medios no podrá suplirse por apreciación discrecional del órgano de contratación.</w:t>
            </w:r>
          </w:p>
          <w:p>
            <w:pPr>
              <w:spacing w:after="100" w:line="264"/>
            </w:pPr>
            <w:r>
              <w:rPr>
                <w:rFonts w:ascii="Georgia" w:cs="Georgia" w:eastAsia="Georgia" w:hAnsi="Georgia"/>
                <w:b/>
                <w:bCs/>
                <w:sz w:val="20"/>
                <w:szCs w:val="20"/>
              </w:rPr>
              <w:t xml:space="preserve">8. Naturaleza y consecuencias.</w:t>
            </w:r>
            <w:r>
              <w:rPr>
                <w:rFonts w:ascii="Georgia" w:cs="Georgia" w:eastAsia="Georgia" w:hAnsi="Georgia"/>
                <w:sz w:val="20"/>
                <w:szCs w:val="20"/>
              </w:rPr>
              <w:t xml:space="preserve"> El incumplimiento de esta condición especial de ejecución dará lugar a las penalidades tipificadas en la cláusula de penalidades de este pliego. Tendrá además carácter de obligación contractual esencial, a los efectos del artículo 211.1.f) de la Ley 9/2017, </w:t>
            </w:r>
            <w:r>
              <w:rPr>
                <w:rFonts w:ascii="Georgia" w:cs="Georgia" w:eastAsia="Georgia" w:hAnsi="Georgia"/>
                <w:b/>
                <w:bCs/>
                <w:sz w:val="20"/>
                <w:szCs w:val="20"/>
              </w:rPr>
              <w:t xml:space="preserve">únicamente en los supuestos y con las condiciones expresamente enumerados en la cláusula de obligaciones esenciales de este pliego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Los del perfil base, con DT-9 (ep. 7); su esencialidad (B.2) no se marca por defecto.</w:t>
      </w:r>
    </w:p>
    <w:p>
      <w:pPr>
        <w:pStyle w:val="Heading3"/>
        <w:keepNext/>
        <w:spacing w:after="140" w:before="320"/>
      </w:pPr>
      <w:r>
        <w:rPr>
          <w:rFonts w:ascii="Georgia" w:cs="Georgia" w:eastAsia="Georgia" w:hAnsi="Georgia"/>
          <w:b/>
          <w:bCs/>
          <w:color w:val="2F5496"/>
          <w:sz w:val="22"/>
          <w:szCs w:val="22"/>
        </w:rPr>
        <w:t xml:space="preserve">ADM-10·v3 · Plan Anual de Evolución Tecnológica — CONDICIONAL</w:t>
      </w:r>
    </w:p>
    <w:p>
      <w:pPr>
        <w:spacing w:after="140" w:line="276"/>
      </w:pPr>
      <w:r>
        <w:rPr>
          <w:rFonts w:ascii="Calibri" w:cs="Calibri" w:eastAsia="Calibri" w:hAnsi="Calibri"/>
          <w:i/>
          <w:iCs/>
          <w:sz w:val="21"/>
          <w:szCs w:val="21"/>
        </w:rPr>
        <w:t xml:space="preserve">Texto vigente de ADM-10·v3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Plan Anual de Evolución Tecnológica.</w:t>
            </w:r>
          </w:p>
          <w:p>
            <w:pPr>
              <w:pStyle w:val="ListParagraph"/>
              <w:numPr>
                <w:ilvl w:val="0"/>
                <w:numId w:val="2"/>
              </w:numPr>
              <w:spacing w:after="60" w:line="264"/>
            </w:pPr>
            <w:r>
              <w:rPr>
                <w:rFonts w:ascii="Georgia" w:cs="Georgia" w:eastAsia="Georgia" w:hAnsi="Georgia"/>
                <w:b/>
                <w:bCs/>
                <w:sz w:val="20"/>
                <w:szCs w:val="20"/>
              </w:rPr>
              <w:t xml:space="preserve">Objeto y naturaleza.</w:t>
            </w:r>
            <w:r>
              <w:rPr>
                <w:rFonts w:ascii="Georgia" w:cs="Georgia" w:eastAsia="Georgia" w:hAnsi="Georgia"/>
                <w:sz w:val="20"/>
                <w:szCs w:val="20"/>
              </w:rPr>
              <w:t xml:space="preserve"> El adjudicatario presentará y mantendrá actualizado un Plan Anual de Evolución Tecnológica, cuyo alcance se agota en las exigencias del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incorporado a este contrato y en las obligaciones de mantenimiento y soporte del pliego de prescripciones técnicas. El Plan es un instrumento de seguimiento: </w:t>
            </w:r>
            <w:r>
              <w:rPr>
                <w:rFonts w:ascii="Georgia" w:cs="Georgia" w:eastAsia="Georgia" w:hAnsi="Georgia"/>
                <w:b/>
                <w:bCs/>
                <w:sz w:val="20"/>
                <w:szCs w:val="20"/>
              </w:rPr>
              <w:t xml:space="preserve">no crea obligaciones distintas de las contenidas en dicho Anexo y en el pliego de prescripciones técnicas</w:t>
            </w:r>
            <w:r>
              <w:rPr>
                <w:rFonts w:ascii="Georgia" w:cs="Georgia" w:eastAsia="Georgia" w:hAnsi="Georgia"/>
                <w:sz w:val="20"/>
                <w:szCs w:val="20"/>
              </w:rPr>
              <w:t xml:space="preserve">, ni amplía el objeto del contrato.</w:t>
            </w:r>
          </w:p>
          <w:p>
            <w:pPr>
              <w:pStyle w:val="ListParagraph"/>
              <w:numPr>
                <w:ilvl w:val="0"/>
                <w:numId w:val="2"/>
              </w:numPr>
              <w:spacing w:after="60" w:line="264"/>
            </w:pPr>
            <w:r>
              <w:rPr>
                <w:rFonts w:ascii="Georgia" w:cs="Georgia" w:eastAsia="Georgia" w:hAnsi="Georgia"/>
                <w:b/>
                <w:bCs/>
                <w:sz w:val="20"/>
                <w:szCs w:val="20"/>
              </w:rPr>
              <w:t xml:space="preserve">Contenido.</w:t>
            </w:r>
            <w:r>
              <w:rPr>
                <w:rFonts w:ascii="Georgia" w:cs="Georgia" w:eastAsia="Georgia" w:hAnsi="Georgia"/>
                <w:sz w:val="20"/>
                <w:szCs w:val="20"/>
              </w:rPr>
              <w:t xml:space="preserve"> El Plan contendrá, y sólo:</w:t>
            </w:r>
          </w:p>
          <w:p>
            <w:pPr>
              <w:spacing w:after="100" w:line="264"/>
            </w:pPr>
            <w:r>
              <w:rPr>
                <w:rFonts w:ascii="Georgia" w:cs="Georgia" w:eastAsia="Georgia" w:hAnsi="Georgia"/>
                <w:sz w:val="20"/>
                <w:szCs w:val="20"/>
              </w:rPr>
              <w:t xml:space="preserve">a) el calendario de implantación de cada una de las exigencias del Anexo de Exigencias Tecnológicas incorporado a este contrato, con la fecha comprometida para cada una;</w:t>
            </w:r>
          </w:p>
          <w:p>
            <w:pPr>
              <w:spacing w:after="100" w:line="264"/>
            </w:pPr>
            <w:r>
              <w:rPr>
                <w:rFonts w:ascii="Georgia" w:cs="Georgia" w:eastAsia="Georgia" w:hAnsi="Georgia"/>
                <w:sz w:val="20"/>
                <w:szCs w:val="20"/>
              </w:rPr>
              <w:t xml:space="preserve">b) el compromiso de poner a disposición del Ayuntamiento, sin coste adicional durante la vigencia del contrato y de sus prórrogas, </w:t>
            </w:r>
            <w:r>
              <w:rPr>
                <w:rFonts w:ascii="Georgia" w:cs="Georgia" w:eastAsia="Georgia" w:hAnsi="Georgia"/>
                <w:b/>
                <w:bCs/>
                <w:sz w:val="20"/>
                <w:szCs w:val="20"/>
              </w:rPr>
              <w:t xml:space="preserve">las versiones sucesoras del producto contratado</w:t>
            </w:r>
            <w:r>
              <w:rPr>
                <w:rFonts w:ascii="Georgia" w:cs="Georgia" w:eastAsia="Georgia" w:hAnsi="Georgia"/>
                <w:sz w:val="20"/>
                <w:szCs w:val="20"/>
              </w:rPr>
              <w:t xml:space="preserve">. Se entenderá por versión sucesora,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sz w:val="20"/>
                <w:szCs w:val="20"/>
              </w:rPr>
              <w:t xml:space="preserve">c) la relación de versiones del producto y de sus componentes en soporte a la fecha del Plan, con la fecha de fin de soporte declarada por el fabricante para cada una;</w:t>
            </w:r>
          </w:p>
          <w:p>
            <w:pPr>
              <w:spacing w:after="100" w:line="264"/>
            </w:pPr>
            <w:r>
              <w:rPr>
                <w:rFonts w:ascii="Georgia" w:cs="Georgia" w:eastAsia="Georgia" w:hAnsi="Georgia"/>
                <w:sz w:val="20"/>
                <w:szCs w:val="20"/>
              </w:rPr>
              <w:t xml:space="preserve">d) los hitos que el adjudicatario propone someter a </w:t>
            </w:r>
            <w:r>
              <w:rPr>
                <w:rFonts w:ascii="Georgia" w:cs="Georgia" w:eastAsia="Georgia" w:hAnsi="Georgia"/>
                <w:b/>
                <w:bCs/>
                <w:sz w:val="20"/>
                <w:szCs w:val="20"/>
              </w:rPr>
              <w:t xml:space="preserve">aprobación expresa</w:t>
            </w:r>
            <w:r>
              <w:rPr>
                <w:rFonts w:ascii="Georgia" w:cs="Georgia" w:eastAsia="Georgia" w:hAnsi="Georgia"/>
                <w:sz w:val="20"/>
                <w:szCs w:val="20"/>
              </w:rPr>
              <w:t xml:space="preserve"> del órgano de contratación, con la fecha cierta propuesta para cada uno;</w:t>
            </w:r>
          </w:p>
          <w:p>
            <w:pPr>
              <w:spacing w:after="100" w:line="264"/>
            </w:pPr>
            <w:r>
              <w:rPr>
                <w:rFonts w:ascii="Georgia" w:cs="Georgia" w:eastAsia="Georgia" w:hAnsi="Georgia"/>
                <w:sz w:val="20"/>
                <w:szCs w:val="20"/>
              </w:rPr>
              <w:t xml:space="preserve">e) los indicadores objetivos de seguimiento, con su método de medición y su fuente;</w:t>
            </w:r>
          </w:p>
          <w:p>
            <w:pPr>
              <w:spacing w:after="100" w:line="264"/>
            </w:pPr>
            <w:r>
              <w:rPr>
                <w:rFonts w:ascii="Georgia" w:cs="Georgia" w:eastAsia="Georgia" w:hAnsi="Georgia"/>
                <w:sz w:val="20"/>
                <w:szCs w:val="20"/>
              </w:rPr>
              <w:t xml:space="preserve">f) cuando este contrato incorpore la bolsa de servicios evolutivos de la cláusula [ADM-3], el estado de consumo de la bolsa en el ejercicio, desglosado por perfil profesional del Cuadro de Precios Unitarios y por clase de petición de servicio, y el saldo no consumido.</w:t>
            </w:r>
          </w:p>
          <w:p>
            <w:pPr>
              <w:pStyle w:val="ListParagraph"/>
              <w:numPr>
                <w:ilvl w:val="0"/>
                <w:numId w:val="2"/>
              </w:numPr>
              <w:spacing w:after="60" w:line="264"/>
            </w:pPr>
            <w:r>
              <w:rPr>
                <w:rFonts w:ascii="Georgia" w:cs="Georgia" w:eastAsia="Georgia" w:hAnsi="Georgia"/>
                <w:b/>
                <w:bCs/>
                <w:sz w:val="20"/>
                <w:szCs w:val="20"/>
              </w:rPr>
              <w:t xml:space="preserve">Presentación y aprobación.</w:t>
            </w:r>
            <w:r>
              <w:rPr>
                <w:rFonts w:ascii="Georgia" w:cs="Georgia" w:eastAsia="Georgia" w:hAnsi="Georgia"/>
                <w:sz w:val="20"/>
                <w:szCs w:val="20"/>
              </w:rPr>
              <w:t xml:space="preserve"> El primer Plan se presentará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del contrato, y se actualizará dentro de los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siguientes al inicio de cada anualidad. El órgano de contratación, previo informe del responsable del contrato, aprobará expresamente </w:t>
            </w:r>
            <w:r>
              <w:rPr>
                <w:rFonts w:ascii="Georgia" w:cs="Georgia" w:eastAsia="Georgia" w:hAnsi="Georgia"/>
                <w:b/>
                <w:bCs/>
                <w:sz w:val="20"/>
                <w:szCs w:val="20"/>
              </w:rPr>
              <w:t xml:space="preserve">los hitos del apartado 2.d)</w:t>
            </w:r>
            <w:r>
              <w:rPr>
                <w:rFonts w:ascii="Georgia" w:cs="Georgia" w:eastAsia="Georgia" w:hAnsi="Georgia"/>
                <w:sz w:val="20"/>
                <w:szCs w:val="20"/>
              </w:rPr>
              <w:t xml:space="preserve"> que asuma, con su fecha cierta, mediante acta de la Comisión de Seguimiento. </w:t>
            </w:r>
            <w:r>
              <w:rPr>
                <w:rFonts w:ascii="Georgia" w:cs="Georgia" w:eastAsia="Georgia" w:hAnsi="Georgia"/>
                <w:b/>
                <w:bCs/>
                <w:sz w:val="20"/>
                <w:szCs w:val="20"/>
              </w:rPr>
              <w:t xml:space="preserve">Sólo los hitos así aprobados, con fecha cierta en acta, pueden tener carácter esencial</w:t>
            </w:r>
            <w:r>
              <w:rPr>
                <w:rFonts w:ascii="Georgia" w:cs="Georgia" w:eastAsia="Georgia" w:hAnsi="Georgia"/>
                <w:sz w:val="20"/>
                <w:szCs w:val="20"/>
              </w:rPr>
              <w:t xml:space="preserve">, y sólo si el cuadro de características marca la casilla correspondiente de la cláusula [ADM-6], bloque B.2. El resto del contenido del Plan no tiene carácter esencial.</w:t>
            </w:r>
          </w:p>
          <w:p>
            <w:pPr>
              <w:pStyle w:val="ListParagraph"/>
              <w:numPr>
                <w:ilvl w:val="0"/>
                <w:numId w:val="2"/>
              </w:numPr>
              <w:spacing w:after="60" w:line="264"/>
            </w:pPr>
            <w:r>
              <w:rPr>
                <w:rFonts w:ascii="Georgia" w:cs="Georgia" w:eastAsia="Georgia" w:hAnsi="Georgia"/>
                <w:b/>
                <w:bCs/>
                <w:sz w:val="20"/>
                <w:szCs w:val="20"/>
              </w:rPr>
              <w:t xml:space="preserve">Comunicación de versiones sucesoras.</w:t>
            </w:r>
            <w:r>
              <w:rPr>
                <w:rFonts w:ascii="Georgia" w:cs="Georgia" w:eastAsia="Georgia" w:hAnsi="Georgia"/>
                <w:sz w:val="20"/>
                <w:szCs w:val="20"/>
              </w:rPr>
              <w:t xml:space="preserve"> El adjudicatario comunicará al Ayuntamiento la publicación de cada versión sucesora en el plazo de </w:t>
            </w:r>
            <w:r>
              <w:rPr>
                <w:rFonts w:ascii="Georgia" w:cs="Georgia" w:eastAsia="Georgia" w:hAnsi="Georgia"/>
                <w:b/>
                <w:bCs/>
                <w:sz w:val="20"/>
                <w:szCs w:val="20"/>
              </w:rPr>
              <w:t xml:space="preserve">[X; el mismo que fije la cláusula DT-9, apartado 7, del pliego de prescripciones técnicas; se recomienda 30] días naturales</w:t>
            </w:r>
            <w:r>
              <w:rPr>
                <w:rFonts w:ascii="Georgia" w:cs="Georgia" w:eastAsia="Georgia" w:hAnsi="Georgia"/>
                <w:sz w:val="20"/>
                <w:szCs w:val="20"/>
              </w:rPr>
              <w:t xml:space="preserve"> desde su disponibilidad general, acompañando la documentación del fabricante que acredite cualquiera de los tres criterios del apartado 2.b).</w:t>
            </w:r>
          </w:p>
          <w:p>
            <w:pPr>
              <w:pStyle w:val="ListParagraph"/>
              <w:numPr>
                <w:ilvl w:val="0"/>
                <w:numId w:val="2"/>
              </w:numPr>
              <w:spacing w:after="60" w:line="264"/>
            </w:pPr>
            <w:r>
              <w:rPr>
                <w:rFonts w:ascii="Georgia" w:cs="Georgia" w:eastAsia="Georgia" w:hAnsi="Georgia"/>
                <w:b/>
                <w:bCs/>
                <w:sz w:val="20"/>
                <w:szCs w:val="20"/>
              </w:rPr>
              <w:t xml:space="preserve">Límite.</w:t>
            </w:r>
            <w:r>
              <w:rPr>
                <w:rFonts w:ascii="Georgia" w:cs="Georgia" w:eastAsia="Georgia" w:hAnsi="Georgia"/>
                <w:sz w:val="20"/>
                <w:szCs w:val="20"/>
              </w:rPr>
              <w:t xml:space="preserve"> Ninguna previsión de este Plan podrá invocarse para exigir al adjudicatario prestaciones no comprendidas en el Anexo de Exigencias Tecnológicas incorporado a este contrato. Lo que exceda de dicho Anexo se tramitará, en su caso, por la vía de los artículos 203 y 204 de la LCSP o en la licitación siguiente.</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Los del perfil base, con el Anexo V (ep. 7). Modelo: Anexo XIV.</w:t>
      </w:r>
    </w:p>
    <w:p>
      <w:pPr>
        <w:pStyle w:val="Heading3"/>
        <w:keepNext/>
        <w:spacing w:after="140" w:before="320"/>
      </w:pPr>
      <w:r>
        <w:rPr>
          <w:rFonts w:ascii="Georgia" w:cs="Georgia" w:eastAsia="Georgia" w:hAnsi="Georgia"/>
          <w:b/>
          <w:bCs/>
          <w:color w:val="2F5496"/>
          <w:sz w:val="22"/>
          <w:szCs w:val="22"/>
        </w:rPr>
        <w:t xml:space="preserve">ADM-11·v3 · Depósito de código y continuidad — CONDICIONAL</w:t>
      </w:r>
    </w:p>
    <w:p>
      <w:pPr>
        <w:spacing w:after="140" w:line="276"/>
      </w:pPr>
      <w:r>
        <w:rPr>
          <w:rFonts w:ascii="Calibri" w:cs="Calibri" w:eastAsia="Calibri" w:hAnsi="Calibri"/>
          <w:i/>
          <w:iCs/>
          <w:sz w:val="21"/>
          <w:szCs w:val="21"/>
        </w:rPr>
        <w:t xml:space="preserve">Texto vigente de ADM-11·v3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Depósito de código y continuidad del servicio.</w:t>
            </w:r>
          </w:p>
          <w:p>
            <w:pPr>
              <w:pStyle w:val="ListParagraph"/>
              <w:numPr>
                <w:ilvl w:val="0"/>
                <w:numId w:val="2"/>
              </w:numPr>
              <w:spacing w:after="60" w:line="264"/>
            </w:pPr>
            <w:r>
              <w:rPr>
                <w:rFonts w:ascii="Georgia" w:cs="Georgia" w:eastAsia="Georgia" w:hAnsi="Georgia"/>
                <w:b/>
                <w:bCs/>
                <w:sz w:val="20"/>
                <w:szCs w:val="20"/>
              </w:rPr>
              <w:t xml:space="preserve">Ámbito.</w:t>
            </w:r>
            <w:r>
              <w:rPr>
                <w:rFonts w:ascii="Georgia" w:cs="Georgia" w:eastAsia="Georgia" w:hAnsi="Georgia"/>
                <w:sz w:val="20"/>
                <w:szCs w:val="20"/>
              </w:rPr>
              <w:t xml:space="preserve"> Esta cláusula sólo se incorpora cuando concurran </w:t>
            </w:r>
            <w:r>
              <w:rPr>
                <w:rFonts w:ascii="Georgia" w:cs="Georgia" w:eastAsia="Georgia" w:hAnsi="Georgia"/>
                <w:b/>
                <w:bCs/>
                <w:sz w:val="20"/>
                <w:szCs w:val="20"/>
              </w:rPr>
              <w:t xml:space="preserve">todas</w:t>
            </w:r>
            <w:r>
              <w:rPr>
                <w:rFonts w:ascii="Georgia" w:cs="Georgia" w:eastAsia="Georgia" w:hAnsi="Georgia"/>
                <w:sz w:val="20"/>
                <w:szCs w:val="20"/>
              </w:rPr>
              <w:t xml:space="preserve"> las circunstancias siguientes, acreditadas en la memoria justificativa del expediente:</w:t>
            </w:r>
          </w:p>
          <w:p>
            <w:pPr>
              <w:spacing w:after="100" w:line="264"/>
            </w:pPr>
            <w:r>
              <w:rPr>
                <w:rFonts w:ascii="Georgia" w:cs="Georgia" w:eastAsia="Georgia" w:hAnsi="Georgia"/>
                <w:sz w:val="20"/>
                <w:szCs w:val="20"/>
              </w:rPr>
              <w:t xml:space="preserve">a) que el sistema soportado tenga categoría </w:t>
            </w:r>
            <w:r>
              <w:rPr>
                <w:rFonts w:ascii="Georgia" w:cs="Georgia" w:eastAsia="Georgia" w:hAnsi="Georgia"/>
                <w:b/>
                <w:bCs/>
                <w:sz w:val="20"/>
                <w:szCs w:val="20"/>
              </w:rPr>
              <w:t xml:space="preserve">ALTA en la dimensión de disponibilidad</w:t>
            </w:r>
            <w:r>
              <w:rPr>
                <w:rFonts w:ascii="Georgia" w:cs="Georgia" w:eastAsia="Georgia" w:hAnsi="Georgia"/>
                <w:sz w:val="20"/>
                <w:szCs w:val="20"/>
              </w:rPr>
              <w:t xml:space="preserve"> conforme al anexo I del Real Decreto 311/2022;</w:t>
            </w:r>
          </w:p>
          <w:p>
            <w:pPr>
              <w:spacing w:after="100" w:line="264"/>
            </w:pPr>
            <w:r>
              <w:rPr>
                <w:rFonts w:ascii="Georgia" w:cs="Georgia" w:eastAsia="Georgia" w:hAnsi="Georgia"/>
                <w:sz w:val="20"/>
                <w:szCs w:val="20"/>
              </w:rPr>
              <w:t xml:space="preserve">b) que el valor estimado del contrato supere </w:t>
            </w:r>
            <w:r>
              <w:rPr>
                <w:rFonts w:ascii="Georgia" w:cs="Georgia" w:eastAsia="Georgia" w:hAnsi="Georgia"/>
                <w:b/>
                <w:bCs/>
                <w:sz w:val="20"/>
                <w:szCs w:val="20"/>
              </w:rPr>
              <w:t xml:space="preserve">[X; se recomienda 300.000] euros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c) que el objeto del contrato soporte alguno de los siguientes servicios: padrón, gestión tributaria, recaudación, contabilidad y patrimonio, gestión de expedientes o sede electrónica;</w:t>
            </w:r>
          </w:p>
          <w:p>
            <w:pPr>
              <w:spacing w:after="100" w:line="264"/>
            </w:pPr>
            <w:r>
              <w:rPr>
                <w:rFonts w:ascii="Georgia" w:cs="Georgia" w:eastAsia="Georgia" w:hAnsi="Georgia"/>
                <w:sz w:val="20"/>
                <w:szCs w:val="20"/>
              </w:rPr>
              <w:t xml:space="preserve">d) que el estudio de mercado del expediente acredite que </w:t>
            </w:r>
            <w:r>
              <w:rPr>
                <w:rFonts w:ascii="Georgia" w:cs="Georgia" w:eastAsia="Georgia" w:hAnsi="Georgia"/>
                <w:b/>
                <w:bCs/>
                <w:sz w:val="20"/>
                <w:szCs w:val="20"/>
              </w:rPr>
              <w:t xml:space="preserve">no existe en el mercado una solución alternativa que permita sustituir la contratada en un plazo inferior a [X; se recomienda 6] meses</w:t>
            </w:r>
            <w:r>
              <w:rPr>
                <w:rFonts w:ascii="Georgia" w:cs="Georgia" w:eastAsia="Georgia" w:hAnsi="Georgia"/>
                <w:sz w:val="20"/>
                <w:szCs w:val="20"/>
              </w:rPr>
              <w:t xml:space="preserve"> sin interrupción del servicio.</w:t>
            </w:r>
          </w:p>
          <w:p>
            <w:pPr>
              <w:spacing w:after="100" w:line="264"/>
            </w:pPr>
            <w:r>
              <w:rPr>
                <w:rFonts w:ascii="Georgia" w:cs="Georgia" w:eastAsia="Georgia" w:hAnsi="Georgia"/>
                <w:sz w:val="20"/>
                <w:szCs w:val="20"/>
              </w:rPr>
              <w:t xml:space="preserve">En defecto de cualquiera de ellas, esta cláusula se marcará como NO APLICA.</w:t>
            </w:r>
          </w:p>
          <w:p>
            <w:pPr>
              <w:pStyle w:val="ListParagraph"/>
              <w:numPr>
                <w:ilvl w:val="0"/>
                <w:numId w:val="2"/>
              </w:numPr>
              <w:spacing w:after="60" w:line="264"/>
            </w:pPr>
            <w:r>
              <w:rPr>
                <w:rFonts w:ascii="Georgia" w:cs="Georgia" w:eastAsia="Georgia" w:hAnsi="Georgia"/>
                <w:b/>
                <w:bCs/>
                <w:sz w:val="20"/>
                <w:szCs w:val="20"/>
              </w:rPr>
              <w:t xml:space="preserve">Contenido del depósito.</w:t>
            </w:r>
            <w:r>
              <w:rPr>
                <w:rFonts w:ascii="Georgia" w:cs="Georgia" w:eastAsia="Georgia" w:hAnsi="Georgia"/>
                <w:sz w:val="20"/>
                <w:szCs w:val="20"/>
              </w:rPr>
              <w:t xml:space="preserve"> El depósito comprenderá: el código fuente de la solución y de los desarrollos específicos; sus dependencias y </w:t>
            </w:r>
            <w:r>
              <w:rPr>
                <w:rFonts w:ascii="Georgia" w:cs="Georgia" w:eastAsia="Georgia" w:hAnsi="Georgia"/>
                <w:i/>
                <w:iCs/>
                <w:sz w:val="20"/>
                <w:szCs w:val="20"/>
              </w:rPr>
              <w:t xml:space="preserve">scripts</w:t>
            </w:r>
            <w:r>
              <w:rPr>
                <w:rFonts w:ascii="Georgia" w:cs="Georgia" w:eastAsia="Georgia" w:hAnsi="Georgia"/>
                <w:sz w:val="20"/>
                <w:szCs w:val="20"/>
              </w:rPr>
              <w:t xml:space="preserve"> de construcción; la infraestructura como código; el esquema de la base de datos y sus </w:t>
            </w:r>
            <w:r>
              <w:rPr>
                <w:rFonts w:ascii="Georgia" w:cs="Georgia" w:eastAsia="Georgia" w:hAnsi="Georgia"/>
                <w:i/>
                <w:iCs/>
                <w:sz w:val="20"/>
                <w:szCs w:val="20"/>
              </w:rPr>
              <w:t xml:space="preserve">scripts</w:t>
            </w:r>
            <w:r>
              <w:rPr>
                <w:rFonts w:ascii="Georgia" w:cs="Georgia" w:eastAsia="Georgia" w:hAnsi="Georgia"/>
                <w:sz w:val="20"/>
                <w:szCs w:val="20"/>
              </w:rPr>
              <w:t xml:space="preserve"> de migración; la documentación de construcción y despliegue; el procedimiento de gestión de credenciales —</w:t>
            </w:r>
            <w:r>
              <w:rPr>
                <w:rFonts w:ascii="Georgia" w:cs="Georgia" w:eastAsia="Georgia" w:hAnsi="Georgia"/>
                <w:b/>
                <w:bCs/>
                <w:sz w:val="20"/>
                <w:szCs w:val="20"/>
              </w:rPr>
              <w:t xml:space="preserve">nunca las credenciales</w:t>
            </w:r>
            <w:r>
              <w:rPr>
                <w:rFonts w:ascii="Georgia" w:cs="Georgia" w:eastAsia="Georgia" w:hAnsi="Georgia"/>
                <w:sz w:val="20"/>
                <w:szCs w:val="20"/>
              </w:rPr>
              <w:t xml:space="preserve">—; y las licencias de los componentes de terceros, con confirmación expresa de que amparan el escenario de continuidad previsto en esta cláusula.</w:t>
            </w:r>
          </w:p>
          <w:p>
            <w:pPr>
              <w:pStyle w:val="ListParagraph"/>
              <w:numPr>
                <w:ilvl w:val="0"/>
                <w:numId w:val="2"/>
              </w:numPr>
              <w:spacing w:after="60" w:line="264"/>
            </w:pPr>
            <w:r>
              <w:rPr>
                <w:rFonts w:ascii="Georgia" w:cs="Georgia" w:eastAsia="Georgia" w:hAnsi="Georgia"/>
                <w:b/>
                <w:bCs/>
                <w:sz w:val="20"/>
                <w:szCs w:val="20"/>
              </w:rPr>
              <w:t xml:space="preserve">Vías de cumplimiento.</w:t>
            </w:r>
            <w:r>
              <w:rPr>
                <w:rFonts w:ascii="Georgia" w:cs="Georgia" w:eastAsia="Georgia" w:hAnsi="Georgia"/>
                <w:sz w:val="20"/>
                <w:szCs w:val="20"/>
              </w:rPr>
              <w:t xml:space="preserve"> El adjudicatario acreditará el cumplimiento de esta cláusula por </w:t>
            </w:r>
            <w:r>
              <w:rPr>
                <w:rFonts w:ascii="Georgia" w:cs="Georgia" w:eastAsia="Georgia" w:hAnsi="Georgia"/>
                <w:b/>
                <w:bCs/>
                <w:sz w:val="20"/>
                <w:szCs w:val="20"/>
              </w:rPr>
              <w:t xml:space="preserve">cualquiera</w:t>
            </w:r>
            <w:r>
              <w:rPr>
                <w:rFonts w:ascii="Georgia" w:cs="Georgia" w:eastAsia="Georgia" w:hAnsi="Georgia"/>
                <w:sz w:val="20"/>
                <w:szCs w:val="20"/>
              </w:rPr>
              <w:t xml:space="preserve"> de las tres vías siguientes, a su elección, sin que ninguna de ellas se considere preferente: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Depósito propio</w:t>
            </w:r>
            <w:r>
              <w:rPr>
                <w:rFonts w:ascii="Georgia" w:cs="Georgia" w:eastAsia="Georgia" w:hAnsi="Georgia"/>
                <w:sz w:val="20"/>
                <w:szCs w:val="20"/>
              </w:rPr>
              <w:t xml:space="preserve">, cuando el adjudicatario sea titular de los derechos sobre la solución: constitución ante notario o entidad depositaria especializada, a favor del Ayuntamiento como beneficiario designado.</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Depósito de tercero</w:t>
            </w:r>
            <w:r>
              <w:rPr>
                <w:rFonts w:ascii="Georgia" w:cs="Georgia" w:eastAsia="Georgia" w:hAnsi="Georgia"/>
                <w:sz w:val="20"/>
                <w:szCs w:val="20"/>
              </w:rPr>
              <w:t xml:space="preserve">, cuando el titular sea el fabricante y este acepte voluntariamente participar: acuerdo tripartito entre fabricante, adjudicatario y Ayuntamiento; o bien acreditación, mediante certificado del depositario, de que existe un depósito ya constituido por el fabricante en el que el Ayuntamiento puede ser designado beneficiario. </w:t>
            </w:r>
            <w:r>
              <w:rPr>
                <w:rFonts w:ascii="Georgia" w:cs="Georgia" w:eastAsia="Georgia" w:hAnsi="Georgia"/>
                <w:b/>
                <w:bCs/>
                <w:sz w:val="20"/>
                <w:szCs w:val="20"/>
              </w:rPr>
              <w:t xml:space="preserve">Este pliego no impone obligación alguna al fabricante y no invoca a tal efecto el artículo 75 de la LCSP.</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Plan de continuidad equivalente</w:t>
            </w:r>
            <w:r>
              <w:rPr>
                <w:rFonts w:ascii="Georgia" w:cs="Georgia" w:eastAsia="Georgia" w:hAnsi="Georgia"/>
                <w:sz w:val="20"/>
                <w:szCs w:val="20"/>
              </w:rPr>
              <w:t xml:space="preserve">, cuando el adjudicatario no sea titular de los derechos y el fabricante no participe: acreditación documentada de que el Ayuntamiento podrá continuar operando la solución durante al menos </w:t>
            </w:r>
            <w:r>
              <w:rPr>
                <w:rFonts w:ascii="Georgia" w:cs="Georgia" w:eastAsia="Georgia" w:hAnsi="Georgia"/>
                <w:b/>
                <w:bCs/>
                <w:sz w:val="20"/>
                <w:szCs w:val="20"/>
              </w:rPr>
              <w:t xml:space="preserve">[X; se recomienda 12] meses</w:t>
            </w:r>
            <w:r>
              <w:rPr>
                <w:rFonts w:ascii="Georgia" w:cs="Georgia" w:eastAsia="Georgia" w:hAnsi="Georgia"/>
                <w:sz w:val="20"/>
                <w:szCs w:val="20"/>
              </w:rPr>
              <w:t xml:space="preserve"> sin intervención del adjudicatario ni del fabricante, mediante la combinación de licencias de uso vigentes y desvinculadas del contrato, imagen desplegable del sistema, documentación de operación y un contrato de soporte con un tercero acreditado por el fabricante. El plan se verifica anualmente en los mismos términos del apartado 4.</w:t>
            </w:r>
          </w:p>
          <w:p>
            <w:pPr>
              <w:pStyle w:val="ListParagraph"/>
              <w:numPr>
                <w:ilvl w:val="0"/>
                <w:numId w:val="2"/>
              </w:numPr>
              <w:spacing w:after="60" w:line="264"/>
            </w:pPr>
            <w:r>
              <w:rPr>
                <w:rFonts w:ascii="Georgia" w:cs="Georgia" w:eastAsia="Georgia" w:hAnsi="Georgia"/>
                <w:b/>
                <w:bCs/>
                <w:sz w:val="20"/>
                <w:szCs w:val="20"/>
              </w:rPr>
              <w:t xml:space="preserve">Actualización y verificación técnica.</w:t>
            </w:r>
            <w:r>
              <w:rPr>
                <w:rFonts w:ascii="Georgia" w:cs="Georgia" w:eastAsia="Georgia" w:hAnsi="Georgia"/>
                <w:sz w:val="20"/>
                <w:szCs w:val="20"/>
              </w:rPr>
              <w:t xml:space="preserve"> El depósito o el plan de continuidad equivalente se actualizará con cada versión mayor puesta en producción y, en todo caso, </w:t>
            </w:r>
            <w:r>
              <w:rPr>
                <w:rFonts w:ascii="Georgia" w:cs="Georgia" w:eastAsia="Georgia" w:hAnsi="Georgia"/>
                <w:b/>
                <w:bCs/>
                <w:sz w:val="20"/>
                <w:szCs w:val="20"/>
              </w:rPr>
              <w:t xml:space="preserve">anualmente</w:t>
            </w:r>
            <w:r>
              <w:rPr>
                <w:rFonts w:ascii="Georgia" w:cs="Georgia" w:eastAsia="Georgia" w:hAnsi="Georgia"/>
                <w:sz w:val="20"/>
                <w:szCs w:val="20"/>
              </w:rPr>
              <w:t xml:space="preserve">. En el momento de su constitución y en cada actualización se verificará técnicamente que el material depositado </w:t>
            </w:r>
            <w:r>
              <w:rPr>
                <w:rFonts w:ascii="Georgia" w:cs="Georgia" w:eastAsia="Georgia" w:hAnsi="Georgia"/>
                <w:b/>
                <w:bCs/>
                <w:sz w:val="20"/>
                <w:szCs w:val="20"/>
              </w:rPr>
              <w:t xml:space="preserve">compila y se despliega en un entorno funcional</w:t>
            </w:r>
            <w:r>
              <w:rPr>
                <w:rFonts w:ascii="Georgia" w:cs="Georgia" w:eastAsia="Georgia" w:hAnsi="Georgia"/>
                <w:sz w:val="20"/>
                <w:szCs w:val="20"/>
              </w:rPr>
              <w:t xml:space="preserve">, expidiéndose certificado por el depositario o por un tercero independiente. </w:t>
            </w:r>
            <w:r>
              <w:rPr>
                <w:rFonts w:ascii="Georgia" w:cs="Georgia" w:eastAsia="Georgia" w:hAnsi="Georgia"/>
                <w:b/>
                <w:bCs/>
                <w:sz w:val="20"/>
                <w:szCs w:val="20"/>
              </w:rPr>
              <w:t xml:space="preserve">Un depósito sin certificado de verificación vigente se tendrá por no constituido.</w:t>
            </w:r>
          </w:p>
          <w:p>
            <w:pPr>
              <w:pStyle w:val="ListParagraph"/>
              <w:numPr>
                <w:ilvl w:val="0"/>
                <w:numId w:val="2"/>
              </w:numPr>
              <w:spacing w:after="60" w:line="264"/>
            </w:pPr>
            <w:r>
              <w:rPr>
                <w:rFonts w:ascii="Georgia" w:cs="Georgia" w:eastAsia="Georgia" w:hAnsi="Georgia"/>
                <w:b/>
                <w:bCs/>
                <w:sz w:val="20"/>
                <w:szCs w:val="20"/>
              </w:rPr>
              <w:t xml:space="preserve">Supuestos de liberación.</w:t>
            </w:r>
            <w:r>
              <w:rPr>
                <w:rFonts w:ascii="Georgia" w:cs="Georgia" w:eastAsia="Georgia" w:hAnsi="Georgia"/>
                <w:sz w:val="20"/>
                <w:szCs w:val="20"/>
              </w:rPr>
              <w:t xml:space="preserve"> El Ayuntamiento tendrá derecho a la liberación del depósito, sin necesidad de consentimiento del depositante, en los siguientes supuestos tasados:</w:t>
            </w:r>
          </w:p>
          <w:p>
            <w:pPr>
              <w:spacing w:after="100" w:line="264"/>
            </w:pPr>
            <w:r>
              <w:rPr>
                <w:rFonts w:ascii="Georgia" w:cs="Georgia" w:eastAsia="Georgia" w:hAnsi="Georgia"/>
                <w:sz w:val="20"/>
                <w:szCs w:val="20"/>
              </w:rPr>
              <w:t xml:space="preserve">a) interrupción del soporte o del mantenimiento durante más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no subsanada tras requerimiento fehaciente y acreditada en acta del responsable del contrato;</w:t>
            </w:r>
          </w:p>
          <w:p>
            <w:pPr>
              <w:spacing w:after="100" w:line="264"/>
            </w:pPr>
            <w:r>
              <w:rPr>
                <w:rFonts w:ascii="Georgia" w:cs="Georgia" w:eastAsia="Georgia" w:hAnsi="Georgia"/>
                <w:sz w:val="20"/>
                <w:szCs w:val="20"/>
              </w:rPr>
              <w:t xml:space="preserve">b) imposición firme, en el plazo de doce meses, de </w:t>
            </w:r>
            <w:r>
              <w:rPr>
                <w:rFonts w:ascii="Georgia" w:cs="Georgia" w:eastAsia="Georgia" w:hAnsi="Georgia"/>
                <w:b/>
                <w:bCs/>
                <w:sz w:val="20"/>
                <w:szCs w:val="20"/>
              </w:rPr>
              <w:t xml:space="preserve">[X; se recomienda 3] penalidades por incumplimientos calificados de graves o muy graves</w:t>
            </w:r>
            <w:r>
              <w:rPr>
                <w:rFonts w:ascii="Georgia" w:cs="Georgia" w:eastAsia="Georgia" w:hAnsi="Georgia"/>
                <w:sz w:val="20"/>
                <w:szCs w:val="20"/>
              </w:rPr>
              <w:t xml:space="preserve"> de los acuerdos de nivel de servicio definidos en el pliego de prescripciones técnicas, </w:t>
            </w:r>
            <w:r>
              <w:rPr>
                <w:rFonts w:ascii="Georgia" w:cs="Georgia" w:eastAsia="Georgia" w:hAnsi="Georgia"/>
                <w:b/>
                <w:bCs/>
                <w:sz w:val="20"/>
                <w:szCs w:val="20"/>
              </w:rPr>
              <w:t xml:space="preserve">cuando además concurra riesgo acreditado para la continuidad del servicio, apreciado en informe motivado del responsable del contrato</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c) cese efectivo de actividad o desaparición del titular;</w:t>
            </w:r>
          </w:p>
          <w:p>
            <w:pPr>
              <w:spacing w:after="100" w:line="264"/>
            </w:pPr>
            <w:r>
              <w:rPr>
                <w:rFonts w:ascii="Georgia" w:cs="Georgia" w:eastAsia="Georgia" w:hAnsi="Georgia"/>
                <w:sz w:val="20"/>
                <w:szCs w:val="20"/>
              </w:rPr>
              <w:t xml:space="preserve">d) resolución del contrato por cualquier causa, incluida la prevista en el artículo 211.1.b) de la LCSP;</w:t>
            </w:r>
          </w:p>
          <w:p>
            <w:pPr>
              <w:spacing w:after="100" w:line="264"/>
            </w:pPr>
            <w:r>
              <w:rPr>
                <w:rFonts w:ascii="Georgia" w:cs="Georgia" w:eastAsia="Georgia" w:hAnsi="Georgia"/>
                <w:sz w:val="20"/>
                <w:szCs w:val="20"/>
              </w:rPr>
              <w:t xml:space="preserve">e) falta de puesta a disposición de una versión sucesora en los términos de la cláusula [ADM-2], apartado 6, incluida su regla de exoneración cuando el fabricante deniegue el acceso al adjudicatario que no es titular de los derechos.</w:t>
            </w:r>
          </w:p>
          <w:p>
            <w:pPr>
              <w:spacing w:after="100" w:line="264"/>
            </w:pPr>
            <w:r>
              <w:rPr>
                <w:rFonts w:ascii="Georgia" w:cs="Georgia" w:eastAsia="Georgia" w:hAnsi="Georgia"/>
                <w:b/>
                <w:bCs/>
                <w:sz w:val="20"/>
                <w:szCs w:val="20"/>
              </w:rPr>
              <w:t xml:space="preserve">En caso de concurso del titular</w:t>
            </w:r>
            <w:r>
              <w:rPr>
                <w:rFonts w:ascii="Georgia" w:cs="Georgia" w:eastAsia="Georgia" w:hAnsi="Georgia"/>
                <w:sz w:val="20"/>
                <w:szCs w:val="20"/>
              </w:rPr>
              <w:t xml:space="preserve">, la liberación operará por la vía de la resolución del contrato conforme a la legislación de contratos del sector público, a la que remite el artículo 190 del texto refundido de la Ley Concursal, y en los términos que permita la legislación concursal. </w:t>
            </w:r>
            <w:r>
              <w:rPr>
                <w:rFonts w:ascii="Georgia" w:cs="Georgia" w:eastAsia="Georgia" w:hAnsi="Georgia"/>
                <w:b/>
                <w:bCs/>
                <w:sz w:val="20"/>
                <w:szCs w:val="20"/>
              </w:rPr>
              <w:t xml:space="preserve">En ningún caso la sola declaración de concurso operará como causa automática de liberación.</w:t>
            </w:r>
          </w:p>
          <w:p>
            <w:pPr>
              <w:pStyle w:val="ListParagraph"/>
              <w:numPr>
                <w:ilvl w:val="0"/>
                <w:numId w:val="2"/>
              </w:numPr>
              <w:spacing w:after="60" w:line="264"/>
            </w:pPr>
            <w:r>
              <w:rPr>
                <w:rFonts w:ascii="Georgia" w:cs="Georgia" w:eastAsia="Georgia" w:hAnsi="Georgia"/>
                <w:b/>
                <w:bCs/>
                <w:sz w:val="20"/>
                <w:szCs w:val="20"/>
              </w:rPr>
              <w:t xml:space="preserve">Procedimiento de liberación.</w:t>
            </w:r>
            <w:r>
              <w:rPr>
                <w:rFonts w:ascii="Georgia" w:cs="Georgia" w:eastAsia="Georgia" w:hAnsi="Georgia"/>
                <w:sz w:val="20"/>
                <w:szCs w:val="20"/>
              </w:rPr>
              <w:t xml:space="preserve"> La liberación requerirá, en todo caso: propuesta motivada del responsable del contrato con la acreditación del supuesto; audiencia al adjudicatario por plazo no inferior a </w:t>
            </w:r>
            <w:r>
              <w:rPr>
                <w:rFonts w:ascii="Georgia" w:cs="Georgia" w:eastAsia="Georgia" w:hAnsi="Georgia"/>
                <w:b/>
                <w:bCs/>
                <w:sz w:val="20"/>
                <w:szCs w:val="20"/>
              </w:rPr>
              <w:t xml:space="preserve">[X; se recomienda 10] días hábiles</w:t>
            </w:r>
            <w:r>
              <w:rPr>
                <w:rFonts w:ascii="Georgia" w:cs="Georgia" w:eastAsia="Georgia" w:hAnsi="Georgia"/>
                <w:sz w:val="20"/>
                <w:szCs w:val="20"/>
              </w:rPr>
              <w:t xml:space="preserve">; y resolución motivada del órgano de contratación, que se notificará al depositario. La liberación no podrá acordarse por decisión unilateral de un servicio municipal.</w:t>
            </w:r>
          </w:p>
          <w:p>
            <w:pPr>
              <w:pStyle w:val="ListParagraph"/>
              <w:numPr>
                <w:ilvl w:val="0"/>
                <w:numId w:val="2"/>
              </w:numPr>
              <w:spacing w:after="60" w:line="264"/>
            </w:pPr>
            <w:r>
              <w:rPr>
                <w:rFonts w:ascii="Georgia" w:cs="Georgia" w:eastAsia="Georgia" w:hAnsi="Georgia"/>
                <w:b/>
                <w:bCs/>
                <w:sz w:val="20"/>
                <w:szCs w:val="20"/>
              </w:rPr>
              <w:t xml:space="preserve">Licencia condicionada.</w:t>
            </w:r>
            <w:r>
              <w:rPr>
                <w:rFonts w:ascii="Georgia" w:cs="Georgia" w:eastAsia="Georgia" w:hAnsi="Georgia"/>
                <w:sz w:val="20"/>
                <w:szCs w:val="20"/>
              </w:rPr>
              <w:t xml:space="preserve"> Con la firma del contrato, el titular otorga al Ayuntamiento una licencia no exclusiva, intransferible salvo a otras entidades del sector público, </w:t>
            </w:r>
            <w:r>
              <w:rPr>
                <w:rFonts w:ascii="Georgia" w:cs="Georgia" w:eastAsia="Georgia" w:hAnsi="Georgia"/>
                <w:b/>
                <w:bCs/>
                <w:sz w:val="20"/>
                <w:szCs w:val="20"/>
              </w:rPr>
              <w:t xml:space="preserve">eficaz únicamente desde la liberación</w:t>
            </w:r>
            <w:r>
              <w:rPr>
                <w:rFonts w:ascii="Georgia" w:cs="Georgia" w:eastAsia="Georgia" w:hAnsi="Georgia"/>
                <w:sz w:val="20"/>
                <w:szCs w:val="20"/>
              </w:rPr>
              <w:t xml:space="preserve"> y limitada a: extraer y recuperar los datos municipales, mantener la solución en funcionamiento y ejecutar la migración a otra solución, por sí o por medio de tercero sujeto a idéntico deber de confidencialidad. La licencia </w:t>
            </w:r>
            <w:r>
              <w:rPr>
                <w:rFonts w:ascii="Georgia" w:cs="Georgia" w:eastAsia="Georgia" w:hAnsi="Georgia"/>
                <w:b/>
                <w:bCs/>
                <w:sz w:val="20"/>
                <w:szCs w:val="20"/>
              </w:rPr>
              <w:t xml:space="preserve">no comprende facultad alguna de explotación comercial, cesión, distribución o comercialización del código</w:t>
            </w:r>
            <w:r>
              <w:rPr>
                <w:rFonts w:ascii="Georgia" w:cs="Georgia" w:eastAsia="Georgia" w:hAnsi="Georgia"/>
                <w:sz w:val="20"/>
                <w:szCs w:val="20"/>
              </w:rPr>
              <w:t xml:space="preserve">, y se extingue al completarse la migración o, a más tardar, transcurridos </w:t>
            </w:r>
            <w:r>
              <w:rPr>
                <w:rFonts w:ascii="Georgia" w:cs="Georgia" w:eastAsia="Georgia" w:hAnsi="Georgia"/>
                <w:b/>
                <w:bCs/>
                <w:sz w:val="20"/>
                <w:szCs w:val="20"/>
              </w:rPr>
              <w:t xml:space="preserve">[X; se recomienda 24] meses</w:t>
            </w:r>
            <w:r>
              <w:rPr>
                <w:rFonts w:ascii="Georgia" w:cs="Georgia" w:eastAsia="Georgia" w:hAnsi="Georgia"/>
                <w:sz w:val="20"/>
                <w:szCs w:val="20"/>
              </w:rPr>
              <w:t xml:space="preserve"> desde la liberación. La entrega material del código no confiere por sí sola derecho a reproducirlo (artículo 99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Coste.</w:t>
            </w:r>
            <w:r>
              <w:rPr>
                <w:rFonts w:ascii="Georgia" w:cs="Georgia" w:eastAsia="Georgia" w:hAnsi="Georgia"/>
                <w:sz w:val="20"/>
                <w:szCs w:val="20"/>
              </w:rPr>
              <w:t xml:space="preserve"> El coste de constitución, actualización y verificación del depósito, o el de mantenimiento del plan de continuidad equivalente, se consigna como </w:t>
            </w:r>
            <w:r>
              <w:rPr>
                <w:rFonts w:ascii="Georgia" w:cs="Georgia" w:eastAsia="Georgia" w:hAnsi="Georgia"/>
                <w:b/>
                <w:bCs/>
                <w:sz w:val="20"/>
                <w:szCs w:val="20"/>
              </w:rPr>
              <w:t xml:space="preserve">partida independiente del presupuesto base de licitación</w:t>
            </w:r>
            <w:r>
              <w:rPr>
                <w:rFonts w:ascii="Georgia" w:cs="Georgia" w:eastAsia="Georgia" w:hAnsi="Georgia"/>
                <w:sz w:val="20"/>
                <w:szCs w:val="20"/>
              </w:rPr>
              <w:t xml:space="preserve">, conforme al artículo 100.2 de la LCSP, por importe de </w:t>
            </w:r>
            <w:r>
              <w:rPr>
                <w:rFonts w:ascii="Georgia" w:cs="Georgia" w:eastAsia="Georgia" w:hAnsi="Georgia"/>
                <w:b/>
                <w:bCs/>
                <w:sz w:val="20"/>
                <w:szCs w:val="20"/>
              </w:rPr>
              <w:t xml:space="preserve">[ ] euros anuales</w:t>
            </w:r>
            <w:r>
              <w:rPr>
                <w:rFonts w:ascii="Georgia" w:cs="Georgia" w:eastAsia="Georgia" w:hAnsi="Georgia"/>
                <w:sz w:val="20"/>
                <w:szCs w:val="20"/>
              </w:rPr>
              <w:t xml:space="preserve">, y se entiende incluido en el precio del contrato. </w:t>
            </w:r>
            <w:r>
              <w:rPr>
                <w:rFonts w:ascii="Georgia" w:cs="Georgia" w:eastAsia="Georgia" w:hAnsi="Georgia"/>
                <w:b/>
                <w:bCs/>
                <w:sz w:val="20"/>
                <w:szCs w:val="20"/>
              </w:rPr>
              <w:t xml:space="preserve">No constituye criterio de adjudicación y no se desglosa en la oferta económica.</w:t>
            </w:r>
          </w:p>
          <w:p>
            <w:pPr>
              <w:pStyle w:val="ListParagraph"/>
              <w:numPr>
                <w:ilvl w:val="0"/>
                <w:numId w:val="2"/>
              </w:numPr>
              <w:spacing w:after="60" w:line="264"/>
            </w:pPr>
            <w:r>
              <w:rPr>
                <w:rFonts w:ascii="Georgia" w:cs="Georgia" w:eastAsia="Georgia" w:hAnsi="Georgia"/>
                <w:b/>
                <w:bCs/>
                <w:sz w:val="20"/>
                <w:szCs w:val="20"/>
              </w:rPr>
              <w:t xml:space="preserve">Carácter esencial.</w:t>
            </w:r>
            <w:r>
              <w:rPr>
                <w:rFonts w:ascii="Georgia" w:cs="Georgia" w:eastAsia="Georgia" w:hAnsi="Georgia"/>
                <w:sz w:val="20"/>
                <w:szCs w:val="20"/>
              </w:rPr>
              <w:t xml:space="preserve">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p>
      <w:pPr>
        <w:spacing w:after="140" w:line="276"/>
      </w:pPr>
      <w:r>
        <w:rPr>
          <w:rFonts w:ascii="Calibri" w:cs="Calibri" w:eastAsia="Calibri" w:hAnsi="Calibri"/>
          <w:b/>
          <w:bCs/>
          <w:sz w:val="21"/>
          <w:szCs w:val="21"/>
        </w:rPr>
        <w:t xml:space="preserve">Ajustes.</w:t>
      </w:r>
    </w:p>
    <w:p>
      <w:pPr>
        <w:pStyle w:val="ListParagraph"/>
        <w:numPr>
          <w:ilvl w:val="0"/>
          <w:numId w:val="1"/>
        </w:numPr>
        <w:spacing w:after="70" w:line="268"/>
      </w:pPr>
      <w:r>
        <w:rPr>
          <w:rFonts w:ascii="Calibri" w:cs="Calibri" w:eastAsia="Calibri" w:hAnsi="Calibri"/>
          <w:b/>
          <w:bCs/>
          <w:sz w:val="21"/>
          <w:szCs w:val="21"/>
        </w:rPr>
        <w:t xml:space="preserve">Ap. 1</w:t>
      </w:r>
      <w:r>
        <w:rPr>
          <w:rFonts w:ascii="Calibri" w:cs="Calibri" w:eastAsia="Calibri" w:hAnsi="Calibri"/>
          <w:sz w:val="21"/>
          <w:szCs w:val="21"/>
        </w:rPr>
        <w:t xml:space="preserve">: las cuatro circunstancias, una por una en la memoria (§2.1). </w:t>
      </w:r>
      <w:r>
        <w:rPr>
          <w:rFonts w:ascii="Calibri" w:cs="Calibri" w:eastAsia="Calibri" w:hAnsi="Calibri"/>
          <w:b/>
          <w:bCs/>
          <w:sz w:val="21"/>
          <w:szCs w:val="21"/>
        </w:rPr>
        <w:t xml:space="preserve">Se reproduce en la memoria la advertencia de su nota al redactor</w:t>
      </w:r>
      <w:r>
        <w:rPr>
          <w:rFonts w:ascii="Calibri" w:cs="Calibri" w:eastAsia="Calibri" w:hAnsi="Calibri"/>
          <w:sz w:val="21"/>
          <w:szCs w:val="21"/>
        </w:rPr>
        <w:t xml:space="preserve">: figura de nueva planta, sin doctrina, apoyada en los arts. 34.1 y 202 LCSP y en la medida [op.cont.4] del Anexo II del RD 311/2022, que en disponibilidad ALTA exige medios alternativos, no depósito (ep. 3).</w:t>
      </w:r>
    </w:p>
    <w:p>
      <w:pPr>
        <w:pStyle w:val="ListParagraph"/>
        <w:numPr>
          <w:ilvl w:val="0"/>
          <w:numId w:val="1"/>
        </w:numPr>
        <w:spacing w:after="70" w:line="268"/>
      </w:pPr>
      <w:r>
        <w:rPr>
          <w:rFonts w:ascii="Calibri" w:cs="Calibri" w:eastAsia="Calibri" w:hAnsi="Calibri"/>
          <w:b/>
          <w:bCs/>
          <w:sz w:val="21"/>
          <w:szCs w:val="21"/>
        </w:rPr>
        <w:t xml:space="preserve">Ap. 3</w:t>
      </w:r>
      <w:r>
        <w:rPr>
          <w:rFonts w:ascii="Calibri" w:cs="Calibri" w:eastAsia="Calibri" w:hAnsi="Calibri"/>
          <w:sz w:val="21"/>
          <w:szCs w:val="21"/>
        </w:rPr>
        <w:t xml:space="preserve">: la vía la elige el adjudicatario, ninguna es preferente y nada se impone al fabricante. Plan equivalente de [12] meses. </w:t>
      </w:r>
      <w:r>
        <w:rPr>
          <w:rFonts w:ascii="Calibri" w:cs="Calibri" w:eastAsia="Calibri" w:hAnsi="Calibri"/>
          <w:b/>
          <w:bCs/>
          <w:sz w:val="21"/>
          <w:szCs w:val="21"/>
        </w:rPr>
        <w:t xml:space="preserve">Ap. 5</w:t>
      </w:r>
      <w:r>
        <w:rPr>
          <w:rFonts w:ascii="Calibri" w:cs="Calibri" w:eastAsia="Calibri" w:hAnsi="Calibri"/>
          <w:sz w:val="21"/>
          <w:szCs w:val="21"/>
        </w:rPr>
        <w:t xml:space="preserve">: liberación tras [30] días de interrupción o [3] penalidades graves o muy graves de niveles de servicio con riesgo acreditado; nunca por la sola declaración de concurso. </w:t>
      </w:r>
      <w:r>
        <w:rPr>
          <w:rFonts w:ascii="Calibri" w:cs="Calibri" w:eastAsia="Calibri" w:hAnsi="Calibri"/>
          <w:b/>
          <w:bCs/>
          <w:sz w:val="21"/>
          <w:szCs w:val="21"/>
        </w:rPr>
        <w:t xml:space="preserve">Ap. 6</w:t>
      </w:r>
      <w:r>
        <w:rPr>
          <w:rFonts w:ascii="Calibri" w:cs="Calibri" w:eastAsia="Calibri" w:hAnsi="Calibri"/>
          <w:sz w:val="21"/>
          <w:szCs w:val="21"/>
        </w:rPr>
        <w:t xml:space="preserve">: audiencia de [10] días hábiles. </w:t>
      </w:r>
      <w:r>
        <w:rPr>
          <w:rFonts w:ascii="Calibri" w:cs="Calibri" w:eastAsia="Calibri" w:hAnsi="Calibri"/>
          <w:b/>
          <w:bCs/>
          <w:sz w:val="21"/>
          <w:szCs w:val="21"/>
        </w:rPr>
        <w:t xml:space="preserve">Ap. 7</w:t>
      </w:r>
      <w:r>
        <w:rPr>
          <w:rFonts w:ascii="Calibri" w:cs="Calibri" w:eastAsia="Calibri" w:hAnsi="Calibri"/>
          <w:sz w:val="21"/>
          <w:szCs w:val="21"/>
        </w:rPr>
        <w:t xml:space="preserve">: licencia de [24] meses.</w:t>
      </w:r>
    </w:p>
    <w:p>
      <w:pPr>
        <w:pStyle w:val="ListParagraph"/>
        <w:numPr>
          <w:ilvl w:val="0"/>
          <w:numId w:val="1"/>
        </w:numPr>
        <w:spacing w:after="70" w:line="268"/>
      </w:pPr>
      <w:r>
        <w:rPr>
          <w:rFonts w:ascii="Calibri" w:cs="Calibri" w:eastAsia="Calibri" w:hAnsi="Calibri"/>
          <w:b/>
          <w:bCs/>
          <w:sz w:val="21"/>
          <w:szCs w:val="21"/>
        </w:rPr>
        <w:t xml:space="preserve">Ap. 8</w:t>
      </w:r>
      <w:r>
        <w:rPr>
          <w:rFonts w:ascii="Calibri" w:cs="Calibri" w:eastAsia="Calibri" w:hAnsi="Calibri"/>
          <w:sz w:val="21"/>
          <w:szCs w:val="21"/>
        </w:rPr>
        <w:t xml:space="preserve">: </w:t>
      </w:r>
      <w:r>
        <w:rPr>
          <w:rFonts w:ascii="Calibri" w:cs="Calibri" w:eastAsia="Calibri" w:hAnsi="Calibri"/>
          <w:b/>
          <w:bCs/>
          <w:sz w:val="21"/>
          <w:szCs w:val="21"/>
        </w:rPr>
        <w:t xml:space="preserve">[ ] euros anuales</w:t>
      </w:r>
      <w:r>
        <w:rPr>
          <w:rFonts w:ascii="Calibri" w:cs="Calibri" w:eastAsia="Calibri" w:hAnsi="Calibri"/>
          <w:sz w:val="21"/>
          <w:szCs w:val="21"/>
        </w:rPr>
        <w:t xml:space="preserve">, partida independiente del PBL </w:t>
      </w:r>
      <w:r>
        <w:rPr>
          <w:rFonts w:ascii="Calibri" w:cs="Calibri" w:eastAsia="Calibri" w:hAnsi="Calibri"/>
          <w:b/>
          <w:bCs/>
          <w:sz w:val="21"/>
          <w:szCs w:val="21"/>
        </w:rPr>
        <w:t xml:space="preserve">[a cumplimentar con datos del expediente: presupuesto solicitado o consulta de mercado]</w:t>
      </w:r>
      <w:r>
        <w:rPr>
          <w:rFonts w:ascii="Calibri" w:cs="Calibri" w:eastAsia="Calibri" w:hAnsi="Calibri"/>
          <w:sz w:val="21"/>
          <w:szCs w:val="21"/>
        </w:rPr>
        <w:t xml:space="preserve">; los órdenes de magnitud del §M6.2 no sirven para fijarlo (M6.1). No se puntúa ni se desglosa en la oferta. Va al anuncio y al cuadro-resumen (ep. 2).</w:t>
      </w:r>
    </w:p>
    <w:p>
      <w:pPr>
        <w:pStyle w:val="Heading3"/>
        <w:keepNext/>
        <w:spacing w:after="140" w:before="320"/>
      </w:pPr>
      <w:r>
        <w:rPr>
          <w:rFonts w:ascii="Georgia" w:cs="Georgia" w:eastAsia="Georgia" w:hAnsi="Georgia"/>
          <w:b/>
          <w:bCs/>
          <w:color w:val="2F5496"/>
          <w:sz w:val="22"/>
          <w:szCs w:val="22"/>
        </w:rPr>
        <w:t xml:space="preserve">ADM-12·v3 · Acceso de los órganos de control interno — CONDICIONAL</w:t>
      </w:r>
    </w:p>
    <w:p>
      <w:pPr>
        <w:spacing w:after="140" w:line="276"/>
      </w:pPr>
      <w:r>
        <w:rPr>
          <w:rFonts w:ascii="Calibri" w:cs="Calibri" w:eastAsia="Calibri" w:hAnsi="Calibri"/>
          <w:i/>
          <w:iCs/>
          <w:sz w:val="21"/>
          <w:szCs w:val="21"/>
        </w:rPr>
        <w:t xml:space="preserve">Texto vigente de ADM-12·v3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Acceso de los órganos de control interno a los datos de ejecución del contrato.</w:t>
            </w:r>
          </w:p>
          <w:p>
            <w:pPr>
              <w:spacing w:after="100" w:line="264"/>
            </w:pPr>
            <w:r>
              <w:rPr>
                <w:rFonts w:ascii="Georgia" w:cs="Georgia" w:eastAsia="Georgia" w:hAnsi="Georgia"/>
                <w:i/>
                <w:iCs/>
                <w:sz w:val="20"/>
                <w:szCs w:val="20"/>
              </w:rPr>
              <w:t xml:space="preserve">(Condición especial de ejecución, artículo 202.1 de la LCSP. Su carácter de obligación contractual esencial alcanza </w:t>
            </w:r>
            <w:r>
              <w:rPr>
                <w:rFonts w:ascii="Georgia" w:cs="Georgia" w:eastAsia="Georgia" w:hAnsi="Georgia"/>
                <w:i/>
                <w:iCs/>
                <w:sz w:val="20"/>
                <w:szCs w:val="20"/>
              </w:rPr>
              <w:t xml:space="preserve">únicamente</w:t>
            </w:r>
            <w:r>
              <w:rPr>
                <w:rFonts w:ascii="Georgia" w:cs="Georgia" w:eastAsia="Georgia" w:hAnsi="Georgia"/>
                <w:sz w:val="20"/>
                <w:szCs w:val="20"/>
              </w:rPr>
              <w:t xml:space="preserve">* a los incumplimientos que enumera la cláusula [ADM-6], bloque B)*</w:t>
            </w:r>
          </w:p>
          <w:p>
            <w:pPr>
              <w:pStyle w:val="ListParagraph"/>
              <w:numPr>
                <w:ilvl w:val="0"/>
                <w:numId w:val="2"/>
              </w:numPr>
              <w:spacing w:after="60" w:line="264"/>
            </w:pPr>
            <w:r>
              <w:rPr>
                <w:rFonts w:ascii="Georgia" w:cs="Georgia" w:eastAsia="Georgia" w:hAnsi="Georgia"/>
                <w:b/>
                <w:bCs/>
                <w:sz w:val="20"/>
                <w:szCs w:val="20"/>
              </w:rPr>
              <w:t xml:space="preserve">Accesos de control incluidos en el precio.</w:t>
            </w:r>
            <w:r>
              <w:rPr>
                <w:rFonts w:ascii="Georgia" w:cs="Georgia" w:eastAsia="Georgia" w:hAnsi="Georgia"/>
                <w:sz w:val="20"/>
                <w:szCs w:val="20"/>
              </w:rPr>
              <w:t xml:space="preserve"> El adjudicatario habilitará, sin coste adicional alguno y con cargo al precio del contrato, </w:t>
            </w:r>
            <w:r>
              <w:rPr>
                <w:rFonts w:ascii="Georgia" w:cs="Georgia" w:eastAsia="Georgia" w:hAnsi="Georgia"/>
                <w:b/>
                <w:bCs/>
                <w:sz w:val="20"/>
                <w:szCs w:val="20"/>
              </w:rPr>
              <w:t xml:space="preserve">[X; se recomienda 3] accesos nominativos de consulta</w:t>
            </w:r>
            <w:r>
              <w:rPr>
                <w:rFonts w:ascii="Georgia" w:cs="Georgia" w:eastAsia="Georgia" w:hAnsi="Georgia"/>
                <w:sz w:val="20"/>
                <w:szCs w:val="20"/>
              </w:rPr>
              <w:t xml:space="preserve"> para el personal que designe el órgano interventor. Estos accesos permitirán consultar los datos de ejecución del contrato con el detalle funcional que el pliego de prescripciones técnicas defina en su apartado [ ], y estarán operativos en el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desde la formalización y durante toda la vigencia del contrato y de sus prórrogas. [Si el pliego prevé accesos adicionales: el Ayuntamiento podrá habilitar hasta </w:t>
            </w:r>
            <w:r>
              <w:rPr>
                <w:rFonts w:ascii="Georgia" w:cs="Georgia" w:eastAsia="Georgia" w:hAnsi="Georgia"/>
                <w:b/>
                <w:bCs/>
                <w:sz w:val="20"/>
                <w:szCs w:val="20"/>
              </w:rPr>
              <w:t xml:space="preserve">[X; se recomienda 2]</w:t>
            </w:r>
            <w:r>
              <w:rPr>
                <w:rFonts w:ascii="Georgia" w:cs="Georgia" w:eastAsia="Georgia" w:hAnsi="Georgia"/>
                <w:sz w:val="20"/>
                <w:szCs w:val="20"/>
              </w:rPr>
              <w:t xml:space="preserve"> accesos adicionales de las mismas características, al precio por acceso y año que el adjudicatario haya ofertado en el Cuadro de Precios Unitarios del Anexo [ ] de este pliego, que no excederá del precio máximo fijado en el cuadro de características. Su importe máximo figura en el cuadro de características, forma parte del presupuesto base de licitación y se computa en el valor estimado del contrato; sólo se abonan los accesos habilitados y por el tiempo en que lo estén.] Los accesos que el responsable del contrato necesite para el seguimiento de la ejecución (artículo 62 de la LCSP) los fija el pliego de prescripciones técnicas: no se cuentan en este apartado ni les alcanza la finalidad del apartado 7.</w:t>
            </w:r>
          </w:p>
          <w:p>
            <w:pPr>
              <w:pStyle w:val="ListParagraph"/>
              <w:numPr>
                <w:ilvl w:val="0"/>
                <w:numId w:val="2"/>
              </w:numPr>
              <w:spacing w:after="60" w:line="264"/>
            </w:pPr>
            <w:r>
              <w:rPr>
                <w:rFonts w:ascii="Georgia" w:cs="Georgia" w:eastAsia="Georgia" w:hAnsi="Georgia"/>
                <w:b/>
                <w:bCs/>
                <w:sz w:val="20"/>
                <w:szCs w:val="20"/>
              </w:rPr>
              <w:t xml:space="preserve">Exportación en formato abierto.</w:t>
            </w:r>
            <w:r>
              <w:rPr>
                <w:rFonts w:ascii="Georgia" w:cs="Georgia" w:eastAsia="Georgia" w:hAnsi="Georgia"/>
                <w:sz w:val="20"/>
                <w:szCs w:val="20"/>
              </w:rPr>
              <w:t xml:space="preserve"> El adjudicatario garantizará la extracción de los datos de ejecución del contrato </w:t>
            </w:r>
            <w:r>
              <w:rPr>
                <w:rFonts w:ascii="Georgia" w:cs="Georgia" w:eastAsia="Georgia" w:hAnsi="Georgia"/>
                <w:b/>
                <w:bCs/>
                <w:sz w:val="20"/>
                <w:szCs w:val="20"/>
              </w:rPr>
              <w:t xml:space="preserve">en formato abierto, reutilizable y documentado</w:t>
            </w:r>
            <w:r>
              <w:rPr>
                <w:rFonts w:ascii="Georgia" w:cs="Georgia" w:eastAsia="Georgia" w:hAnsi="Georgia"/>
                <w:sz w:val="20"/>
                <w:szCs w:val="20"/>
              </w:rPr>
              <w:t xml:space="preserve">, conforme al Esquema Nacional de Interoperabilidad, mediante interfaz programática documentada, autenticada y auditable, </w:t>
            </w:r>
            <w:r>
              <w:rPr>
                <w:rFonts w:ascii="Georgia" w:cs="Georgia" w:eastAsia="Georgia" w:hAnsi="Georgia"/>
                <w:b/>
                <w:bCs/>
                <w:sz w:val="20"/>
                <w:szCs w:val="20"/>
              </w:rPr>
              <w:t xml:space="preserve">sin desarrollos a medida y sin coste por consulta</w:t>
            </w:r>
            <w:r>
              <w:rPr>
                <w:rFonts w:ascii="Georgia" w:cs="Georgia" w:eastAsia="Georgia" w:hAnsi="Georgia"/>
                <w:sz w:val="20"/>
                <w:szCs w:val="20"/>
              </w:rPr>
              <w:t xml:space="preserve">. La extracción incluirá, como mínimo, los datos que acrediten la realidad de la prestación, el grado de cumplimiento de los niveles de servicio y los datos económicos asociados a la ejecución.</w:t>
            </w:r>
          </w:p>
          <w:p>
            <w:pPr>
              <w:pStyle w:val="ListParagraph"/>
              <w:numPr>
                <w:ilvl w:val="0"/>
                <w:numId w:val="2"/>
              </w:numPr>
              <w:spacing w:after="60" w:line="264"/>
            </w:pPr>
            <w:r>
              <w:rPr>
                <w:rFonts w:ascii="Georgia" w:cs="Georgia" w:eastAsia="Georgia" w:hAnsi="Georgia"/>
                <w:b/>
                <w:bCs/>
                <w:sz w:val="20"/>
                <w:szCs w:val="20"/>
              </w:rPr>
              <w:t xml:space="preserve">Diccionario de datos.</w:t>
            </w:r>
            <w:r>
              <w:rPr>
                <w:rFonts w:ascii="Georgia" w:cs="Georgia" w:eastAsia="Georgia" w:hAnsi="Georgia"/>
                <w:sz w:val="20"/>
                <w:szCs w:val="20"/>
              </w:rPr>
              <w:t xml:space="preserve"> El adjudicatario entregará,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y actualizado con cada versión mayor puesta en producción,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y la documentación técnica suficiente para interpretar la información extraída </w:t>
            </w:r>
            <w:r>
              <w:rPr>
                <w:rFonts w:ascii="Georgia" w:cs="Georgia" w:eastAsia="Georgia" w:hAnsi="Georgia"/>
                <w:b/>
                <w:bCs/>
                <w:sz w:val="20"/>
                <w:szCs w:val="20"/>
              </w:rPr>
              <w:t xml:space="preserve">sin asistencia del adjudicatario</w:t>
            </w:r>
            <w:r>
              <w:rPr>
                <w:rFonts w:ascii="Georgia" w:cs="Georgia" w:eastAsia="Georgia" w:hAnsi="Georgia"/>
                <w:sz w:val="20"/>
                <w:szCs w:val="20"/>
              </w:rPr>
              <w:t xml:space="preserve">: relación de entidades y atributos, tipos, dominios de valores, claves y relaciones, y significado funcional de cada campo relevante para el control.</w:t>
            </w:r>
          </w:p>
          <w:p>
            <w:pPr>
              <w:pStyle w:val="ListParagraph"/>
              <w:numPr>
                <w:ilvl w:val="0"/>
                <w:numId w:val="2"/>
              </w:numPr>
              <w:spacing w:after="60" w:line="264"/>
            </w:pPr>
            <w:r>
              <w:rPr>
                <w:rFonts w:ascii="Georgia" w:cs="Georgia" w:eastAsia="Georgia" w:hAnsi="Georgia"/>
                <w:b/>
                <w:bCs/>
                <w:sz w:val="20"/>
                <w:szCs w:val="20"/>
              </w:rPr>
              <w:t xml:space="preserve">Trazabilidad.</w:t>
            </w:r>
            <w:r>
              <w:rPr>
                <w:rFonts w:ascii="Georgia" w:cs="Georgia" w:eastAsia="Georgia" w:hAnsi="Georgia"/>
                <w:sz w:val="20"/>
                <w:szCs w:val="20"/>
              </w:rPr>
              <w:t xml:space="preserve"> El sistema mantendrá un registro de actividad que permita determinar qué operación se realizó, cuándo, por quién o por qué proceso automatizado, y con qué resultado, exportable en los mismos términos del apartado 2 y conservado durante el plazo que fije el pliego de prescripciones técnicas y, como mínimo, hasta la liquidación del contrato.</w:t>
            </w:r>
          </w:p>
          <w:p>
            <w:pPr>
              <w:pStyle w:val="ListParagraph"/>
              <w:numPr>
                <w:ilvl w:val="0"/>
                <w:numId w:val="2"/>
              </w:numPr>
              <w:spacing w:after="60" w:line="264"/>
            </w:pPr>
            <w:r>
              <w:rPr>
                <w:rFonts w:ascii="Georgia" w:cs="Georgia" w:eastAsia="Georgia" w:hAnsi="Georgia"/>
                <w:b/>
                <w:bCs/>
                <w:sz w:val="20"/>
                <w:szCs w:val="20"/>
              </w:rPr>
              <w:t xml:space="preserve">Previsión expresa a los efectos del artículo 33.4.d) del Real Decreto 424/2017.</w:t>
            </w:r>
            <w:r>
              <w:rPr>
                <w:rFonts w:ascii="Georgia" w:cs="Georgia" w:eastAsia="Georgia" w:hAnsi="Georgia"/>
                <w:sz w:val="20"/>
                <w:szCs w:val="20"/>
              </w:rPr>
              <w:t xml:space="preserve"> Se establece expresamente en este contrato el acceso de la Administración a la información sobre las operaciones realizadas en ejecución del mismo, a los saldos contables generados por éstas y a los costes asociados, a los efectos del artículo 33.4.d) del Real Decreto 424/2017, de 28 de abril.</w:t>
            </w:r>
          </w:p>
          <w:p>
            <w:pPr>
              <w:pStyle w:val="ListParagraph"/>
              <w:numPr>
                <w:ilvl w:val="0"/>
                <w:numId w:val="2"/>
              </w:numPr>
              <w:spacing w:after="60" w:line="264"/>
            </w:pPr>
            <w:r>
              <w:rPr>
                <w:rFonts w:ascii="Georgia" w:cs="Georgia" w:eastAsia="Georgia" w:hAnsi="Georgia"/>
                <w:b/>
                <w:bCs/>
                <w:sz w:val="20"/>
                <w:szCs w:val="20"/>
              </w:rPr>
              <w:t xml:space="preserve">Permanencia y reversión.</w:t>
            </w:r>
            <w:r>
              <w:rPr>
                <w:rFonts w:ascii="Georgia" w:cs="Georgia" w:eastAsia="Georgia" w:hAnsi="Georgia"/>
                <w:sz w:val="20"/>
                <w:szCs w:val="20"/>
              </w:rPr>
              <w:t xml:space="preserve"> Las obligaciones de los apartados 1 a 4 se mantienen durante las prórrogas y, tras la extinción del contrato, hasta la fecha del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prevista en la cláusula [DT-8], apartado 8 —o, en su defecto, hasta el vencimiento del plazo allí establecido para levantarla— o hasta transcurridos </w:t>
            </w:r>
            <w:r>
              <w:rPr>
                <w:rFonts w:ascii="Georgia" w:cs="Georgia" w:eastAsia="Georgia" w:hAnsi="Georgia"/>
                <w:b/>
                <w:bCs/>
                <w:sz w:val="20"/>
                <w:szCs w:val="20"/>
              </w:rPr>
              <w:t xml:space="preserve">[X; se recomienda 3] meses</w:t>
            </w:r>
            <w:r>
              <w:rPr>
                <w:rFonts w:ascii="Georgia" w:cs="Georgia" w:eastAsia="Georgia" w:hAnsi="Georgia"/>
                <w:sz w:val="20"/>
                <w:szCs w:val="20"/>
              </w:rPr>
              <w:t xml:space="preserve"> desde la extinción, </w:t>
            </w:r>
            <w:r>
              <w:rPr>
                <w:rFonts w:ascii="Georgia" w:cs="Georgia" w:eastAsia="Georgia" w:hAnsi="Georgia"/>
                <w:b/>
                <w:bCs/>
                <w:sz w:val="20"/>
                <w:szCs w:val="20"/>
              </w:rPr>
              <w:t xml:space="preserve">lo que ocurra más tarde</w:t>
            </w:r>
            <w:r>
              <w:rPr>
                <w:rFonts w:ascii="Georgia" w:cs="Georgia" w:eastAsia="Georgia" w:hAnsi="Georgia"/>
                <w:sz w:val="20"/>
                <w:szCs w:val="20"/>
              </w:rPr>
              <w:t xml:space="preserve">. El diccionario de datos actualizado forma parte del material objeto de entrega en la reversión.</w:t>
            </w:r>
          </w:p>
          <w:p>
            <w:pPr>
              <w:pStyle w:val="ListParagraph"/>
              <w:numPr>
                <w:ilvl w:val="0"/>
                <w:numId w:val="2"/>
              </w:numPr>
              <w:spacing w:after="60" w:line="264"/>
            </w:pPr>
            <w:r>
              <w:rPr>
                <w:rFonts w:ascii="Georgia" w:cs="Georgia" w:eastAsia="Georgia" w:hAnsi="Georgia"/>
                <w:b/>
                <w:bCs/>
                <w:sz w:val="20"/>
                <w:szCs w:val="20"/>
              </w:rPr>
              <w:t xml:space="preserve">Finalidad y límites.</w:t>
            </w:r>
            <w:r>
              <w:rPr>
                <w:rFonts w:ascii="Georgia" w:cs="Georgia" w:eastAsia="Georgia" w:hAnsi="Georgia"/>
                <w:sz w:val="20"/>
                <w:szCs w:val="20"/>
              </w:rPr>
              <w:t xml:space="preserve"> El acceso se otorga exclusivamente para el ejercicio de las funciones de control interno de los artículos 213 y siguientes del texto refundido de la Ley reguladora de las Haciendas Locales y del Real Decreto 424/2017, y queda sujeto al deber de sigilo del artículo 5.1 de dicho reglamento. No comprende facultad alguna de explotación comercial ni de cesión a terceros. Cuando el tratamiento comprenda datos personales, esta previsión se entiende sin perjuicio y en refuerzo de la obligación del artículo 28.3.h) del Reglamento (UE) 2016/679.</w:t>
            </w:r>
          </w:p>
          <w:p>
            <w:pPr>
              <w:pStyle w:val="ListParagraph"/>
              <w:numPr>
                <w:ilvl w:val="0"/>
                <w:numId w:val="2"/>
              </w:numPr>
              <w:spacing w:after="60" w:line="264"/>
            </w:pPr>
            <w:r>
              <w:rPr>
                <w:rFonts w:ascii="Georgia" w:cs="Georgia" w:eastAsia="Georgia" w:hAnsi="Georgia"/>
                <w:b/>
                <w:bCs/>
                <w:sz w:val="20"/>
                <w:szCs w:val="20"/>
              </w:rPr>
              <w:t xml:space="preserve">Naturaleza y carácter esencial.</w:t>
            </w:r>
            <w:r>
              <w:rPr>
                <w:rFonts w:ascii="Georgia" w:cs="Georgia" w:eastAsia="Georgia" w:hAnsi="Georgia"/>
                <w:sz w:val="20"/>
                <w:szCs w:val="20"/>
              </w:rPr>
              <w:t xml:space="preserve"> Esta condición especial de ejecución se establece al amparo del artículo 202.1 de la LCSP y está vinculada al objeto del contrato en el sentido del artículo 145 de la LCSP, por referirse a la ejecución y a la fase de explotación de su ciclo de vida.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Detalle funcional del acceso de los órganos de control interno.</w:t>
            </w:r>
          </w:p>
          <w:p>
            <w:pPr>
              <w:spacing w:after="100" w:line="264"/>
            </w:pPr>
            <w:r>
              <w:rPr>
                <w:rFonts w:ascii="Georgia" w:cs="Georgia" w:eastAsia="Georgia" w:hAnsi="Georgia"/>
                <w:b/>
                <w:bCs/>
                <w:sz w:val="20"/>
                <w:szCs w:val="20"/>
              </w:rPr>
              <w:t xml:space="preserve">1. Consultas.</w:t>
            </w:r>
            <w:r>
              <w:rPr>
                <w:rFonts w:ascii="Georgia" w:cs="Georgia" w:eastAsia="Georgia" w:hAnsi="Georgia"/>
                <w:sz w:val="20"/>
                <w:szCs w:val="20"/>
              </w:rPr>
              <w:t xml:space="preserve"> Los accesos de control previstos en la cláusula [ADM-12] del pliego de cláusulas administrativas particulares son de sólo consulta y permitirán, como mínimo, las consultas siguientes: [relación cerrada y numerada, facilitada por el órgano interventor, de las consultas sobre los datos que acreditan la realidad de la prestación, el grado de cumplimiento de los niveles de servicio y los datos económicos asociados a la ejecución, con los criterios de filtrado de cada una].</w:t>
            </w:r>
          </w:p>
          <w:p>
            <w:pPr>
              <w:spacing w:after="100" w:line="264"/>
            </w:pPr>
            <w:r>
              <w:rPr>
                <w:rFonts w:ascii="Georgia" w:cs="Georgia" w:eastAsia="Georgia" w:hAnsi="Georgia"/>
                <w:b/>
                <w:bCs/>
                <w:sz w:val="20"/>
                <w:szCs w:val="20"/>
              </w:rPr>
              <w:t xml:space="preserve">2. Exportaciones.</w:t>
            </w:r>
            <w:r>
              <w:rPr>
                <w:rFonts w:ascii="Georgia" w:cs="Georgia" w:eastAsia="Georgia" w:hAnsi="Georgia"/>
                <w:sz w:val="20"/>
                <w:szCs w:val="20"/>
              </w:rPr>
              <w:t xml:space="preserve"> El resultado de cada consulta de la relación anterior podrá exportarse en [formato abierto y documentado] por el personal designado, sin intervención del adjudicatario, en los términos del apartado 2 de aquella cláusula.</w:t>
            </w:r>
          </w:p>
          <w:p>
            <w:pPr>
              <w:spacing w:after="100" w:line="264"/>
            </w:pPr>
            <w:r>
              <w:rPr>
                <w:rFonts w:ascii="Georgia" w:cs="Georgia" w:eastAsia="Georgia" w:hAnsi="Georgia"/>
                <w:b/>
                <w:bCs/>
                <w:sz w:val="20"/>
                <w:szCs w:val="20"/>
              </w:rPr>
              <w:t xml:space="preserve">3. Conservación del registro de actividad.</w:t>
            </w:r>
            <w:r>
              <w:rPr>
                <w:rFonts w:ascii="Georgia" w:cs="Georgia" w:eastAsia="Georgia" w:hAnsi="Georgia"/>
                <w:sz w:val="20"/>
                <w:szCs w:val="20"/>
              </w:rPr>
              <w:t xml:space="preserve"> El registro de actividad del apartado 4 de aquella cláusula se conservará durante [plazo que fije el órgano de contratación, a propuesta del órgano interventor] y, como mínimo, hasta la liquidación del contrato.</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Antes de incorporarla, informe firmado y fechado del órgano de control (ep. 3). [3] accesos, nunca 0 (Anexo X, fila 7), en [30] días; diccionario en [60] días; permanencia hasta el acta de reversión o [3] meses, lo que ocurra más tarde (fila 8). La marca inserta también el texto para el PPT, «Detalle funcional del acceso de los órganos de control interno», que va al PPT y se completa con la relación cerrada de consultas que aporte el órgano interventor (ADM-12·v3, epígrafe 2).</w:t>
      </w:r>
    </w:p>
    <w:p>
      <w:pPr>
        <w:pStyle w:val="Heading3"/>
        <w:keepNext/>
        <w:spacing w:after="140" w:before="320"/>
      </w:pPr>
      <w:r>
        <w:rPr>
          <w:rFonts w:ascii="Georgia" w:cs="Georgia" w:eastAsia="Georgia" w:hAnsi="Georgia"/>
          <w:b/>
          <w:bCs/>
          <w:color w:val="2F5496"/>
          <w:sz w:val="22"/>
          <w:szCs w:val="22"/>
        </w:rPr>
        <w:t xml:space="preserve">ADM-13·v3 · IA sobre información municipal — SÍ</w:t>
      </w:r>
    </w:p>
    <w:p>
      <w:pPr>
        <w:spacing w:after="140" w:line="276"/>
      </w:pPr>
      <w:r>
        <w:rPr>
          <w:rFonts w:ascii="Calibri" w:cs="Calibri" w:eastAsia="Calibri" w:hAnsi="Calibri"/>
          <w:i/>
          <w:iCs/>
          <w:sz w:val="21"/>
          <w:szCs w:val="21"/>
        </w:rPr>
        <w:t xml:space="preserve">Texto vigente de ADM-13·v3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Uso de sistemas de inteligencia artificial sobre información municipal.</w:t>
            </w:r>
          </w:p>
          <w:p>
            <w:pPr>
              <w:pStyle w:val="ListParagraph"/>
              <w:numPr>
                <w:ilvl w:val="0"/>
                <w:numId w:val="2"/>
              </w:numPr>
              <w:spacing w:after="60" w:line="264"/>
            </w:pPr>
            <w:r>
              <w:rPr>
                <w:rFonts w:ascii="Georgia" w:cs="Georgia" w:eastAsia="Georgia" w:hAnsi="Georgia"/>
                <w:b/>
                <w:bCs/>
                <w:sz w:val="20"/>
                <w:szCs w:val="20"/>
              </w:rPr>
              <w:t xml:space="preserve">Ámbito y niveles.</w:t>
            </w:r>
            <w:r>
              <w:rPr>
                <w:rFonts w:ascii="Georgia" w:cs="Georgia" w:eastAsia="Georgia" w:hAnsi="Georgia"/>
                <w:sz w:val="20"/>
                <w:szCs w:val="20"/>
              </w:rPr>
              <w:t xml:space="preserve"> Esta cláusula se aplica exclusivamente al tratamiento de información municipal por sistemas de inteligencia artificial. A tal efecto se distinguen tres niveles:</w:t>
            </w:r>
          </w:p>
          <w:p>
            <w:pPr>
              <w:spacing w:after="100" w:line="264"/>
            </w:pPr>
            <w:r>
              <w:rPr>
                <w:rFonts w:ascii="Georgia" w:cs="Georgia" w:eastAsia="Georgia" w:hAnsi="Georgia"/>
                <w:b/>
                <w:bCs/>
                <w:sz w:val="20"/>
                <w:szCs w:val="20"/>
              </w:rPr>
              <w:t xml:space="preserve">Nivel 1 — Información municipal restringida.</w:t>
            </w:r>
            <w:r>
              <w:rPr>
                <w:rFonts w:ascii="Georgia" w:cs="Georgia" w:eastAsia="Georgia" w:hAnsi="Georgia"/>
                <w:sz w:val="20"/>
                <w:szCs w:val="20"/>
              </w:rPr>
              <w:t xml:space="preserve"> Datos personales; expedientes en tramitación; documentación contractual no publicada; informes internos; datos de los entornos de producción; y cualquier información municipal clasificada como de acceso restringido por la política de seguridad del Ayuntamiento.</w:t>
            </w:r>
          </w:p>
          <w:p>
            <w:pPr>
              <w:spacing w:after="100" w:line="264"/>
            </w:pPr>
            <w:r>
              <w:rPr>
                <w:rFonts w:ascii="Georgia" w:cs="Georgia" w:eastAsia="Georgia" w:hAnsi="Georgia"/>
                <w:b/>
                <w:bCs/>
                <w:sz w:val="20"/>
                <w:szCs w:val="20"/>
              </w:rPr>
              <w:t xml:space="preserve">Nivel 2 — Artefactos técnicos del contrato.</w:t>
            </w:r>
            <w:r>
              <w:rPr>
                <w:rFonts w:ascii="Georgia" w:cs="Georgia" w:eastAsia="Georgia" w:hAnsi="Georgia"/>
                <w:sz w:val="20"/>
                <w:szCs w:val="20"/>
              </w:rPr>
              <w:t xml:space="preserve"> Código fuente y objeto de los desarrollos específicos, configuraciones, parametrizaciones, esquemas de datos y documentación técnica generados en ejecución del contrato, sin contenido de nivel 1.</w:t>
            </w:r>
          </w:p>
          <w:p>
            <w:pPr>
              <w:spacing w:after="100" w:line="264"/>
            </w:pPr>
            <w:r>
              <w:rPr>
                <w:rFonts w:ascii="Georgia" w:cs="Georgia" w:eastAsia="Georgia" w:hAnsi="Georgia"/>
                <w:b/>
                <w:bCs/>
                <w:sz w:val="20"/>
                <w:szCs w:val="20"/>
              </w:rPr>
              <w:t xml:space="preserve">Nivel 3 — Información propia del contratista.</w:t>
            </w:r>
            <w:r>
              <w:rPr>
                <w:rFonts w:ascii="Georgia" w:cs="Georgia" w:eastAsia="Georgia" w:hAnsi="Georgia"/>
                <w:sz w:val="20"/>
                <w:szCs w:val="20"/>
              </w:rPr>
              <w:t xml:space="preserve"> Cualquier información que no sea municipal. </w:t>
            </w:r>
            <w:r>
              <w:rPr>
                <w:rFonts w:ascii="Georgia" w:cs="Georgia" w:eastAsia="Georgia" w:hAnsi="Georgia"/>
                <w:b/>
                <w:bCs/>
                <w:sz w:val="20"/>
                <w:szCs w:val="20"/>
              </w:rPr>
              <w:t xml:space="preserve">Queda expresamente fuera del ámbito de esta cláusula</w:t>
            </w:r>
            <w:r>
              <w:rPr>
                <w:rFonts w:ascii="Georgia" w:cs="Georgia" w:eastAsia="Georgia" w:hAnsi="Georgia"/>
                <w:sz w:val="20"/>
                <w:szCs w:val="20"/>
              </w:rPr>
              <w:t xml:space="preserve">, que no impone al adjudicatario restricción alguna sobre las herramientas que emplee para su propia organización interna.</w:t>
            </w:r>
          </w:p>
          <w:p>
            <w:pPr>
              <w:pStyle w:val="ListParagraph"/>
              <w:numPr>
                <w:ilvl w:val="0"/>
                <w:numId w:val="2"/>
              </w:numPr>
              <w:spacing w:after="60" w:line="264"/>
            </w:pPr>
            <w:r>
              <w:rPr>
                <w:rFonts w:ascii="Georgia" w:cs="Georgia" w:eastAsia="Georgia" w:hAnsi="Georgia"/>
                <w:b/>
                <w:bCs/>
                <w:sz w:val="20"/>
                <w:szCs w:val="20"/>
              </w:rPr>
              <w:t xml:space="preserve">Régimen del nivel 1.</w:t>
            </w:r>
            <w:r>
              <w:rPr>
                <w:rFonts w:ascii="Georgia" w:cs="Georgia" w:eastAsia="Georgia" w:hAnsi="Georgia"/>
                <w:sz w:val="20"/>
                <w:szCs w:val="20"/>
              </w:rPr>
              <w:t xml:space="preserve"> El adjudicatario, su personal y su cadena de subcontratación </w:t>
            </w:r>
            <w:r>
              <w:rPr>
                <w:rFonts w:ascii="Georgia" w:cs="Georgia" w:eastAsia="Georgia" w:hAnsi="Georgia"/>
                <w:b/>
                <w:bCs/>
                <w:sz w:val="20"/>
                <w:szCs w:val="20"/>
              </w:rPr>
              <w:t xml:space="preserve">no introducirán información de nivel 1 en sistemas de inteligencia artificial que no estén expresamente autorizados</w:t>
            </w:r>
            <w:r>
              <w:rPr>
                <w:rFonts w:ascii="Georgia" w:cs="Georgia" w:eastAsia="Georgia" w:hAnsi="Georgia"/>
                <w:sz w:val="20"/>
                <w:szCs w:val="20"/>
              </w:rPr>
              <w:t xml:space="preserve"> en este contrato. Toda incorporación de un sistema nuevo requiere </w:t>
            </w:r>
            <w:r>
              <w:rPr>
                <w:rFonts w:ascii="Georgia" w:cs="Georgia" w:eastAsia="Georgia" w:hAnsi="Georgia"/>
                <w:b/>
                <w:bCs/>
                <w:sz w:val="20"/>
                <w:szCs w:val="20"/>
              </w:rPr>
              <w:t xml:space="preserve">autorización previa y escrita</w:t>
            </w:r>
            <w:r>
              <w:rPr>
                <w:rFonts w:ascii="Georgia" w:cs="Georgia" w:eastAsia="Georgia" w:hAnsi="Georgia"/>
                <w:sz w:val="20"/>
                <w:szCs w:val="20"/>
              </w:rPr>
              <w:t xml:space="preserve"> del responsable del contrato, solicitada con una antelación mínima de </w:t>
            </w:r>
            <w:r>
              <w:rPr>
                <w:rFonts w:ascii="Georgia" w:cs="Georgia" w:eastAsia="Georgia" w:hAnsi="Georgia"/>
                <w:b/>
                <w:bCs/>
                <w:sz w:val="20"/>
                <w:szCs w:val="20"/>
              </w:rPr>
              <w:t xml:space="preserve">[X; se recomienda 15] días naturales</w:t>
            </w:r>
            <w:r>
              <w:rPr>
                <w:rFonts w:ascii="Georgia" w:cs="Georgia" w:eastAsia="Georgia" w:hAnsi="Georgia"/>
                <w:sz w:val="20"/>
                <w:szCs w:val="20"/>
              </w:rPr>
              <w:t xml:space="preserve">. Cuando el uso implique tratamiento de datos personales por cuenta del Ayuntamiento, se formalizará el correspondiente encargo del tratamiento conforme al artículo 28 del Reglamento (UE) 2016/679, </w:t>
            </w:r>
            <w:r>
              <w:rPr>
                <w:rFonts w:ascii="Georgia" w:cs="Georgia" w:eastAsia="Georgia" w:hAnsi="Georgia"/>
                <w:b/>
                <w:bCs/>
                <w:sz w:val="20"/>
                <w:szCs w:val="20"/>
              </w:rPr>
              <w:t xml:space="preserve">sin que la sola aceptación de los términos de servicio del proveedor pueda ampararlo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Régimen del nivel 2.</w:t>
            </w:r>
            <w:r>
              <w:rPr>
                <w:rFonts w:ascii="Georgia" w:cs="Georgia" w:eastAsia="Georgia" w:hAnsi="Georgia"/>
                <w:sz w:val="20"/>
                <w:szCs w:val="20"/>
              </w:rPr>
              <w:t xml:space="preserve"> El adjudicatario podrá emplear sistemas de inteligencia artificial sobre artefactos técnicos del contrato </w:t>
            </w:r>
            <w:r>
              <w:rPr>
                <w:rFonts w:ascii="Georgia" w:cs="Georgia" w:eastAsia="Georgia" w:hAnsi="Georgia"/>
                <w:b/>
                <w:bCs/>
                <w:sz w:val="20"/>
                <w:szCs w:val="20"/>
              </w:rPr>
              <w:t xml:space="preserve">sin autorización individual previa</w:t>
            </w:r>
            <w:r>
              <w:rPr>
                <w:rFonts w:ascii="Georgia" w:cs="Georgia" w:eastAsia="Georgia" w:hAnsi="Georgia"/>
                <w:sz w:val="20"/>
                <w:szCs w:val="20"/>
              </w:rPr>
              <w:t xml:space="preserve">, siempre que el sistema empleado cumpla, y el adjudicatario pueda acreditarlo, las tres condiciones siguientes:</w:t>
            </w:r>
          </w:p>
          <w:p>
            <w:pPr>
              <w:spacing w:after="100" w:line="264"/>
            </w:pPr>
            <w:r>
              <w:rPr>
                <w:rFonts w:ascii="Georgia" w:cs="Georgia" w:eastAsia="Georgia" w:hAnsi="Georgia"/>
                <w:sz w:val="20"/>
                <w:szCs w:val="20"/>
              </w:rPr>
              <w:t xml:space="preserve">a) que el contenido introducido </w:t>
            </w:r>
            <w:r>
              <w:rPr>
                <w:rFonts w:ascii="Georgia" w:cs="Georgia" w:eastAsia="Georgia" w:hAnsi="Georgia"/>
                <w:b/>
                <w:bCs/>
                <w:sz w:val="20"/>
                <w:szCs w:val="20"/>
              </w:rPr>
              <w:t xml:space="preserve">quede excluido del entrenamiento de modelos</w:t>
            </w:r>
            <w:r>
              <w:rPr>
                <w:rFonts w:ascii="Georgia" w:cs="Georgia" w:eastAsia="Georgia" w:hAnsi="Georgia"/>
                <w:sz w:val="20"/>
                <w:szCs w:val="20"/>
              </w:rPr>
              <w:t xml:space="preserve"> mediante una configuración establecida a nivel de organización o de suscripción empresarial, no dependiente de la elección de cada persona usuaria;</w:t>
            </w:r>
          </w:p>
          <w:p>
            <w:pPr>
              <w:spacing w:after="100" w:line="264"/>
            </w:pPr>
            <w:r>
              <w:rPr>
                <w:rFonts w:ascii="Georgia" w:cs="Georgia" w:eastAsia="Georgia" w:hAnsi="Georgia"/>
                <w:sz w:val="20"/>
                <w:szCs w:val="20"/>
              </w:rPr>
              <w:t xml:space="preserve">b) que el tratamiento se realice en el Espacio Económico Europeo o, en su defecto, con las garantías del capítulo V del Reglamento (UE) 2016/679;</w:t>
            </w:r>
          </w:p>
          <w:p>
            <w:pPr>
              <w:spacing w:after="100" w:line="264"/>
            </w:pPr>
            <w:r>
              <w:rPr>
                <w:rFonts w:ascii="Georgia" w:cs="Georgia" w:eastAsia="Georgia" w:hAnsi="Georgia"/>
                <w:sz w:val="20"/>
                <w:szCs w:val="20"/>
              </w:rPr>
              <w:t xml:space="preserve">c) que el sistema figure en la </w:t>
            </w:r>
            <w:r>
              <w:rPr>
                <w:rFonts w:ascii="Georgia" w:cs="Georgia" w:eastAsia="Georgia" w:hAnsi="Georgia"/>
                <w:b/>
                <w:bCs/>
                <w:sz w:val="20"/>
                <w:szCs w:val="20"/>
              </w:rPr>
              <w:t xml:space="preserve">relación declarada</w:t>
            </w:r>
            <w:r>
              <w:rPr>
                <w:rFonts w:ascii="Georgia" w:cs="Georgia" w:eastAsia="Georgia" w:hAnsi="Georgia"/>
                <w:sz w:val="20"/>
                <w:szCs w:val="20"/>
              </w:rPr>
              <w:t xml:space="preserve"> conforme al apartado 4.</w:t>
            </w:r>
          </w:p>
          <w:p>
            <w:pPr>
              <w:pStyle w:val="ListParagraph"/>
              <w:numPr>
                <w:ilvl w:val="0"/>
                <w:numId w:val="2"/>
              </w:numPr>
              <w:spacing w:after="60" w:line="264"/>
            </w:pPr>
            <w:r>
              <w:rPr>
                <w:rFonts w:ascii="Georgia" w:cs="Georgia" w:eastAsia="Georgia" w:hAnsi="Georgia"/>
                <w:b/>
                <w:bCs/>
                <w:sz w:val="20"/>
                <w:szCs w:val="20"/>
              </w:rPr>
              <w:t xml:space="preserve">Relación de sistemas.</w:t>
            </w:r>
            <w:r>
              <w:rPr>
                <w:rFonts w:ascii="Georgia" w:cs="Georgia" w:eastAsia="Georgia" w:hAnsi="Georgia"/>
                <w:sz w:val="20"/>
                <w:szCs w:val="20"/>
              </w:rPr>
              <w:t xml:space="preserve"> El licitador declarará en su oferta la relación de sistemas de inteligencia artificial que prevé emplear en la ejecución, indicando para cada uno: proveedor; ubicación de almacenamiento y tratamiento; plazo y criterios de retención de contenidos; tratamiento de metadatos y telemetría; existencia y alcance del mecanismo de exclusión del contenido para el entrenamiento de modelos; y posibilidad de configuración administrativa de las revisiones manuales por el proveedor. La relación se mantiene actualizada durante toda la vigencia del contrato y se comunica cualquier alta o baja en el plazo del apartado 2. </w:t>
            </w:r>
            <w:r>
              <w:rPr>
                <w:rFonts w:ascii="Georgia" w:cs="Georgia" w:eastAsia="Georgia" w:hAnsi="Georgia"/>
                <w:b/>
                <w:bCs/>
                <w:sz w:val="20"/>
                <w:szCs w:val="20"/>
              </w:rPr>
              <w:t xml:space="preserve">A solicitud del licitador, esta relación tendrá el tratamiento de información confidencial en los términos del artículo 133 de la LCSP.</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de las condiciones del apartado 3 se acredita mediante evidencia de la configuración a nivel de organización —captura del panel de administración con fecha, o certificado del proveedor— y mediante la política interna de uso del adjudicatario. El Ayuntamiento podrá requerir esta evidencia una vez al año y ante cualquier alta.</w:t>
            </w:r>
          </w:p>
          <w:p>
            <w:pPr>
              <w:pStyle w:val="ListParagraph"/>
              <w:numPr>
                <w:ilvl w:val="0"/>
                <w:numId w:val="2"/>
              </w:numPr>
              <w:spacing w:after="60" w:line="264"/>
            </w:pPr>
            <w:r>
              <w:rPr>
                <w:rFonts w:ascii="Georgia" w:cs="Georgia" w:eastAsia="Georgia" w:hAnsi="Georgia"/>
                <w:b/>
                <w:bCs/>
                <w:sz w:val="20"/>
                <w:szCs w:val="20"/>
              </w:rPr>
              <w:t xml:space="preserve">Consecuencias.</w:t>
            </w:r>
            <w:r>
              <w:rPr>
                <w:rFonts w:ascii="Georgia" w:cs="Georgia" w:eastAsia="Georgia" w:hAnsi="Georgia"/>
                <w:sz w:val="20"/>
                <w:szCs w:val="20"/>
              </w:rPr>
              <w:t xml:space="preserve"> El incumplimiento del régimen del </w:t>
            </w:r>
            <w:r>
              <w:rPr>
                <w:rFonts w:ascii="Georgia" w:cs="Georgia" w:eastAsia="Georgia" w:hAnsi="Georgia"/>
                <w:b/>
                <w:bCs/>
                <w:sz w:val="20"/>
                <w:szCs w:val="20"/>
              </w:rPr>
              <w:t xml:space="preserve">nivel 1</w:t>
            </w:r>
            <w:r>
              <w:rPr>
                <w:rFonts w:ascii="Georgia" w:cs="Georgia" w:eastAsia="Georgia" w:hAnsi="Georgia"/>
                <w:sz w:val="20"/>
                <w:szCs w:val="20"/>
              </w:rPr>
              <w:t xml:space="preserve"> tiene la consideración de </w:t>
            </w:r>
            <w:r>
              <w:rPr>
                <w:rFonts w:ascii="Georgia" w:cs="Georgia" w:eastAsia="Georgia" w:hAnsi="Georgia"/>
                <w:b/>
                <w:bCs/>
                <w:sz w:val="20"/>
                <w:szCs w:val="20"/>
              </w:rPr>
              <w:t xml:space="preserve">obligación contractual esencial</w:t>
            </w:r>
            <w:r>
              <w:rPr>
                <w:rFonts w:ascii="Georgia" w:cs="Georgia" w:eastAsia="Georgia" w:hAnsi="Georgia"/>
                <w:sz w:val="20"/>
                <w:szCs w:val="20"/>
              </w:rPr>
              <w:t xml:space="preserve"> a los efectos del artículo 211.1.f) de la LCSP, en los términos de la cláusula [ADM-6], bloque B. El incumplimiento del régimen del </w:t>
            </w:r>
            <w:r>
              <w:rPr>
                <w:rFonts w:ascii="Georgia" w:cs="Georgia" w:eastAsia="Georgia" w:hAnsi="Georgia"/>
                <w:b/>
                <w:bCs/>
                <w:sz w:val="20"/>
                <w:szCs w:val="20"/>
              </w:rPr>
              <w:t xml:space="preserve">nivel 2</w:t>
            </w:r>
            <w:r>
              <w:rPr>
                <w:rFonts w:ascii="Georgia" w:cs="Georgia" w:eastAsia="Georgia" w:hAnsi="Georgia"/>
                <w:sz w:val="20"/>
                <w:szCs w:val="20"/>
              </w:rPr>
              <w:t xml:space="preserve"> da lugar a las penalidades tipificadas en la cláusula [ADM-5], sin carácter esencial. El nivel 3 no genera obligación alguna.</w:t>
            </w:r>
          </w:p>
          <w:p>
            <w:pPr>
              <w:pStyle w:val="ListParagraph"/>
              <w:numPr>
                <w:ilvl w:val="0"/>
                <w:numId w:val="2"/>
              </w:numPr>
              <w:spacing w:after="60" w:line="264"/>
            </w:pPr>
            <w:r>
              <w:rPr>
                <w:rFonts w:ascii="Georgia" w:cs="Georgia" w:eastAsia="Georgia" w:hAnsi="Georgia"/>
                <w:b/>
                <w:bCs/>
                <w:sz w:val="20"/>
                <w:szCs w:val="20"/>
              </w:rPr>
              <w:t xml:space="preserve">Compromiso recíproco del Ayuntamiento.</w:t>
            </w:r>
            <w:r>
              <w:rPr>
                <w:rFonts w:ascii="Georgia" w:cs="Georgia" w:eastAsia="Georgia" w:hAnsi="Georgia"/>
                <w:sz w:val="20"/>
                <w:szCs w:val="20"/>
              </w:rPr>
              <w:t xml:space="preserve"> El Ayuntamiento aprobará y mantendrá una política interna de uso de inteligencia artificial generativa por su personal, que contendrá al menos: inventario de sistemas autorizados; prohibición de utilizar sistemas no inventariados; formación previa del personal usuario; revisión humana de todo resultado antes de su incorporación a un expediente; doble revisión cuando el resultado se dirija a un superior jerárquico o vaya a publicarse; minimización del uso de información institucional sensible en sistemas externos; y registro de las interacciones. Esta política se incorpora como </w:t>
            </w:r>
            <w:r>
              <w:rPr>
                <w:rFonts w:ascii="Georgia" w:cs="Georgia" w:eastAsia="Georgia" w:hAnsi="Georgia"/>
                <w:b/>
                <w:bCs/>
                <w:sz w:val="20"/>
                <w:szCs w:val="20"/>
              </w:rPr>
              <w:t xml:space="preserve">Anexo [ ] de este pliego</w:t>
            </w:r>
            <w:r>
              <w:rPr>
                <w:rFonts w:ascii="Georgia" w:cs="Georgia" w:eastAsia="Georgia" w:hAnsi="Georgia"/>
                <w:sz w:val="20"/>
                <w:szCs w:val="20"/>
              </w:rPr>
              <w:t xml:space="preserve"> y se comunica al adjudicatario.</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Altas con [15] días de antelación (ap. 2). La política municipal del ap. 7 (Anexo XVI) se anexa al pliego.</w:t>
      </w:r>
    </w:p>
    <w:p>
      <w:pPr>
        <w:pStyle w:val="Heading3"/>
        <w:keepNext/>
        <w:spacing w:after="140" w:before="320"/>
      </w:pPr>
      <w:r>
        <w:rPr>
          <w:rFonts w:ascii="Georgia" w:cs="Georgia" w:eastAsia="Georgia" w:hAnsi="Georgia"/>
          <w:b/>
          <w:bCs/>
          <w:color w:val="2F5496"/>
          <w:sz w:val="22"/>
          <w:szCs w:val="22"/>
        </w:rPr>
        <w:t xml:space="preserve">ADM-4·v3 · Seguimiento — SÍ</w:t>
      </w:r>
    </w:p>
    <w:p>
      <w:pPr>
        <w:spacing w:after="140" w:line="276"/>
      </w:pPr>
      <w:r>
        <w:rPr>
          <w:rFonts w:ascii="Calibri" w:cs="Calibri" w:eastAsia="Calibri" w:hAnsi="Calibri"/>
          <w:i/>
          <w:iCs/>
          <w:sz w:val="21"/>
          <w:szCs w:val="21"/>
        </w:rPr>
        <w:t xml:space="preserve">Texto vigente de ADM-4·v3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Seguimiento de la ejecución.</w:t>
            </w:r>
          </w:p>
          <w:p>
            <w:pPr>
              <w:pStyle w:val="ListParagraph"/>
              <w:numPr>
                <w:ilvl w:val="0"/>
                <w:numId w:val="2"/>
              </w:numPr>
              <w:spacing w:after="60" w:line="264"/>
            </w:pPr>
            <w:r>
              <w:rPr>
                <w:rFonts w:ascii="Georgia" w:cs="Georgia" w:eastAsia="Georgia" w:hAnsi="Georgia"/>
                <w:b/>
                <w:bCs/>
                <w:sz w:val="20"/>
                <w:szCs w:val="20"/>
              </w:rPr>
              <w:t xml:space="preserve">Responsable del contrato.</w:t>
            </w:r>
            <w:r>
              <w:rPr>
                <w:rFonts w:ascii="Georgia" w:cs="Georgia" w:eastAsia="Georgia" w:hAnsi="Georgia"/>
                <w:sz w:val="20"/>
                <w:szCs w:val="20"/>
              </w:rPr>
              <w:t xml:space="preserve"> El órgano de contratación designa responsable del contrato a [órgano o puesto], al que corresponde supervisar la ejecución, adoptar las decisiones y dictar las instrucciones necesarias para asegurar la correcta realización de la prestación, y emitir los informes previstos en este pliego. La designación se notifica al contratista en la formalización.</w:t>
            </w:r>
          </w:p>
          <w:p>
            <w:pPr>
              <w:pStyle w:val="ListParagraph"/>
              <w:numPr>
                <w:ilvl w:val="0"/>
                <w:numId w:val="2"/>
              </w:numPr>
              <w:spacing w:after="60" w:line="264"/>
            </w:pPr>
            <w:r>
              <w:rPr>
                <w:rFonts w:ascii="Georgia" w:cs="Georgia" w:eastAsia="Georgia" w:hAnsi="Georgia"/>
                <w:b/>
                <w:bCs/>
                <w:sz w:val="20"/>
                <w:szCs w:val="20"/>
              </w:rPr>
              <w:t xml:space="preserve">Comisión de Seguimiento.</w:t>
            </w:r>
            <w:r>
              <w:rPr>
                <w:rFonts w:ascii="Georgia" w:cs="Georgia" w:eastAsia="Georgia" w:hAnsi="Georgia"/>
                <w:sz w:val="20"/>
                <w:szCs w:val="20"/>
              </w:rPr>
              <w:t xml:space="preserve"> Se constituye una Comisión de Seguimiento integrada por el responsable del contrato, que la preside, un técnico del servicio de informática municipal, un representante de la unidad gestora y, cuando el contrato incorpore la condición especial de acceso de los órganos de control, un representante del órgano interventor. Por parte del contratista asistirá el jefe de proyecto y las personas que éste designe.</w:t>
            </w:r>
          </w:p>
          <w:p>
            <w:pPr>
              <w:spacing w:after="100" w:line="264"/>
            </w:pPr>
            <w:r>
              <w:rPr>
                <w:rFonts w:ascii="Georgia" w:cs="Georgia" w:eastAsia="Georgia" w:hAnsi="Georgia"/>
                <w:sz w:val="20"/>
                <w:szCs w:val="20"/>
              </w:rPr>
              <w:t xml:space="preserve">a) Se reunirá </w:t>
            </w:r>
            <w:r>
              <w:rPr>
                <w:rFonts w:ascii="Georgia" w:cs="Georgia" w:eastAsia="Georgia" w:hAnsi="Georgia"/>
                <w:b/>
                <w:bCs/>
                <w:sz w:val="20"/>
                <w:szCs w:val="20"/>
              </w:rPr>
              <w:t xml:space="preserve">[X; se recomienda 2] veces al año</w:t>
            </w:r>
            <w:r>
              <w:rPr>
                <w:rFonts w:ascii="Georgia" w:cs="Georgia" w:eastAsia="Georgia" w:hAnsi="Georgia"/>
                <w:sz w:val="20"/>
                <w:szCs w:val="20"/>
              </w:rPr>
              <w:t xml:space="preserve"> y, además, a petición de cualquiera de las partes cuando concurra un hecho relevante para la ejecución.</w:t>
            </w:r>
          </w:p>
          <w:p>
            <w:pPr>
              <w:spacing w:after="100" w:line="264"/>
            </w:pPr>
            <w:r>
              <w:rPr>
                <w:rFonts w:ascii="Georgia" w:cs="Georgia" w:eastAsia="Georgia" w:hAnsi="Georgia"/>
                <w:sz w:val="20"/>
                <w:szCs w:val="20"/>
              </w:rPr>
              <w:t xml:space="preserve">b) De cada sesión se levantará </w:t>
            </w:r>
            <w:r>
              <w:rPr>
                <w:rFonts w:ascii="Georgia" w:cs="Georgia" w:eastAsia="Georgia" w:hAnsi="Georgia"/>
                <w:b/>
                <w:bCs/>
                <w:sz w:val="20"/>
                <w:szCs w:val="20"/>
              </w:rPr>
              <w:t xml:space="preserve">acta</w:t>
            </w:r>
            <w:r>
              <w:rPr>
                <w:rFonts w:ascii="Georgia" w:cs="Georgia" w:eastAsia="Georgia" w:hAnsi="Georgia"/>
                <w:sz w:val="20"/>
                <w:szCs w:val="20"/>
              </w:rPr>
              <w:t xml:space="preserve">, suscrita por ambas partes, que se incorporará al expediente de ejecución del contrato.</w:t>
            </w:r>
          </w:p>
          <w:p>
            <w:pPr>
              <w:spacing w:after="100" w:line="264"/>
            </w:pPr>
            <w:r>
              <w:rPr>
                <w:rFonts w:ascii="Georgia" w:cs="Georgia" w:eastAsia="Georgia" w:hAnsi="Georgia"/>
                <w:sz w:val="20"/>
                <w:szCs w:val="20"/>
              </w:rPr>
              <w:t xml:space="preserve">c) Las actas de la Comisión constituyen uno de los medios tasados de acreditación del cumplimiento previstos en la cláusula de evolución tecnológica determinada de este pliego.</w:t>
            </w:r>
          </w:p>
          <w:p>
            <w:pPr>
              <w:spacing w:after="100" w:line="264"/>
            </w:pPr>
            <w:r>
              <w:rPr>
                <w:rFonts w:ascii="Georgia" w:cs="Georgia" w:eastAsia="Georgia" w:hAnsi="Georgia"/>
                <w:sz w:val="20"/>
                <w:szCs w:val="20"/>
              </w:rPr>
              <w:t xml:space="preserve">d) La inasistencia no justificada del contratista a una sesión convocada con [X; se recomienda 10] días de antelación tendrá la consideración de incumplimiento leve.</w:t>
            </w:r>
          </w:p>
          <w:p>
            <w:pPr>
              <w:pStyle w:val="ListParagraph"/>
              <w:numPr>
                <w:ilvl w:val="0"/>
                <w:numId w:val="2"/>
              </w:numPr>
              <w:spacing w:after="60" w:line="264"/>
            </w:pPr>
            <w:r>
              <w:rPr>
                <w:rFonts w:ascii="Georgia" w:cs="Georgia" w:eastAsia="Georgia" w:hAnsi="Georgia"/>
                <w:b/>
                <w:bCs/>
                <w:sz w:val="20"/>
                <w:szCs w:val="20"/>
              </w:rPr>
              <w:t xml:space="preserve">Verificación anual.</w:t>
            </w:r>
            <w:r>
              <w:rPr>
                <w:rFonts w:ascii="Georgia" w:cs="Georgia" w:eastAsia="Georgia" w:hAnsi="Georgia"/>
                <w:sz w:val="20"/>
                <w:szCs w:val="20"/>
              </w:rPr>
              <w:t xml:space="preserve"> Dentro de los [X; se recomienda 60] días naturales siguientes al cumplimiento de cada anualidad, el responsable del contrato emitirá un </w:t>
            </w:r>
            <w:r>
              <w:rPr>
                <w:rFonts w:ascii="Georgia" w:cs="Georgia" w:eastAsia="Georgia" w:hAnsi="Georgia"/>
                <w:b/>
                <w:bCs/>
                <w:sz w:val="20"/>
                <w:szCs w:val="20"/>
              </w:rPr>
              <w:t xml:space="preserve">informe anual de ejecución</w:t>
            </w:r>
            <w:r>
              <w:rPr>
                <w:rFonts w:ascii="Georgia" w:cs="Georgia" w:eastAsia="Georgia" w:hAnsi="Georgia"/>
                <w:sz w:val="20"/>
                <w:szCs w:val="20"/>
              </w:rPr>
              <w:t xml:space="preserve"> que se pronunciará expresamente sobre:</w:t>
            </w:r>
          </w:p>
          <w:p>
            <w:pPr>
              <w:spacing w:after="100" w:line="264"/>
            </w:pPr>
            <w:r>
              <w:rPr>
                <w:rFonts w:ascii="Georgia" w:cs="Georgia" w:eastAsia="Georgia" w:hAnsi="Georgia"/>
                <w:sz w:val="20"/>
                <w:szCs w:val="20"/>
              </w:rPr>
              <w:t xml:space="preserve">a) El estado de cumplimiento de cada exigencia del Anexo de Exigencias Tecnológicas Determinadas.</w:t>
            </w:r>
          </w:p>
          <w:p>
            <w:pPr>
              <w:spacing w:after="100" w:line="264"/>
            </w:pPr>
            <w:r>
              <w:rPr>
                <w:rFonts w:ascii="Georgia" w:cs="Georgia" w:eastAsia="Georgia" w:hAnsi="Georgia"/>
                <w:sz w:val="20"/>
                <w:szCs w:val="20"/>
              </w:rPr>
              <w:t xml:space="preserve">b) El cumplimiento de las condiciones especiales de ejecución incorporadas a este pliego, una por una.</w:t>
            </w:r>
          </w:p>
          <w:p>
            <w:pPr>
              <w:spacing w:after="100" w:line="264"/>
            </w:pPr>
            <w:r>
              <w:rPr>
                <w:rFonts w:ascii="Georgia" w:cs="Georgia" w:eastAsia="Georgia" w:hAnsi="Georgia"/>
                <w:sz w:val="20"/>
                <w:szCs w:val="20"/>
              </w:rPr>
              <w:t xml:space="preserve">c) La vigencia de las certificaciones o sistemas de gestión exigidos.</w:t>
            </w:r>
          </w:p>
          <w:p>
            <w:pPr>
              <w:spacing w:after="100" w:line="264"/>
            </w:pPr>
            <w:r>
              <w:rPr>
                <w:rFonts w:ascii="Georgia" w:cs="Georgia" w:eastAsia="Georgia" w:hAnsi="Georgia"/>
                <w:sz w:val="20"/>
                <w:szCs w:val="20"/>
              </w:rPr>
              <w:t xml:space="preserve">d) Los indicadores de servicio del Pliego de Prescripciones Técnicas.</w:t>
            </w:r>
          </w:p>
          <w:p>
            <w:pPr>
              <w:spacing w:after="100" w:line="264"/>
            </w:pPr>
            <w:r>
              <w:rPr>
                <w:rFonts w:ascii="Georgia" w:cs="Georgia" w:eastAsia="Georgia" w:hAnsi="Georgia"/>
                <w:sz w:val="20"/>
                <w:szCs w:val="20"/>
              </w:rPr>
              <w:t xml:space="preserve">e) El consumo de la bolsa de servicios evolutivos, si se hubiera previsto.</w:t>
            </w:r>
          </w:p>
          <w:p>
            <w:pPr>
              <w:spacing w:after="100" w:line="264"/>
            </w:pPr>
            <w:r>
              <w:rPr>
                <w:rFonts w:ascii="Georgia" w:cs="Georgia" w:eastAsia="Georgia" w:hAnsi="Georgia"/>
                <w:sz w:val="20"/>
                <w:szCs w:val="20"/>
              </w:rPr>
              <w:t xml:space="preserve">f) Las incidencias registradas y su tratamiento.</w:t>
            </w:r>
          </w:p>
          <w:p>
            <w:pPr>
              <w:spacing w:after="100" w:line="264"/>
            </w:pPr>
            <w:r>
              <w:rPr>
                <w:rFonts w:ascii="Georgia" w:cs="Georgia" w:eastAsia="Georgia" w:hAnsi="Georgia"/>
                <w:sz w:val="20"/>
                <w:szCs w:val="20"/>
              </w:rPr>
              <w:t xml:space="preserve">g) La propuesta motivada, en su caso, de imposición de penalidades o de incoación del procedimiento de resolución. El informe se notifica al contratista, que dispondrá de [X; se recomienda 10] días hábiles para formular alegaciones antes de que el órgano de contratación adopte acuerdo.</w:t>
            </w:r>
          </w:p>
          <w:p>
            <w:pPr>
              <w:pStyle w:val="ListParagraph"/>
              <w:numPr>
                <w:ilvl w:val="0"/>
                <w:numId w:val="2"/>
              </w:numPr>
              <w:spacing w:after="60" w:line="264"/>
            </w:pPr>
            <w:r>
              <w:rPr>
                <w:rFonts w:ascii="Georgia" w:cs="Georgia" w:eastAsia="Georgia" w:hAnsi="Georgia"/>
                <w:b/>
                <w:bCs/>
                <w:sz w:val="20"/>
                <w:szCs w:val="20"/>
              </w:rPr>
              <w:t xml:space="preserve">Comprobación material.</w:t>
            </w:r>
            <w:r>
              <w:rPr>
                <w:rFonts w:ascii="Georgia" w:cs="Georgia" w:eastAsia="Georgia" w:hAnsi="Georgia"/>
                <w:sz w:val="20"/>
                <w:szCs w:val="20"/>
              </w:rPr>
              <w:t xml:space="preserve"> Cuando proceda la comprobación material de la inversión conforme a la normativa de control interno, el responsable del contrato lo hará constar y se estará a lo dispuesto en dicha normativa. Los actos de recepción previstos en este pliego se documentan de modo que resulten utilizables a esos efectos.</w:t>
            </w:r>
          </w:p>
          <w:p>
            <w:pPr>
              <w:pStyle w:val="ListParagraph"/>
              <w:numPr>
                <w:ilvl w:val="0"/>
                <w:numId w:val="2"/>
              </w:numPr>
              <w:spacing w:after="60" w:line="264"/>
            </w:pPr>
            <w:r>
              <w:rPr>
                <w:rFonts w:ascii="Georgia" w:cs="Georgia" w:eastAsia="Georgia" w:hAnsi="Georgia"/>
                <w:b/>
                <w:bCs/>
                <w:sz w:val="20"/>
                <w:szCs w:val="20"/>
              </w:rPr>
              <w:t xml:space="preserve">Obligación de colaboración del contratista.</w:t>
            </w:r>
            <w:r>
              <w:rPr>
                <w:rFonts w:ascii="Georgia" w:cs="Georgia" w:eastAsia="Georgia" w:hAnsi="Georgia"/>
                <w:sz w:val="20"/>
                <w:szCs w:val="20"/>
              </w:rPr>
              <w:t xml:space="preserve"> El contratista facilitará, en el plazo de [X; se recomienda 10] días hábiles desde su requerimiento, la documentación y los accesos necesarios para las comprobaciones previstas en este pliego, sin coste adicional.</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Ap. 2.a): [2] sesiones al año, </w:t>
      </w:r>
      <w:r>
        <w:rPr>
          <w:rFonts w:ascii="Calibri" w:cs="Calibri" w:eastAsia="Calibri" w:hAnsi="Calibri"/>
          <w:b/>
          <w:bCs/>
          <w:sz w:val="21"/>
          <w:szCs w:val="21"/>
        </w:rPr>
        <w:t xml:space="preserve">4 el primer año tras una implantación o con un Anexo V exigente</w:t>
      </w:r>
      <w:r>
        <w:rPr>
          <w:rFonts w:ascii="Calibri" w:cs="Calibri" w:eastAsia="Calibri" w:hAnsi="Calibri"/>
          <w:sz w:val="21"/>
          <w:szCs w:val="21"/>
        </w:rPr>
        <w:t xml:space="preserve"> (Anexo X, fila 23; M4.2). Ap. 3: se borran las letras sin objeto —a) sin Anexo V, c) sin certificaciones, e) sin bolsa— (ep. 7).</w:t>
      </w:r>
    </w:p>
    <w:p>
      <w:pPr>
        <w:pStyle w:val="Heading3"/>
        <w:keepNext/>
        <w:spacing w:after="140" w:before="320"/>
      </w:pPr>
      <w:r>
        <w:rPr>
          <w:rFonts w:ascii="Georgia" w:cs="Georgia" w:eastAsia="Georgia" w:hAnsi="Georgia"/>
          <w:b/>
          <w:bCs/>
          <w:color w:val="2F5496"/>
          <w:sz w:val="22"/>
          <w:szCs w:val="22"/>
        </w:rPr>
        <w:t xml:space="preserve">ADM-8·v3 · Propiedad intelectual — SÍ</w:t>
      </w:r>
    </w:p>
    <w:p>
      <w:pPr>
        <w:spacing w:after="140" w:line="276"/>
      </w:pPr>
      <w:r>
        <w:rPr>
          <w:rFonts w:ascii="Calibri" w:cs="Calibri" w:eastAsia="Calibri" w:hAnsi="Calibri"/>
          <w:i/>
          <w:iCs/>
          <w:sz w:val="21"/>
          <w:szCs w:val="21"/>
        </w:rPr>
        <w:t xml:space="preserve">Texto vigente de ADM-8·v3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Propiedad intelectual, algoritmos y lógica de negocio.</w:t>
            </w:r>
          </w:p>
          <w:p>
            <w:pPr>
              <w:pStyle w:val="ListParagraph"/>
              <w:numPr>
                <w:ilvl w:val="0"/>
                <w:numId w:val="2"/>
              </w:numPr>
              <w:spacing w:after="60" w:line="264"/>
            </w:pPr>
            <w:r>
              <w:rPr>
                <w:rFonts w:ascii="Georgia" w:cs="Georgia" w:eastAsia="Georgia" w:hAnsi="Georgia"/>
                <w:b/>
                <w:bCs/>
                <w:sz w:val="20"/>
                <w:szCs w:val="20"/>
              </w:rPr>
              <w:t xml:space="preserve">Objeto de la titularidad municipal.</w:t>
            </w:r>
            <w:r>
              <w:rPr>
                <w:rFonts w:ascii="Georgia" w:cs="Georgia" w:eastAsia="Georgia" w:hAnsi="Georgia"/>
                <w:sz w:val="20"/>
                <w:szCs w:val="20"/>
              </w:rPr>
              <w:t xml:space="preserve"> Corresponderá al Ayuntamiento la titularidad de los desarrollos, configuraciones, parametrizaciones, </w:t>
            </w:r>
            <w:r>
              <w:rPr>
                <w:rFonts w:ascii="Georgia" w:cs="Georgia" w:eastAsia="Georgia" w:hAnsi="Georgia"/>
                <w:i/>
                <w:iCs/>
                <w:sz w:val="20"/>
                <w:szCs w:val="20"/>
              </w:rPr>
              <w:t xml:space="preserve">scripts</w:t>
            </w:r>
            <w:r>
              <w:rPr>
                <w:rFonts w:ascii="Georgia" w:cs="Georgia" w:eastAsia="Georgia" w:hAnsi="Georgia"/>
                <w:sz w:val="20"/>
                <w:szCs w:val="20"/>
              </w:rPr>
              <w:t xml:space="preserve">, flujos, reglas de negocio y algoritmos de cálculo o de decisión diseñados específicamente para el Ayuntamiento, junto con su lógica funcional, su codificación —</w:t>
            </w:r>
            <w:r>
              <w:rPr>
                <w:rFonts w:ascii="Georgia" w:cs="Georgia" w:eastAsia="Georgia" w:hAnsi="Georgia"/>
                <w:b/>
                <w:bCs/>
                <w:sz w:val="20"/>
                <w:szCs w:val="20"/>
              </w:rPr>
              <w:t xml:space="preserve">tanto el programa fuente como el programa objeto</w:t>
            </w:r>
            <w:r>
              <w:rPr>
                <w:rFonts w:ascii="Georgia" w:cs="Georgia" w:eastAsia="Georgia" w:hAnsi="Georgia"/>
                <w:sz w:val="20"/>
                <w:szCs w:val="20"/>
              </w:rPr>
              <w:t xml:space="preserve">, en la terminología del artículo 97.4 del texto refundido de la Ley de Propiedad Intelectual— y su documentación técnica; así como de los </w:t>
            </w:r>
            <w:r>
              <w:rPr>
                <w:rFonts w:ascii="Georgia" w:cs="Georgia" w:eastAsia="Georgia" w:hAnsi="Georgia"/>
                <w:i/>
                <w:iCs/>
                <w:sz w:val="20"/>
                <w:szCs w:val="20"/>
              </w:rPr>
              <w:t xml:space="preserve">prompts</w:t>
            </w:r>
            <w:r>
              <w:rPr>
                <w:rFonts w:ascii="Georgia" w:cs="Georgia" w:eastAsia="Georgia" w:hAnsi="Georgia"/>
                <w:sz w:val="20"/>
                <w:szCs w:val="20"/>
              </w:rPr>
              <w:t xml:space="preserve"> corporativos, bases de conocimiento, modelos ajustados con datos municipales, datos y documentación generados en ejecución del contrato.</w:t>
            </w:r>
          </w:p>
          <w:p>
            <w:pPr>
              <w:pStyle w:val="ListParagraph"/>
              <w:numPr>
                <w:ilvl w:val="0"/>
                <w:numId w:val="2"/>
              </w:numPr>
              <w:spacing w:after="60" w:line="264"/>
            </w:pPr>
            <w:r>
              <w:rPr>
                <w:rFonts w:ascii="Georgia" w:cs="Georgia" w:eastAsia="Georgia" w:hAnsi="Georgia"/>
                <w:b/>
                <w:bCs/>
                <w:sz w:val="20"/>
                <w:szCs w:val="20"/>
              </w:rPr>
              <w:t xml:space="preserve">Extensión de la cesión.</w:t>
            </w:r>
            <w:r>
              <w:rPr>
                <w:rFonts w:ascii="Georgia" w:cs="Georgia" w:eastAsia="Georgia" w:hAnsi="Georgia"/>
                <w:sz w:val="20"/>
                <w:szCs w:val="20"/>
              </w:rPr>
              <w:t xml:space="preserve"> La cesión se entiende otorgada con carácter exclusivo, para </w:t>
            </w:r>
            <w:r>
              <w:rPr>
                <w:rFonts w:ascii="Georgia" w:cs="Georgia" w:eastAsia="Georgia" w:hAnsi="Georgia"/>
                <w:b/>
                <w:bCs/>
                <w:sz w:val="20"/>
                <w:szCs w:val="20"/>
              </w:rPr>
              <w:t xml:space="preserve">todas las modalidades de explotación</w:t>
            </w:r>
            <w:r>
              <w:rPr>
                <w:rFonts w:ascii="Georgia" w:cs="Georgia" w:eastAsia="Georgia" w:hAnsi="Georgia"/>
                <w:sz w:val="20"/>
                <w:szCs w:val="20"/>
              </w:rPr>
              <w:t xml:space="preserve"> —reproducción, distribución, comunicación pública y transformación—, por </w:t>
            </w:r>
            <w:r>
              <w:rPr>
                <w:rFonts w:ascii="Georgia" w:cs="Georgia" w:eastAsia="Georgia" w:hAnsi="Georgia"/>
                <w:b/>
                <w:bCs/>
                <w:sz w:val="20"/>
                <w:szCs w:val="20"/>
              </w:rPr>
              <w:t xml:space="preserve">todo el plazo de protección legal</w:t>
            </w:r>
            <w:r>
              <w:rPr>
                <w:rFonts w:ascii="Georgia" w:cs="Georgia" w:eastAsia="Georgia" w:hAnsi="Georgia"/>
                <w:sz w:val="20"/>
                <w:szCs w:val="20"/>
              </w:rPr>
              <w:t xml:space="preserve">, para </w:t>
            </w:r>
            <w:r>
              <w:rPr>
                <w:rFonts w:ascii="Georgia" w:cs="Georgia" w:eastAsia="Georgia" w:hAnsi="Georgia"/>
                <w:b/>
                <w:bCs/>
                <w:sz w:val="20"/>
                <w:szCs w:val="20"/>
              </w:rPr>
              <w:t xml:space="preserve">todos los países</w:t>
            </w:r>
            <w:r>
              <w:rPr>
                <w:rFonts w:ascii="Georgia" w:cs="Georgia" w:eastAsia="Georgia" w:hAnsi="Georgia"/>
                <w:sz w:val="20"/>
                <w:szCs w:val="20"/>
              </w:rPr>
              <w:t xml:space="preserve">, y con facultad de cesión a terceros y a otras entidades del sector público, en los términos del artículo 308.1, último inciso, de la LCSP y de los artículos 157 y 158 de la Ley 40/2015. Esta mención expresa se realiza a los efectos del artículo 43.2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Límites legales de la cesión.</w:t>
            </w:r>
            <w:r>
              <w:rPr>
                <w:rFonts w:ascii="Georgia" w:cs="Georgia" w:eastAsia="Georgia" w:hAnsi="Georgia"/>
                <w:sz w:val="20"/>
                <w:szCs w:val="20"/>
              </w:rPr>
              <w:t xml:space="preserve"> El alcance, contenido e interpretación de esta cesión se ajustarán en todo caso a la legislación específica de propiedad intelectual e industrial. La cesión </w:t>
            </w:r>
            <w:r>
              <w:rPr>
                <w:rFonts w:ascii="Georgia" w:cs="Georgia" w:eastAsia="Georgia" w:hAnsi="Georgia"/>
                <w:b/>
                <w:bCs/>
                <w:sz w:val="20"/>
                <w:szCs w:val="20"/>
              </w:rPr>
              <w:t xml:space="preserve">no alcanza a los derechos morales de autor</w:t>
            </w:r>
            <w:r>
              <w:rPr>
                <w:rFonts w:ascii="Georgia" w:cs="Georgia" w:eastAsia="Georgia" w:hAnsi="Georgia"/>
                <w:sz w:val="20"/>
                <w:szCs w:val="20"/>
              </w:rPr>
              <w:t xml:space="preserve">, que son irrenunciables e inalienables. No se excluye contractualmente el límite del artículo 100.1 del texto refundido de la Ley de Propiedad Intelectual: el Ayuntamiento, como usuario legítimo, queda facultado para la reproducción y transformación necesarias para el uso de la solución, incluida la corrección de errores.</w:t>
            </w:r>
          </w:p>
          <w:p>
            <w:pPr>
              <w:pStyle w:val="ListParagraph"/>
              <w:numPr>
                <w:ilvl w:val="0"/>
                <w:numId w:val="2"/>
              </w:numPr>
              <w:spacing w:after="60" w:line="264"/>
            </w:pPr>
            <w:r>
              <w:rPr>
                <w:rFonts w:ascii="Georgia" w:cs="Georgia" w:eastAsia="Georgia" w:hAnsi="Georgia"/>
                <w:b/>
                <w:bCs/>
                <w:sz w:val="20"/>
                <w:szCs w:val="20"/>
              </w:rPr>
              <w:t xml:space="preserve">Delimitación negativa.</w:t>
            </w:r>
            <w:r>
              <w:rPr>
                <w:rFonts w:ascii="Georgia" w:cs="Georgia" w:eastAsia="Georgia" w:hAnsi="Georgia"/>
                <w:sz w:val="20"/>
                <w:szCs w:val="20"/>
              </w:rPr>
              <w:t xml:space="preserve"> La titularidad municipal </w:t>
            </w:r>
            <w:r>
              <w:rPr>
                <w:rFonts w:ascii="Georgia" w:cs="Georgia" w:eastAsia="Georgia" w:hAnsi="Georgia"/>
                <w:b/>
                <w:bCs/>
                <w:sz w:val="20"/>
                <w:szCs w:val="20"/>
              </w:rPr>
              <w:t xml:space="preserve">no alcanza</w:t>
            </w:r>
            <w:r>
              <w:rPr>
                <w:rFonts w:ascii="Georgia" w:cs="Georgia" w:eastAsia="Georgia" w:hAnsi="Georgia"/>
                <w:sz w:val="20"/>
                <w:szCs w:val="20"/>
              </w:rPr>
              <w:t xml:space="preserve"> al producto base, estándar o de mercado del adjudicatario, ni a los componentes de terceros integrados en la solución. </w:t>
            </w:r>
            <w:r>
              <w:rPr>
                <w:rFonts w:ascii="Georgia" w:cs="Georgia" w:eastAsia="Georgia" w:hAnsi="Georgia"/>
                <w:b/>
                <w:bCs/>
                <w:sz w:val="20"/>
                <w:szCs w:val="20"/>
              </w:rPr>
              <w:t xml:space="preserve">No se exige la entrega del código fuente de dicho producto base ni de dichos componentes</w:t>
            </w:r>
            <w:r>
              <w:rPr>
                <w:rFonts w:ascii="Georgia" w:cs="Georgia" w:eastAsia="Georgia" w:hAnsi="Georgia"/>
                <w:sz w:val="20"/>
                <w:szCs w:val="20"/>
              </w:rPr>
              <w:t xml:space="preserve">, cuya propiedad intelectual queda expresamente salvaguardada, salvo que el producto haya sido desarrollado a medida para el Ayuntamiento o esté sujeto a licencia de fuentes abiertas.</w:t>
            </w:r>
          </w:p>
          <w:p>
            <w:pPr>
              <w:pStyle w:val="ListParagraph"/>
              <w:numPr>
                <w:ilvl w:val="0"/>
                <w:numId w:val="2"/>
              </w:numPr>
              <w:spacing w:after="60" w:line="264"/>
            </w:pPr>
            <w:r>
              <w:rPr>
                <w:rFonts w:ascii="Georgia" w:cs="Georgia" w:eastAsia="Georgia" w:hAnsi="Georgia"/>
                <w:b/>
                <w:bCs/>
                <w:sz w:val="20"/>
                <w:szCs w:val="20"/>
              </w:rPr>
              <w:t xml:space="preserve">Licencia mínima supletoria sobre el producto base.</w:t>
            </w:r>
            <w:r>
              <w:rPr>
                <w:rFonts w:ascii="Georgia" w:cs="Georgia" w:eastAsia="Georgia" w:hAnsi="Georgia"/>
                <w:sz w:val="20"/>
                <w:szCs w:val="20"/>
              </w:rPr>
              <w:t xml:space="preserve"> Respecto del producto base, estándar o de mercado, y como mínimo aunque este pliego no disponga otra cosa, el Ayuntamiento ostentará una licencia de uso no exclusiva para todos los fines propios de sus competencias, para el número de personas usuarias, instalaciones o unidades de consumo que este pliego fije en su cuadro de características, durante la vigencia del contrato, sus prórrogas y el período de reversión. Respecto de los componentes de terceros integrados en la solución, la obligación del adjudicatario se limita a mantener vigentes, con cargo al precio del contrato, las licencias necesarias para el uso de la solución por el Ayuntamiento en ese mismo alcance, y a identificarlas en el Inventario de Componentes. La facultad de poner la aplicación a disposición de otras entidades del sector público a los efectos de los artículos 157 y 158 de la Ley 40/2015 se refiere exclusivamente a los elementos de titularidad municipal conforme al apartado 1; cuando el Ayuntamiento pretenda extenderla al producto base, deberá pactarlo expresamente con el licenciante y consignarlo en el cuadro de características.</w:t>
            </w:r>
          </w:p>
          <w:p>
            <w:pPr>
              <w:pStyle w:val="ListParagraph"/>
              <w:numPr>
                <w:ilvl w:val="0"/>
                <w:numId w:val="2"/>
              </w:numPr>
              <w:spacing w:after="60" w:line="264"/>
            </w:pPr>
            <w:r>
              <w:rPr>
                <w:rFonts w:ascii="Georgia" w:cs="Georgia" w:eastAsia="Georgia" w:hAnsi="Georgia"/>
                <w:b/>
                <w:bCs/>
                <w:sz w:val="20"/>
                <w:szCs w:val="20"/>
              </w:rPr>
              <w:t xml:space="preserve">Delimitación documentada.</w:t>
            </w:r>
            <w:r>
              <w:rPr>
                <w:rFonts w:ascii="Georgia" w:cs="Georgia" w:eastAsia="Georgia" w:hAnsi="Georgia"/>
                <w:sz w:val="20"/>
                <w:szCs w:val="20"/>
              </w:rPr>
              <w:t xml:space="preserve"> La separación entre lo que es titularidad municipal y lo que es producto base se acredita mediante el </w:t>
            </w:r>
            <w:r>
              <w:rPr>
                <w:rFonts w:ascii="Georgia" w:cs="Georgia" w:eastAsia="Georgia" w:hAnsi="Georgia"/>
                <w:b/>
                <w:bCs/>
                <w:sz w:val="20"/>
                <w:szCs w:val="20"/>
              </w:rPr>
              <w:t xml:space="preserve">Inventario de Componentes</w:t>
            </w:r>
            <w:r>
              <w:rPr>
                <w:rFonts w:ascii="Georgia" w:cs="Georgia" w:eastAsia="Georgia" w:hAnsi="Georgia"/>
                <w:sz w:val="20"/>
                <w:szCs w:val="20"/>
              </w:rPr>
              <w:t xml:space="preserve"> exigido en la cláusula [DT-8] del pliego de prescripciones técnicas, mantenido desde el inicio de la ejecución y actualizado con cada versión puesta en producción. En defecto de Inventario, la delimitación se entenderá efectuada a favor del Ayuntamiento respecto de todo elemento que el adjudicatario no acredite documentalmente como preexistente al contrato.</w:t>
            </w:r>
          </w:p>
          <w:p>
            <w:pPr>
              <w:pStyle w:val="ListParagraph"/>
              <w:numPr>
                <w:ilvl w:val="0"/>
                <w:numId w:val="2"/>
              </w:numPr>
              <w:spacing w:after="60" w:line="264"/>
            </w:pPr>
            <w:r>
              <w:rPr>
                <w:rFonts w:ascii="Georgia" w:cs="Georgia" w:eastAsia="Georgia" w:hAnsi="Georgia"/>
                <w:b/>
                <w:bCs/>
                <w:sz w:val="20"/>
                <w:szCs w:val="20"/>
              </w:rPr>
              <w:t xml:space="preserve">Auditoría en actuación administrativa automatizada.</w:t>
            </w:r>
            <w:r>
              <w:rPr>
                <w:rFonts w:ascii="Georgia" w:cs="Georgia" w:eastAsia="Georgia" w:hAnsi="Georgia"/>
                <w:sz w:val="20"/>
                <w:szCs w:val="20"/>
              </w:rPr>
              <w:t xml:space="preserve"> Cuando el Ayuntamiento acuerde una actuación administrativa automatizada al amparo del artículo 41 de la Ley 40/2015, el adjudicatario garantizará al Ayuntamiento y a los auditores que este designe, sujetos a idéntico deber de confidencialidad, el acceso a la lógica, la parametrización y el código fuente de los componentes desarrollados específicamente para el Ayuntamiento, con la exclusiva finalidad de auditoría y sin facultad alguna de explotación comercial.</w:t>
            </w:r>
          </w:p>
          <w:p>
            <w:pPr>
              <w:pStyle w:val="ListParagraph"/>
              <w:numPr>
                <w:ilvl w:val="0"/>
                <w:numId w:val="2"/>
              </w:numPr>
              <w:spacing w:after="60" w:line="264"/>
            </w:pPr>
            <w:r>
              <w:rPr>
                <w:rFonts w:ascii="Georgia" w:cs="Georgia" w:eastAsia="Georgia" w:hAnsi="Georgia"/>
                <w:b/>
                <w:bCs/>
                <w:sz w:val="20"/>
                <w:szCs w:val="20"/>
              </w:rPr>
              <w:t xml:space="preserve">Coherencia con el pliego técnico.</w:t>
            </w:r>
            <w:r>
              <w:rPr>
                <w:rFonts w:ascii="Georgia" w:cs="Georgia" w:eastAsia="Georgia" w:hAnsi="Georgia"/>
                <w:sz w:val="20"/>
                <w:szCs w:val="20"/>
              </w:rPr>
              <w:t xml:space="preserve"> Esta cláusula se corresponde con el apartado 7 de la cláusula [DT-1] del pliego de prescripciones técnicas y debe interpretarse conjuntamente con ella y con la cláusula [DT-8] de reversibilidad.</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Alcance del perfil base: entera con desarrollo específico o parametrización sustantiva; en SaaS sin ninguno de los dos, ap. 4 y 5, y el 1 sólo para datos, </w:t>
      </w:r>
      <w:r>
        <w:rPr>
          <w:rFonts w:ascii="Calibri" w:cs="Calibri" w:eastAsia="Calibri" w:hAnsi="Calibri"/>
          <w:i/>
          <w:iCs/>
          <w:sz w:val="21"/>
          <w:szCs w:val="21"/>
        </w:rPr>
        <w:t xml:space="preserve">prompts</w:t>
      </w:r>
      <w:r>
        <w:rPr>
          <w:rFonts w:ascii="Calibri" w:cs="Calibri" w:eastAsia="Calibri" w:hAnsi="Calibri"/>
          <w:sz w:val="21"/>
          <w:szCs w:val="21"/>
        </w:rPr>
        <w:t xml:space="preserve"> y bases de conocimiento (ep. 7). Licencia mínima del ap. 5: personas usuarias o instalaciones </w:t>
      </w:r>
      <w:r>
        <w:rPr>
          <w:rFonts w:ascii="Calibri" w:cs="Calibri" w:eastAsia="Calibri" w:hAnsi="Calibri"/>
          <w:b/>
          <w:bCs/>
          <w:sz w:val="21"/>
          <w:szCs w:val="21"/>
        </w:rPr>
        <w:t xml:space="preserve">[a cumplimentar con datos del expediente]</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ADM-5·v3 · Penalidades — SÍ</w:t>
      </w:r>
    </w:p>
    <w:p>
      <w:pPr>
        <w:spacing w:after="140" w:line="276"/>
      </w:pPr>
      <w:r>
        <w:rPr>
          <w:rFonts w:ascii="Calibri" w:cs="Calibri" w:eastAsia="Calibri" w:hAnsi="Calibri"/>
          <w:i/>
          <w:iCs/>
          <w:sz w:val="21"/>
          <w:szCs w:val="21"/>
        </w:rPr>
        <w:t xml:space="preserve">Texto vigente de ADM-5·v3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Penalidades por incumplimiento.</w:t>
            </w:r>
          </w:p>
          <w:p>
            <w:pPr>
              <w:pStyle w:val="ListParagraph"/>
              <w:numPr>
                <w:ilvl w:val="0"/>
                <w:numId w:val="2"/>
              </w:numPr>
              <w:spacing w:after="60" w:line="264"/>
            </w:pPr>
            <w:r>
              <w:rPr>
                <w:rFonts w:ascii="Georgia" w:cs="Georgia" w:eastAsia="Georgia" w:hAnsi="Georgia"/>
                <w:b/>
                <w:bCs/>
                <w:sz w:val="20"/>
                <w:szCs w:val="20"/>
              </w:rPr>
              <w:t xml:space="preserve">Régimen y límites.</w:t>
            </w:r>
            <w:r>
              <w:rPr>
                <w:rFonts w:ascii="Georgia" w:cs="Georgia" w:eastAsia="Georgia" w:hAnsi="Georgia"/>
                <w:sz w:val="20"/>
                <w:szCs w:val="20"/>
              </w:rPr>
              <w:t xml:space="preserve"> El incumplimiento de las obligaciones y condiciones especiales de ejecución establecidas en este pliego dará lugar a la imposición de penalidades proporcionadas a la gravedad del incumplimiento, conforme al artículo 192.1 de la Ley 9/2017, sin que la cuantía de cada una pueda ser superior al </w:t>
            </w:r>
            <w:r>
              <w:rPr>
                <w:rFonts w:ascii="Georgia" w:cs="Georgia" w:eastAsia="Georgia" w:hAnsi="Georgia"/>
                <w:b/>
                <w:bCs/>
                <w:sz w:val="20"/>
                <w:szCs w:val="20"/>
              </w:rPr>
              <w:t xml:space="preserve">10 por ciento del precio del contrato, IVA excluido</w:t>
            </w:r>
            <w:r>
              <w:rPr>
                <w:rFonts w:ascii="Georgia" w:cs="Georgia" w:eastAsia="Georgia" w:hAnsi="Georgia"/>
                <w:sz w:val="20"/>
                <w:szCs w:val="20"/>
              </w:rPr>
              <w:t xml:space="preserve">, ni el total de las impuestas superar el </w:t>
            </w:r>
            <w:r>
              <w:rPr>
                <w:rFonts w:ascii="Georgia" w:cs="Georgia" w:eastAsia="Georgia" w:hAnsi="Georgia"/>
                <w:b/>
                <w:bCs/>
                <w:sz w:val="20"/>
                <w:szCs w:val="20"/>
              </w:rPr>
              <w:t xml:space="preserve">50 por ciento del precio del contrato</w:t>
            </w:r>
            <w:r>
              <w:rPr>
                <w:rFonts w:ascii="Georgia" w:cs="Georgia" w:eastAsia="Georgia" w:hAnsi="Georgia"/>
                <w:sz w:val="20"/>
                <w:szCs w:val="20"/>
              </w:rPr>
              <w:t xml:space="preserve">. Este cuadro no sustituye al régimen general de la demora en la ejecución previsto en la Ley 9/2017, que opera conforme a sus propios términos.</w:t>
            </w:r>
          </w:p>
          <w:p>
            <w:pPr>
              <w:pStyle w:val="ListParagraph"/>
              <w:numPr>
                <w:ilvl w:val="0"/>
                <w:numId w:val="2"/>
              </w:numPr>
              <w:spacing w:after="60" w:line="264"/>
            </w:pPr>
            <w:r>
              <w:rPr>
                <w:rFonts w:ascii="Georgia" w:cs="Georgia" w:eastAsia="Georgia" w:hAnsi="Georgia"/>
                <w:b/>
                <w:bCs/>
                <w:sz w:val="20"/>
                <w:szCs w:val="20"/>
              </w:rPr>
              <w:t xml:space="preserve">Cuantías.</w:t>
            </w:r>
          </w:p>
          <w:p>
            <w:pPr>
              <w:spacing w:after="100" w:line="264"/>
            </w:pPr>
            <w:r>
              <w:rPr>
                <w:rFonts w:ascii="Georgia" w:cs="Georgia" w:eastAsia="Georgia" w:hAnsi="Georgia"/>
                <w:sz w:val="20"/>
                <w:szCs w:val="20"/>
              </w:rPr>
              <w:t xml:space="preserve">a) Incumplimiento </w:t>
            </w:r>
            <w:r>
              <w:rPr>
                <w:rFonts w:ascii="Georgia" w:cs="Georgia" w:eastAsia="Georgia" w:hAnsi="Georgia"/>
                <w:b/>
                <w:bCs/>
                <w:sz w:val="20"/>
                <w:szCs w:val="20"/>
              </w:rPr>
              <w:t xml:space="preserve">leve</w:t>
            </w:r>
            <w:r>
              <w:rPr>
                <w:rFonts w:ascii="Georgia" w:cs="Georgia" w:eastAsia="Georgia" w:hAnsi="Georgia"/>
                <w:sz w:val="20"/>
                <w:szCs w:val="20"/>
              </w:rPr>
              <w:t xml:space="preserve">: hasta el [X; se recomienda 0,5] por ciento del precio anual del contrato, IVA excluido, por cada incumplimiento.</w:t>
            </w:r>
          </w:p>
          <w:p>
            <w:pPr>
              <w:spacing w:after="100" w:line="264"/>
            </w:pPr>
            <w:r>
              <w:rPr>
                <w:rFonts w:ascii="Georgia" w:cs="Georgia" w:eastAsia="Georgia" w:hAnsi="Georgia"/>
                <w:sz w:val="20"/>
                <w:szCs w:val="20"/>
              </w:rPr>
              <w:t xml:space="preserve">b) Incumplimiento </w:t>
            </w:r>
            <w:r>
              <w:rPr>
                <w:rFonts w:ascii="Georgia" w:cs="Georgia" w:eastAsia="Georgia" w:hAnsi="Georgia"/>
                <w:b/>
                <w:bCs/>
                <w:sz w:val="20"/>
                <w:szCs w:val="20"/>
              </w:rPr>
              <w:t xml:space="preserve">grave</w:t>
            </w:r>
            <w:r>
              <w:rPr>
                <w:rFonts w:ascii="Georgia" w:cs="Georgia" w:eastAsia="Georgia" w:hAnsi="Georgia"/>
                <w:sz w:val="20"/>
                <w:szCs w:val="20"/>
              </w:rPr>
              <w:t xml:space="preserve">: entre el [X; se recomienda 0,5] y el [X; se recomienda 3] por ciento del precio anual del contrato, IVA excluido, por cada incumplimiento.</w:t>
            </w:r>
          </w:p>
          <w:p>
            <w:pPr>
              <w:spacing w:after="100" w:line="264"/>
            </w:pPr>
            <w:r>
              <w:rPr>
                <w:rFonts w:ascii="Georgia" w:cs="Georgia" w:eastAsia="Georgia" w:hAnsi="Georgia"/>
                <w:sz w:val="20"/>
                <w:szCs w:val="20"/>
              </w:rPr>
              <w:t xml:space="preserve">c) Incumplimiento </w:t>
            </w:r>
            <w:r>
              <w:rPr>
                <w:rFonts w:ascii="Georgia" w:cs="Georgia" w:eastAsia="Georgia" w:hAnsi="Georgia"/>
                <w:b/>
                <w:bCs/>
                <w:sz w:val="20"/>
                <w:szCs w:val="20"/>
              </w:rPr>
              <w:t xml:space="preserve">muy grave</w:t>
            </w:r>
            <w:r>
              <w:rPr>
                <w:rFonts w:ascii="Georgia" w:cs="Georgia" w:eastAsia="Georgia" w:hAnsi="Georgia"/>
                <w:sz w:val="20"/>
                <w:szCs w:val="20"/>
              </w:rPr>
              <w:t xml:space="preserve">: entre el [X; se recomienda 3] y el [X; se recomienda 6] por ciento del precio del contrato, IVA excluido, por cada incumplimiento, sin superar en ningún caso el 10 por ciento.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Tope por hecho continuado.</w:t>
            </w:r>
            <w:r>
              <w:rPr>
                <w:rFonts w:ascii="Georgia" w:cs="Georgia" w:eastAsia="Georgia" w:hAnsi="Georgia"/>
                <w:sz w:val="20"/>
                <w:szCs w:val="20"/>
              </w:rPr>
              <w:t xml:space="preserve"> El importe acumulado de las penalidades impuestas por un mismo hecho continuado no podrá superar el 10 por ciento del precio del contrato, IVA excluido (artículo 192.1 de la Ley 9/2017).</w:t>
            </w:r>
          </w:p>
          <w:p>
            <w:pPr>
              <w:pStyle w:val="ListParagraph"/>
              <w:numPr>
                <w:ilvl w:val="0"/>
                <w:numId w:val="2"/>
              </w:numPr>
              <w:spacing w:after="60" w:line="264"/>
            </w:pPr>
            <w:r>
              <w:rPr>
                <w:rFonts w:ascii="Georgia" w:cs="Georgia" w:eastAsia="Georgia" w:hAnsi="Georgia"/>
                <w:b/>
                <w:bCs/>
                <w:sz w:val="20"/>
                <w:szCs w:val="20"/>
              </w:rPr>
              <w:t xml:space="preserve">Tipificación.</w:t>
            </w:r>
            <w:r>
              <w:rPr>
                <w:rFonts w:ascii="Georgia" w:cs="Georgia" w:eastAsia="Georgia" w:hAnsi="Georgia"/>
                <w:sz w:val="20"/>
                <w:szCs w:val="20"/>
              </w:rPr>
              <w:t xml:space="preserve"> Constituyen incumplimientos sancionables, exclusivamente, los siguientes:</w:t>
            </w:r>
          </w:p>
          <w:p>
            <w:pPr>
              <w:spacing w:after="100" w:line="264"/>
            </w:pPr>
            <w:r>
              <w:rPr>
                <w:rFonts w:ascii="Georgia" w:cs="Georgia" w:eastAsia="Georgia" w:hAnsi="Georgia"/>
                <w:b/>
                <w:bCs/>
                <w:sz w:val="20"/>
                <w:szCs w:val="20"/>
              </w:rPr>
              <w:t xml:space="preserve">Leves</w:t>
            </w:r>
          </w:p>
          <w:p>
            <w:pPr>
              <w:spacing w:after="100" w:line="264"/>
            </w:pPr>
            <w:r>
              <w:rPr>
                <w:rFonts w:ascii="Georgia" w:cs="Georgia" w:eastAsia="Georgia" w:hAnsi="Georgia"/>
                <w:sz w:val="20"/>
                <w:szCs w:val="20"/>
              </w:rPr>
              <w:t xml:space="preserve">L1. Retraso de hasta 30 días naturales en la presentación del Plan Anual de Evolución Tecnológica, contados desde el plazo que para ello fija la cláusula de Plan Anual de este pliego.</w:t>
            </w:r>
          </w:p>
          <w:p>
            <w:pPr>
              <w:spacing w:after="100" w:line="264"/>
            </w:pPr>
            <w:r>
              <w:rPr>
                <w:rFonts w:ascii="Georgia" w:cs="Georgia" w:eastAsia="Georgia" w:hAnsi="Georgia"/>
                <w:sz w:val="20"/>
                <w:szCs w:val="20"/>
              </w:rPr>
              <w:t xml:space="preserve">L2. Comunicación de la publicación de una versión sucesora del producto contratado fuera del plazo fijado para ello en los pliegos, siempre que se produzca antes de transcurridos 90 días naturales desde su disponibilidad general.</w:t>
            </w:r>
          </w:p>
          <w:p>
            <w:pPr>
              <w:spacing w:after="100" w:line="264"/>
            </w:pPr>
            <w:r>
              <w:rPr>
                <w:rFonts w:ascii="Georgia" w:cs="Georgia" w:eastAsia="Georgia" w:hAnsi="Georgia"/>
                <w:sz w:val="20"/>
                <w:szCs w:val="20"/>
              </w:rPr>
              <w:t xml:space="preserve">L3. Falta de remisión, en el plazo requerido, de la documentación acreditativa del sistema de gestión de la inteligencia artificial o de cualquier otra documentación exigible conforme a este pliego.</w:t>
            </w:r>
          </w:p>
          <w:p>
            <w:pPr>
              <w:spacing w:after="100" w:line="264"/>
            </w:pPr>
            <w:r>
              <w:rPr>
                <w:rFonts w:ascii="Georgia" w:cs="Georgia" w:eastAsia="Georgia" w:hAnsi="Georgia"/>
                <w:sz w:val="20"/>
                <w:szCs w:val="20"/>
              </w:rPr>
              <w:t xml:space="preserve">L4. Inasistencia no justificada a una sesión de la Comisión de Seguimiento convocada en plazo.</w:t>
            </w:r>
          </w:p>
          <w:p>
            <w:pPr>
              <w:spacing w:after="100" w:line="264"/>
            </w:pPr>
            <w:r>
              <w:rPr>
                <w:rFonts w:ascii="Georgia" w:cs="Georgia" w:eastAsia="Georgia" w:hAnsi="Georgia"/>
                <w:sz w:val="20"/>
                <w:szCs w:val="20"/>
              </w:rPr>
              <w:t xml:space="preserve">L5. Deficiencias documentales subsanables en las actas de aceptación o de recepción, no subsanadas en el plazo requerido.</w:t>
            </w:r>
          </w:p>
          <w:p>
            <w:pPr>
              <w:spacing w:after="100" w:line="264"/>
            </w:pPr>
            <w:r>
              <w:rPr>
                <w:rFonts w:ascii="Georgia" w:cs="Georgia" w:eastAsia="Georgia" w:hAnsi="Georgia"/>
                <w:sz w:val="20"/>
                <w:szCs w:val="20"/>
              </w:rPr>
              <w:t xml:space="preserve">L6. Retraso no superior a [X; se recomienda 15] días naturales en la actualización del inventario de sistemas de inteligencia artificial, o en la entrega de las instrucciones de uso y de los registros exigidos por la cláusula técnica de incorporación de inteligencia artificial.</w:t>
            </w:r>
          </w:p>
          <w:p>
            <w:pPr>
              <w:spacing w:after="100" w:line="264"/>
            </w:pPr>
            <w:r>
              <w:rPr>
                <w:rFonts w:ascii="Georgia" w:cs="Georgia" w:eastAsia="Georgia" w:hAnsi="Georgia"/>
                <w:sz w:val="20"/>
                <w:szCs w:val="20"/>
              </w:rPr>
              <w:t xml:space="preserve">L7. Retraso no superior a [X; se recomienda 15] días naturales en la entrega o actualización de la documentación técnica de las interfaces de interoperabilidad, de la interfaz normalizada de acceso programático o del anclaje de evidencias.</w:t>
            </w:r>
          </w:p>
          <w:p>
            <w:pPr>
              <w:spacing w:after="100" w:line="264"/>
            </w:pPr>
            <w:r>
              <w:rPr>
                <w:rFonts w:ascii="Georgia" w:cs="Georgia" w:eastAsia="Georgia" w:hAnsi="Georgia"/>
                <w:sz w:val="20"/>
                <w:szCs w:val="20"/>
              </w:rPr>
              <w:t xml:space="preserve">L8. Retraso no superior a [X; se recomienda 30] días naturales en la entrega de los indicadores de los procesos automatizados, o en la entrega o actualización del inventario y del plan de transición criptográfica.</w:t>
            </w:r>
          </w:p>
          <w:p>
            <w:pPr>
              <w:spacing w:after="100" w:line="264"/>
            </w:pPr>
            <w:r>
              <w:rPr>
                <w:rFonts w:ascii="Georgia" w:cs="Georgia" w:eastAsia="Georgia" w:hAnsi="Georgia"/>
                <w:sz w:val="20"/>
                <w:szCs w:val="20"/>
              </w:rPr>
              <w:t xml:space="preserve">L9. Retraso no superior a [X; se recomienda 15] días naturales en la entrega del informe de vulnerabilidades o del informe de la prueba de continuidad.</w:t>
            </w:r>
          </w:p>
          <w:p>
            <w:pPr>
              <w:spacing w:after="100" w:line="264"/>
            </w:pPr>
            <w:r>
              <w:rPr>
                <w:rFonts w:ascii="Georgia" w:cs="Georgia" w:eastAsia="Georgia" w:hAnsi="Georgia"/>
                <w:sz w:val="20"/>
                <w:szCs w:val="20"/>
              </w:rPr>
              <w:t xml:space="preserve">L10. Retraso no superior a [X; se recomienda 30] días naturales en la actualización anual del Plan de Reversibilidad.</w:t>
            </w:r>
          </w:p>
          <w:p>
            <w:pPr>
              <w:spacing w:after="100" w:line="264"/>
            </w:pPr>
            <w:r>
              <w:rPr>
                <w:rFonts w:ascii="Georgia" w:cs="Georgia" w:eastAsia="Georgia" w:hAnsi="Georgia"/>
                <w:sz w:val="20"/>
                <w:szCs w:val="20"/>
              </w:rPr>
              <w:t xml:space="preserve">L11. Puesta en producción de un cambio que altere la descripción de la recogida y el etiquetado de los datos de un sistema de inteligencia artificial sin haberla actualizado; resultado producido por un sistema de inteligencia artificial en la tramitación de un procedimiento administrativo sin constancia de los criterios aplicados ni de que no pueden identificarse; o retraso no superior a [X; se recomienda 30] días naturales en la entrega de los indicadores desagregados de sesgo; todo ello conforme a la cláusula técnica de incorporación de inteligencia artificial.</w:t>
            </w:r>
          </w:p>
          <w:p>
            <w:pPr>
              <w:spacing w:after="100" w:line="264"/>
            </w:pPr>
            <w:r>
              <w:rPr>
                <w:rFonts w:ascii="Georgia" w:cs="Georgia" w:eastAsia="Georgia" w:hAnsi="Georgia"/>
                <w:sz w:val="20"/>
                <w:szCs w:val="20"/>
              </w:rPr>
              <w:t xml:space="preserve">L12. Superación del tiempo máximo de respuesta o de resolución aplicable en más del [X; se recomienda 10] por ciento de las incidencias no calificadas de críticas registradas en un período de medición de los acuerdos de nivel de servicio del Pliego de Prescripciones Técnicas o, si éste no lo fija, en un mes natural. El tiempo máximo aplicable es el fijado en dichos acuerdos o, si el adjudicatario ofertó uno inferior en el criterio de adjudicación de niveles de servicio, el ofertado.</w:t>
            </w:r>
          </w:p>
          <w:p>
            <w:pPr>
              <w:spacing w:after="100" w:line="264"/>
            </w:pPr>
            <w:r>
              <w:rPr>
                <w:rFonts w:ascii="Georgia" w:cs="Georgia" w:eastAsia="Georgia" w:hAnsi="Georgia"/>
                <w:b/>
                <w:bCs/>
                <w:sz w:val="20"/>
                <w:szCs w:val="20"/>
              </w:rPr>
              <w:t xml:space="preserve">Graves</w:t>
            </w:r>
          </w:p>
          <w:p>
            <w:pPr>
              <w:spacing w:after="100" w:line="264"/>
            </w:pPr>
            <w:r>
              <w:rPr>
                <w:rFonts w:ascii="Georgia" w:cs="Georgia" w:eastAsia="Georgia" w:hAnsi="Georgia"/>
                <w:sz w:val="20"/>
                <w:szCs w:val="20"/>
              </w:rPr>
              <w:t xml:space="preserve">G1. Reiteración de dos incumplimientos leves de la misma clase en doce meses, o persistencia de un incumplimiento leve más allá de 30 días desde el requerimiento de subsanación.</w:t>
            </w:r>
          </w:p>
          <w:p>
            <w:pPr>
              <w:spacing w:after="100" w:line="264"/>
            </w:pPr>
            <w:r>
              <w:rPr>
                <w:rFonts w:ascii="Georgia" w:cs="Georgia" w:eastAsia="Georgia" w:hAnsi="Georgia"/>
                <w:sz w:val="20"/>
                <w:szCs w:val="20"/>
              </w:rPr>
              <w:t xml:space="preserve">G2. Incumplimiento del plazo de implantación de una exigencia del Anexo de Exigencias Tecnológicas Determinadas, por cada mes o fracción de retraso.</w:t>
            </w:r>
          </w:p>
          <w:p>
            <w:pPr>
              <w:spacing w:after="100" w:line="264"/>
            </w:pPr>
            <w:r>
              <w:rPr>
                <w:rFonts w:ascii="Georgia" w:cs="Georgia" w:eastAsia="Georgia" w:hAnsi="Georgia"/>
                <w:sz w:val="20"/>
                <w:szCs w:val="20"/>
              </w:rPr>
              <w:t xml:space="preserve">G3. Falta de entrega o de actualización del Inventario de Componentes en los plazos del pliego.</w:t>
            </w:r>
          </w:p>
          <w:p>
            <w:pPr>
              <w:spacing w:after="100" w:line="264"/>
            </w:pPr>
            <w:r>
              <w:rPr>
                <w:rFonts w:ascii="Georgia" w:cs="Georgia" w:eastAsia="Georgia" w:hAnsi="Georgia"/>
                <w:sz w:val="20"/>
                <w:szCs w:val="20"/>
              </w:rPr>
              <w:t xml:space="preserve">G4. Falta de constitución, de actualización o de verificación del depósito de código en los plazos del pliego.</w:t>
            </w:r>
          </w:p>
          <w:p>
            <w:pPr>
              <w:spacing w:after="100" w:line="264"/>
            </w:pPr>
            <w:r>
              <w:rPr>
                <w:rFonts w:ascii="Georgia" w:cs="Georgia" w:eastAsia="Georgia" w:hAnsi="Georgia"/>
                <w:sz w:val="20"/>
                <w:szCs w:val="20"/>
              </w:rPr>
              <w:t xml:space="preserve">G5. Falta de comunicación de la publicación de una versión sucesora transcurridos 90 días naturales desde su disponibilidad general.</w:t>
            </w:r>
          </w:p>
          <w:p>
            <w:pPr>
              <w:spacing w:after="100" w:line="264"/>
            </w:pPr>
            <w:r>
              <w:rPr>
                <w:rFonts w:ascii="Georgia" w:cs="Georgia" w:eastAsia="Georgia" w:hAnsi="Georgia"/>
                <w:sz w:val="20"/>
                <w:szCs w:val="20"/>
              </w:rPr>
              <w:t xml:space="preserve">G6. Incumplimiento de las obligaciones de acceso de los órganos de control, incluida la facturación o tarificación de dicho acceso.</w:t>
            </w:r>
          </w:p>
          <w:p>
            <w:pPr>
              <w:spacing w:after="100" w:line="264"/>
            </w:pPr>
            <w:r>
              <w:rPr>
                <w:rFonts w:ascii="Georgia" w:cs="Georgia" w:eastAsia="Georgia" w:hAnsi="Georgia"/>
                <w:sz w:val="20"/>
                <w:szCs w:val="20"/>
              </w:rPr>
              <w:t xml:space="preserve">G7. Alta o utilización de un sistema de inteligencia artificial no autorizado sobre información municipal, cuando no conste incorporación efectiva de información no pública.</w:t>
            </w:r>
          </w:p>
          <w:p>
            <w:pPr>
              <w:spacing w:after="100" w:line="264"/>
            </w:pPr>
            <w:r>
              <w:rPr>
                <w:rFonts w:ascii="Georgia" w:cs="Georgia" w:eastAsia="Georgia" w:hAnsi="Georgia"/>
                <w:sz w:val="20"/>
                <w:szCs w:val="20"/>
              </w:rPr>
              <w:t xml:space="preserve">G8. Pérdida de una certificación o de un sistema de gestión exigidos sin que el contratista acredite, en el plazo requerido, el cumplimiento por la vía documental prevista en la cláusula correspondiente de este pliego, cuando esa vía esté admitida; subsanada en el plazo de [X; se recomienda 3] meses.</w:t>
            </w:r>
          </w:p>
          <w:p>
            <w:pPr>
              <w:spacing w:after="100" w:line="264"/>
            </w:pPr>
            <w:r>
              <w:rPr>
                <w:rFonts w:ascii="Georgia" w:cs="Georgia" w:eastAsia="Georgia" w:hAnsi="Georgia"/>
                <w:sz w:val="20"/>
                <w:szCs w:val="20"/>
              </w:rPr>
              <w:t xml:space="preserve">G9. Incumplimiento de un hito del Plan Anual expresamente aprobado por el órgano de contratación con fecha cierta en acta.</w:t>
            </w:r>
          </w:p>
          <w:p>
            <w:pPr>
              <w:spacing w:after="100" w:line="264"/>
            </w:pPr>
            <w:r>
              <w:rPr>
                <w:rFonts w:ascii="Georgia" w:cs="Georgia" w:eastAsia="Georgia" w:hAnsi="Georgia"/>
                <w:sz w:val="20"/>
                <w:szCs w:val="20"/>
              </w:rPr>
              <w:t xml:space="preserve">G10. Falta de comunicación de un cambio de clasificación de riesgo de un sistema de inteligencia artificial o de un cambio que pueda alterar el nivel de impacto o riesgo asignado conforme a la normativa autonómica aplicable, o ausencia del punto de contacto único exigido por la cláusula técnica de incorporación de inteligencia artificial.</w:t>
            </w:r>
          </w:p>
          <w:p>
            <w:pPr>
              <w:spacing w:after="100" w:line="264"/>
            </w:pPr>
            <w:r>
              <w:rPr>
                <w:rFonts w:ascii="Georgia" w:cs="Georgia" w:eastAsia="Georgia" w:hAnsi="Georgia"/>
                <w:sz w:val="20"/>
                <w:szCs w:val="20"/>
              </w:rPr>
              <w:t xml:space="preserve">G11. Incumplimiento del plazo de respuesta ante un incidente grave imputable a un sistema de inteligencia artificial.</w:t>
            </w:r>
          </w:p>
          <w:p>
            <w:pPr>
              <w:spacing w:after="100" w:line="264"/>
            </w:pPr>
            <w:r>
              <w:rPr>
                <w:rFonts w:ascii="Georgia" w:cs="Georgia" w:eastAsia="Georgia" w:hAnsi="Georgia"/>
                <w:sz w:val="20"/>
                <w:szCs w:val="20"/>
              </w:rPr>
              <w:t xml:space="preserve">G12. Puesta en producción de una funcionalidad de inteligencia artificial sin el acta de aceptación previa exigida por la cláusula técnica de incorporación de inteligencia artificial.</w:t>
            </w:r>
          </w:p>
          <w:p>
            <w:pPr>
              <w:spacing w:after="100" w:line="264"/>
            </w:pPr>
            <w:r>
              <w:rPr>
                <w:rFonts w:ascii="Georgia" w:cs="Georgia" w:eastAsia="Georgia" w:hAnsi="Georgia"/>
                <w:sz w:val="20"/>
                <w:szCs w:val="20"/>
              </w:rPr>
              <w:t xml:space="preserve">G13. Imposibilidad de verificar la integridad de las evidencias ancladas por un tercero sin acceso privilegiado, o falta de entrega del procedimiento de exportación de evidencias.</w:t>
            </w:r>
          </w:p>
          <w:p>
            <w:pPr>
              <w:spacing w:after="100" w:line="264"/>
            </w:pPr>
            <w:r>
              <w:rPr>
                <w:rFonts w:ascii="Georgia" w:cs="Georgia" w:eastAsia="Georgia" w:hAnsi="Georgia"/>
                <w:sz w:val="20"/>
                <w:szCs w:val="20"/>
              </w:rPr>
              <w:t xml:space="preserve">G14. Falta de entrega del plan de transición criptográfica transcurrido su plazo y [X; se recomienda 30] días naturales desde requerimiento.</w:t>
            </w:r>
          </w:p>
          <w:p>
            <w:pPr>
              <w:spacing w:after="100" w:line="264"/>
            </w:pPr>
            <w:r>
              <w:rPr>
                <w:rFonts w:ascii="Georgia" w:cs="Georgia" w:eastAsia="Georgia" w:hAnsi="Georgia"/>
                <w:sz w:val="20"/>
                <w:szCs w:val="20"/>
              </w:rPr>
              <w:t xml:space="preserve">G15. Incumplimiento, sin causa justificada, del plazo de automatización de un proceso de la lista cerrada y numerada del Pliego de Prescripciones Técnicas, o puesta en producción de una automatización sin el acta de aceptación exigida.</w:t>
            </w:r>
          </w:p>
          <w:p>
            <w:pPr>
              <w:spacing w:after="100" w:line="264"/>
            </w:pPr>
            <w:r>
              <w:rPr>
                <w:rFonts w:ascii="Georgia" w:cs="Georgia" w:eastAsia="Georgia" w:hAnsi="Georgia"/>
                <w:sz w:val="20"/>
                <w:szCs w:val="20"/>
              </w:rPr>
              <w:t xml:space="preserve">G16. Exportación de datos que requiera la intervención del personal del adjudicatario, o falta de entrega o desactualización del diccionario de datos.</w:t>
            </w:r>
          </w:p>
          <w:p>
            <w:pPr>
              <w:spacing w:after="100" w:line="264"/>
            </w:pPr>
            <w:r>
              <w:rPr>
                <w:rFonts w:ascii="Georgia" w:cs="Georgia" w:eastAsia="Georgia" w:hAnsi="Georgia"/>
                <w:sz w:val="20"/>
                <w:szCs w:val="20"/>
              </w:rPr>
              <w:t xml:space="preserve">G17. Indisponibilidad del entorno de pruebas en la fecha comprometida, o superior a [X; se recomienda 10] días hábiles.</w:t>
            </w:r>
          </w:p>
          <w:p>
            <w:pPr>
              <w:spacing w:after="100" w:line="264"/>
            </w:pPr>
            <w:r>
              <w:rPr>
                <w:rFonts w:ascii="Georgia" w:cs="Georgia" w:eastAsia="Georgia" w:hAnsi="Georgia"/>
                <w:sz w:val="20"/>
                <w:szCs w:val="20"/>
              </w:rPr>
              <w:t xml:space="preserve">G18. Incumplimiento de los plazos de subsanación de vulnerabilidades de severidad alta, o falta de comunicación de una vulnerabilidad crítica en el plazo del pliego.</w:t>
            </w:r>
          </w:p>
          <w:p>
            <w:pPr>
              <w:spacing w:after="100" w:line="264"/>
            </w:pPr>
            <w:r>
              <w:rPr>
                <w:rFonts w:ascii="Georgia" w:cs="Georgia" w:eastAsia="Georgia" w:hAnsi="Georgia"/>
                <w:sz w:val="20"/>
                <w:szCs w:val="20"/>
              </w:rPr>
              <w:t xml:space="preserve">G19. Falta de entrega del inventario de funciones expuestas por la interfaz normalizada de acceso programático, o incumplimiento del plazo de entrega de la interfaz ofertado por debajo del plazo máximo del pliego.</w:t>
            </w:r>
          </w:p>
          <w:p>
            <w:pPr>
              <w:spacing w:after="100" w:line="264"/>
            </w:pPr>
            <w:r>
              <w:rPr>
                <w:rFonts w:ascii="Georgia" w:cs="Georgia" w:eastAsia="Georgia" w:hAnsi="Georgia"/>
                <w:sz w:val="20"/>
                <w:szCs w:val="20"/>
              </w:rPr>
              <w:t xml:space="preserve">G20. Falta de realización, en el plazo previsto, del ensayo de reversibilidad.</w:t>
            </w:r>
          </w:p>
          <w:p>
            <w:pPr>
              <w:spacing w:after="100" w:line="264"/>
            </w:pPr>
            <w:r>
              <w:rPr>
                <w:rFonts w:ascii="Georgia" w:cs="Georgia" w:eastAsia="Georgia" w:hAnsi="Georgia"/>
                <w:sz w:val="20"/>
                <w:szCs w:val="20"/>
              </w:rPr>
              <w:t xml:space="preserve">G21. Degradación de una capacidad ya aceptada del Anexo de Exigencias Tecnológicas Determinadas, no subsanada en [X; se recomienda 30] días naturales.</w:t>
            </w:r>
          </w:p>
          <w:p>
            <w:pPr>
              <w:spacing w:after="100" w:line="264"/>
            </w:pPr>
            <w:r>
              <w:rPr>
                <w:rFonts w:ascii="Georgia" w:cs="Georgia" w:eastAsia="Georgia" w:hAnsi="Georgia"/>
                <w:sz w:val="20"/>
                <w:szCs w:val="20"/>
              </w:rPr>
              <w:t xml:space="preserve">G22. Falta de constancia en el acta de aceptación de alguno de los criterios de aceptación de una exigencia del Anexo de Exigencias Tecnológicas Determinadas.</w:t>
            </w:r>
          </w:p>
          <w:p>
            <w:pPr>
              <w:spacing w:after="100" w:line="264"/>
            </w:pPr>
            <w:r>
              <w:rPr>
                <w:rFonts w:ascii="Georgia" w:cs="Georgia" w:eastAsia="Georgia" w:hAnsi="Georgia"/>
                <w:sz w:val="20"/>
                <w:szCs w:val="20"/>
              </w:rPr>
              <w:t xml:space="preserve">G23. Efecto de la suspensión de una funcionalidad de inteligencia artificial, accionada por el control propio del Ayuntamiento o por el procedimiento sustitutivo, fuera del plazo máximo previsto en la cláusula técnica de incorporación de inteligencia artificial.</w:t>
            </w:r>
          </w:p>
          <w:p>
            <w:pPr>
              <w:spacing w:after="100" w:line="264"/>
            </w:pPr>
            <w:r>
              <w:rPr>
                <w:rFonts w:ascii="Georgia" w:cs="Georgia" w:eastAsia="Georgia" w:hAnsi="Georgia"/>
                <w:sz w:val="20"/>
                <w:szCs w:val="20"/>
              </w:rPr>
              <w:t xml:space="preserve">G24. Imposibilidad de que el personal municipal exporte por expediente, sin intervención del adjudicatario, los criterios aplicados en cada resultado de un sistema de inteligencia artificial junto con los datos de entrada vinculados.</w:t>
            </w:r>
          </w:p>
          <w:p>
            <w:pPr>
              <w:spacing w:after="100" w:line="264"/>
            </w:pPr>
            <w:r>
              <w:rPr>
                <w:rFonts w:ascii="Georgia" w:cs="Georgia" w:eastAsia="Georgia" w:hAnsi="Georgia"/>
                <w:sz w:val="20"/>
                <w:szCs w:val="20"/>
              </w:rPr>
              <w:t xml:space="preserve">G25. Falta de habilitación de la muestra de verificación de sesgos, o falta de comunicación de un sesgo conocido en el plazo de la cláusula técnica de incorporación de inteligencia artificial.</w:t>
            </w:r>
          </w:p>
          <w:p>
            <w:pPr>
              <w:spacing w:after="100" w:line="264"/>
            </w:pPr>
            <w:r>
              <w:rPr>
                <w:rFonts w:ascii="Georgia" w:cs="Georgia" w:eastAsia="Georgia" w:hAnsi="Georgia"/>
                <w:sz w:val="20"/>
                <w:szCs w:val="20"/>
              </w:rPr>
              <w:t xml:space="preserve">G26. Superación, en una incidencia calificada de crítica conforme al Pliego de Prescripciones Técnicas, del tiempo máximo de respuesta o de resolución aplicable, determinado como en la letra L12.</w:t>
            </w:r>
          </w:p>
          <w:p>
            <w:pPr>
              <w:spacing w:after="100" w:line="264"/>
            </w:pPr>
            <w:r>
              <w:rPr>
                <w:rFonts w:ascii="Georgia" w:cs="Georgia" w:eastAsia="Georgia" w:hAnsi="Georgia"/>
                <w:b/>
                <w:bCs/>
                <w:sz w:val="20"/>
                <w:szCs w:val="20"/>
              </w:rPr>
              <w:t xml:space="preserve">Muy graves</w:t>
            </w:r>
          </w:p>
          <w:p>
            <w:pPr>
              <w:spacing w:after="100" w:line="264"/>
            </w:pPr>
            <w:r>
              <w:rPr>
                <w:rFonts w:ascii="Georgia" w:cs="Georgia" w:eastAsia="Georgia" w:hAnsi="Georgia"/>
                <w:sz w:val="20"/>
                <w:szCs w:val="20"/>
              </w:rPr>
              <w:t xml:space="preserve">M1. Falta de implantación de una exigencia del Anexo de Exigencias Tecnológicas Determinadas, transcurrido su plazo y un plazo adicional de subsanación de un mes desde requerimiento fehaciente.</w:t>
            </w:r>
          </w:p>
          <w:p>
            <w:pPr>
              <w:spacing w:after="100" w:line="264"/>
            </w:pPr>
            <w:r>
              <w:rPr>
                <w:rFonts w:ascii="Georgia" w:cs="Georgia" w:eastAsia="Georgia" w:hAnsi="Georgia"/>
                <w:sz w:val="20"/>
                <w:szCs w:val="20"/>
              </w:rPr>
              <w:t xml:space="preserve">M2. Negativa a poner a disposición del Ayuntamiento una versión sucesora publicada por el fabricante y a la que el contratista tenga acceso.</w:t>
            </w:r>
          </w:p>
          <w:p>
            <w:pPr>
              <w:spacing w:after="100" w:line="264"/>
            </w:pPr>
            <w:r>
              <w:rPr>
                <w:rFonts w:ascii="Georgia" w:cs="Georgia" w:eastAsia="Georgia" w:hAnsi="Georgia"/>
                <w:sz w:val="20"/>
                <w:szCs w:val="20"/>
              </w:rPr>
              <w:t xml:space="preserve">M3. Negativa a constituir el depósito de código o el plan de continuidad equivalente por la vía de cumplimiento elegida; negativa a liberar el depósito concurriendo un supuesto tasado de liberación; o entrega de material incompleto o no verificable.</w:t>
            </w:r>
          </w:p>
          <w:p>
            <w:pPr>
              <w:spacing w:after="100" w:line="264"/>
            </w:pPr>
            <w:r>
              <w:rPr>
                <w:rFonts w:ascii="Georgia" w:cs="Georgia" w:eastAsia="Georgia" w:hAnsi="Georgia"/>
                <w:sz w:val="20"/>
                <w:szCs w:val="20"/>
              </w:rPr>
              <w:t xml:space="preserve">M4. Negativa a entregar la reversibilidad; entrega incompleta o en formato no reutilizable del material de la reversibilidad o del Dossier de Reversibilidad, o entrega de un código fuente de los desarrollos específicos que no compile o no se despliegue conforme a la documentación entregada, no subsanadas en el plazo requerido; o negativa a mantener la licencia de continuidad del producto base en los términos de este pliego.</w:t>
            </w:r>
          </w:p>
          <w:p>
            <w:pPr>
              <w:spacing w:after="100" w:line="264"/>
            </w:pPr>
            <w:r>
              <w:rPr>
                <w:rFonts w:ascii="Georgia" w:cs="Georgia" w:eastAsia="Georgia" w:hAnsi="Georgia"/>
                <w:sz w:val="20"/>
                <w:szCs w:val="20"/>
              </w:rPr>
              <w:t xml:space="preserve">M5. Introducción de información municipal del nivel 1 definido en la cláusula [ADM-13], apartado 1, en un sistema de inteligencia artificial no autorizado en este contrato, cuando conste su incorporación efectiva.</w:t>
            </w:r>
          </w:p>
          <w:p>
            <w:pPr>
              <w:spacing w:after="100" w:line="264"/>
            </w:pPr>
            <w:r>
              <w:rPr>
                <w:rFonts w:ascii="Georgia" w:cs="Georgia" w:eastAsia="Georgia" w:hAnsi="Georgia"/>
                <w:sz w:val="20"/>
                <w:szCs w:val="20"/>
              </w:rPr>
              <w:t xml:space="preserve">M6. Denegación o supresión del acceso de los órganos de control.</w:t>
            </w:r>
          </w:p>
          <w:p>
            <w:pPr>
              <w:spacing w:after="100" w:line="264"/>
            </w:pPr>
            <w:r>
              <w:rPr>
                <w:rFonts w:ascii="Georgia" w:cs="Georgia" w:eastAsia="Georgia" w:hAnsi="Georgia"/>
                <w:sz w:val="20"/>
                <w:szCs w:val="20"/>
              </w:rPr>
              <w:t xml:space="preserve">M7. Falta de acreditación del sistema de gestión exigido por cualquiera de las vías admitidas en la cláusula correspondiente de este pliego, no subsanada en el plazo de la letra G8.</w:t>
            </w:r>
          </w:p>
          <w:p>
            <w:pPr>
              <w:spacing w:after="100" w:line="264"/>
            </w:pPr>
            <w:r>
              <w:rPr>
                <w:rFonts w:ascii="Georgia" w:cs="Georgia" w:eastAsia="Georgia" w:hAnsi="Georgia"/>
                <w:sz w:val="20"/>
                <w:szCs w:val="20"/>
              </w:rPr>
              <w:t xml:space="preserve">M8. Afectación grave a la seguridad o a la continuidad del servicio imputable al contratista.</w:t>
            </w:r>
          </w:p>
          <w:p>
            <w:pPr>
              <w:spacing w:after="100" w:line="264"/>
            </w:pPr>
            <w:r>
              <w:rPr>
                <w:rFonts w:ascii="Georgia" w:cs="Georgia" w:eastAsia="Georgia" w:hAnsi="Georgia"/>
                <w:sz w:val="20"/>
                <w:szCs w:val="20"/>
              </w:rPr>
              <w:t xml:space="preserve">M9. Empleo de una práctica de inteligencia artificial prohibida; adopción de decisiones automatizadas con efecto jurídico sin la habilitación exigida; negativa a entregar los registros de funcionamiento o la constancia de los criterios aplicados en cada resultado, o a facilitar el acceso para auditoría, previstos en la cláusula técnica de incorporación de inteligencia artificial; o imposibilidad de suspender una funcionalidad de inteligencia artificial mediante el control propio del Ayuntamiento previsto en esa cláusula sin intervención del adjudicatario, salvo las funcionalidades identificadas en la oferta para el procedimiento sustitutivo.</w:t>
            </w:r>
          </w:p>
          <w:p>
            <w:pPr>
              <w:spacing w:after="100" w:line="264"/>
            </w:pPr>
            <w:r>
              <w:rPr>
                <w:rFonts w:ascii="Georgia" w:cs="Georgia" w:eastAsia="Georgia" w:hAnsi="Georgia"/>
                <w:sz w:val="20"/>
                <w:szCs w:val="20"/>
              </w:rPr>
              <w:t xml:space="preserve">M10. Inscripción de datos personales en un registro distribuido contra lo previsto en la cláusula técnica de capa de confianza.</w:t>
            </w:r>
          </w:p>
          <w:p>
            <w:pPr>
              <w:spacing w:after="100" w:line="264"/>
            </w:pPr>
            <w:r>
              <w:rPr>
                <w:rFonts w:ascii="Georgia" w:cs="Georgia" w:eastAsia="Georgia" w:hAnsi="Georgia"/>
                <w:sz w:val="20"/>
                <w:szCs w:val="20"/>
              </w:rPr>
              <w:t xml:space="preserve">M11. Empleo de algoritmos criptográficos expresamente desaconsejados por las guías CCN-STIC aplicables, no subsanado tras requerimiento.</w:t>
            </w:r>
          </w:p>
          <w:p>
            <w:pPr>
              <w:spacing w:after="100" w:line="264"/>
            </w:pPr>
            <w:r>
              <w:rPr>
                <w:rFonts w:ascii="Georgia" w:cs="Georgia" w:eastAsia="Georgia" w:hAnsi="Georgia"/>
                <w:sz w:val="20"/>
                <w:szCs w:val="20"/>
              </w:rPr>
              <w:t xml:space="preserve">M12. Puesta en producción de una automatización que constituya actuación administrativa automatizada sin la aprobación previa exigida por la cláusula técnica de automatización de procesos, o ausencia de procedimiento de reversión en una automatización con efectos sobre terceros.</w:t>
            </w:r>
          </w:p>
          <w:p>
            <w:pPr>
              <w:spacing w:after="100" w:line="264"/>
            </w:pPr>
            <w:r>
              <w:rPr>
                <w:rFonts w:ascii="Georgia" w:cs="Georgia" w:eastAsia="Georgia" w:hAnsi="Georgia"/>
                <w:sz w:val="20"/>
                <w:szCs w:val="20"/>
              </w:rPr>
              <w:t xml:space="preserve">M13. Falta de integración con un servicio común de utilización obligatoria en el plazo del pliego, o facturación o tarificación de las consultas o de las exportaciones que este pliego declara incluidas en el precio.</w:t>
            </w:r>
          </w:p>
          <w:p>
            <w:pPr>
              <w:spacing w:after="100" w:line="264"/>
            </w:pPr>
            <w:r>
              <w:rPr>
                <w:rFonts w:ascii="Georgia" w:cs="Georgia" w:eastAsia="Georgia" w:hAnsi="Georgia"/>
                <w:sz w:val="20"/>
                <w:szCs w:val="20"/>
              </w:rPr>
              <w:t xml:space="preserve">M14. Incumplimiento de los plazos de subsanación de vulnerabilidades de severidad crítica, o negativa a la auditoría de seguridad prevista en este pliego.</w:t>
            </w:r>
          </w:p>
          <w:p>
            <w:pPr>
              <w:spacing w:after="100" w:line="264"/>
            </w:pPr>
            <w:r>
              <w:rPr>
                <w:rFonts w:ascii="Georgia" w:cs="Georgia" w:eastAsia="Georgia" w:hAnsi="Georgia"/>
                <w:sz w:val="20"/>
                <w:szCs w:val="20"/>
              </w:rPr>
              <w:t xml:space="preserve">M15. Incumplimiento del plazo máximo de entrega de la interfaz normalizada de acceso programático; imposibilidad de ejecutar la suspensión de la actuación de los agentes sin intervención del adjudicatario; o imposibilidad de exportar el registro de auditoría de la interfaz.</w:t>
            </w:r>
          </w:p>
          <w:p>
            <w:pPr>
              <w:spacing w:after="100" w:line="264"/>
            </w:pPr>
            <w:r>
              <w:rPr>
                <w:rFonts w:ascii="Georgia" w:cs="Georgia" w:eastAsia="Georgia" w:hAnsi="Georgia"/>
                <w:sz w:val="20"/>
                <w:szCs w:val="20"/>
              </w:rPr>
              <w:t xml:space="preserve">M16. Superación del tiempo máximo de resolución aplicable a una incidencia crítica, determinado como en la letra L12, en más del [X; se recomienda 100] por ciento de ese tiempo; o tercer incumplimiento del tipo G26 en un período de doce meses. Un mismo hecho sólo se penaliza por uno de los tipos G26, M8 y M16.</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Las penalidades se imponen por acuerdo del órgano de contratación, a propuesta motivada del responsable del contrato, previa audiencia del contratista por plazo no inferior a [X; se recomienda 10] días hábiles, y se hacen efectivas mediante deducción de las cantidades que deban abonarse al contratista o, en su defecto, sobre la garantía definitiva.</w:t>
            </w:r>
          </w:p>
          <w:p>
            <w:pPr>
              <w:pStyle w:val="ListParagraph"/>
              <w:numPr>
                <w:ilvl w:val="0"/>
                <w:numId w:val="2"/>
              </w:numPr>
              <w:spacing w:after="60" w:line="264"/>
            </w:pPr>
            <w:r>
              <w:rPr>
                <w:rFonts w:ascii="Georgia" w:cs="Georgia" w:eastAsia="Georgia" w:hAnsi="Georgia"/>
                <w:b/>
                <w:bCs/>
                <w:sz w:val="20"/>
                <w:szCs w:val="20"/>
              </w:rPr>
              <w:t xml:space="preserve">Regla de acumulación.</w:t>
            </w:r>
            <w:r>
              <w:rPr>
                <w:rFonts w:ascii="Georgia" w:cs="Georgia" w:eastAsia="Georgia" w:hAnsi="Georgia"/>
                <w:sz w:val="20"/>
                <w:szCs w:val="20"/>
              </w:rPr>
              <w:t xml:space="preserve"> Cuando el importe acumulado de las penalidades impuestas alcance el [X; se recomienda 20] por ciento del precio del contrato, el órgano de contratación valorará expresamente, y hará constar en el expediente, la procedencia de iniciar el procedimiento de resolución conforme a la cláusula de obligaciones esenciales de este pliego.</w:t>
            </w:r>
          </w:p>
        </w:tc>
      </w:tr>
    </w:tbl>
    <w:p>
      <w:pPr>
        <w:spacing w:after="220"/>
      </w:pPr>
    </w:p>
    <w:p>
      <w:pPr>
        <w:spacing w:after="140" w:line="276"/>
      </w:pPr>
      <w:r>
        <w:rPr>
          <w:rFonts w:ascii="Calibri" w:cs="Calibri" w:eastAsia="Calibri" w:hAnsi="Calibri"/>
          <w:b/>
          <w:bCs/>
          <w:sz w:val="21"/>
          <w:szCs w:val="21"/>
        </w:rPr>
        <w:t xml:space="preserve">Ajustes.</w:t>
      </w:r>
      <w:r>
        <w:rPr>
          <w:rFonts w:ascii="Calibri" w:cs="Calibri" w:eastAsia="Calibri" w:hAnsi="Calibri"/>
          <w:sz w:val="21"/>
          <w:szCs w:val="21"/>
        </w:rPr>
        <w:t xml:space="preserve"> Cuantías literales del ap. 2 (Anexo X, fila 14); los máximos legales nunca suben (M4.2). Se copia como lista con casillas de borrado: el ap. 3 tipifica «exclusivamente». Los niveles de servicio del PPT, y los ofertados en C3, se penalizan con </w:t>
      </w:r>
      <w:r>
        <w:rPr>
          <w:rFonts w:ascii="Calibri" w:cs="Calibri" w:eastAsia="Calibri" w:hAnsi="Calibri"/>
          <w:b/>
          <w:bCs/>
          <w:sz w:val="21"/>
          <w:szCs w:val="21"/>
        </w:rPr>
        <w:t xml:space="preserve">L12, G26 y M16</w:t>
      </w:r>
      <w:r>
        <w:rPr>
          <w:rFonts w:ascii="Calibri" w:cs="Calibri" w:eastAsia="Calibri" w:hAnsi="Calibri"/>
          <w:sz w:val="21"/>
          <w:szCs w:val="21"/>
        </w:rPr>
        <w:t xml:space="preserve"> (trasvase, más abajo); son también las penalidades graves o muy graves de niveles de servicio que cuenta la liberación del depósito de ADM-11·v3, ap. 5.b). Recomendación de este documento: que el PPT califique qué incidencias son críticas, porque sin esa calificación G26 y M16 se borran (ADM-5·v3, ep. 2).</w:t>
      </w:r>
    </w:p>
    <w:p>
      <w:pPr>
        <w:spacing w:after="140" w:line="276"/>
      </w:pPr>
      <w:r>
        <w:rPr>
          <w:rFonts w:ascii="Calibri" w:cs="Calibri" w:eastAsia="Calibri" w:hAnsi="Calibri"/>
          <w:b/>
          <w:bCs/>
          <w:sz w:val="21"/>
          <w:szCs w:val="21"/>
        </w:rPr>
        <w:t xml:space="preserve">Trasvase de las cláusulas técnicas.</w:t>
      </w:r>
      <w:r>
        <w:rPr>
          <w:rFonts w:ascii="Calibri" w:cs="Calibri" w:eastAsia="Calibri" w:hAnsi="Calibri"/>
          <w:sz w:val="21"/>
          <w:szCs w:val="21"/>
        </w:rPr>
        <w:t xml:space="preserve"> ADM-5·v3 tipifica L1 a L12, G1 a G26 y M1 a M16. Los tipos L6 a L11, G10 a G25 y M9 a M15 proceden de las cláusulas técnicas: se conserva el de la incorporada y se borra el de la NO APLICA (ADM-5·v3, epígrafe 2, instrucción de alta). Sin el trasvase, el PPT anuncia penalidades que el PCAP, que tipifica «exclusivamente», declara inexistentes.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DT</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este perfil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L6, L11, G10, G11, G12, G23, G24, G25, 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(anclaje), G13, M10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Borrar</w:t>
            </w:r>
            <w:r>
              <w:rPr>
                <w:rFonts w:ascii="Calibri" w:cs="Calibri" w:eastAsia="Calibri" w:hAnsi="Calibri"/>
                <w:b w:val="false"/>
                <w:bCs w:val="false"/>
                <w:sz w:val="18"/>
                <w:szCs w:val="18"/>
              </w:rPr>
              <w:t xml:space="preserve"> G13 y M10; L7 pierde el anclaje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(plan criptográfico), G14, 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DT-3, condicional en esta capa; sin ella, se borran G14 y M11 y L8 pierde lo criptográfico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(indicadores), G15, 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DT-4; sin DT-3 ni DT-4, L8 entero fuera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G16, G17, M13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r>
              <w:rPr>
                <w:rFonts w:ascii="Calibri" w:cs="Calibri" w:eastAsia="Calibri" w:hAnsi="Calibri"/>
                <w:b w:val="false"/>
                <w:bCs w:val="false"/>
                <w:sz w:val="18"/>
                <w:szCs w:val="18"/>
              </w:rPr>
              <w:t xml:space="preserve">; M13, en parte, si el ap. 2 queda vacío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L9, G8, G18, M7, M14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G17, G19, M15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DT-7; sin ella, se borran G19 y M15, y L7 y G17 siguen por DT-5 sin la interfaz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L10, G3, G20, M4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L2, G2, G5, G21, G22, M1, 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DT-9</w:t>
            </w:r>
          </w:p>
        </w:tc>
      </w:tr>
    </w:tbl>
    <w:p>
      <w:pPr>
        <w:spacing w:after="200"/>
      </w:pPr>
    </w:p>
    <w:p>
      <w:pPr>
        <w:spacing w:after="140" w:line="276"/>
      </w:pPr>
      <w:r>
        <w:rPr>
          <w:rFonts w:ascii="Calibri" w:cs="Calibri" w:eastAsia="Calibri" w:hAnsi="Calibri"/>
          <w:b/>
          <w:bCs/>
          <w:sz w:val="21"/>
          <w:szCs w:val="21"/>
        </w:rPr>
        <w:t xml:space="preserve">Casillas dentro de un mismo tipo</w:t>
      </w:r>
      <w:r>
        <w:rPr>
          <w:rFonts w:ascii="Calibri" w:cs="Calibri" w:eastAsia="Calibri" w:hAnsi="Calibri"/>
          <w:sz w:val="21"/>
          <w:szCs w:val="21"/>
        </w:rPr>
        <w:t xml:space="preserve"> (ADM-5·v3, epígrafe 2). Si DT-1·v3 entra sin alguno de sus apartados 11 a 13, se borra el inciso que procede de él en L11, G24, G25 y M9; con la entidad no sujeta a la ley autonómica, que es el valor por defecto, el del nivel de impacto o riesgo en G10; y si el pliego no conserva el procedimiento sustitutivo de DT-1·v3, apartado 6.d), sus menciones en G23 y M9. Sin desarrollos específicos para la entidad, se borra en M4 el inciso del código fuente que no compile o no se despliegue; sin el criterio C3, la mención del tiempo ofertado en L12.</w:t>
      </w:r>
    </w:p>
    <w:p>
      <w:pPr>
        <w:spacing w:after="140" w:line="276"/>
      </w:pPr>
      <w:r>
        <w:rPr>
          <w:rFonts w:ascii="Calibri" w:cs="Calibri" w:eastAsia="Calibri" w:hAnsi="Calibri"/>
          <w:b/>
          <w:bCs/>
          <w:sz w:val="21"/>
          <w:szCs w:val="21"/>
        </w:rPr>
        <w:t xml:space="preserve">Niveles de servicio: L12, G26 y M16</w:t>
      </w:r>
      <w:r>
        <w:rPr>
          <w:rFonts w:ascii="Calibri" w:cs="Calibri" w:eastAsia="Calibri" w:hAnsi="Calibri"/>
          <w:sz w:val="21"/>
          <w:szCs w:val="21"/>
        </w:rPr>
        <w:t xml:space="preserve"> (ADM-5·v3, epígrafe 2). No proceden de una cláusula técnica, sino de los acuerdos de nivel de servicio que fije el PPT y, en su caso, de los tiempos inferiores ofertados en el criterio C3, que se incorporan al contrato. Se conservan si el PPT fija tiempos máximos de respuesta o de resolución; G26 y M16, sólo si además califica qué incidencias son críticas. Si no fija tiempos, se borran los tres, y la deficiencia queda en M8 cuando alcance su supuesto. Un mismo hecho sólo se penaliza por uno de G26, M8 y M16. Umbrales: Anexo X, fila 59 (</w:t>
      </w:r>
      <w:r>
        <w:rPr>
          <w:rFonts w:ascii="Calibri" w:cs="Calibri" w:eastAsia="Calibri" w:hAnsi="Calibri"/>
          <w:b/>
          <w:bCs/>
          <w:sz w:val="21"/>
          <w:szCs w:val="21"/>
        </w:rPr>
        <w:t xml:space="preserve">[10] %</w:t>
      </w:r>
      <w:r>
        <w:rPr>
          <w:rFonts w:ascii="Calibri" w:cs="Calibri" w:eastAsia="Calibri" w:hAnsi="Calibri"/>
          <w:sz w:val="21"/>
          <w:szCs w:val="21"/>
        </w:rPr>
        <w:t xml:space="preserve"> de las incidencias no críticas en L12; más del </w:t>
      </w:r>
      <w:r>
        <w:rPr>
          <w:rFonts w:ascii="Calibri" w:cs="Calibri" w:eastAsia="Calibri" w:hAnsi="Calibri"/>
          <w:b/>
          <w:bCs/>
          <w:sz w:val="21"/>
          <w:szCs w:val="21"/>
        </w:rPr>
        <w:t xml:space="preserve">[100] %</w:t>
      </w:r>
      <w:r>
        <w:rPr>
          <w:rFonts w:ascii="Calibri" w:cs="Calibri" w:eastAsia="Calibri" w:hAnsi="Calibri"/>
          <w:sz w:val="21"/>
          <w:szCs w:val="21"/>
        </w:rPr>
        <w:t xml:space="preserve"> del tiempo de resolución en M16). Base: arts. 192.1 y 122.3 LCSP.</w:t>
      </w:r>
    </w:p>
    <w:p>
      <w:pPr>
        <w:spacing w:after="140" w:line="276"/>
      </w:pPr>
      <w:r>
        <w:rPr>
          <w:rFonts w:ascii="Calibri" w:cs="Calibri" w:eastAsia="Calibri" w:hAnsi="Calibri"/>
          <w:b/>
          <w:bCs/>
          <w:sz w:val="21"/>
          <w:szCs w:val="21"/>
        </w:rPr>
        <w:t xml:space="preserve">Tipos de origen administrativo.</w:t>
      </w:r>
      <w:r>
        <w:rPr>
          <w:rFonts w:ascii="Calibri" w:cs="Calibri" w:eastAsia="Calibri" w:hAnsi="Calibri"/>
          <w:sz w:val="21"/>
          <w:szCs w:val="21"/>
        </w:rPr>
        <w:t xml:space="preserve"> Siempre, L3 —su inciso «cualquier otra documentación exigible» lo usa ADM-4·v3, apartado 5—, L5, G1 y M8. L4, con la Comisión de Seguimiento (ADM-4·v3). L1 y G9, con ADM-10·v3. G4 y M3, con ADM-11·v3. G6 y M6, con ADM-12·v3. G7 y M5, con ADM-13·v3. G8 y M7 siguen a DT-6·v3 y, en lo que toca al sistema de gestión de la IA, a ADM-1·v3. En este perfil, M8 —«afectación grave a la seguridad o a la continuidad del servicio imputable al contratista»— es el tipo central, probado con informe de informática y, en su caso, del responsable de seguridad (ADM-5·v3, epígrafe 4); G7 y M5 se conservan siempre, porque ADM-13·v3 entra siempre.</w:t>
      </w:r>
    </w:p>
    <w:p>
      <w:pPr>
        <w:spacing w:after="140" w:line="276"/>
      </w:pPr>
      <w:r>
        <w:rPr>
          <w:rFonts w:ascii="Calibri" w:cs="Calibri" w:eastAsia="Calibri" w:hAnsi="Calibri"/>
          <w:b/>
          <w:bCs/>
          <w:sz w:val="21"/>
          <w:szCs w:val="21"/>
        </w:rPr>
        <w:t xml:space="preserve">Niveles de servicio en esta capa.</w:t>
      </w:r>
      <w:r>
        <w:rPr>
          <w:rFonts w:ascii="Calibri" w:cs="Calibri" w:eastAsia="Calibri" w:hAnsi="Calibri"/>
          <w:sz w:val="21"/>
          <w:szCs w:val="21"/>
        </w:rPr>
        <w:t xml:space="preserve"> El cuadro cerrado los tipifica ya en L12, G26 y M16 (párrafo «Niveles de servicio: L12, G26 y M16», arriba), con la cobertura del art. 122.3 LCSP para el tiempo ofertado en C3 (ADM-5·v3, ep. 3). M8 sigue cubriendo la afectación grave a la continuidad, y un mismo hecho sólo se penaliza por uno de G26, M8 y M16.</w:t>
      </w:r>
    </w:p>
    <w:p>
      <w:pPr>
        <w:pStyle w:val="Heading3"/>
        <w:keepNext/>
        <w:spacing w:after="140" w:before="320"/>
      </w:pPr>
      <w:r>
        <w:rPr>
          <w:rFonts w:ascii="Georgia" w:cs="Georgia" w:eastAsia="Georgia" w:hAnsi="Georgia"/>
          <w:b/>
          <w:bCs/>
          <w:color w:val="2F5496"/>
          <w:sz w:val="22"/>
          <w:szCs w:val="22"/>
        </w:rPr>
        <w:t xml:space="preserve">ADM-6·v3 · Obligaciones esenciales y resolución — SÍ</w:t>
      </w:r>
    </w:p>
    <w:p>
      <w:pPr>
        <w:spacing w:after="140" w:line="276"/>
      </w:pPr>
      <w:r>
        <w:rPr>
          <w:rFonts w:ascii="Calibri" w:cs="Calibri" w:eastAsia="Calibri" w:hAnsi="Calibri"/>
          <w:i/>
          <w:iCs/>
          <w:sz w:val="21"/>
          <w:szCs w:val="21"/>
        </w:rPr>
        <w:t xml:space="preserve">Texto vigente de ADM-6·v3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Obligaciones contractuales esenciales y resolución del contrato.</w:t>
            </w:r>
          </w:p>
          <w:p>
            <w:pPr>
              <w:spacing w:after="100" w:line="264"/>
            </w:pPr>
            <w:r>
              <w:rPr>
                <w:rFonts w:ascii="Georgia" w:cs="Georgia" w:eastAsia="Georgia" w:hAnsi="Georgia"/>
                <w:b/>
                <w:bCs/>
                <w:sz w:val="20"/>
                <w:szCs w:val="20"/>
              </w:rPr>
              <w:t xml:space="preserve">1. Bloque A. Obligaciones esenciales por imperativo legal.</w:t>
            </w:r>
            <w:r>
              <w:rPr>
                <w:rFonts w:ascii="Georgia" w:cs="Georgia" w:eastAsia="Georgia" w:hAnsi="Georgia"/>
                <w:sz w:val="20"/>
                <w:szCs w:val="20"/>
              </w:rPr>
              <w:t xml:space="preserve"> </w:t>
            </w:r>
            <w:r>
              <w:rPr>
                <w:rFonts w:ascii="Georgia" w:cs="Georgia" w:eastAsia="Georgia" w:hAnsi="Georgia"/>
                <w:i/>
                <w:iCs/>
                <w:sz w:val="20"/>
                <w:szCs w:val="20"/>
              </w:rPr>
              <w:t xml:space="preserve">[Se copian únicamente los apartados cuyo presupuesto concurra en este contrato. Si no concurre ninguno, este bloque no se incorpora.]</w:t>
            </w:r>
          </w:p>
          <w:p>
            <w:pPr>
              <w:spacing w:after="100" w:line="264"/>
            </w:pPr>
            <w:r>
              <w:rPr>
                <w:rFonts w:ascii="Georgia" w:cs="Georgia" w:eastAsia="Georgia" w:hAnsi="Georgia"/>
                <w:sz w:val="20"/>
                <w:szCs w:val="20"/>
              </w:rPr>
              <w:t xml:space="preserve">1.1 </w:t>
            </w:r>
            <w:r>
              <w:rPr>
                <w:rFonts w:ascii="Georgia" w:cs="Georgia" w:eastAsia="Georgia" w:hAnsi="Georgia"/>
                <w:i/>
                <w:iCs/>
                <w:sz w:val="20"/>
                <w:szCs w:val="20"/>
              </w:rPr>
              <w:t xml:space="preserve">[Sólo si la ejecución de este contrato implica la cesión de datos por el Ayuntamiento al contratista.]</w:t>
            </w:r>
            <w:r>
              <w:rPr>
                <w:rFonts w:ascii="Georgia" w:cs="Georgia" w:eastAsia="Georgia" w:hAnsi="Georgia"/>
                <w:sz w:val="20"/>
                <w:szCs w:val="20"/>
              </w:rPr>
              <w:t xml:space="preserve"> Conforme al artículo 202.1, párrafo tercero, de la Ley 9/2017, se establece como condición especial de ejecución la obligación del contratista de someterse a la normativa nacional y de la Unión Europea en materia de protección de datos, y </w:t>
            </w:r>
            <w:r>
              <w:rPr>
                <w:rFonts w:ascii="Georgia" w:cs="Georgia" w:eastAsia="Georgia" w:hAnsi="Georgia"/>
                <w:b/>
                <w:bCs/>
                <w:sz w:val="20"/>
                <w:szCs w:val="20"/>
              </w:rPr>
              <w:t xml:space="preserve">se le advierte de que esta obligación tiene el carácter de obligación contractual esencial</w:t>
            </w:r>
            <w:r>
              <w:rPr>
                <w:rFonts w:ascii="Georgia" w:cs="Georgia" w:eastAsia="Georgia" w:hAnsi="Georgia"/>
                <w:sz w:val="20"/>
                <w:szCs w:val="20"/>
              </w:rPr>
              <w:t xml:space="preserve"> a los efectos de la letra f) del apartado 1 del artículo 211 de la misma ley. La finalidad del tratamiento de los datos cedidos es la que consta especificada en el expediente de contratación.</w:t>
            </w:r>
          </w:p>
          <w:p>
            <w:pPr>
              <w:spacing w:after="100" w:line="264"/>
            </w:pPr>
            <w:r>
              <w:rPr>
                <w:rFonts w:ascii="Georgia" w:cs="Georgia" w:eastAsia="Georgia" w:hAnsi="Georgia"/>
                <w:sz w:val="20"/>
                <w:szCs w:val="20"/>
              </w:rPr>
              <w:t xml:space="preserve">1.2 </w:t>
            </w:r>
            <w:r>
              <w:rPr>
                <w:rFonts w:ascii="Georgia" w:cs="Georgia" w:eastAsia="Georgia" w:hAnsi="Georgia"/>
                <w:i/>
                <w:iCs/>
                <w:sz w:val="20"/>
                <w:szCs w:val="20"/>
              </w:rPr>
              <w:t xml:space="preserve">[Sólo si la ejecución de este contrato requiere el tratamiento por el contratista de datos personales por cuenta del responsable.]</w:t>
            </w:r>
            <w:r>
              <w:rPr>
                <w:rFonts w:ascii="Georgia" w:cs="Georgia" w:eastAsia="Georgia" w:hAnsi="Georgia"/>
                <w:sz w:val="20"/>
                <w:szCs w:val="20"/>
              </w:rPr>
              <w:t xml:space="preserve"> Se incorporan a este pliego las menciones exigidas por el artículo 122.2 de la Ley 9/2017 —relativas, entre otras, a la finalidad del tratamiento, a la obligación del contratista de someterse a la normativa de protección de datos, a la indicación del servidor y del país donde se alojarán los datos, a la comunicación de cualquier cambio al respecto y a la subcontratación de servicios que comporten dicho tratamiento—, </w:t>
            </w:r>
            <w:r>
              <w:rPr>
                <w:rFonts w:ascii="Georgia" w:cs="Georgia" w:eastAsia="Georgia" w:hAnsi="Georgia"/>
                <w:b/>
                <w:bCs/>
                <w:sz w:val="20"/>
                <w:szCs w:val="20"/>
              </w:rPr>
              <w:t xml:space="preserve">que en todo caso tienen el carácter de obligaciones contractuales esenciales</w:t>
            </w:r>
            <w:r>
              <w:rPr>
                <w:rFonts w:ascii="Georgia" w:cs="Georgia" w:eastAsia="Georgia" w:hAnsi="Georgia"/>
                <w:sz w:val="20"/>
                <w:szCs w:val="20"/>
              </w:rPr>
              <w:t xml:space="preserve"> a los efectos de la letra f) del apartado 1 del artículo 211. </w:t>
            </w:r>
            <w:r>
              <w:rPr>
                <w:rFonts w:ascii="Georgia" w:cs="Georgia" w:eastAsia="Georgia" w:hAnsi="Georgia"/>
                <w:i/>
                <w:iCs/>
                <w:sz w:val="20"/>
                <w:szCs w:val="20"/>
              </w:rPr>
              <w:t xml:space="preserve">[Transcríbanse aquí las letras a) a e) del artículo 122.2 de la Ley 9/2017 en su redacción vigente.]</w:t>
            </w:r>
          </w:p>
          <w:p>
            <w:pPr>
              <w:spacing w:after="100" w:line="264"/>
            </w:pPr>
            <w:r>
              <w:rPr>
                <w:rFonts w:ascii="Georgia" w:cs="Georgia" w:eastAsia="Georgia" w:hAnsi="Georgia"/>
                <w:b/>
                <w:bCs/>
                <w:sz w:val="20"/>
                <w:szCs w:val="20"/>
              </w:rPr>
              <w:t xml:space="preserve">2. Bloque B. Obligaciones esenciales por decisión de este pliego.</w:t>
            </w:r>
            <w:r>
              <w:rPr>
                <w:rFonts w:ascii="Georgia" w:cs="Georgia" w:eastAsia="Georgia" w:hAnsi="Georgia"/>
                <w:sz w:val="20"/>
                <w:szCs w:val="20"/>
              </w:rPr>
              <w:t xml:space="preserve"> Se califican expresamente como obligaciones contractuales esenciales, a los efectos del artículo 211.1.f) de la Ley 9/2017, y de forma tasada,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siguientes incumplimientos:</w:t>
            </w:r>
          </w:p>
          <w:p>
            <w:pPr>
              <w:spacing w:after="100" w:line="264"/>
            </w:pPr>
            <w:r>
              <w:rPr>
                <w:rFonts w:ascii="Georgia" w:cs="Georgia" w:eastAsia="Georgia" w:hAnsi="Georgia"/>
                <w:b/>
                <w:bCs/>
                <w:sz w:val="20"/>
                <w:szCs w:val="20"/>
              </w:rPr>
              <w:t xml:space="preserve">B.1 — Respecto de las cláusulas de este pliego que efectivamente se hayan incorporado:</w:t>
            </w:r>
          </w:p>
          <w:p>
            <w:pPr>
              <w:spacing w:after="100" w:line="264"/>
            </w:pPr>
            <w:r>
              <w:rPr>
                <w:rFonts w:ascii="Georgia" w:cs="Georgia" w:eastAsia="Georgia" w:hAnsi="Georgia"/>
                <w:sz w:val="20"/>
                <w:szCs w:val="20"/>
              </w:rPr>
              <w:t xml:space="preserve">a) </w:t>
            </w:r>
            <w:r>
              <w:rPr>
                <w:rFonts w:ascii="Georgia" w:cs="Georgia" w:eastAsia="Georgia" w:hAnsi="Georgia"/>
                <w:i/>
                <w:iCs/>
                <w:sz w:val="20"/>
                <w:szCs w:val="20"/>
              </w:rPr>
              <w:t xml:space="preserve">[Sólo si este pliego incorpora la cláusula de reversibilidad.]</w:t>
            </w:r>
            <w:r>
              <w:rPr>
                <w:rFonts w:ascii="Georgia" w:cs="Georgia" w:eastAsia="Georgia" w:hAnsi="Georgia"/>
                <w:sz w:val="20"/>
                <w:szCs w:val="20"/>
              </w:rPr>
              <w:t xml:space="preserve"> La negativa a entregar el material de titularidad municipal, el Dossier de Reversibilidad y el Inventario de Componentes, o su entrega incompleta no subsanada en el plazo de [X; se recomienda 1] mes desde requerimiento fehaciente.</w:t>
            </w:r>
          </w:p>
          <w:p>
            <w:pPr>
              <w:spacing w:after="100" w:line="264"/>
            </w:pPr>
            <w:r>
              <w:rPr>
                <w:rFonts w:ascii="Georgia" w:cs="Georgia" w:eastAsia="Georgia" w:hAnsi="Georgia"/>
                <w:sz w:val="20"/>
                <w:szCs w:val="20"/>
              </w:rPr>
              <w:t xml:space="preserve">b) </w:t>
            </w:r>
            <w:r>
              <w:rPr>
                <w:rFonts w:ascii="Georgia" w:cs="Georgia" w:eastAsia="Georgia" w:hAnsi="Georgia"/>
                <w:i/>
                <w:iCs/>
                <w:sz w:val="20"/>
                <w:szCs w:val="20"/>
              </w:rPr>
              <w:t xml:space="preserve">[Sólo si este pliego incorpora la cláusula de depósito de código.]</w:t>
            </w:r>
            <w:r>
              <w:rPr>
                <w:rFonts w:ascii="Georgia" w:cs="Georgia" w:eastAsia="Georgia" w:hAnsi="Georgia"/>
                <w:sz w:val="20"/>
                <w:szCs w:val="20"/>
              </w:rPr>
              <w:t xml:space="preserve"> La negativa a constituir el depósito de código </w:t>
            </w:r>
            <w:r>
              <w:rPr>
                <w:rFonts w:ascii="Georgia" w:cs="Georgia" w:eastAsia="Georgia" w:hAnsi="Georgia"/>
                <w:b/>
                <w:bCs/>
                <w:sz w:val="20"/>
                <w:szCs w:val="20"/>
              </w:rPr>
              <w:t xml:space="preserve">o el plan de continuidad equivalente, por la vía de cumplimiento elegida conforme a la cláusula [ADM-11], apartado 3</w:t>
            </w:r>
            <w:r>
              <w:rPr>
                <w:rFonts w:ascii="Georgia" w:cs="Georgia" w:eastAsia="Georgia" w:hAnsi="Georgia"/>
                <w:sz w:val="20"/>
                <w:szCs w:val="20"/>
              </w:rPr>
              <w:t xml:space="preserve">, la negativa a liberar el depósito concurriendo un supuesto tasado de liberación, o la entrega de material incompleto o no verificable, no subsanadas en el plazo de [X; se recomienda 1] mes desde requerimiento fehaciente.</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este pliego incorpora la cláusula de acceso de los órganos de control.]</w:t>
            </w:r>
            <w:r>
              <w:rPr>
                <w:rFonts w:ascii="Georgia" w:cs="Georgia" w:eastAsia="Georgia" w:hAnsi="Georgia"/>
                <w:sz w:val="20"/>
                <w:szCs w:val="20"/>
              </w:rPr>
              <w:t xml:space="preserve"> La denegación o supresión del acceso de los órganos municipales de control a los datos de ejecución del contrato, no restablecido en el plazo de [X; se recomienda 15] días naturales desde requerimiento fehaciente.</w:t>
            </w:r>
          </w:p>
          <w:p>
            <w:pPr>
              <w:spacing w:after="100" w:line="264"/>
            </w:pPr>
            <w:r>
              <w:rPr>
                <w:rFonts w:ascii="Georgia" w:cs="Georgia" w:eastAsia="Georgia" w:hAnsi="Georgia"/>
                <w:sz w:val="20"/>
                <w:szCs w:val="20"/>
              </w:rPr>
              <w:t xml:space="preserve">d) </w:t>
            </w:r>
            <w:r>
              <w:rPr>
                <w:rFonts w:ascii="Georgia" w:cs="Georgia" w:eastAsia="Georgia" w:hAnsi="Georgia"/>
                <w:i/>
                <w:iCs/>
                <w:sz w:val="20"/>
                <w:szCs w:val="20"/>
              </w:rPr>
              <w:t xml:space="preserve">[Sólo si este pliego incorpora la cláusula de uso de sistemas de inteligencia artificial sobre información municipal.]</w:t>
            </w:r>
            <w:r>
              <w:rPr>
                <w:rFonts w:ascii="Georgia" w:cs="Georgia" w:eastAsia="Georgia" w:hAnsi="Georgia"/>
                <w:sz w:val="20"/>
                <w:szCs w:val="20"/>
              </w:rPr>
              <w:t xml:space="preserve"> La introducción de información municipal del nivel 1 definido en la cláusula [ADM-13], apartado 1, en sistemas de inteligencia artificial no autorizados en este contrato, cuando conste su incorporación efectiva.</w:t>
            </w:r>
          </w:p>
          <w:p>
            <w:pPr>
              <w:spacing w:after="100" w:line="264"/>
            </w:pPr>
            <w:r>
              <w:rPr>
                <w:rFonts w:ascii="Georgia" w:cs="Georgia" w:eastAsia="Georgia" w:hAnsi="Georgia"/>
                <w:b/>
                <w:bCs/>
                <w:sz w:val="20"/>
                <w:szCs w:val="20"/>
              </w:rPr>
              <w:t xml:space="preserve">B.2 — Sólo cuando este pliego lo haya marcado expresamente en el cuadro de características:</w:t>
            </w:r>
          </w:p>
          <w:p>
            <w:pPr>
              <w:spacing w:after="100" w:line="264"/>
            </w:pPr>
            <w:r>
              <w:rPr>
                <w:rFonts w:ascii="Georgia" w:cs="Georgia" w:eastAsia="Georgia" w:hAnsi="Georgia"/>
                <w:sz w:val="20"/>
                <w:szCs w:val="20"/>
              </w:rPr>
              <w:t xml:space="preserve">e) La falta de implantación de una exigencia del Anexo de Exigencias Tecnológicas Determinadas transcrito en el Pliego de Prescripciones Técnicas —nunca del alcance que el licitador haya ofertado por encima de él—, transcurrido su plazo y un plazo adicional de subsanación de [X; se recomienda 1] mes desde requerimiento fehaciente.</w:t>
            </w:r>
          </w:p>
          <w:p>
            <w:pPr>
              <w:spacing w:after="100" w:line="264"/>
            </w:pPr>
            <w:r>
              <w:rPr>
                <w:rFonts w:ascii="Georgia" w:cs="Georgia" w:eastAsia="Georgia" w:hAnsi="Georgia"/>
                <w:sz w:val="20"/>
                <w:szCs w:val="20"/>
              </w:rPr>
              <w:t xml:space="preserve">f) La falta de puesta a disposición del Ayuntamiento de una versión sucesora publicada por el fabricante y a la que el contratista tenga acceso, transcurrido el plazo de [X; se recomienda 1] mes desde requerimiento fehaciente.</w:t>
            </w:r>
          </w:p>
          <w:p>
            <w:pPr>
              <w:spacing w:after="100" w:line="264"/>
            </w:pPr>
            <w:r>
              <w:rPr>
                <w:rFonts w:ascii="Georgia" w:cs="Georgia" w:eastAsia="Georgia" w:hAnsi="Georgia"/>
                <w:sz w:val="20"/>
                <w:szCs w:val="20"/>
              </w:rPr>
              <w:t xml:space="preserve">g) La falta de entrega, en el </w:t>
            </w:r>
            <w:r>
              <w:rPr>
                <w:rFonts w:ascii="Georgia" w:cs="Georgia" w:eastAsia="Georgia" w:hAnsi="Georgia"/>
                <w:b/>
                <w:bCs/>
                <w:sz w:val="20"/>
                <w:szCs w:val="20"/>
              </w:rPr>
              <w:t xml:space="preserve">plazo máximo fijado en el Pliego de Prescripciones Técnicas</w:t>
            </w:r>
            <w:r>
              <w:rPr>
                <w:rFonts w:ascii="Georgia" w:cs="Georgia" w:eastAsia="Georgia" w:hAnsi="Georgia"/>
                <w:sz w:val="20"/>
                <w:szCs w:val="20"/>
              </w:rPr>
              <w:t xml:space="preserve"> —nunca en el plazo inferior que el licitador haya ofertado—, de la interfaz normalizada de acceso programático prevista en dicho pliego.</w:t>
            </w:r>
          </w:p>
          <w:p>
            <w:pPr>
              <w:spacing w:after="100" w:line="264"/>
            </w:pPr>
            <w:r>
              <w:rPr>
                <w:rFonts w:ascii="Georgia" w:cs="Georgia" w:eastAsia="Georgia" w:hAnsi="Georgia"/>
                <w:sz w:val="20"/>
                <w:szCs w:val="20"/>
              </w:rPr>
              <w:t xml:space="preserve">h) La falta de presentación del Plan Anual de Evolución Tecnológica </w:t>
            </w:r>
            <w:r>
              <w:rPr>
                <w:rFonts w:ascii="Georgia" w:cs="Georgia" w:eastAsia="Georgia" w:hAnsi="Georgia"/>
                <w:b/>
                <w:bCs/>
                <w:sz w:val="20"/>
                <w:szCs w:val="20"/>
              </w:rPr>
              <w:t xml:space="preserve">durante dos ejercicios consecutivos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i) El incumplimiento de los hitos del Plan Anual </w:t>
            </w:r>
            <w:r>
              <w:rPr>
                <w:rFonts w:ascii="Georgia" w:cs="Georgia" w:eastAsia="Georgia" w:hAnsi="Georgia"/>
                <w:b/>
                <w:bCs/>
                <w:sz w:val="20"/>
                <w:szCs w:val="20"/>
              </w:rPr>
              <w:t xml:space="preserve">expresamente aprobados por el órgano de contratación y recogidos con fecha cierta en acta de la Comisión de Seguimiento</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Regla de cierre.</w:t>
            </w:r>
            <w:r>
              <w:rPr>
                <w:rFonts w:ascii="Georgia" w:cs="Georgia" w:eastAsia="Georgia" w:hAnsi="Georgia"/>
                <w:sz w:val="20"/>
                <w:szCs w:val="20"/>
              </w:rPr>
              <w:t xml:space="preserve"> </w:t>
            </w:r>
            <w:r>
              <w:rPr>
                <w:rFonts w:ascii="Georgia" w:cs="Georgia" w:eastAsia="Georgia" w:hAnsi="Georgia"/>
                <w:b/>
                <w:bCs/>
                <w:sz w:val="20"/>
                <w:szCs w:val="20"/>
              </w:rPr>
              <w:t xml:space="preserve">Ninguna otra de las obligaciones incorporadas a este pliego en virtud del catálogo [denominación y versión del catálogo, tal como conste en el acuerdo de aprobación] tiene el carácter de obligación contractual esencial</w:t>
            </w:r>
            <w:r>
              <w:rPr>
                <w:rFonts w:ascii="Georgia" w:cs="Georgia" w:eastAsia="Georgia" w:hAnsi="Georgia"/>
                <w:sz w:val="20"/>
                <w:szCs w:val="20"/>
              </w:rPr>
              <w:t xml:space="preserve">, sin perjuicio de las penalidades que procedan conforme a la cláusula de penalidades. Esta regla </w:t>
            </w:r>
            <w:r>
              <w:rPr>
                <w:rFonts w:ascii="Georgia" w:cs="Georgia" w:eastAsia="Georgia" w:hAnsi="Georgia"/>
                <w:b/>
                <w:bCs/>
                <w:sz w:val="20"/>
                <w:szCs w:val="20"/>
              </w:rPr>
              <w:t xml:space="preserve">no afecta</w:t>
            </w:r>
            <w:r>
              <w:rPr>
                <w:rFonts w:ascii="Georgia" w:cs="Georgia" w:eastAsia="Georgia" w:hAnsi="Georgia"/>
                <w:sz w:val="20"/>
                <w:szCs w:val="20"/>
              </w:rPr>
              <w:t xml:space="preserve"> a las obligaciones que este pliego califique como esenciales por causas ajenas a dicho catálogo. </w:t>
            </w:r>
            <w:r>
              <w:rPr>
                <w:rFonts w:ascii="Georgia" w:cs="Georgia" w:eastAsia="Georgia" w:hAnsi="Georgia"/>
                <w:i/>
                <w:iCs/>
                <w:sz w:val="20"/>
                <w:szCs w:val="20"/>
              </w:rPr>
              <w:t xml:space="preserve">[Si la entidad no ha aprobado el catálogo o no se cumplen las condiciones de aplicación de su memoria justificativa, el pliego no lo cita: la primera frase dice «Ninguna otra de las obligaciones de contenido tecnológico de este pliego y del de prescripciones técnicas tiene el carácter de obligación contractual esencial», y la segunda termina en «por causas ajenas a ese contenido».]</w:t>
            </w:r>
          </w:p>
          <w:p>
            <w:pPr>
              <w:spacing w:after="100" w:line="264"/>
            </w:pPr>
            <w:r>
              <w:rPr>
                <w:rFonts w:ascii="Georgia" w:cs="Georgia" w:eastAsia="Georgia" w:hAnsi="Georgia"/>
                <w:b/>
                <w:bCs/>
                <w:sz w:val="20"/>
                <w:szCs w:val="20"/>
              </w:rPr>
              <w:t xml:space="preserve">4. Efectos y procedimiento.</w:t>
            </w:r>
            <w:r>
              <w:rPr>
                <w:rFonts w:ascii="Georgia" w:cs="Georgia" w:eastAsia="Georgia" w:hAnsi="Georgia"/>
                <w:sz w:val="20"/>
                <w:szCs w:val="20"/>
              </w:rPr>
              <w:t xml:space="preserve"> El incumplimiento de una obligación esencial de los bloques A o B constituye causa de resolución del contrato conforme al artículo 211.1.f) de la Ley 9/2017, con los efectos de los artículos 212 y 213. La resolución:</w:t>
            </w:r>
          </w:p>
          <w:p>
            <w:pPr>
              <w:spacing w:after="100" w:line="264"/>
            </w:pPr>
            <w:r>
              <w:rPr>
                <w:rFonts w:ascii="Georgia" w:cs="Georgia" w:eastAsia="Georgia" w:hAnsi="Georgia"/>
                <w:sz w:val="20"/>
                <w:szCs w:val="20"/>
              </w:rPr>
              <w:t xml:space="preserve">a) Es </w:t>
            </w:r>
            <w:r>
              <w:rPr>
                <w:rFonts w:ascii="Georgia" w:cs="Georgia" w:eastAsia="Georgia" w:hAnsi="Georgia"/>
                <w:b/>
                <w:bCs/>
                <w:sz w:val="20"/>
                <w:szCs w:val="20"/>
              </w:rPr>
              <w:t xml:space="preserve">potestativa</w:t>
            </w:r>
            <w:r>
              <w:rPr>
                <w:rFonts w:ascii="Georgia" w:cs="Georgia" w:eastAsia="Georgia" w:hAnsi="Georgia"/>
                <w:sz w:val="20"/>
                <w:szCs w:val="20"/>
              </w:rPr>
              <w:t xml:space="preserve">. El órgano de contratación puede optar por la imposición de la penalidad que corresponda.</w:t>
            </w:r>
          </w:p>
          <w:p>
            <w:pPr>
              <w:spacing w:after="100" w:line="264"/>
            </w:pPr>
            <w:r>
              <w:rPr>
                <w:rFonts w:ascii="Georgia" w:cs="Georgia" w:eastAsia="Georgia" w:hAnsi="Georgia"/>
                <w:sz w:val="20"/>
                <w:szCs w:val="20"/>
              </w:rPr>
              <w:t xml:space="preserve">b) Requiere </w:t>
            </w:r>
            <w:r>
              <w:rPr>
                <w:rFonts w:ascii="Georgia" w:cs="Georgia" w:eastAsia="Georgia" w:hAnsi="Georgia"/>
                <w:b/>
                <w:bCs/>
                <w:sz w:val="20"/>
                <w:szCs w:val="20"/>
              </w:rPr>
              <w:t xml:space="preserve">requerimiento previo de subsanación</w:t>
            </w:r>
            <w:r>
              <w:rPr>
                <w:rFonts w:ascii="Georgia" w:cs="Georgia" w:eastAsia="Georgia" w:hAnsi="Georgia"/>
                <w:sz w:val="20"/>
                <w:szCs w:val="20"/>
              </w:rPr>
              <w:t xml:space="preserve">, con plazo no inferior a [X; se recomienda 1] mes, salvo que la obligación sea insusceptible de cumplimiento tardío.</w:t>
            </w:r>
          </w:p>
          <w:p>
            <w:pPr>
              <w:spacing w:after="100" w:line="264"/>
            </w:pPr>
            <w:r>
              <w:rPr>
                <w:rFonts w:ascii="Georgia" w:cs="Georgia" w:eastAsia="Georgia" w:hAnsi="Georgia"/>
                <w:sz w:val="20"/>
                <w:szCs w:val="20"/>
              </w:rPr>
              <w:t xml:space="preserve">c) Requiere la tramitación de </w:t>
            </w:r>
            <w:r>
              <w:rPr>
                <w:rFonts w:ascii="Georgia" w:cs="Georgia" w:eastAsia="Georgia" w:hAnsi="Georgia"/>
                <w:b/>
                <w:bCs/>
                <w:sz w:val="20"/>
                <w:szCs w:val="20"/>
              </w:rPr>
              <w:t xml:space="preserve">procedimiento contradictorio con audiencia del contratista</w:t>
            </w:r>
            <w:r>
              <w:rPr>
                <w:rFonts w:ascii="Georgia" w:cs="Georgia" w:eastAsia="Georgia" w:hAnsi="Georgia"/>
                <w:sz w:val="20"/>
                <w:szCs w:val="20"/>
              </w:rPr>
              <w:t xml:space="preserve">, conforme a los artículos 191 y 212 de la Ley 9/2017.</w:t>
            </w:r>
          </w:p>
          <w:p>
            <w:pPr>
              <w:spacing w:after="100" w:line="264"/>
            </w:pPr>
            <w:r>
              <w:rPr>
                <w:rFonts w:ascii="Georgia" w:cs="Georgia" w:eastAsia="Georgia" w:hAnsi="Georgia"/>
                <w:sz w:val="20"/>
                <w:szCs w:val="20"/>
              </w:rPr>
              <w:t xml:space="preserve">d) Sólo se acordará cuando del expediente resulte, de forma motivada, que </w:t>
            </w:r>
            <w:r>
              <w:rPr>
                <w:rFonts w:ascii="Georgia" w:cs="Georgia" w:eastAsia="Georgia" w:hAnsi="Georgia"/>
                <w:b/>
                <w:bCs/>
                <w:sz w:val="20"/>
                <w:szCs w:val="20"/>
              </w:rPr>
              <w:t xml:space="preserve">el perjuicio derivado de la resolución no es superior al derivado del mantenimiento del contrato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Ajustes.</w:t>
      </w:r>
    </w:p>
    <w:p>
      <w:pPr>
        <w:pStyle w:val="ListParagraph"/>
        <w:numPr>
          <w:ilvl w:val="0"/>
          <w:numId w:val="1"/>
        </w:numPr>
        <w:spacing w:after="70" w:line="268"/>
      </w:pPr>
      <w:r>
        <w:rPr>
          <w:rFonts w:ascii="Calibri" w:cs="Calibri" w:eastAsia="Calibri" w:hAnsi="Calibri"/>
          <w:b/>
          <w:bCs/>
          <w:sz w:val="21"/>
          <w:szCs w:val="21"/>
        </w:rPr>
        <w:t xml:space="preserve">Bloque A</w:t>
      </w:r>
      <w:r>
        <w:rPr>
          <w:rFonts w:ascii="Calibri" w:cs="Calibri" w:eastAsia="Calibri" w:hAnsi="Calibri"/>
          <w:sz w:val="21"/>
          <w:szCs w:val="21"/>
        </w:rPr>
        <w:t xml:space="preserve">: el 1.1 sólo con cesión de datos; el 1.2 sólo con tratamiento por cuenta, con las letras a) a e) del art. 122.2 LCSP. Se comprueban en el informe (Anexo III, ap. 8) y se declaran en el PCAP (Anexo VI).</w:t>
      </w:r>
    </w:p>
    <w:p>
      <w:pPr>
        <w:pStyle w:val="ListParagraph"/>
        <w:numPr>
          <w:ilvl w:val="0"/>
          <w:numId w:val="1"/>
        </w:numPr>
        <w:spacing w:after="70" w:line="268"/>
      </w:pPr>
      <w:r>
        <w:rPr>
          <w:rFonts w:ascii="Calibri" w:cs="Calibri" w:eastAsia="Calibri" w:hAnsi="Calibri"/>
          <w:b/>
          <w:bCs/>
          <w:sz w:val="21"/>
          <w:szCs w:val="21"/>
        </w:rPr>
        <w:t xml:space="preserve">B.1</w:t>
      </w:r>
      <w:r>
        <w:rPr>
          <w:rFonts w:ascii="Calibri" w:cs="Calibri" w:eastAsia="Calibri" w:hAnsi="Calibri"/>
          <w:sz w:val="21"/>
          <w:szCs w:val="21"/>
        </w:rPr>
        <w:t xml:space="preserve">: a) reversibilidad, [1] mes; b) depósito, con ADM-11, [1] mes; c) control interno, con ADM-12, [15] días; d) nivel 1 de ADM-13. Afectan a la posición institucional de la entidad (nota al redactor, tercera).</w:t>
      </w:r>
    </w:p>
    <w:p>
      <w:pPr>
        <w:pStyle w:val="ListParagraph"/>
        <w:numPr>
          <w:ilvl w:val="0"/>
          <w:numId w:val="1"/>
        </w:numPr>
        <w:spacing w:after="70" w:line="268"/>
      </w:pPr>
      <w:r>
        <w:rPr>
          <w:rFonts w:ascii="Calibri" w:cs="Calibri" w:eastAsia="Calibri" w:hAnsi="Calibri"/>
          <w:b/>
          <w:bCs/>
          <w:sz w:val="21"/>
          <w:szCs w:val="21"/>
        </w:rPr>
        <w:t xml:space="preserve">B.2: ninguna letra por defecto</w:t>
      </w:r>
      <w:r>
        <w:rPr>
          <w:rFonts w:ascii="Calibri" w:cs="Calibri" w:eastAsia="Calibri" w:hAnsi="Calibri"/>
          <w:sz w:val="21"/>
          <w:szCs w:val="21"/>
        </w:rPr>
        <w:t xml:space="preserve">; sólo con el test de relevancia en la memoria, nunca sobre lo ofertado ni junto al criterio que lo puntúa (ADM-7.5, fila 13). Cierre con denominación y versión del catálogo (ap. 3); ninguna esencial sin verificador (§7.9.3).</w:t>
      </w:r>
    </w:p>
    <w:p>
      <w:pPr>
        <w:pStyle w:val="ListParagraph"/>
        <w:numPr>
          <w:ilvl w:val="0"/>
          <w:numId w:val="1"/>
        </w:numPr>
        <w:spacing w:after="70" w:line="268"/>
      </w:pPr>
      <w:r>
        <w:rPr>
          <w:rFonts w:ascii="Calibri" w:cs="Calibri" w:eastAsia="Calibri" w:hAnsi="Calibri"/>
          <w:b/>
          <w:bCs/>
          <w:sz w:val="21"/>
          <w:szCs w:val="21"/>
        </w:rPr>
        <w:t xml:space="preserve">Anuncio (art. 202.1 LCSP)</w:t>
      </w:r>
      <w:r>
        <w:rPr>
          <w:rFonts w:ascii="Calibri" w:cs="Calibri" w:eastAsia="Calibri" w:hAnsi="Calibri"/>
          <w:sz w:val="21"/>
          <w:szCs w:val="21"/>
        </w:rPr>
        <w:t xml:space="preserve">: cada condición especial incorporada, una por una; la omisión no se subsana (M10.1, punto 11). Aquí, ADM-13 y, si entran, el bloque A de ADM-6, ADM-11, ADM-12 y las del perfil base.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6 · Ficha de aplicabilidad (Anexo II) prerrellenada</w:t>
      </w:r>
    </w:p>
    <w:p>
      <w:pPr>
        <w:spacing w:after="140" w:line="276"/>
      </w:pPr>
      <w:r>
        <w:rPr>
          <w:rFonts w:ascii="Calibri" w:cs="Calibri" w:eastAsia="Calibri" w:hAnsi="Calibri"/>
          <w:sz w:val="21"/>
          <w:szCs w:val="21"/>
        </w:rPr>
        <w:t xml:space="preserve">Sólo las filas de esta capa; las del perfil base, de su ficha (el expediente tiene una sola). Necesidad y proporcionalidad salen sólo del expediente.</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FICHA DE APLICABILIDAD · PERFIL PLATAFORMAS CRÍTICAS</w:t>
      </w:r>
      <w:r>
        <w:rPr>
          <w:rFonts w:ascii="Calibri" w:cs="Calibri" w:eastAsia="Calibri" w:hAnsi="Calibri"/>
          <w:sz w:val="21"/>
          <w:szCs w:val="21"/>
        </w:rPr>
        <w:t xml:space="preserve"> · Expediente y objeto: [a cumplimentar con datos del expediente] · Versión del catálogo: [la del acuerdo de aprobación] · Perfil base: ☐ SaaS ☐ Mantenimiento ☐ Desarrollo a medida · Categoría ENS: [MEDIA / ALTA], disponibilidad [ ], integridad [ ], documento de [fecha]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 instrumento · 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Necesidad · (c) proporcionalidad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 Norma o acuerdo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 Verificador · (e) cuándo y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 h/año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 · P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 y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 licitación ·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 · P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Ley 39/2015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anual · actas de integración y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 · P + acreditación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2.3, 38.1 y 41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 · anual ·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 (14–18 en ALTA: §8)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 · P + garantía · 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157 y 158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informática · ensayo · actas B y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 · 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 · P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 · anual ·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4</w:t>
            </w:r>
          </w:p>
        </w:tc>
      </w:tr>
    </w:tbl>
    <w:p>
      <w:pPr>
        <w:spacing w:after="20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 instrumento · 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Necesidad · (c) proporcionalidad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 Norma o acuerdo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 Verificador · (e) cuándo y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 h/año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 · PCAP ·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informática · semestral · actas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 · 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 · PCAP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192.1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por incumplimiento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 · PCAP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122.2, 202.1 y 211.1.f)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al hecho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25–40 por resolución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 CA · F/I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 y 146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 informe jurídico ·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 · PCAP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[3] meses · Inventario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B6 (ADM-8·v3, ep.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 · comprobación ·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145.5.c)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licitación · actas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24–29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 · CEE-E ·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y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anual · certificado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 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 · CEE-E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Interventor · anual · diligencia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 · CEE-E · 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DPD · alta y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 3</w:t>
            </w:r>
          </w:p>
        </w:tc>
      </w:tr>
    </w:tbl>
    <w:p>
      <w:pPr>
        <w:spacing w:after="200"/>
      </w:pPr>
    </w:p>
    <w:p>
      <w:pPr>
        <w:spacing w:after="140" w:line="276"/>
      </w:pPr>
      <w:r>
        <w:rPr>
          <w:rFonts w:ascii="Calibri" w:cs="Calibri" w:eastAsia="Calibri" w:hAnsi="Calibri"/>
          <w:sz w:val="21"/>
          <w:szCs w:val="21"/>
        </w:rPr>
        <w:t xml:space="preserve">DT-2 y ADM-14: NA, con motivo en una línea y Anexo VI ejecutado ☐. Las casillas (a) y (c) piden los datos del §7, no adjetivos (Parte I, §3.4).</w:t>
      </w:r>
    </w:p>
    <w:p>
      <w:pPr>
        <w:spacing w:after="140" w:line="276"/>
      </w:pPr>
      <w:r>
        <w:rPr>
          <w:rFonts w:ascii="Calibri" w:cs="Calibri" w:eastAsia="Calibri" w:hAnsi="Calibri"/>
          <w:b/>
          <w:bCs/>
          <w:sz w:val="21"/>
          <w:szCs w:val="21"/>
        </w:rPr>
        <w:t xml:space="preserve">Firmas</w:t>
      </w:r>
      <w:r>
        <w:rPr>
          <w:rFonts w:ascii="Calibri" w:cs="Calibri" w:eastAsia="Calibri" w:hAnsi="Calibri"/>
          <w:sz w:val="21"/>
          <w:szCs w:val="21"/>
        </w:rPr>
        <w:t xml:space="preserve"> por las vías del §3.7: normativa, el servicio competente (seguridad, informática, DPD, control interno); funcional, el gestor; institucional, remisión al acuerdo [fecha y punto]. </w:t>
      </w:r>
      <w:r>
        <w:rPr>
          <w:rFonts w:ascii="Calibri" w:cs="Calibri" w:eastAsia="Calibri" w:hAnsi="Calibri"/>
          <w:b/>
          <w:bCs/>
          <w:sz w:val="21"/>
          <w:szCs w:val="21"/>
        </w:rPr>
        <w:t xml:space="preserve">Carga total</w:t>
      </w:r>
      <w:r>
        <w:rPr>
          <w:rFonts w:ascii="Calibri" w:cs="Calibri" w:eastAsia="Calibri" w:hAnsi="Calibri"/>
          <w:sz w:val="21"/>
          <w:szCs w:val="21"/>
        </w:rPr>
        <w:t xml:space="preserve">: la del §8 para la configuración elegida; si supera [40] h/año, conformidad expresa del servicio verificador (§7.9.2). </w:t>
      </w:r>
      <w:r>
        <w:rPr>
          <w:rFonts w:ascii="Calibri" w:cs="Calibri" w:eastAsia="Calibri" w:hAnsi="Calibri"/>
          <w:b/>
          <w:bCs/>
          <w:sz w:val="21"/>
          <w:szCs w:val="21"/>
        </w:rPr>
        <w:t xml:space="preserve">Cierre</w:t>
      </w:r>
      <w:r>
        <w:rPr>
          <w:rFonts w:ascii="Calibri" w:cs="Calibri" w:eastAsia="Calibri" w:hAnsi="Calibri"/>
          <w:sz w:val="21"/>
          <w:szCs w:val="21"/>
        </w:rPr>
        <w:t xml:space="preserve">: las cinco comprobaciones del Anexo II.</w:t>
      </w:r>
    </w:p>
    <w:p>
      <w:pPr>
        <w:spacing w:after="140" w:line="276"/>
      </w:pPr>
      <w:r>
        <w:rPr>
          <w:rFonts w:ascii="Calibri" w:cs="Calibri" w:eastAsia="Calibri" w:hAnsi="Calibri"/>
          <w:sz w:val="21"/>
          <w:szCs w:val="21"/>
        </w:rPr>
        <w:t xml:space="preserve">---- FIN DEL MODELO ----</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7 · Informe de necesidad (Anexo III): esqueleto</w:t>
      </w:r>
    </w:p>
    <w:p>
      <w:pPr>
        <w:spacing w:after="140" w:line="276"/>
      </w:pPr>
      <w:r>
        <w:rPr>
          <w:rFonts w:ascii="Calibri" w:cs="Calibri" w:eastAsia="Calibri" w:hAnsi="Calibri"/>
          <w:sz w:val="21"/>
          <w:szCs w:val="21"/>
        </w:rPr>
        <w:t xml:space="preserve">Antes de la ficha y sabiendo que se publica (Anexo III). Los diez apartados del modelo; lo propio del perfil:</w:t>
      </w:r>
    </w:p>
    <w:p>
      <w:pPr>
        <w:pStyle w:val="ListParagraph"/>
        <w:numPr>
          <w:ilvl w:val="0"/>
          <w:numId w:val="2"/>
        </w:numPr>
        <w:spacing w:after="70" w:line="268"/>
      </w:pPr>
      <w:r>
        <w:rPr>
          <w:rFonts w:ascii="Calibri" w:cs="Calibri" w:eastAsia="Calibri" w:hAnsi="Calibri"/>
          <w:b/>
          <w:bCs/>
          <w:sz w:val="21"/>
          <w:szCs w:val="21"/>
        </w:rPr>
        <w:t xml:space="preserve">Necesidad</w:t>
      </w:r>
      <w:r>
        <w:rPr>
          <w:rFonts w:ascii="Calibri" w:cs="Calibri" w:eastAsia="Calibri" w:hAnsi="Calibri"/>
          <w:sz w:val="21"/>
          <w:szCs w:val="21"/>
        </w:rPr>
        <w:t xml:space="preserve">: qué se para o qué gestión queda sin hacer si la plataforma falla o pierde datos, a quién afecta y cuánto tiempo es tolerable </w:t>
      </w:r>
      <w:r>
        <w:rPr>
          <w:rFonts w:ascii="Calibri" w:cs="Calibri" w:eastAsia="Calibri" w:hAnsi="Calibri"/>
          <w:b/>
          <w:bCs/>
          <w:sz w:val="21"/>
          <w:szCs w:val="21"/>
        </w:rPr>
        <w:t xml:space="preserve">[a cumplimentar con datos del expediente]</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Idoneidad</w:t>
      </w:r>
      <w:r>
        <w:rPr>
          <w:rFonts w:ascii="Calibri" w:cs="Calibri" w:eastAsia="Calibri" w:hAnsi="Calibri"/>
          <w:sz w:val="21"/>
          <w:szCs w:val="21"/>
        </w:rPr>
        <w:t xml:space="preserve">: módulos, lo que queda fuera y el perfil base con el que se combina.</w:t>
      </w:r>
    </w:p>
    <w:p>
      <w:pPr>
        <w:pStyle w:val="ListParagraph"/>
        <w:numPr>
          <w:ilvl w:val="0"/>
          <w:numId w:val="2"/>
        </w:numPr>
        <w:spacing w:after="70" w:line="268"/>
      </w:pPr>
      <w:r>
        <w:rPr>
          <w:rFonts w:ascii="Calibri" w:cs="Calibri" w:eastAsia="Calibri" w:hAnsi="Calibri"/>
          <w:b/>
          <w:bCs/>
          <w:sz w:val="21"/>
          <w:szCs w:val="21"/>
        </w:rPr>
        <w:t xml:space="preserve">Medios y reutilización</w:t>
      </w:r>
      <w:r>
        <w:rPr>
          <w:rFonts w:ascii="Calibri" w:cs="Calibri" w:eastAsia="Calibri" w:hAnsi="Calibri"/>
          <w:sz w:val="21"/>
          <w:szCs w:val="21"/>
        </w:rPr>
        <w:t xml:space="preserve">: art. 116.4.f) LCSP y consulta al directorio del art. 157.3 de la Ley 40/2015.</w:t>
      </w:r>
    </w:p>
    <w:p>
      <w:pPr>
        <w:pStyle w:val="ListParagraph"/>
        <w:numPr>
          <w:ilvl w:val="0"/>
          <w:numId w:val="2"/>
        </w:numPr>
        <w:spacing w:after="70" w:line="268"/>
      </w:pPr>
      <w:r>
        <w:rPr>
          <w:rFonts w:ascii="Calibri" w:cs="Calibri" w:eastAsia="Calibri" w:hAnsi="Calibri"/>
          <w:b/>
          <w:bCs/>
          <w:sz w:val="21"/>
          <w:szCs w:val="21"/>
        </w:rPr>
        <w:t xml:space="preserve">Origen de cada exigencia</w:t>
      </w:r>
      <w:r>
        <w:rPr>
          <w:rFonts w:ascii="Calibri" w:cs="Calibri" w:eastAsia="Calibri" w:hAnsi="Calibri"/>
          <w:sz w:val="21"/>
          <w:szCs w:val="21"/>
        </w:rPr>
        <w:t xml:space="preserve">, con su proporcionalidad; para ADM-11, una subfila por circunstancia con el estudio de mercado. Las institucionales, en el 4 bis del modelo.</w:t>
      </w:r>
    </w:p>
    <w:p>
      <w:pPr>
        <w:pStyle w:val="ListParagraph"/>
        <w:numPr>
          <w:ilvl w:val="0"/>
          <w:numId w:val="2"/>
        </w:numPr>
        <w:spacing w:after="70" w:line="268"/>
      </w:pPr>
      <w:r>
        <w:rPr>
          <w:rFonts w:ascii="Calibri" w:cs="Calibri" w:eastAsia="Calibri" w:hAnsi="Calibri"/>
          <w:b/>
          <w:bCs/>
          <w:sz w:val="21"/>
          <w:szCs w:val="21"/>
        </w:rPr>
        <w:t xml:space="preserve">Órganos distintos del gestor</w:t>
      </w:r>
      <w:r>
        <w:rPr>
          <w:rFonts w:ascii="Calibri" w:cs="Calibri" w:eastAsia="Calibri" w:hAnsi="Calibri"/>
          <w:sz w:val="21"/>
          <w:szCs w:val="21"/>
        </w:rPr>
        <w:t xml:space="preserve">: informe del órgano de control con peticiones al año y plazo de respuesta (§3.4); si no hay documento firmado, se pide, no se cita. Categorización firmada por el responsable de la seguridad.</w:t>
      </w:r>
    </w:p>
    <w:p>
      <w:pPr>
        <w:pStyle w:val="ListParagraph"/>
        <w:numPr>
          <w:ilvl w:val="0"/>
          <w:numId w:val="2"/>
        </w:numPr>
        <w:spacing w:after="70" w:line="268"/>
      </w:pPr>
      <w:r>
        <w:rPr>
          <w:rFonts w:ascii="Calibri" w:cs="Calibri" w:eastAsia="Calibri" w:hAnsi="Calibri"/>
          <w:b/>
          <w:bCs/>
          <w:sz w:val="21"/>
          <w:szCs w:val="21"/>
        </w:rPr>
        <w:t xml:space="preserve">Mantenimiento frente a evolución</w:t>
      </w:r>
      <w:r>
        <w:rPr>
          <w:rFonts w:ascii="Calibri" w:cs="Calibri" w:eastAsia="Calibri" w:hAnsi="Calibri"/>
          <w:sz w:val="21"/>
          <w:szCs w:val="21"/>
        </w:rPr>
        <w:t xml:space="preserve">: corrección, adaptación normativa y capacidades nuevas, por separado.</w:t>
      </w:r>
    </w:p>
    <w:p>
      <w:pPr>
        <w:pStyle w:val="ListParagraph"/>
        <w:numPr>
          <w:ilvl w:val="0"/>
          <w:numId w:val="2"/>
        </w:numPr>
        <w:spacing w:after="70" w:line="268"/>
      </w:pPr>
      <w:r>
        <w:rPr>
          <w:rFonts w:ascii="Calibri" w:cs="Calibri" w:eastAsia="Calibri" w:hAnsi="Calibri"/>
          <w:b/>
          <w:bCs/>
          <w:sz w:val="21"/>
          <w:szCs w:val="21"/>
        </w:rPr>
        <w:t xml:space="preserve">Coste de no evolucionar y de no poder salir</w:t>
      </w:r>
      <w:r>
        <w:rPr>
          <w:rFonts w:ascii="Calibri" w:cs="Calibri" w:eastAsia="Calibri" w:hAnsi="Calibri"/>
          <w:sz w:val="21"/>
          <w:szCs w:val="21"/>
        </w:rPr>
        <w:t xml:space="preserve">: coste de cambio, formatos y dependencias (§3.4, segunda fila).</w:t>
      </w:r>
    </w:p>
    <w:p>
      <w:pPr>
        <w:pStyle w:val="ListParagraph"/>
        <w:numPr>
          <w:ilvl w:val="0"/>
          <w:numId w:val="2"/>
        </w:numPr>
        <w:spacing w:after="70" w:line="268"/>
      </w:pPr>
      <w:r>
        <w:rPr>
          <w:rFonts w:ascii="Calibri" w:cs="Calibri" w:eastAsia="Calibri" w:hAnsi="Calibri"/>
          <w:b/>
          <w:bCs/>
          <w:sz w:val="21"/>
          <w:szCs w:val="21"/>
        </w:rPr>
        <w:t xml:space="preserve">ENS y datos personales</w:t>
      </w:r>
      <w:r>
        <w:rPr>
          <w:rFonts w:ascii="Calibri" w:cs="Calibri" w:eastAsia="Calibri" w:hAnsi="Calibri"/>
          <w:sz w:val="21"/>
          <w:szCs w:val="21"/>
        </w:rPr>
        <w:t xml:space="preserve">: nivel de cada dimensión, categoría y Declaración de Aplicabilidad (V.4.11); cesión y tratamiento por cuenta, declarados.</w:t>
      </w:r>
    </w:p>
    <w:p>
      <w:pPr>
        <w:pStyle w:val="ListParagraph"/>
        <w:numPr>
          <w:ilvl w:val="0"/>
          <w:numId w:val="2"/>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método y umbrales vigentes (Anexo X.2), con los del perfil: [200.000] € para ADM-9 y [300.000] € para ADM-11.</w:t>
      </w:r>
    </w:p>
    <w:p>
      <w:pPr>
        <w:pStyle w:val="ListParagraph"/>
        <w:numPr>
          <w:ilvl w:val="0"/>
          <w:numId w:val="2"/>
        </w:numPr>
        <w:spacing w:after="70" w:line="268"/>
      </w:pPr>
      <w:r>
        <w:rPr>
          <w:rFonts w:ascii="Calibri" w:cs="Calibri" w:eastAsia="Calibri" w:hAnsi="Calibri"/>
          <w:b/>
          <w:bCs/>
          <w:sz w:val="21"/>
          <w:szCs w:val="21"/>
        </w:rPr>
        <w:t xml:space="preserve">Conclusión</w:t>
      </w:r>
      <w:r>
        <w:rPr>
          <w:rFonts w:ascii="Calibri" w:cs="Calibri" w:eastAsia="Calibri" w:hAnsi="Calibri"/>
          <w:sz w:val="21"/>
          <w:szCs w:val="21"/>
        </w:rPr>
        <w:t xml:space="preserve"> y firmas por vía.</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8 · Carga de verificación del perfil</w:t>
      </w:r>
    </w:p>
    <w:p>
      <w:pPr>
        <w:spacing w:after="140" w:line="276"/>
      </w:pPr>
      <w:r>
        <w:rPr>
          <w:rFonts w:ascii="Calibri" w:cs="Calibri" w:eastAsia="Calibri" w:hAnsi="Calibri"/>
          <w:sz w:val="21"/>
          <w:szCs w:val="21"/>
        </w:rPr>
        <w:t xml:space="preserve">Fuente: tabla única de ADM-4·v3, ep. 5 (estimaciones del catálogo, no mediciones).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(fila)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Ordinario ·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Año 1 ·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Ajuste en categoría ALTA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Ordinario · ALTA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Año 1 ·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 (B3)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 (B4)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Continuidad semestral: +4 h (fila 41; ep.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 (B6)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Ensayo anual: 4 + (8–16) h (fila 11; ep.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 (C1 + 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 (C10)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Capa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42–50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55–67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50–62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59–71</w:t>
            </w:r>
          </w:p>
        </w:tc>
      </w:tr>
    </w:tbl>
    <w:p>
      <w:pPr>
        <w:spacing w:after="200"/>
      </w:pPr>
    </w:p>
    <w:p>
      <w:pPr>
        <w:spacing w:after="140" w:line="276"/>
      </w:pPr>
      <w:r>
        <w:rPr>
          <w:rFonts w:ascii="Calibri" w:cs="Calibri" w:eastAsia="Calibri" w:hAnsi="Calibri"/>
          <w:sz w:val="21"/>
          <w:szCs w:val="21"/>
        </w:rPr>
        <w:t xml:space="preserve">Cálculo: 4 + (10–14) + (8–12) + 18 + 2 = </w:t>
      </w:r>
      <w:r>
        <w:rPr>
          <w:rFonts w:ascii="Calibri" w:cs="Calibri" w:eastAsia="Calibri" w:hAnsi="Calibri"/>
          <w:b/>
          <w:bCs/>
          <w:sz w:val="21"/>
          <w:szCs w:val="21"/>
        </w:rPr>
        <w:t xml:space="preserve">42–50</w:t>
      </w:r>
      <w:r>
        <w:rPr>
          <w:rFonts w:ascii="Calibri" w:cs="Calibri" w:eastAsia="Calibri" w:hAnsi="Calibri"/>
          <w:sz w:val="21"/>
          <w:szCs w:val="21"/>
        </w:rPr>
        <w:t xml:space="preserve">; 12 + (10–14) + (12–20) + 18 + 3 = </w:t>
      </w:r>
      <w:r>
        <w:rPr>
          <w:rFonts w:ascii="Calibri" w:cs="Calibri" w:eastAsia="Calibri" w:hAnsi="Calibri"/>
          <w:b/>
          <w:bCs/>
          <w:sz w:val="21"/>
          <w:szCs w:val="21"/>
        </w:rPr>
        <w:t xml:space="preserve">55–67</w:t>
      </w:r>
      <w:r>
        <w:rPr>
          <w:rFonts w:ascii="Calibri" w:cs="Calibri" w:eastAsia="Calibri" w:hAnsi="Calibri"/>
          <w:sz w:val="21"/>
          <w:szCs w:val="21"/>
        </w:rPr>
        <w:t xml:space="preserve">. En ALTA: 4 + (14–18) + (12–20) + 18 + 2 = </w:t>
      </w:r>
      <w:r>
        <w:rPr>
          <w:rFonts w:ascii="Calibri" w:cs="Calibri" w:eastAsia="Calibri" w:hAnsi="Calibri"/>
          <w:b/>
          <w:bCs/>
          <w:sz w:val="21"/>
          <w:szCs w:val="21"/>
        </w:rPr>
        <w:t xml:space="preserve">50–62</w:t>
      </w:r>
      <w:r>
        <w:rPr>
          <w:rFonts w:ascii="Calibri" w:cs="Calibri" w:eastAsia="Calibri" w:hAnsi="Calibri"/>
          <w:sz w:val="21"/>
          <w:szCs w:val="21"/>
        </w:rPr>
        <w:t xml:space="preserve">; 12 + (14–18) + (12–20) + 18 + 3 = </w:t>
      </w:r>
      <w:r>
        <w:rPr>
          <w:rFonts w:ascii="Calibri" w:cs="Calibri" w:eastAsia="Calibri" w:hAnsi="Calibri"/>
          <w:b/>
          <w:bCs/>
          <w:sz w:val="21"/>
          <w:szCs w:val="21"/>
        </w:rPr>
        <w:t xml:space="preserve">59–71</w:t>
      </w:r>
      <w:r>
        <w:rPr>
          <w:rFonts w:ascii="Calibri" w:cs="Calibri" w:eastAsia="Calibri" w:hAnsi="Calibri"/>
          <w:sz w:val="21"/>
          <w:szCs w:val="21"/>
        </w:rPr>
        <w:t xml:space="preserve">; 71–83 con Comisión trimestral el año 1 (C1, 2 × 6 h más; fila 23). Los ajustes de ALTA no son filas de la tabla única: salen de los epígrafes 5 de DT-6·v3 (4 h por prueba de continuidad) y de DT-8·v3 (4 h de revisión y 8 a 16 por ensayo), aplicados a las filas B4 y B6. ADM-8·v3 no tiene fila propia: su cotejo del Inventario está dentro de B6 y no se suma (ADM-8·v3, ep. 5). Al combinar la capa con el perfil base, las filas comunes —B3, B4, B6, C1, C2 y C10— se cuentan una sola vez, con el valor de esta capa.</w:t>
      </w:r>
    </w:p>
    <w:p>
      <w:pPr>
        <w:spacing w:after="140" w:line="276"/>
      </w:pPr>
      <w:r>
        <w:rPr>
          <w:rFonts w:ascii="Calibri" w:cs="Calibri" w:eastAsia="Calibri" w:hAnsi="Calibri"/>
          <w:b/>
          <w:bCs/>
          <w:sz w:val="21"/>
          <w:szCs w:val="21"/>
        </w:rPr>
        <w:t xml:space="preserve">Condicionales de la capa</w:t>
      </w:r>
      <w:r>
        <w:rPr>
          <w:rFonts w:ascii="Calibri" w:cs="Calibri" w:eastAsia="Calibri" w:hAnsi="Calibri"/>
          <w:sz w:val="21"/>
          <w:szCs w:val="21"/>
        </w:rPr>
        <w:t xml:space="preserve">: ADM-11 (C8), 3 · 3; ADM-12 (C9), 2 · 2; DT-3 (nota de las filas B), 4 · 4. Con las tres, en ALTA: </w:t>
      </w:r>
      <w:r>
        <w:rPr>
          <w:rFonts w:ascii="Calibri" w:cs="Calibri" w:eastAsia="Calibri" w:hAnsi="Calibri"/>
          <w:b/>
          <w:bCs/>
          <w:sz w:val="21"/>
          <w:szCs w:val="21"/>
        </w:rPr>
        <w:t xml:space="preserve">59–71 h/año</w:t>
      </w:r>
      <w:r>
        <w:rPr>
          <w:rFonts w:ascii="Calibri" w:cs="Calibri" w:eastAsia="Calibri" w:hAnsi="Calibri"/>
          <w:sz w:val="21"/>
          <w:szCs w:val="21"/>
        </w:rPr>
        <w:t xml:space="preserve"> y </w:t>
      </w:r>
      <w:r>
        <w:rPr>
          <w:rFonts w:ascii="Calibri" w:cs="Calibri" w:eastAsia="Calibri" w:hAnsi="Calibri"/>
          <w:b/>
          <w:bCs/>
          <w:sz w:val="21"/>
          <w:szCs w:val="21"/>
        </w:rPr>
        <w:t xml:space="preserve">68–80 h</w:t>
      </w:r>
      <w:r>
        <w:rPr>
          <w:rFonts w:ascii="Calibri" w:cs="Calibri" w:eastAsia="Calibri" w:hAnsi="Calibri"/>
          <w:sz w:val="21"/>
          <w:szCs w:val="21"/>
        </w:rPr>
        <w:t xml:space="preserve"> el primer año. Las del perfil base, con sus filas.</w:t>
      </w:r>
    </w:p>
    <w:p>
      <w:pPr>
        <w:spacing w:after="140" w:line="276"/>
      </w:pPr>
      <w:r>
        <w:rPr>
          <w:rFonts w:ascii="Calibri" w:cs="Calibri" w:eastAsia="Calibri" w:hAnsi="Calibri"/>
          <w:b/>
          <w:bCs/>
          <w:sz w:val="21"/>
          <w:szCs w:val="21"/>
        </w:rPr>
        <w:t xml:space="preserve">Fuera de la cuenta anual</w:t>
      </w:r>
      <w:r>
        <w:rPr>
          <w:rFonts w:ascii="Calibri" w:cs="Calibri" w:eastAsia="Calibri" w:hAnsi="Calibri"/>
          <w:sz w:val="21"/>
          <w:szCs w:val="21"/>
        </w:rPr>
        <w:t xml:space="preserve">: 9–24 h por licitación (A1 + A2), 33–53 con ADM-9 (A3); reversión, 20–30 h; 6 h por penalidad y 25–40 por resolución (ep. 5); preparación, 21,5 h la primera vez y 10 después (V.9).</w:t>
      </w:r>
    </w:p>
    <w:p>
      <w:pPr>
        <w:spacing w:after="140" w:line="276"/>
      </w:pPr>
      <w:r>
        <w:rPr>
          <w:rFonts w:ascii="Calibri" w:cs="Calibri" w:eastAsia="Calibri" w:hAnsi="Calibri"/>
          <w:b/>
          <w:bCs/>
          <w:sz w:val="21"/>
          <w:szCs w:val="21"/>
        </w:rPr>
        <w:t xml:space="preserve">Frente al §7.9.2 de la Parte I.</w:t>
      </w:r>
      <w:r>
        <w:rPr>
          <w:rFonts w:ascii="Calibri" w:cs="Calibri" w:eastAsia="Calibri" w:hAnsi="Calibri"/>
          <w:sz w:val="21"/>
          <w:szCs w:val="21"/>
        </w:rPr>
        <w:t xml:space="preserve"> Si la carga anual estimada de verificación </w:t>
      </w:r>
      <w:r>
        <w:rPr>
          <w:rFonts w:ascii="Calibri" w:cs="Calibri" w:eastAsia="Calibri" w:hAnsi="Calibri"/>
          <w:b/>
          <w:bCs/>
          <w:sz w:val="21"/>
          <w:szCs w:val="21"/>
        </w:rPr>
        <w:t xml:space="preserve">supera [20] horas</w:t>
      </w:r>
      <w:r>
        <w:rPr>
          <w:rFonts w:ascii="Calibri" w:cs="Calibri" w:eastAsia="Calibri" w:hAnsi="Calibri"/>
          <w:sz w:val="21"/>
          <w:szCs w:val="21"/>
        </w:rPr>
        <w:t xml:space="preserve">, se reduce el número de cláusulas incorporadas o se agrupa la verificación en la Comisión de Seguimiento; si </w:t>
      </w:r>
      <w:r>
        <w:rPr>
          <w:rFonts w:ascii="Calibri" w:cs="Calibri" w:eastAsia="Calibri" w:hAnsi="Calibri"/>
          <w:b/>
          <w:bCs/>
          <w:sz w:val="21"/>
          <w:szCs w:val="21"/>
        </w:rPr>
        <w:t xml:space="preserve">supera [40] horas</w:t>
      </w:r>
      <w:r>
        <w:rPr>
          <w:rFonts w:ascii="Calibri" w:cs="Calibri" w:eastAsia="Calibri" w:hAnsi="Calibri"/>
          <w:sz w:val="21"/>
          <w:szCs w:val="21"/>
        </w:rPr>
        <w:t xml:space="preserve">, la incorporación requiere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firmada por su jefe, que es documento propio del expediente (paso A-6 de V.2.1). Es «supera», no «a partir de»: 40 horas exactas no la exigen. ADM-4·v3, epígrafe 5, compara con los umbrales también la carga del primer año, y todo contrato tiene su primer año: cuando ésta supera [40] horas, la conformidad se recaba. Como la carga se estima en horquilla, este documento recomienda, además, recabarla en cuanto el extremo superior pase de [40] horas y firmarla sobre la horquilla entera. Si la plantilla no la cubre, se incorporan menos cláusulas; no se escriben para dejarlas sin verificar (ADM-4·v3, epígrafe 5, regla de cierre). </w:t>
      </w:r>
      <w:r>
        <w:rPr>
          <w:rFonts w:ascii="Calibri" w:cs="Calibri" w:eastAsia="Calibri" w:hAnsi="Calibri"/>
          <w:b/>
          <w:bCs/>
          <w:sz w:val="21"/>
          <w:szCs w:val="21"/>
        </w:rPr>
        <w:t xml:space="preserve">En este perfil</w:t>
      </w:r>
      <w:r>
        <w:rPr>
          <w:rFonts w:ascii="Calibri" w:cs="Calibri" w:eastAsia="Calibri" w:hAnsi="Calibri"/>
          <w:sz w:val="21"/>
          <w:szCs w:val="21"/>
        </w:rPr>
        <w:t xml:space="preserve">, la capa va de 42 a 50 h/año por defecto y de 50 a 62 en ALTA, frente a las 20–24 h/año del mínimo de partida del §VI.2.2 (C9 + B4 + C4 + B7; ADM-4·v3, ep. 5): supera [40] horas en toda la horquilla, el primer año (55–67; 59–71 en ALTA) y en régimen ordinario, por defecto y en ALTA: la conformidad se recaba siempre. Sin horas, se dota la función o se reducen cláusulas; el ensayo de reversibilidad no se suprime (§4.2, DT-8·v3).</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9 · Lista de comprobación antes de aprobar el pliego</w:t>
      </w:r>
    </w:p>
    <w:p>
      <w:pPr>
        <w:pStyle w:val="ListParagraph"/>
        <w:numPr>
          <w:ilvl w:val="0"/>
          <w:numId w:val="2"/>
        </w:numPr>
        <w:spacing w:after="70" w:line="268"/>
      </w:pPr>
      <w:r>
        <w:rPr>
          <w:rFonts w:ascii="Calibri" w:cs="Calibri" w:eastAsia="Calibri" w:hAnsi="Calibri"/>
          <w:sz w:val="21"/>
          <w:szCs w:val="21"/>
        </w:rPr>
        <w:t xml:space="preserve">☐ Condiciones suspensivas de la Parte IV, §M11, filas 1 a 3, cumplidas para la entidad; si no, ninguna cláusula entra como cláusula del catálogo ni se justifica por remisión a él, y lo institucional tiene una vía del §M1.2 bis o se pospone.</w:t>
      </w:r>
    </w:p>
    <w:p>
      <w:pPr>
        <w:pStyle w:val="ListParagraph"/>
        <w:numPr>
          <w:ilvl w:val="0"/>
          <w:numId w:val="2"/>
        </w:numPr>
        <w:spacing w:after="70" w:line="268"/>
      </w:pPr>
      <w:r>
        <w:rPr>
          <w:rFonts w:ascii="Calibri" w:cs="Calibri" w:eastAsia="Calibri" w:hAnsi="Calibri"/>
          <w:sz w:val="21"/>
          <w:szCs w:val="21"/>
        </w:rPr>
        <w:t xml:space="preserve">☐ Los tres datos de entrada del §2.1, acreditados en el expediente.</w:t>
      </w:r>
    </w:p>
    <w:p>
      <w:pPr>
        <w:pStyle w:val="ListParagraph"/>
        <w:numPr>
          <w:ilvl w:val="0"/>
          <w:numId w:val="2"/>
        </w:numPr>
        <w:spacing w:after="70" w:line="268"/>
      </w:pPr>
      <w:r>
        <w:rPr>
          <w:rFonts w:ascii="Calibri" w:cs="Calibri" w:eastAsia="Calibri" w:hAnsi="Calibri"/>
          <w:sz w:val="21"/>
          <w:szCs w:val="21"/>
        </w:rPr>
        <w:t xml:space="preserve">☐ Categoría ENS con valoración por dimensiones y categoría firmadas (art. 41) y motivada en la memoria antes de aprobar; DT-6 con la categoría resultante y la rúbrica intacta.</w:t>
      </w:r>
    </w:p>
    <w:p>
      <w:pPr>
        <w:pStyle w:val="ListParagraph"/>
        <w:numPr>
          <w:ilvl w:val="0"/>
          <w:numId w:val="2"/>
        </w:numPr>
        <w:spacing w:after="70" w:line="268"/>
      </w:pPr>
      <w:r>
        <w:rPr>
          <w:rFonts w:ascii="Calibri" w:cs="Calibri" w:eastAsia="Calibri" w:hAnsi="Calibri"/>
          <w:sz w:val="21"/>
          <w:szCs w:val="21"/>
        </w:rPr>
        <w:t xml:space="preserve">☐ ADM-11: cuatro circunstancias acreditadas, advertencia en la memoria y coste en el PBL; o NO APLICA con motivo.</w:t>
      </w:r>
    </w:p>
    <w:p>
      <w:pPr>
        <w:pStyle w:val="ListParagraph"/>
        <w:numPr>
          <w:ilvl w:val="0"/>
          <w:numId w:val="2"/>
        </w:numPr>
        <w:spacing w:after="70" w:line="268"/>
      </w:pPr>
      <w:r>
        <w:rPr>
          <w:rFonts w:ascii="Calibri" w:cs="Calibri" w:eastAsia="Calibri" w:hAnsi="Calibri"/>
          <w:sz w:val="21"/>
          <w:szCs w:val="21"/>
        </w:rPr>
        <w:t xml:space="preserve">☐ DT-8: ensayo con calendario y horas comprometidas; plazo de ejecución, licencia y garantía reflejados en el PCAP.</w:t>
      </w:r>
    </w:p>
    <w:p>
      <w:pPr>
        <w:pStyle w:val="ListParagraph"/>
        <w:numPr>
          <w:ilvl w:val="0"/>
          <w:numId w:val="2"/>
        </w:numPr>
        <w:spacing w:after="70" w:line="268"/>
      </w:pPr>
      <w:r>
        <w:rPr>
          <w:rFonts w:ascii="Calibri" w:cs="Calibri" w:eastAsia="Calibri" w:hAnsi="Calibri"/>
          <w:sz w:val="21"/>
          <w:szCs w:val="21"/>
        </w:rPr>
        <w:t xml:space="preserve">☐ ADM-5: trasvase hecho, tipos huérfanos borrados, M8 conservado; L12, G26 y M16 conservados si el PPT fija tiempos máximos y califica las incidencias críticas.</w:t>
      </w:r>
    </w:p>
    <w:p>
      <w:pPr>
        <w:pStyle w:val="ListParagraph"/>
        <w:numPr>
          <w:ilvl w:val="0"/>
          <w:numId w:val="2"/>
        </w:numPr>
        <w:spacing w:after="70" w:line="268"/>
      </w:pPr>
      <w:r>
        <w:rPr>
          <w:rFonts w:ascii="Calibri" w:cs="Calibri" w:eastAsia="Calibri" w:hAnsi="Calibri"/>
          <w:sz w:val="21"/>
          <w:szCs w:val="21"/>
        </w:rPr>
        <w:t xml:space="preserve">☐ ADM-6: bloque A con su presupuesto declarado; B.1 según lo incorporado; B.2 sólo con test de relevancia; cierre con denominación y versión.</w:t>
      </w:r>
    </w:p>
    <w:p>
      <w:pPr>
        <w:pStyle w:val="ListParagraph"/>
        <w:numPr>
          <w:ilvl w:val="0"/>
          <w:numId w:val="2"/>
        </w:numPr>
        <w:spacing w:after="70" w:line="268"/>
      </w:pPr>
      <w:r>
        <w:rPr>
          <w:rFonts w:ascii="Calibri" w:cs="Calibri" w:eastAsia="Calibri" w:hAnsi="Calibri"/>
          <w:sz w:val="21"/>
          <w:szCs w:val="21"/>
        </w:rPr>
        <w:t xml:space="preserve">☐ ADM-7: baremo recompuesto antes del anuncio y hoja de comprobación sin rojos; con E, ADM-1·v3 B sin sus letras b) y c), y E sin lo que exige DT-1·v3 (fila 9 de la hoja); nada de ENS, depósito, reversibilidad ni accesos de control puntúa.</w:t>
      </w:r>
    </w:p>
    <w:p>
      <w:pPr>
        <w:pStyle w:val="ListParagraph"/>
        <w:numPr>
          <w:ilvl w:val="0"/>
          <w:numId w:val="2"/>
        </w:numPr>
        <w:spacing w:after="70" w:line="268"/>
      </w:pPr>
      <w:r>
        <w:rPr>
          <w:rFonts w:ascii="Calibri" w:cs="Calibri" w:eastAsia="Calibri" w:hAnsi="Calibri"/>
          <w:sz w:val="21"/>
          <w:szCs w:val="21"/>
        </w:rPr>
        <w:t xml:space="preserve">☐ Anuncio con cada condición especial de ejecución (art. 202.1 LCSP).</w:t>
      </w:r>
    </w:p>
    <w:p>
      <w:pPr>
        <w:pStyle w:val="ListParagraph"/>
        <w:numPr>
          <w:ilvl w:val="0"/>
          <w:numId w:val="2"/>
        </w:numPr>
        <w:spacing w:after="70" w:line="268"/>
      </w:pPr>
      <w:r>
        <w:rPr>
          <w:rFonts w:ascii="Calibri" w:cs="Calibri" w:eastAsia="Calibri" w:hAnsi="Calibri"/>
          <w:sz w:val="21"/>
          <w:szCs w:val="21"/>
        </w:rPr>
        <w:t xml:space="preserve">☐ Verificador, periodicidad y horas por cláusula; conformidad expresa del servicio verificador si la carga anual estimada supera [40] horas, también la del primer año (§7.9.2; ADM-4·v3, epígrafe 5).</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w4b3fwqsy0waw_zfwk9v" Type="http://schemas.openxmlformats.org/officeDocument/2006/relationships/hyperlink" Target="https://migueldadd4u.github.io/ai-clauses/clausulado/indic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2026-10-15T09:39:41.027Z</dcterms:created>
  <dcterms:modified xsi:type="dcterms:W3CDTF">2026-10-15T09:39:41.028Z</dcterms:modified>
</cp:coreProperties>
</file>

<file path=docProps/custom.xml><?xml version="1.0" encoding="utf-8"?>
<Properties xmlns="http://schemas.openxmlformats.org/officeDocument/2006/custom-properties" xmlns:vt="http://schemas.openxmlformats.org/officeDocument/2006/docPropsVTypes"/>
</file>