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240"/>
        <w:jc w:val="center"/>
      </w:pPr>
      <w:r>
        <w:rPr>
          <w:rFonts w:ascii="Georgia" w:cs="Georgia" w:eastAsia="Georgia" w:hAnsi="Georgia"/>
          <w:b/>
          <w:bCs/>
          <w:color w:val="1F3864"/>
          <w:sz w:val="60"/>
          <w:szCs w:val="60"/>
        </w:rPr>
        <w:t xml:space="preserve">La versión mínima de seis cláusulas</w:t>
      </w:r>
    </w:p>
    <w:p>
      <w:pPr>
        <w:spacing w:after="900"/>
        <w:jc w:val="center"/>
      </w:pPr>
      <w:r>
        <w:rPr>
          <w:rFonts w:ascii="Georgia" w:cs="Georgia" w:eastAsia="Georgia" w:hAnsi="Georgia"/>
          <w:i/>
          <w:iCs/>
          <w:color w:val="595959"/>
          <w:sz w:val="28"/>
          <w:szCs w:val="28"/>
        </w:rPr>
        <w:t xml:space="preserve">Para entender el catálogo</w:t>
      </w:r>
    </w:p>
    <w:p>
      <w:pPr>
        <w:spacing w:after="140"/>
        <w:jc w:val="center"/>
      </w:pPr>
      <w:r>
        <w:rPr>
          <w:rFonts w:ascii="Calibri" w:cs="Calibri" w:eastAsia="Calibri" w:hAnsi="Calibri"/>
          <w:color w:val="595959"/>
          <w:sz w:val="20"/>
          <w:szCs w:val="20"/>
        </w:rPr>
        <w:t xml:space="preserve">AI Clauses · Cláusulas de IA y Deep Tech · versión 4.0, definitiva</w:t>
      </w:r>
    </w:p>
    <w:p>
      <w:pPr>
        <w:spacing w:after="140"/>
        <w:jc w:val="center"/>
      </w:pPr>
      <w:r>
        <w:rPr>
          <w:rFonts w:ascii="Calibri" w:cs="Calibri" w:eastAsia="Calibri" w:hAnsi="Calibri"/>
          <w:color w:val="595959"/>
          <w:sz w:val="20"/>
          <w:szCs w:val="20"/>
        </w:rPr>
        <w:t xml:space="preserve">Documento complementario del catálogo. Donde discrepe del catálogo, manda el catálogo.</w:t>
      </w:r>
    </w:p>
    <w:p>
      <w:pPr>
        <w:spacing w:after="140"/>
        <w:jc w:val="center"/>
      </w:pPr>
      <w:r>
        <w:rPr>
          <w:rFonts w:ascii="Calibri" w:cs="Calibri" w:eastAsia="Calibri" w:hAnsi="Calibri"/>
          <w:color w:val="595959"/>
          <w:sz w:val="20"/>
          <w:szCs w:val="20"/>
        </w:rPr>
        <w:t xml:space="preserve">Licencia Creative Commons Attribution 4.0 Internacional</w:t>
      </w:r>
    </w:p>
    <w:p>
      <w:r>
        <w:br w:type="page"/>
      </w:r>
    </w:p>
    <w:p>
      <w:pPr>
        <w:spacing w:after="300"/>
      </w:pPr>
      <w:r>
        <w:rPr>
          <w:rFonts w:ascii="Georgia" w:cs="Georgia" w:eastAsia="Georgia" w:hAnsi="Georgia"/>
          <w:b/>
          <w:bCs/>
          <w:color w:val="1F3864"/>
          <w:sz w:val="36"/>
          <w:szCs w:val="36"/>
        </w:rPr>
        <w:t xml:space="preserve">Índice</w:t>
      </w:r>
    </w:p>
    <w:sdt>
      <w:sdtPr>
        <w:alias w:val="Índice"/>
      </w:sdtPr>
      <w:sdtContent>
        <w:p>
          <w:r>
            <w:fldChar w:fldCharType="begin" w:dirty="true"/>
            <w:instrText xml:space="preserve">TOC \h \o "1-4"</w:instrText>
            <w:fldChar w:fldCharType="separate"/>
          </w:r>
        </w:p>
        <w:p>
          <w:r>
            <w:fldChar w:fldCharType="end"/>
          </w:r>
        </w:p>
      </w:sdtContent>
    </w:sdt>
    <w:p>
      <w:r>
        <w:br w:type="page"/>
      </w:r>
    </w:p>
    <w:p>
      <w:pPr>
        <w:spacing w:after="140" w:line="276"/>
      </w:pPr>
      <w:r>
        <w:rPr>
          <w:rFonts w:ascii="Calibri" w:cs="Calibri" w:eastAsia="Calibri" w:hAnsi="Calibri"/>
          <w:i/>
          <w:iCs/>
          <w:sz w:val="21"/>
          <w:szCs w:val="21"/>
        </w:rPr>
        <w:t xml:space="preserve">Documento complementario de AI Clauses, versión 4.0. Explica el catálogo; no lo sustituye. Donde discrepen, manda el catálogo. </w:t>
      </w:r>
      <w:hyperlink w:history="1" r:id="rId8smelftc_wlqrnjtsylbn">
        <w:r>
          <w:rPr>
            <w:rFonts w:ascii="Calibri" w:cs="Calibri" w:eastAsia="Calibri" w:hAnsi="Calibri"/>
            <w:i/>
            <w:iCs/>
            <w:color w:val="2F5496"/>
            <w:sz w:val="21"/>
            <w:szCs w:val="21"/>
            <w:u w:val="single"/>
          </w:rPr>
          <w:t xml:space="preserve">Ir al catálogo</w:t>
        </w:r>
      </w:hyperlink>
      <w:r>
        <w:rPr>
          <w:rFonts w:ascii="Calibri" w:cs="Calibri" w:eastAsia="Calibri" w:hAnsi="Calibri"/>
          <w:i/>
          <w:iCs/>
          <w:sz w:val="21"/>
          <w:szCs w:val="21"/>
        </w:rPr>
        <w:t xml:space="preserve">.</w:t>
      </w:r>
    </w:p>
    <w:p>
      <w:pPr>
        <w:spacing w:after="140" w:line="276"/>
      </w:pPr>
      <w:r>
        <w:rPr>
          <w:rFonts w:ascii="Calibri" w:cs="Calibri" w:eastAsia="Calibri" w:hAnsi="Calibri"/>
          <w:b/>
          <w:bCs/>
          <w:sz w:val="21"/>
          <w:szCs w:val="21"/>
        </w:rPr>
        <w:t xml:space="preserve">Con qué empezar, qué aporta cada una y qué agilidad produce el conjunto</w:t>
      </w:r>
    </w:p>
    <w:p>
      <w:pPr>
        <w:pBdr>
          <w:left w:val="single" w:color="BFBFBF" w:sz="12" w:space="8"/>
        </w:pBdr>
        <w:spacing w:after="140" w:line="264"/>
        <w:ind w:left="400"/>
      </w:pPr>
      <w:r>
        <w:rPr>
          <w:rFonts w:ascii="Georgia" w:cs="Georgia" w:eastAsia="Georgia" w:hAnsi="Georgia"/>
          <w:b/>
          <w:bCs/>
          <w:i/>
          <w:iCs/>
          <w:color w:val="595959"/>
          <w:sz w:val="20"/>
          <w:szCs w:val="20"/>
        </w:rPr>
        <w:t xml:space="preserve">De qué va este documento.</w:t>
      </w:r>
      <w:r>
        <w:rPr>
          <w:rFonts w:ascii="Georgia" w:cs="Georgia" w:eastAsia="Georgia" w:hAnsi="Georgia"/>
          <w:i/>
          <w:iCs/>
          <w:color w:val="595959"/>
          <w:sz w:val="20"/>
          <w:szCs w:val="20"/>
        </w:rPr>
        <w:t xml:space="preserve"> El catálogo tiene veintitantas cláusulas y su propio texto advierte de que aplicarlo entero «en la práctica no debe hacerse nunca». El §VI.2.2 identifica </w:t>
      </w:r>
      <w:r>
        <w:rPr>
          <w:rFonts w:ascii="Georgia" w:cs="Georgia" w:eastAsia="Georgia" w:hAnsi="Georgia"/>
          <w:b/>
          <w:bCs/>
          <w:i/>
          <w:iCs/>
          <w:color w:val="595959"/>
          <w:sz w:val="20"/>
          <w:szCs w:val="20"/>
        </w:rPr>
        <w:t xml:space="preserve">seis cláusulas</w:t>
      </w:r>
      <w:r>
        <w:rPr>
          <w:rFonts w:ascii="Georgia" w:cs="Georgia" w:eastAsia="Georgia" w:hAnsi="Georgia"/>
          <w:i/>
          <w:iCs/>
          <w:color w:val="595959"/>
          <w:sz w:val="20"/>
          <w:szCs w:val="20"/>
        </w:rPr>
        <w:t xml:space="preserve"> con las que empezar, y una séptima, DT-1·v3, cuando intervienen sistemas de inteligencia artificial. Aquí están las seis, lo que cada una aporta, la lista consolidada de ventajas verificadas —incluidas las que no figuran entre las seis agilizaciones del documento complementario «Qué agiliza el catálogo y qué no»— y el contrapeso honesto, que también hay que decir.</w:t>
      </w:r>
    </w:p>
    <w:p>
      <w:r>
        <w:br w:type="page"/>
      </w:r>
    </w:p>
    <w:p>
      <w:pPr>
        <w:pStyle w:val="Heading1"/>
        <w:keepNext/>
        <w:spacing w:after="240" w:before="200"/>
      </w:pPr>
      <w:r>
        <w:rPr>
          <w:rFonts w:ascii="Georgia" w:cs="Georgia" w:eastAsia="Georgia" w:hAnsi="Georgia"/>
          <w:b/>
          <w:bCs/>
          <w:color w:val="1F3864"/>
          <w:sz w:val="34"/>
          <w:szCs w:val="34"/>
        </w:rPr>
        <w:t xml:space="preserve">1 · Las seis cláusulas, y por qué son éstas</w:t>
      </w:r>
    </w:p>
    <w:p>
      <w:pPr>
        <w:spacing w:after="140" w:line="276"/>
      </w:pPr>
      <w:r>
        <w:rPr>
          <w:rFonts w:ascii="Calibri" w:cs="Calibri" w:eastAsia="Calibri" w:hAnsi="Calibri"/>
          <w:sz w:val="21"/>
          <w:szCs w:val="21"/>
        </w:rPr>
        <w:t xml:space="preserve">El criterio del clausulado para elegirlas: «un primer expediente no necesita las veintitantas cláusulas del catálogo: necesita seis, que son las que </w:t>
      </w:r>
      <w:r>
        <w:rPr>
          <w:rFonts w:ascii="Calibri" w:cs="Calibri" w:eastAsia="Calibri" w:hAnsi="Calibri"/>
          <w:b/>
          <w:bCs/>
          <w:sz w:val="21"/>
          <w:szCs w:val="21"/>
        </w:rPr>
        <w:t xml:space="preserve">producen resultado verificable en el primer año con menos piezas alrededor</w:t>
      </w:r>
      <w:r>
        <w:rPr>
          <w:rFonts w:ascii="Calibri" w:cs="Calibri" w:eastAsia="Calibri" w:hAnsi="Calibri"/>
          <w:sz w:val="21"/>
          <w:szCs w:val="21"/>
        </w:rPr>
        <w:t xml:space="preserve">, y una séptima, DT-1·v3, cuando en el contrato intervengan sistemas de inteligencia artificial». DT-1·v3 se trata en la sección 2, letra c).</w:t>
      </w:r>
    </w:p>
    <w:p>
      <w:pPr>
        <w:pStyle w:val="Heading2"/>
        <w:keepNext/>
        <w:spacing w:after="140" w:before="320"/>
      </w:pPr>
      <w:r>
        <w:rPr>
          <w:rFonts w:ascii="Georgia" w:cs="Georgia" w:eastAsia="Georgia" w:hAnsi="Georgia"/>
          <w:b/>
          <w:bCs/>
          <w:color w:val="1F3864"/>
          <w:sz w:val="26"/>
          <w:szCs w:val="26"/>
        </w:rPr>
        <w:t xml:space="preserve">1 · ADM-12·v3 · Acceso de los órganos de control a los datos de ejecución</w:t>
      </w:r>
    </w:p>
    <w:p>
      <w:pPr>
        <w:spacing w:after="140" w:line="276"/>
      </w:pPr>
      <w:r>
        <w:rPr>
          <w:rFonts w:ascii="Calibri" w:cs="Calibri" w:eastAsia="Calibri" w:hAnsi="Calibri"/>
          <w:b/>
          <w:bCs/>
          <w:sz w:val="21"/>
          <w:szCs w:val="21"/>
        </w:rPr>
        <w:t xml:space="preserve">Por qué está.</w:t>
      </w:r>
      <w:r>
        <w:rPr>
          <w:rFonts w:ascii="Calibri" w:cs="Calibri" w:eastAsia="Calibri" w:hAnsi="Calibri"/>
          <w:sz w:val="21"/>
          <w:szCs w:val="21"/>
        </w:rPr>
        <w:t xml:space="preserve"> Es la única cláusula del catálogo que responde a una necesidad declarada por escrito por un órgano municipal. Y no impone al contratista una tecnología: le impone no tarifar, documentar y exportar. En palabras del documento, «</w:t>
      </w:r>
      <w:r>
        <w:rPr>
          <w:rFonts w:ascii="Calibri" w:cs="Calibri" w:eastAsia="Calibri" w:hAnsi="Calibri"/>
          <w:b/>
          <w:bCs/>
          <w:sz w:val="21"/>
          <w:szCs w:val="21"/>
        </w:rPr>
        <w:t xml:space="preserve">empezar por ella es empezar dando</w:t>
      </w:r>
      <w:r>
        <w:rPr>
          <w:rFonts w:ascii="Calibri" w:cs="Calibri" w:eastAsia="Calibri" w:hAnsi="Calibri"/>
          <w:sz w:val="21"/>
          <w:szCs w:val="21"/>
        </w:rPr>
        <w:t xml:space="preserve">».</w:t>
      </w:r>
    </w:p>
    <w:p>
      <w:pPr>
        <w:spacing w:after="140" w:line="276"/>
      </w:pPr>
      <w:r>
        <w:rPr>
          <w:rFonts w:ascii="Calibri" w:cs="Calibri" w:eastAsia="Calibri" w:hAnsi="Calibri"/>
          <w:b/>
          <w:bCs/>
          <w:sz w:val="21"/>
          <w:szCs w:val="21"/>
        </w:rPr>
        <w:t xml:space="preserve">Qué aporta en concreto:</w:t>
      </w:r>
    </w:p>
    <w:p>
      <w:pPr>
        <w:pStyle w:val="ListParagraph"/>
        <w:numPr>
          <w:ilvl w:val="0"/>
          <w:numId w:val="1"/>
        </w:numPr>
        <w:spacing w:after="70" w:line="268"/>
      </w:pPr>
      <w:r>
        <w:rPr>
          <w:rFonts w:ascii="Calibri" w:cs="Calibri" w:eastAsia="Calibri" w:hAnsi="Calibri"/>
          <w:b/>
          <w:bCs/>
          <w:sz w:val="21"/>
          <w:szCs w:val="21"/>
        </w:rPr>
        <w:t xml:space="preserve">Tres accesos nominativos de consulta</w:t>
      </w:r>
      <w:r>
        <w:rPr>
          <w:rFonts w:ascii="Calibri" w:cs="Calibri" w:eastAsia="Calibri" w:hAnsi="Calibri"/>
          <w:sz w:val="21"/>
          <w:szCs w:val="21"/>
        </w:rPr>
        <w:t xml:space="preserve"> para el personal que designen el órgano interventor y el responsable del contrato, operativos en 30 días desde la formalización, </w:t>
      </w:r>
      <w:r>
        <w:rPr>
          <w:rFonts w:ascii="Calibri" w:cs="Calibri" w:eastAsia="Calibri" w:hAnsi="Calibri"/>
          <w:b/>
          <w:bCs/>
          <w:sz w:val="21"/>
          <w:szCs w:val="21"/>
        </w:rPr>
        <w:t xml:space="preserve">sin coste adicional y con cargo al precio del contrato</w:t>
      </w:r>
      <w:r>
        <w:rPr>
          <w:rFonts w:ascii="Calibri" w:cs="Calibri" w:eastAsia="Calibri" w:hAnsi="Calibri"/>
          <w:sz w:val="21"/>
          <w:szCs w:val="21"/>
        </w:rPr>
        <w:t xml:space="preserve">; los adicionales, a los precios unitarios ya ofertados.</w:t>
      </w:r>
    </w:p>
    <w:p>
      <w:pPr>
        <w:pStyle w:val="ListParagraph"/>
        <w:numPr>
          <w:ilvl w:val="0"/>
          <w:numId w:val="1"/>
        </w:numPr>
        <w:spacing w:after="70" w:line="268"/>
      </w:pPr>
      <w:r>
        <w:rPr>
          <w:rFonts w:ascii="Calibri" w:cs="Calibri" w:eastAsia="Calibri" w:hAnsi="Calibri"/>
          <w:b/>
          <w:bCs/>
          <w:sz w:val="21"/>
          <w:szCs w:val="21"/>
        </w:rPr>
        <w:t xml:space="preserve">Exportación en formato abierto</w:t>
      </w:r>
      <w:r>
        <w:rPr>
          <w:rFonts w:ascii="Calibri" w:cs="Calibri" w:eastAsia="Calibri" w:hAnsi="Calibri"/>
          <w:sz w:val="21"/>
          <w:szCs w:val="21"/>
        </w:rPr>
        <w:t xml:space="preserve"> mediante interfaz programática documentada, «</w:t>
      </w:r>
      <w:r>
        <w:rPr>
          <w:rFonts w:ascii="Calibri" w:cs="Calibri" w:eastAsia="Calibri" w:hAnsi="Calibri"/>
          <w:b/>
          <w:bCs/>
          <w:sz w:val="21"/>
          <w:szCs w:val="21"/>
        </w:rPr>
        <w:t xml:space="preserve">sin desarrollos a medida y sin coste por consulta</w:t>
      </w:r>
      <w:r>
        <w:rPr>
          <w:rFonts w:ascii="Calibri" w:cs="Calibri" w:eastAsia="Calibri" w:hAnsi="Calibri"/>
          <w:sz w:val="21"/>
          <w:szCs w:val="21"/>
        </w:rPr>
        <w:t xml:space="preserve">».</w:t>
      </w:r>
    </w:p>
    <w:p>
      <w:pPr>
        <w:pStyle w:val="ListParagraph"/>
        <w:numPr>
          <w:ilvl w:val="0"/>
          <w:numId w:val="1"/>
        </w:numPr>
        <w:spacing w:after="70" w:line="268"/>
      </w:pPr>
      <w:r>
        <w:rPr>
          <w:rFonts w:ascii="Calibri" w:cs="Calibri" w:eastAsia="Calibri" w:hAnsi="Calibri"/>
          <w:b/>
          <w:bCs/>
          <w:sz w:val="21"/>
          <w:szCs w:val="21"/>
        </w:rPr>
        <w:t xml:space="preserve">Diccionario de datos</w:t>
      </w:r>
      <w:r>
        <w:rPr>
          <w:rFonts w:ascii="Calibri" w:cs="Calibri" w:eastAsia="Calibri" w:hAnsi="Calibri"/>
          <w:sz w:val="21"/>
          <w:szCs w:val="21"/>
        </w:rPr>
        <w:t xml:space="preserve"> en 60 días, suficiente para interpretar la información extraída </w:t>
      </w:r>
      <w:r>
        <w:rPr>
          <w:rFonts w:ascii="Calibri" w:cs="Calibri" w:eastAsia="Calibri" w:hAnsi="Calibri"/>
          <w:b/>
          <w:bCs/>
          <w:sz w:val="21"/>
          <w:szCs w:val="21"/>
        </w:rPr>
        <w:t xml:space="preserve">sin asistencia del adjudicatario</w:t>
      </w:r>
      <w:r>
        <w:rPr>
          <w:rFonts w:ascii="Calibri" w:cs="Calibri" w:eastAsia="Calibri" w:hAnsi="Calibri"/>
          <w:sz w:val="21"/>
          <w:szCs w:val="21"/>
        </w:rPr>
        <w:t xml:space="preserve">.</w:t>
      </w:r>
    </w:p>
    <w:p>
      <w:pPr>
        <w:pStyle w:val="ListParagraph"/>
        <w:numPr>
          <w:ilvl w:val="0"/>
          <w:numId w:val="1"/>
        </w:numPr>
        <w:spacing w:after="70" w:line="268"/>
      </w:pPr>
      <w:r>
        <w:rPr>
          <w:rFonts w:ascii="Calibri" w:cs="Calibri" w:eastAsia="Calibri" w:hAnsi="Calibri"/>
          <w:b/>
          <w:bCs/>
          <w:sz w:val="21"/>
          <w:szCs w:val="21"/>
        </w:rPr>
        <w:t xml:space="preserve">Trazabilidad:</w:t>
      </w:r>
      <w:r>
        <w:rPr>
          <w:rFonts w:ascii="Calibri" w:cs="Calibri" w:eastAsia="Calibri" w:hAnsi="Calibri"/>
          <w:sz w:val="21"/>
          <w:szCs w:val="21"/>
        </w:rPr>
        <w:t xml:space="preserve"> qué operación, cuándo, por quién o por qué proceso automatizado, y con qué resultado.</w:t>
      </w:r>
    </w:p>
    <w:p>
      <w:pPr>
        <w:pStyle w:val="ListParagraph"/>
        <w:numPr>
          <w:ilvl w:val="0"/>
          <w:numId w:val="1"/>
        </w:numPr>
        <w:spacing w:after="70" w:line="268"/>
      </w:pPr>
      <w:r>
        <w:rPr>
          <w:rFonts w:ascii="Calibri" w:cs="Calibri" w:eastAsia="Calibri" w:hAnsi="Calibri"/>
          <w:b/>
          <w:bCs/>
          <w:sz w:val="21"/>
          <w:szCs w:val="21"/>
        </w:rPr>
        <w:t xml:space="preserve">Previsión expresa a los efectos del art. 33.4.d) del RD 424/2017</w:t>
      </w:r>
      <w:r>
        <w:rPr>
          <w:rFonts w:ascii="Calibri" w:cs="Calibri" w:eastAsia="Calibri" w:hAnsi="Calibri"/>
          <w:sz w:val="21"/>
          <w:szCs w:val="21"/>
        </w:rPr>
        <w:t xml:space="preserve">, que es lo que el órgano interventor necesita citar.</w:t>
      </w:r>
    </w:p>
    <w:p>
      <w:pPr>
        <w:spacing w:after="140" w:line="276"/>
      </w:pPr>
      <w:r>
        <w:rPr>
          <w:rFonts w:ascii="Calibri" w:cs="Calibri" w:eastAsia="Calibri" w:hAnsi="Calibri"/>
          <w:i/>
          <w:iCs/>
          <w:sz w:val="21"/>
          <w:szCs w:val="21"/>
        </w:rPr>
        <w:t xml:space="preserve">Parte III, ADM-12·v3. Base: arts. 202.1, 145 y 211.1.f) LCSP; arts. 213 y ss. TRLRHL; RD 424/2017; art. 28.3.h) RGPD.</w:t>
      </w:r>
    </w:p>
    <w:p>
      <w:pPr>
        <w:pStyle w:val="Heading2"/>
        <w:keepNext/>
        <w:spacing w:after="140" w:before="320"/>
      </w:pPr>
      <w:r>
        <w:rPr>
          <w:rFonts w:ascii="Georgia" w:cs="Georgia" w:eastAsia="Georgia" w:hAnsi="Georgia"/>
          <w:b/>
          <w:bCs/>
          <w:color w:val="1F3864"/>
          <w:sz w:val="26"/>
          <w:szCs w:val="26"/>
        </w:rPr>
        <w:t xml:space="preserve">2 · DT-0·v3 · Régimen de equivalencia y acreditación</w:t>
      </w:r>
    </w:p>
    <w:p>
      <w:pPr>
        <w:spacing w:after="140" w:line="276"/>
      </w:pPr>
      <w:r>
        <w:rPr>
          <w:rFonts w:ascii="Calibri" w:cs="Calibri" w:eastAsia="Calibri" w:hAnsi="Calibri"/>
          <w:b/>
          <w:bCs/>
          <w:sz w:val="21"/>
          <w:szCs w:val="21"/>
        </w:rPr>
        <w:t xml:space="preserve">Por qué está.</w:t>
      </w:r>
      <w:r>
        <w:rPr>
          <w:rFonts w:ascii="Calibri" w:cs="Calibri" w:eastAsia="Calibri" w:hAnsi="Calibri"/>
          <w:sz w:val="21"/>
          <w:szCs w:val="21"/>
        </w:rPr>
        <w:t xml:space="preserve"> «</w:t>
      </w:r>
      <w:r>
        <w:rPr>
          <w:rFonts w:ascii="Calibri" w:cs="Calibri" w:eastAsia="Calibri" w:hAnsi="Calibri"/>
          <w:b/>
          <w:bCs/>
          <w:sz w:val="21"/>
          <w:szCs w:val="21"/>
        </w:rPr>
        <w:t xml:space="preserve">No añade exigencias: quita barreras.</w:t>
      </w:r>
      <w:r>
        <w:rPr>
          <w:rFonts w:ascii="Calibri" w:cs="Calibri" w:eastAsia="Calibri" w:hAnsi="Calibri"/>
          <w:sz w:val="21"/>
          <w:szCs w:val="21"/>
        </w:rPr>
        <w:t xml:space="preserve">» Es la cláusula que protege la concurrencia y la primera que un licitador echa en falta.</w:t>
      </w:r>
    </w:p>
    <w:p>
      <w:pPr>
        <w:spacing w:after="140" w:line="276"/>
      </w:pPr>
      <w:r>
        <w:rPr>
          <w:rFonts w:ascii="Calibri" w:cs="Calibri" w:eastAsia="Calibri" w:hAnsi="Calibri"/>
          <w:b/>
          <w:bCs/>
          <w:sz w:val="21"/>
          <w:szCs w:val="21"/>
        </w:rPr>
        <w:t xml:space="preserve">Qué aporta en concreto:</w:t>
      </w:r>
    </w:p>
    <w:p>
      <w:pPr>
        <w:pStyle w:val="ListParagraph"/>
        <w:numPr>
          <w:ilvl w:val="0"/>
          <w:numId w:val="1"/>
        </w:numPr>
        <w:spacing w:after="70" w:line="268"/>
      </w:pPr>
      <w:r>
        <w:rPr>
          <w:rFonts w:ascii="Calibri" w:cs="Calibri" w:eastAsia="Calibri" w:hAnsi="Calibri"/>
          <w:sz w:val="21"/>
          <w:szCs w:val="21"/>
        </w:rPr>
        <w:t xml:space="preserve">Todas las prescripciones se formulan </w:t>
      </w:r>
      <w:r>
        <w:rPr>
          <w:rFonts w:ascii="Calibri" w:cs="Calibri" w:eastAsia="Calibri" w:hAnsi="Calibri"/>
          <w:b/>
          <w:bCs/>
          <w:sz w:val="21"/>
          <w:szCs w:val="21"/>
        </w:rPr>
        <w:t xml:space="preserve">en términos funcionales</w:t>
      </w:r>
      <w:r>
        <w:rPr>
          <w:rFonts w:ascii="Calibri" w:cs="Calibri" w:eastAsia="Calibri" w:hAnsi="Calibri"/>
          <w:sz w:val="21"/>
          <w:szCs w:val="21"/>
        </w:rPr>
        <w:t xml:space="preserve"> (art. 126.5.a) LCSP), y cualquier producto, red o protocolo citado lo es «a título ilustrativo y no excluyente», con «o equivalente» en la propia prescripción.</w:t>
      </w:r>
    </w:p>
    <w:p>
      <w:pPr>
        <w:pStyle w:val="ListParagraph"/>
        <w:numPr>
          <w:ilvl w:val="0"/>
          <w:numId w:val="1"/>
        </w:numPr>
        <w:spacing w:after="70" w:line="268"/>
      </w:pPr>
      <w:r>
        <w:rPr>
          <w:rFonts w:ascii="Calibri" w:cs="Calibri" w:eastAsia="Calibri" w:hAnsi="Calibri"/>
          <w:b/>
          <w:bCs/>
          <w:sz w:val="21"/>
          <w:szCs w:val="21"/>
        </w:rPr>
        <w:t xml:space="preserve">Prevalencia de la formulación funcional</w:t>
      </w:r>
      <w:r>
        <w:rPr>
          <w:rFonts w:ascii="Calibri" w:cs="Calibri" w:eastAsia="Calibri" w:hAnsi="Calibri"/>
          <w:sz w:val="21"/>
          <w:szCs w:val="21"/>
        </w:rPr>
        <w:t xml:space="preserve"> en caso de contradicción. Esto es lo que salva un pliego heredado de otro ayuntamiento que describe, sin querer, el producto que aquél tenía implantado.</w:t>
      </w:r>
    </w:p>
    <w:p>
      <w:pPr>
        <w:pStyle w:val="ListParagraph"/>
        <w:numPr>
          <w:ilvl w:val="0"/>
          <w:numId w:val="1"/>
        </w:numPr>
        <w:spacing w:after="70" w:line="268"/>
      </w:pPr>
      <w:r>
        <w:rPr>
          <w:rFonts w:ascii="Calibri" w:cs="Calibri" w:eastAsia="Calibri" w:hAnsi="Calibri"/>
          <w:b/>
          <w:bCs/>
          <w:sz w:val="21"/>
          <w:szCs w:val="21"/>
        </w:rPr>
        <w:t xml:space="preserve">Definición cerrada de equivalencia</w:t>
      </w:r>
      <w:r>
        <w:rPr>
          <w:rFonts w:ascii="Calibri" w:cs="Calibri" w:eastAsia="Calibri" w:hAnsi="Calibri"/>
          <w:sz w:val="21"/>
          <w:szCs w:val="21"/>
        </w:rPr>
        <w:t xml:space="preserve">, con tres condiciones acumulativas, y la tercera excluye expresamente computar como sobrecoste la migración, la conversión de datos, la integración o la formación que corresponden al adjudicatario.</w:t>
      </w:r>
    </w:p>
    <w:p>
      <w:pPr>
        <w:pStyle w:val="ListParagraph"/>
        <w:numPr>
          <w:ilvl w:val="0"/>
          <w:numId w:val="1"/>
        </w:numPr>
        <w:spacing w:after="70" w:line="268"/>
      </w:pPr>
      <w:r>
        <w:rPr>
          <w:rFonts w:ascii="Calibri" w:cs="Calibri" w:eastAsia="Calibri" w:hAnsi="Calibri"/>
          <w:sz w:val="21"/>
          <w:szCs w:val="21"/>
        </w:rPr>
        <w:t xml:space="preserve">La </w:t>
      </w:r>
      <w:r>
        <w:rPr>
          <w:rFonts w:ascii="Calibri" w:cs="Calibri" w:eastAsia="Calibri" w:hAnsi="Calibri"/>
          <w:b/>
          <w:bCs/>
          <w:sz w:val="21"/>
          <w:szCs w:val="21"/>
        </w:rPr>
        <w:t xml:space="preserve">prueba va en la oferta</w:t>
      </w:r>
      <w:r>
        <w:rPr>
          <w:rFonts w:ascii="Calibri" w:cs="Calibri" w:eastAsia="Calibri" w:hAnsi="Calibri"/>
          <w:sz w:val="21"/>
          <w:szCs w:val="21"/>
        </w:rPr>
        <w:t xml:space="preserve"> (arts. 126.7 y 126.8 LCSP), identificando condición por condición.</w:t>
      </w:r>
    </w:p>
    <w:p>
      <w:pPr>
        <w:pStyle w:val="ListParagraph"/>
        <w:numPr>
          <w:ilvl w:val="0"/>
          <w:numId w:val="1"/>
        </w:numPr>
        <w:spacing w:after="70" w:line="268"/>
      </w:pPr>
      <w:r>
        <w:rPr>
          <w:rFonts w:ascii="Calibri" w:cs="Calibri" w:eastAsia="Calibri" w:hAnsi="Calibri"/>
          <w:b/>
          <w:bCs/>
          <w:sz w:val="21"/>
          <w:szCs w:val="21"/>
        </w:rPr>
        <w:t xml:space="preserve">El rechazo hay que motivarlo por escrito</w:t>
      </w:r>
      <w:r>
        <w:rPr>
          <w:rFonts w:ascii="Calibri" w:cs="Calibri" w:eastAsia="Calibri" w:hAnsi="Calibri"/>
          <w:sz w:val="21"/>
          <w:szCs w:val="21"/>
        </w:rPr>
        <w:t xml:space="preserve">, identificando cuál de las tres condiciones no concurre y con qué prueba.</w:t>
      </w:r>
    </w:p>
    <w:p>
      <w:pPr>
        <w:pStyle w:val="ListParagraph"/>
        <w:numPr>
          <w:ilvl w:val="0"/>
          <w:numId w:val="1"/>
        </w:numPr>
        <w:spacing w:after="70" w:line="268"/>
      </w:pPr>
      <w:r>
        <w:rPr>
          <w:rFonts w:ascii="Calibri" w:cs="Calibri" w:eastAsia="Calibri" w:hAnsi="Calibri"/>
          <w:b/>
          <w:bCs/>
          <w:sz w:val="21"/>
          <w:szCs w:val="21"/>
        </w:rPr>
        <w:t xml:space="preserve">Prohibición de exigencia nominativa</w:t>
      </w:r>
      <w:r>
        <w:rPr>
          <w:rFonts w:ascii="Calibri" w:cs="Calibri" w:eastAsia="Calibri" w:hAnsi="Calibri"/>
          <w:sz w:val="21"/>
          <w:szCs w:val="21"/>
        </w:rPr>
        <w:t xml:space="preserve"> como requisito de admisión, solvencia, condición excluyente o criterio.</w:t>
      </w:r>
    </w:p>
    <w:p>
      <w:pPr>
        <w:spacing w:after="140" w:line="276"/>
      </w:pPr>
      <w:r>
        <w:rPr>
          <w:rFonts w:ascii="Calibri" w:cs="Calibri" w:eastAsia="Calibri" w:hAnsi="Calibri"/>
          <w:i/>
          <w:iCs/>
          <w:sz w:val="21"/>
          <w:szCs w:val="21"/>
        </w:rPr>
        <w:t xml:space="preserve">Parte II, DT-0·v3. Base: arts. 126.5, 126.6, 126.7, 126.8 y 128.2 LCSP.</w:t>
      </w:r>
    </w:p>
    <w:p>
      <w:pPr>
        <w:pStyle w:val="Heading2"/>
        <w:keepNext/>
        <w:spacing w:after="140" w:before="320"/>
      </w:pPr>
      <w:r>
        <w:rPr>
          <w:rFonts w:ascii="Georgia" w:cs="Georgia" w:eastAsia="Georgia" w:hAnsi="Georgia"/>
          <w:b/>
          <w:bCs/>
          <w:color w:val="1F3864"/>
          <w:sz w:val="26"/>
          <w:szCs w:val="26"/>
        </w:rPr>
        <w:t xml:space="preserve">3 · DT-6·v3 · Seguridad conforme al ENS en la categoría que corresponda</w:t>
      </w:r>
    </w:p>
    <w:p>
      <w:pPr>
        <w:spacing w:after="140" w:line="276"/>
      </w:pPr>
      <w:r>
        <w:rPr>
          <w:rFonts w:ascii="Calibri" w:cs="Calibri" w:eastAsia="Calibri" w:hAnsi="Calibri"/>
          <w:b/>
          <w:bCs/>
          <w:sz w:val="21"/>
          <w:szCs w:val="21"/>
        </w:rPr>
        <w:t xml:space="preserve">Por qué está.</w:t>
      </w:r>
      <w:r>
        <w:rPr>
          <w:rFonts w:ascii="Calibri" w:cs="Calibri" w:eastAsia="Calibri" w:hAnsi="Calibri"/>
          <w:sz w:val="21"/>
          <w:szCs w:val="21"/>
        </w:rPr>
        <w:t xml:space="preserve"> Es </w:t>
      </w:r>
      <w:r>
        <w:rPr>
          <w:rFonts w:ascii="Calibri" w:cs="Calibri" w:eastAsia="Calibri" w:hAnsi="Calibri"/>
          <w:b/>
          <w:bCs/>
          <w:sz w:val="21"/>
          <w:szCs w:val="21"/>
        </w:rPr>
        <w:t xml:space="preserve">obligación legal preexistente</w:t>
      </w:r>
      <w:r>
        <w:rPr>
          <w:rFonts w:ascii="Calibri" w:cs="Calibri" w:eastAsia="Calibri" w:hAnsi="Calibri"/>
          <w:sz w:val="21"/>
          <w:szCs w:val="21"/>
        </w:rPr>
        <w:t xml:space="preserve"> (art. 2.3 RD 311/2022): «no se está pidiendo nada nuevo, se está redactando bien lo que ya había que pedir».</w:t>
      </w:r>
    </w:p>
    <w:p>
      <w:pPr>
        <w:spacing w:after="140" w:line="276"/>
      </w:pPr>
      <w:r>
        <w:rPr>
          <w:rFonts w:ascii="Calibri" w:cs="Calibri" w:eastAsia="Calibri" w:hAnsi="Calibri"/>
          <w:b/>
          <w:bCs/>
          <w:sz w:val="21"/>
          <w:szCs w:val="21"/>
        </w:rPr>
        <w:t xml:space="preserve">Qué aporta en concreto:</w:t>
      </w:r>
    </w:p>
    <w:p>
      <w:pPr>
        <w:pStyle w:val="ListParagraph"/>
        <w:numPr>
          <w:ilvl w:val="0"/>
          <w:numId w:val="1"/>
        </w:numPr>
        <w:spacing w:after="70" w:line="268"/>
      </w:pPr>
      <w:r>
        <w:rPr>
          <w:rFonts w:ascii="Calibri" w:cs="Calibri" w:eastAsia="Calibri" w:hAnsi="Calibri"/>
          <w:sz w:val="21"/>
          <w:szCs w:val="21"/>
        </w:rPr>
        <w:t xml:space="preserve">La categoría </w:t>
      </w:r>
      <w:r>
        <w:rPr>
          <w:rFonts w:ascii="Calibri" w:cs="Calibri" w:eastAsia="Calibri" w:hAnsi="Calibri"/>
          <w:b/>
          <w:bCs/>
          <w:sz w:val="21"/>
          <w:szCs w:val="21"/>
        </w:rPr>
        <w:t xml:space="preserve">no se fija en la rúbrica: resulta del anexo I del RD 311/2022</w:t>
      </w:r>
      <w:r>
        <w:rPr>
          <w:rFonts w:ascii="Calibri" w:cs="Calibri" w:eastAsia="Calibri" w:hAnsi="Calibri"/>
          <w:sz w:val="21"/>
          <w:szCs w:val="21"/>
        </w:rPr>
        <w:t xml:space="preserve"> y consta motivada en la memoria. La rúbrica anterior —«ENS Nivel Alto»— es exactamente el vicio que el TACP de Madrid anuló en la Resolución 383/2024.</w:t>
      </w:r>
    </w:p>
    <w:p>
      <w:pPr>
        <w:pStyle w:val="ListParagraph"/>
        <w:numPr>
          <w:ilvl w:val="0"/>
          <w:numId w:val="1"/>
        </w:numPr>
        <w:spacing w:after="70" w:line="268"/>
      </w:pPr>
      <w:r>
        <w:rPr>
          <w:rFonts w:ascii="Calibri" w:cs="Calibri" w:eastAsia="Calibri" w:hAnsi="Calibri"/>
          <w:sz w:val="21"/>
          <w:szCs w:val="21"/>
        </w:rPr>
        <w:t xml:space="preserve">Acreditación proporcionada: </w:t>
      </w:r>
      <w:r>
        <w:rPr>
          <w:rFonts w:ascii="Calibri" w:cs="Calibri" w:eastAsia="Calibri" w:hAnsi="Calibri"/>
          <w:b/>
          <w:bCs/>
          <w:sz w:val="21"/>
          <w:szCs w:val="21"/>
        </w:rPr>
        <w:t xml:space="preserve">certificación</w:t>
      </w:r>
      <w:r>
        <w:rPr>
          <w:rFonts w:ascii="Calibri" w:cs="Calibri" w:eastAsia="Calibri" w:hAnsi="Calibri"/>
          <w:sz w:val="21"/>
          <w:szCs w:val="21"/>
        </w:rPr>
        <w:t xml:space="preserve"> si la categoría es MEDIA o ALTA, </w:t>
      </w:r>
      <w:r>
        <w:rPr>
          <w:rFonts w:ascii="Calibri" w:cs="Calibri" w:eastAsia="Calibri" w:hAnsi="Calibri"/>
          <w:b/>
          <w:bCs/>
          <w:sz w:val="21"/>
          <w:szCs w:val="21"/>
        </w:rPr>
        <w:t xml:space="preserve">declaración por autoevaluación</w:t>
      </w:r>
      <w:r>
        <w:rPr>
          <w:rFonts w:ascii="Calibri" w:cs="Calibri" w:eastAsia="Calibri" w:hAnsi="Calibri"/>
          <w:sz w:val="21"/>
          <w:szCs w:val="21"/>
        </w:rPr>
        <w:t xml:space="preserve"> si es BÁSICA (art. 38.1 RD 311/2022).</w:t>
      </w:r>
    </w:p>
    <w:p>
      <w:pPr>
        <w:pStyle w:val="ListParagraph"/>
        <w:numPr>
          <w:ilvl w:val="0"/>
          <w:numId w:val="1"/>
        </w:numPr>
        <w:spacing w:after="70" w:line="268"/>
      </w:pPr>
      <w:r>
        <w:rPr>
          <w:rFonts w:ascii="Calibri" w:cs="Calibri" w:eastAsia="Calibri" w:hAnsi="Calibri"/>
          <w:b/>
          <w:bCs/>
          <w:sz w:val="21"/>
          <w:szCs w:val="21"/>
        </w:rPr>
        <w:t xml:space="preserve">Plazo de 6 meses para obtener la acreditación</w:t>
      </w:r>
      <w:r>
        <w:rPr>
          <w:rFonts w:ascii="Calibri" w:cs="Calibri" w:eastAsia="Calibri" w:hAnsi="Calibri"/>
          <w:sz w:val="21"/>
          <w:szCs w:val="21"/>
        </w:rPr>
        <w:t xml:space="preserve"> si el licitador no la tiene al formalizar, aplicando entretanto las medidas de la categoría. Esto mantiene abierta la concurrencia en vez de cerrarla.</w:t>
      </w:r>
    </w:p>
    <w:p>
      <w:pPr>
        <w:pStyle w:val="ListParagraph"/>
        <w:numPr>
          <w:ilvl w:val="0"/>
          <w:numId w:val="1"/>
        </w:numPr>
        <w:spacing w:after="70" w:line="268"/>
      </w:pPr>
      <w:r>
        <w:rPr>
          <w:rFonts w:ascii="Calibri" w:cs="Calibri" w:eastAsia="Calibri" w:hAnsi="Calibri"/>
          <w:sz w:val="21"/>
          <w:szCs w:val="21"/>
        </w:rPr>
        <w:t xml:space="preserve">Plazos tasados de subsanación de vulnerabilidades (15 / 30 / 90 días según severidad) y 48 horas para comunicar las críticas o altas.</w:t>
      </w:r>
    </w:p>
    <w:p>
      <w:pPr>
        <w:spacing w:after="140" w:line="276"/>
      </w:pPr>
      <w:r>
        <w:rPr>
          <w:rFonts w:ascii="Calibri" w:cs="Calibri" w:eastAsia="Calibri" w:hAnsi="Calibri"/>
          <w:i/>
          <w:iCs/>
          <w:sz w:val="21"/>
          <w:szCs w:val="21"/>
        </w:rPr>
        <w:t xml:space="preserve">Parte II, DT-6·v3. Base: arts. 2.3, 12 y 38.1 y anexo I del RD 311/2022; RGPD y LO 3/2018. Doctrina: TACP Madrid 383/2024.</w:t>
      </w:r>
    </w:p>
    <w:p>
      <w:pPr>
        <w:pStyle w:val="Heading2"/>
        <w:keepNext/>
        <w:spacing w:after="140" w:before="320"/>
      </w:pPr>
      <w:r>
        <w:rPr>
          <w:rFonts w:ascii="Georgia" w:cs="Georgia" w:eastAsia="Georgia" w:hAnsi="Georgia"/>
          <w:b/>
          <w:bCs/>
          <w:color w:val="1F3864"/>
          <w:sz w:val="26"/>
          <w:szCs w:val="26"/>
        </w:rPr>
        <w:t xml:space="preserve">4 · ADM-8·v3 · Propiedad intelectual, algoritmos y lógica de negocio</w:t>
      </w:r>
    </w:p>
    <w:p>
      <w:pPr>
        <w:spacing w:after="140" w:line="276"/>
      </w:pPr>
      <w:r>
        <w:rPr>
          <w:rFonts w:ascii="Calibri" w:cs="Calibri" w:eastAsia="Calibri" w:hAnsi="Calibri"/>
          <w:b/>
          <w:bCs/>
          <w:sz w:val="21"/>
          <w:szCs w:val="21"/>
        </w:rPr>
        <w:t xml:space="preserve">Por qué está.</w:t>
      </w:r>
      <w:r>
        <w:rPr>
          <w:rFonts w:ascii="Calibri" w:cs="Calibri" w:eastAsia="Calibri" w:hAnsi="Calibri"/>
          <w:sz w:val="21"/>
          <w:szCs w:val="21"/>
        </w:rPr>
        <w:t xml:space="preserve"> «</w:t>
      </w:r>
      <w:r>
        <w:rPr>
          <w:rFonts w:ascii="Calibri" w:cs="Calibri" w:eastAsia="Calibri" w:hAnsi="Calibri"/>
          <w:b/>
          <w:bCs/>
          <w:sz w:val="21"/>
          <w:szCs w:val="21"/>
        </w:rPr>
        <w:t xml:space="preserve">Lo que se pierde por no ponerla no se recupera después.</w:t>
      </w:r>
      <w:r>
        <w:rPr>
          <w:rFonts w:ascii="Calibri" w:cs="Calibri" w:eastAsia="Calibri" w:hAnsi="Calibri"/>
          <w:sz w:val="21"/>
          <w:szCs w:val="21"/>
        </w:rPr>
        <w:t xml:space="preserve">» Es la cláusula con más consecuencia y menos coste.</w:t>
      </w:r>
    </w:p>
    <w:p>
      <w:pPr>
        <w:spacing w:after="140" w:line="276"/>
      </w:pPr>
      <w:r>
        <w:rPr>
          <w:rFonts w:ascii="Calibri" w:cs="Calibri" w:eastAsia="Calibri" w:hAnsi="Calibri"/>
          <w:b/>
          <w:bCs/>
          <w:sz w:val="21"/>
          <w:szCs w:val="21"/>
        </w:rPr>
        <w:t xml:space="preserve">Qué aporta en concreto:</w:t>
      </w:r>
    </w:p>
    <w:p>
      <w:pPr>
        <w:pStyle w:val="ListParagraph"/>
        <w:numPr>
          <w:ilvl w:val="0"/>
          <w:numId w:val="1"/>
        </w:numPr>
        <w:spacing w:after="70" w:line="268"/>
      </w:pPr>
      <w:r>
        <w:rPr>
          <w:rFonts w:ascii="Calibri" w:cs="Calibri" w:eastAsia="Calibri" w:hAnsi="Calibri"/>
          <w:sz w:val="21"/>
          <w:szCs w:val="21"/>
        </w:rPr>
        <w:t xml:space="preserve">Titularidad municipal de desarrollos, configuraciones, reglas de negocio, algoritmos, </w:t>
      </w:r>
      <w:r>
        <w:rPr>
          <w:rFonts w:ascii="Calibri" w:cs="Calibri" w:eastAsia="Calibri" w:hAnsi="Calibri"/>
          <w:b/>
          <w:bCs/>
          <w:sz w:val="21"/>
          <w:szCs w:val="21"/>
        </w:rPr>
        <w:t xml:space="preserve">prompts corporativos, bases de conocimiento y modelos ajustados con datos municipales</w:t>
      </w:r>
      <w:r>
        <w:rPr>
          <w:rFonts w:ascii="Calibri" w:cs="Calibri" w:eastAsia="Calibri" w:hAnsi="Calibri"/>
          <w:sz w:val="21"/>
          <w:szCs w:val="21"/>
        </w:rPr>
        <w:t xml:space="preserve">.</w:t>
      </w:r>
    </w:p>
    <w:p>
      <w:pPr>
        <w:pStyle w:val="ListParagraph"/>
        <w:numPr>
          <w:ilvl w:val="0"/>
          <w:numId w:val="1"/>
        </w:numPr>
        <w:spacing w:after="70" w:line="268"/>
      </w:pPr>
      <w:r>
        <w:rPr>
          <w:rFonts w:ascii="Calibri" w:cs="Calibri" w:eastAsia="Calibri" w:hAnsi="Calibri"/>
          <w:b/>
          <w:bCs/>
          <w:sz w:val="21"/>
          <w:szCs w:val="21"/>
        </w:rPr>
        <w:t xml:space="preserve">Cesión exclusiva, todas las modalidades, todo el plazo legal, todos los países</w:t>
      </w:r>
      <w:r>
        <w:rPr>
          <w:rFonts w:ascii="Calibri" w:cs="Calibri" w:eastAsia="Calibri" w:hAnsi="Calibri"/>
          <w:sz w:val="21"/>
          <w:szCs w:val="21"/>
        </w:rPr>
        <w:t xml:space="preserve">, con facultad de cesión a otras entidades del sector público (art. 308.1 LCSP; arts. 157 y 158 Ley 40/2015; mención expresa a efectos del art. 43.2 TRLPI).</w:t>
      </w:r>
    </w:p>
    <w:p>
      <w:pPr>
        <w:pStyle w:val="ListParagraph"/>
        <w:numPr>
          <w:ilvl w:val="0"/>
          <w:numId w:val="1"/>
        </w:numPr>
        <w:spacing w:after="70" w:line="268"/>
      </w:pPr>
      <w:r>
        <w:rPr>
          <w:rFonts w:ascii="Calibri" w:cs="Calibri" w:eastAsia="Calibri" w:hAnsi="Calibri"/>
          <w:b/>
          <w:bCs/>
          <w:sz w:val="21"/>
          <w:szCs w:val="21"/>
        </w:rPr>
        <w:t xml:space="preserve">Delimitación negativa:</w:t>
      </w:r>
      <w:r>
        <w:rPr>
          <w:rFonts w:ascii="Calibri" w:cs="Calibri" w:eastAsia="Calibri" w:hAnsi="Calibri"/>
          <w:sz w:val="21"/>
          <w:szCs w:val="21"/>
        </w:rPr>
        <w:t xml:space="preserve"> no se exige el código fuente del producto base ni de los componentes de terceros. Pedirlo disuade de licitar a proveedores solventes, y no hace falta.</w:t>
      </w:r>
    </w:p>
    <w:p>
      <w:pPr>
        <w:pStyle w:val="ListParagraph"/>
        <w:numPr>
          <w:ilvl w:val="0"/>
          <w:numId w:val="1"/>
        </w:numPr>
        <w:spacing w:after="70" w:line="268"/>
      </w:pPr>
      <w:r>
        <w:rPr>
          <w:rFonts w:ascii="Calibri" w:cs="Calibri" w:eastAsia="Calibri" w:hAnsi="Calibri"/>
          <w:b/>
          <w:bCs/>
          <w:sz w:val="21"/>
          <w:szCs w:val="21"/>
        </w:rPr>
        <w:t xml:space="preserve">Licencia mínima supletoria</w:t>
      </w:r>
      <w:r>
        <w:rPr>
          <w:rFonts w:ascii="Calibri" w:cs="Calibri" w:eastAsia="Calibri" w:hAnsi="Calibri"/>
          <w:sz w:val="21"/>
          <w:szCs w:val="21"/>
        </w:rPr>
        <w:t xml:space="preserve"> sobre el producto base, «como mínimo aunque este pliego no disponga otra cosa», durante el contrato, sus prórrogas y el período de reversión.</w:t>
      </w:r>
    </w:p>
    <w:p>
      <w:pPr>
        <w:pStyle w:val="ListParagraph"/>
        <w:numPr>
          <w:ilvl w:val="0"/>
          <w:numId w:val="1"/>
        </w:numPr>
        <w:spacing w:after="70" w:line="268"/>
      </w:pPr>
      <w:r>
        <w:rPr>
          <w:rFonts w:ascii="Calibri" w:cs="Calibri" w:eastAsia="Calibri" w:hAnsi="Calibri"/>
          <w:b/>
          <w:bCs/>
          <w:sz w:val="21"/>
          <w:szCs w:val="21"/>
        </w:rPr>
        <w:t xml:space="preserve">La regla que resuelve la discusión de fondo:</w:t>
      </w:r>
      <w:r>
        <w:rPr>
          <w:rFonts w:ascii="Calibri" w:cs="Calibri" w:eastAsia="Calibri" w:hAnsi="Calibri"/>
          <w:sz w:val="21"/>
          <w:szCs w:val="21"/>
        </w:rPr>
        <w:t xml:space="preserve"> en defecto de Inventario de Componentes, «la delimitación se entenderá efectuada </w:t>
      </w:r>
      <w:r>
        <w:rPr>
          <w:rFonts w:ascii="Calibri" w:cs="Calibri" w:eastAsia="Calibri" w:hAnsi="Calibri"/>
          <w:b/>
          <w:bCs/>
          <w:sz w:val="21"/>
          <w:szCs w:val="21"/>
        </w:rPr>
        <w:t xml:space="preserve">a favor del Ayuntamiento</w:t>
      </w:r>
      <w:r>
        <w:rPr>
          <w:rFonts w:ascii="Calibri" w:cs="Calibri" w:eastAsia="Calibri" w:hAnsi="Calibri"/>
          <w:sz w:val="21"/>
          <w:szCs w:val="21"/>
        </w:rPr>
        <w:t xml:space="preserve"> respecto de todo elemento que el adjudicatario no acredite documentalmente como preexistente al contrato».</w:t>
      </w:r>
    </w:p>
    <w:p>
      <w:pPr>
        <w:spacing w:after="140" w:line="276"/>
      </w:pPr>
      <w:r>
        <w:rPr>
          <w:rFonts w:ascii="Calibri" w:cs="Calibri" w:eastAsia="Calibri" w:hAnsi="Calibri"/>
          <w:i/>
          <w:iCs/>
          <w:sz w:val="21"/>
          <w:szCs w:val="21"/>
        </w:rPr>
        <w:t xml:space="preserve">Parte III, ADM-8·v3. Base: art. 308.1 LCSP; arts. 41, 157 y 158 Ley 40/2015; arts. 43.2, 97.4 y 100.1 TRLPI.</w:t>
      </w:r>
    </w:p>
    <w:p>
      <w:pPr>
        <w:pStyle w:val="Heading2"/>
        <w:keepNext/>
        <w:spacing w:after="140" w:before="320"/>
      </w:pPr>
      <w:r>
        <w:rPr>
          <w:rFonts w:ascii="Georgia" w:cs="Georgia" w:eastAsia="Georgia" w:hAnsi="Georgia"/>
          <w:b/>
          <w:bCs/>
          <w:color w:val="1F3864"/>
          <w:sz w:val="26"/>
          <w:szCs w:val="26"/>
        </w:rPr>
        <w:t xml:space="preserve">5 · ADM-2·v3 + Anexo V · Exigencias tecnológicas del ejercicio, con alcance cerrado</w:t>
      </w:r>
    </w:p>
    <w:p>
      <w:pPr>
        <w:spacing w:after="140" w:line="276"/>
      </w:pPr>
      <w:r>
        <w:rPr>
          <w:rFonts w:ascii="Calibri" w:cs="Calibri" w:eastAsia="Calibri" w:hAnsi="Calibri"/>
          <w:b/>
          <w:bCs/>
          <w:sz w:val="21"/>
          <w:szCs w:val="21"/>
        </w:rPr>
        <w:t xml:space="preserve">Por qué está.</w:t>
      </w:r>
      <w:r>
        <w:rPr>
          <w:rFonts w:ascii="Calibri" w:cs="Calibri" w:eastAsia="Calibri" w:hAnsi="Calibri"/>
          <w:sz w:val="21"/>
          <w:szCs w:val="21"/>
        </w:rPr>
        <w:t xml:space="preserve"> Es el núcleo del catálogo. Y lleva la única condición del mínimo: «</w:t>
      </w:r>
      <w:r>
        <w:rPr>
          <w:rFonts w:ascii="Calibri" w:cs="Calibri" w:eastAsia="Calibri" w:hAnsi="Calibri"/>
          <w:b/>
          <w:bCs/>
          <w:sz w:val="21"/>
          <w:szCs w:val="21"/>
        </w:rPr>
        <w:t xml:space="preserve">sólo funciona si el Anexo V está aprobado y publicado antes. Sin Anexo V, no entra.</w:t>
      </w:r>
      <w:r>
        <w:rPr>
          <w:rFonts w:ascii="Calibri" w:cs="Calibri" w:eastAsia="Calibri" w:hAnsi="Calibri"/>
          <w:sz w:val="21"/>
          <w:szCs w:val="21"/>
        </w:rPr>
        <w:t xml:space="preserve">»</w:t>
      </w:r>
    </w:p>
    <w:p>
      <w:pPr>
        <w:spacing w:after="140" w:line="276"/>
      </w:pPr>
      <w:r>
        <w:rPr>
          <w:rFonts w:ascii="Calibri" w:cs="Calibri" w:eastAsia="Calibri" w:hAnsi="Calibri"/>
          <w:b/>
          <w:bCs/>
          <w:sz w:val="21"/>
          <w:szCs w:val="21"/>
        </w:rPr>
        <w:t xml:space="preserve">Qué aporta en concreto, y es aquí donde está la mayor parte de la agilidad:</w:t>
      </w:r>
    </w:p>
    <w:p>
      <w:pPr>
        <w:pStyle w:val="ListParagraph"/>
        <w:numPr>
          <w:ilvl w:val="0"/>
          <w:numId w:val="1"/>
        </w:numPr>
        <w:spacing w:after="70" w:line="268"/>
      </w:pPr>
      <w:r>
        <w:rPr>
          <w:rFonts w:ascii="Calibri" w:cs="Calibri" w:eastAsia="Calibri" w:hAnsi="Calibri"/>
          <w:b/>
          <w:bCs/>
          <w:sz w:val="21"/>
          <w:szCs w:val="21"/>
        </w:rPr>
        <w:t xml:space="preserve">Retribución (ap. 4).</w:t>
      </w:r>
      <w:r>
        <w:rPr>
          <w:rFonts w:ascii="Calibri" w:cs="Calibri" w:eastAsia="Calibri" w:hAnsi="Calibri"/>
          <w:sz w:val="21"/>
          <w:szCs w:val="21"/>
        </w:rPr>
        <w:t xml:space="preserve"> Las exigencias del Anexo «forman parte del alcance ordinario del contrato y se entienden retribuidas con el precio ofertado, </w:t>
      </w:r>
      <w:r>
        <w:rPr>
          <w:rFonts w:ascii="Calibri" w:cs="Calibri" w:eastAsia="Calibri" w:hAnsi="Calibri"/>
          <w:b/>
          <w:bCs/>
          <w:sz w:val="21"/>
          <w:szCs w:val="21"/>
        </w:rPr>
        <w:t xml:space="preserve">sin que su cumplimiento dé lugar a facturación adicional ni requiera modificación contractual</w:t>
      </w:r>
      <w:r>
        <w:rPr>
          <w:rFonts w:ascii="Calibri" w:cs="Calibri" w:eastAsia="Calibri" w:hAnsi="Calibri"/>
          <w:sz w:val="21"/>
          <w:szCs w:val="21"/>
        </w:rPr>
        <w:t xml:space="preserve">».</w:t>
      </w:r>
    </w:p>
    <w:p>
      <w:pPr>
        <w:pStyle w:val="ListParagraph"/>
        <w:numPr>
          <w:ilvl w:val="0"/>
          <w:numId w:val="1"/>
        </w:numPr>
        <w:spacing w:after="70" w:line="268"/>
      </w:pPr>
      <w:r>
        <w:rPr>
          <w:rFonts w:ascii="Calibri" w:cs="Calibri" w:eastAsia="Calibri" w:hAnsi="Calibri"/>
          <w:b/>
          <w:bCs/>
          <w:sz w:val="21"/>
          <w:szCs w:val="21"/>
        </w:rPr>
        <w:t xml:space="preserve">Invariabilidad (ap. 3).</w:t>
      </w:r>
      <w:r>
        <w:rPr>
          <w:rFonts w:ascii="Calibri" w:cs="Calibri" w:eastAsia="Calibri" w:hAnsi="Calibri"/>
          <w:sz w:val="21"/>
          <w:szCs w:val="21"/>
        </w:rPr>
        <w:t xml:space="preserve"> El Anexo «permanece invariable durante toda la vigencia del contrato y de sus prórrogas». Las revisiones posteriores no son exigibles a ese contrato, y queda excluida toda remisión a versiones futuras.</w:t>
      </w:r>
    </w:p>
    <w:p>
      <w:pPr>
        <w:pStyle w:val="ListParagraph"/>
        <w:numPr>
          <w:ilvl w:val="0"/>
          <w:numId w:val="1"/>
        </w:numPr>
        <w:spacing w:after="70" w:line="268"/>
      </w:pPr>
      <w:r>
        <w:rPr>
          <w:rFonts w:ascii="Calibri" w:cs="Calibri" w:eastAsia="Calibri" w:hAnsi="Calibri"/>
          <w:b/>
          <w:bCs/>
          <w:sz w:val="21"/>
          <w:szCs w:val="21"/>
        </w:rPr>
        <w:t xml:space="preserve">Alcance cerrado y regla de agotamiento (ap. 2).</w:t>
      </w:r>
      <w:r>
        <w:rPr>
          <w:rFonts w:ascii="Calibri" w:cs="Calibri" w:eastAsia="Calibri" w:hAnsi="Calibri"/>
          <w:sz w:val="21"/>
          <w:szCs w:val="21"/>
        </w:rPr>
        <w:t xml:space="preserve"> Fuera del Anexo no hay obligación de evolución exigible. Lo que exceda va a modificación (arts. 203-204) o a la licitación siguiente. Es lo que hace la obligación determinada y, por tanto, ofertable a precio.</w:t>
      </w:r>
    </w:p>
    <w:p>
      <w:pPr>
        <w:pStyle w:val="ListParagraph"/>
        <w:numPr>
          <w:ilvl w:val="0"/>
          <w:numId w:val="1"/>
        </w:numPr>
        <w:spacing w:after="70" w:line="268"/>
      </w:pPr>
      <w:r>
        <w:rPr>
          <w:rFonts w:ascii="Calibri" w:cs="Calibri" w:eastAsia="Calibri" w:hAnsi="Calibri"/>
          <w:b/>
          <w:bCs/>
          <w:sz w:val="21"/>
          <w:szCs w:val="21"/>
        </w:rPr>
        <w:t xml:space="preserve">Versiones sucesoras sin coste (ap. 6).</w:t>
      </w:r>
      <w:r>
        <w:rPr>
          <w:rFonts w:ascii="Calibri" w:cs="Calibri" w:eastAsia="Calibri" w:hAnsi="Calibri"/>
          <w:sz w:val="21"/>
          <w:szCs w:val="21"/>
        </w:rPr>
        <w:t xml:space="preserve"> El contratista pone a disposición, sin coste adicional, las versiones sucesoras que el fabricante publique y a las que tenga acceso, con definición triple y verificable con la documentación del fabricante, y con exoneración acreditada si el fabricante no publica o le deniega el acceso.</w:t>
      </w:r>
    </w:p>
    <w:p>
      <w:pPr>
        <w:pStyle w:val="ListParagraph"/>
        <w:numPr>
          <w:ilvl w:val="0"/>
          <w:numId w:val="1"/>
        </w:numPr>
        <w:spacing w:after="70" w:line="268"/>
      </w:pPr>
      <w:r>
        <w:rPr>
          <w:rFonts w:ascii="Calibri" w:cs="Calibri" w:eastAsia="Calibri" w:hAnsi="Calibri"/>
          <w:b/>
          <w:bCs/>
          <w:sz w:val="21"/>
          <w:szCs w:val="21"/>
        </w:rPr>
        <w:t xml:space="preserve">Plazos tasados (ap. 5).</w:t>
      </w:r>
      <w:r>
        <w:rPr>
          <w:rFonts w:ascii="Calibri" w:cs="Calibri" w:eastAsia="Calibri" w:hAnsi="Calibri"/>
          <w:sz w:val="21"/>
          <w:szCs w:val="21"/>
        </w:rPr>
        <w:t xml:space="preserve"> Los del propio Anexo, y «no podrán fijarse durante la ejecución plazos distintos».</w:t>
      </w:r>
    </w:p>
    <w:p>
      <w:pPr>
        <w:pStyle w:val="ListParagraph"/>
        <w:numPr>
          <w:ilvl w:val="0"/>
          <w:numId w:val="1"/>
        </w:numPr>
        <w:spacing w:after="70" w:line="268"/>
      </w:pPr>
      <w:r>
        <w:rPr>
          <w:rFonts w:ascii="Calibri" w:cs="Calibri" w:eastAsia="Calibri" w:hAnsi="Calibri"/>
          <w:b/>
          <w:bCs/>
          <w:sz w:val="21"/>
          <w:szCs w:val="21"/>
        </w:rPr>
        <w:t xml:space="preserve">Acreditación tasada (ap. 7).</w:t>
      </w:r>
      <w:r>
        <w:rPr>
          <w:rFonts w:ascii="Calibri" w:cs="Calibri" w:eastAsia="Calibri" w:hAnsi="Calibri"/>
          <w:sz w:val="21"/>
          <w:szCs w:val="21"/>
        </w:rPr>
        <w:t xml:space="preserve"> Cinco medios y sólo esos: acta de prueba de aceptación, nota del fabricante, acta de despliegue, acta de Comisión de Seguimiento, depósito de evidencias.</w:t>
      </w:r>
    </w:p>
    <w:p>
      <w:pPr>
        <w:spacing w:after="140" w:line="276"/>
      </w:pPr>
      <w:r>
        <w:rPr>
          <w:rFonts w:ascii="Calibri" w:cs="Calibri" w:eastAsia="Calibri" w:hAnsi="Calibri"/>
          <w:i/>
          <w:iCs/>
          <w:sz w:val="21"/>
          <w:szCs w:val="21"/>
        </w:rPr>
        <w:t xml:space="preserve">Parte III, ADM-2·v3. Base: arts. 202.1, 202.2, 145.6, 203 y 204 LCSP.</w:t>
      </w:r>
    </w:p>
    <w:p>
      <w:pPr>
        <w:pStyle w:val="Heading2"/>
        <w:keepNext/>
        <w:spacing w:after="140" w:before="320"/>
      </w:pPr>
      <w:r>
        <w:rPr>
          <w:rFonts w:ascii="Georgia" w:cs="Georgia" w:eastAsia="Georgia" w:hAnsi="Georgia"/>
          <w:b/>
          <w:bCs/>
          <w:color w:val="1F3864"/>
          <w:sz w:val="26"/>
          <w:szCs w:val="26"/>
        </w:rPr>
        <w:t xml:space="preserve">6 · ADM-5·v3 · Penalidades tipificadas</w:t>
      </w:r>
    </w:p>
    <w:p>
      <w:pPr>
        <w:spacing w:after="140" w:line="276"/>
      </w:pPr>
      <w:r>
        <w:rPr>
          <w:rFonts w:ascii="Calibri" w:cs="Calibri" w:eastAsia="Calibri" w:hAnsi="Calibri"/>
          <w:b/>
          <w:bCs/>
          <w:sz w:val="21"/>
          <w:szCs w:val="21"/>
        </w:rPr>
        <w:t xml:space="preserve">Por qué está.</w:t>
      </w:r>
      <w:r>
        <w:rPr>
          <w:rFonts w:ascii="Calibri" w:cs="Calibri" w:eastAsia="Calibri" w:hAnsi="Calibri"/>
          <w:sz w:val="21"/>
          <w:szCs w:val="21"/>
        </w:rPr>
        <w:t xml:space="preserve"> «</w:t>
      </w:r>
      <w:r>
        <w:rPr>
          <w:rFonts w:ascii="Calibri" w:cs="Calibri" w:eastAsia="Calibri" w:hAnsi="Calibri"/>
          <w:b/>
          <w:bCs/>
          <w:sz w:val="21"/>
          <w:szCs w:val="21"/>
        </w:rPr>
        <w:t xml:space="preserve">Sin consecuencia tipificada, las cinco anteriores son recomendaciones.</w:t>
      </w:r>
      <w:r>
        <w:rPr>
          <w:rFonts w:ascii="Calibri" w:cs="Calibri" w:eastAsia="Calibri" w:hAnsi="Calibri"/>
          <w:sz w:val="21"/>
          <w:szCs w:val="21"/>
        </w:rPr>
        <w:t xml:space="preserve">»</w:t>
      </w:r>
    </w:p>
    <w:p>
      <w:pPr>
        <w:spacing w:after="140" w:line="276"/>
      </w:pPr>
      <w:r>
        <w:rPr>
          <w:rFonts w:ascii="Calibri" w:cs="Calibri" w:eastAsia="Calibri" w:hAnsi="Calibri"/>
          <w:b/>
          <w:bCs/>
          <w:sz w:val="21"/>
          <w:szCs w:val="21"/>
        </w:rPr>
        <w:t xml:space="preserve">Qué aporta en concreto:</w:t>
      </w:r>
    </w:p>
    <w:p>
      <w:pPr>
        <w:pStyle w:val="ListParagraph"/>
        <w:numPr>
          <w:ilvl w:val="0"/>
          <w:numId w:val="1"/>
        </w:numPr>
        <w:spacing w:after="70" w:line="268"/>
      </w:pPr>
      <w:r>
        <w:rPr>
          <w:rFonts w:ascii="Calibri" w:cs="Calibri" w:eastAsia="Calibri" w:hAnsi="Calibri"/>
          <w:b/>
          <w:bCs/>
          <w:sz w:val="21"/>
          <w:szCs w:val="21"/>
        </w:rPr>
        <w:t xml:space="preserve">Tipificación por hechos con documento que los prueba</w:t>
      </w:r>
      <w:r>
        <w:rPr>
          <w:rFonts w:ascii="Calibri" w:cs="Calibri" w:eastAsia="Calibri" w:hAnsi="Calibri"/>
          <w:sz w:val="21"/>
          <w:szCs w:val="21"/>
        </w:rPr>
        <w:t xml:space="preserve">, no por conceptos. La versión 2 tipificaba «obsolescencia tecnológica» o «negativa injustificada a evolucionar»: conceptos que no sostienen un expediente contradictorio. Ahora son hechos fechados y comprobables (L1-L12, G1-G26, M1-M16).</w:t>
      </w:r>
    </w:p>
    <w:p>
      <w:pPr>
        <w:pStyle w:val="ListParagraph"/>
        <w:numPr>
          <w:ilvl w:val="0"/>
          <w:numId w:val="1"/>
        </w:numPr>
        <w:spacing w:after="70" w:line="268"/>
      </w:pPr>
      <w:r>
        <w:rPr>
          <w:rFonts w:ascii="Calibri" w:cs="Calibri" w:eastAsia="Calibri" w:hAnsi="Calibri"/>
          <w:b/>
          <w:bCs/>
          <w:sz w:val="21"/>
          <w:szCs w:val="21"/>
        </w:rPr>
        <w:t xml:space="preserve">Cuantías y límites dentro del art. 192.1 LCSP:</w:t>
      </w:r>
      <w:r>
        <w:rPr>
          <w:rFonts w:ascii="Calibri" w:cs="Calibri" w:eastAsia="Calibri" w:hAnsi="Calibri"/>
          <w:sz w:val="21"/>
          <w:szCs w:val="21"/>
        </w:rPr>
        <w:t xml:space="preserve"> ninguna penalidad por encima del 10 % del precio, ni el total por encima del 50 %, con tope del 10 % por hecho continuado.</w:t>
      </w:r>
    </w:p>
    <w:p>
      <w:pPr>
        <w:pStyle w:val="ListParagraph"/>
        <w:numPr>
          <w:ilvl w:val="0"/>
          <w:numId w:val="1"/>
        </w:numPr>
        <w:spacing w:after="70" w:line="268"/>
      </w:pPr>
      <w:r>
        <w:rPr>
          <w:rFonts w:ascii="Calibri" w:cs="Calibri" w:eastAsia="Calibri" w:hAnsi="Calibri"/>
          <w:sz w:val="21"/>
          <w:szCs w:val="21"/>
        </w:rPr>
        <w:t xml:space="preserve">Tres grados con horquilla tasada: leve hasta 0,5 % y grave entre 0,5 y 3 % del precio anual; muy grave entre 3 y 6 % del precio del contrato.</w:t>
      </w:r>
    </w:p>
    <w:p>
      <w:pPr>
        <w:pStyle w:val="ListParagraph"/>
        <w:numPr>
          <w:ilvl w:val="0"/>
          <w:numId w:val="1"/>
        </w:numPr>
        <w:spacing w:after="70" w:line="268"/>
      </w:pPr>
      <w:r>
        <w:rPr>
          <w:rFonts w:ascii="Calibri" w:cs="Calibri" w:eastAsia="Calibri" w:hAnsi="Calibri"/>
          <w:sz w:val="21"/>
          <w:szCs w:val="21"/>
        </w:rPr>
        <w:t xml:space="preserve">Y una delimitación expresa: este cuadro </w:t>
      </w:r>
      <w:r>
        <w:rPr>
          <w:rFonts w:ascii="Calibri" w:cs="Calibri" w:eastAsia="Calibri" w:hAnsi="Calibri"/>
          <w:b/>
          <w:bCs/>
          <w:sz w:val="21"/>
          <w:szCs w:val="21"/>
        </w:rPr>
        <w:t xml:space="preserve">no sustituye al régimen general de la demora</w:t>
      </w:r>
      <w:r>
        <w:rPr>
          <w:rFonts w:ascii="Calibri" w:cs="Calibri" w:eastAsia="Calibri" w:hAnsi="Calibri"/>
          <w:sz w:val="21"/>
          <w:szCs w:val="21"/>
        </w:rPr>
        <w:t xml:space="preserve"> de la LCSP.</w:t>
      </w:r>
    </w:p>
    <w:p>
      <w:pPr>
        <w:spacing w:after="140" w:line="276"/>
      </w:pPr>
      <w:r>
        <w:rPr>
          <w:rFonts w:ascii="Calibri" w:cs="Calibri" w:eastAsia="Calibri" w:hAnsi="Calibri"/>
          <w:i/>
          <w:iCs/>
          <w:sz w:val="21"/>
          <w:szCs w:val="21"/>
        </w:rPr>
        <w:t xml:space="preserve">Parte III, ADM-5·v3. Base: art. 192.1 LCSP.</w:t>
      </w:r>
    </w:p>
    <w:p>
      <w:pPr>
        <w:spacing w:after="140" w:line="276"/>
      </w:pPr>
      <w:r>
        <w:rPr>
          <w:rFonts w:ascii="Calibri" w:cs="Calibri" w:eastAsia="Calibri" w:hAnsi="Calibri"/>
          <w:i/>
          <w:iCs/>
          <w:sz w:val="21"/>
          <w:szCs w:val="21"/>
        </w:rPr>
        <w:t xml:space="preserve">Los plazos, el número de accesos y los porcentajes de esta sección son los valores que el catálogo recomienda para los parámetros de cada cláusula; cada pliego fija los suyos.</w:t>
      </w:r>
    </w:p>
    <w:p>
      <w:r>
        <w:br w:type="page"/>
      </w:r>
    </w:p>
    <w:p>
      <w:pPr>
        <w:pStyle w:val="Heading1"/>
        <w:keepNext/>
        <w:spacing w:after="240" w:before="200"/>
      </w:pPr>
      <w:r>
        <w:rPr>
          <w:rFonts w:ascii="Georgia" w:cs="Georgia" w:eastAsia="Georgia" w:hAnsi="Georgia"/>
          <w:b/>
          <w:bCs/>
          <w:color w:val="1F3864"/>
          <w:sz w:val="34"/>
          <w:szCs w:val="34"/>
        </w:rPr>
        <w:t xml:space="preserve">2 · Lo que hay que saber antes de usarlo: dos dependencias y una precisión</w:t>
      </w:r>
    </w:p>
    <w:p>
      <w:pPr>
        <w:spacing w:after="140" w:line="276"/>
      </w:pPr>
      <w:r>
        <w:rPr>
          <w:rFonts w:ascii="Calibri" w:cs="Calibri" w:eastAsia="Calibri" w:hAnsi="Calibri"/>
          <w:sz w:val="21"/>
          <w:szCs w:val="21"/>
        </w:rPr>
        <w:t xml:space="preserve">El propio §VI.2.2 advierte de que las seis «no son del todo independientes», y la tabla de dependencias del Anexo VI lo concreta en dos puntos que conviene tener delante antes de redactar el pliego. No invalidan el mínimo; obligan a completarlo.</w:t>
      </w:r>
    </w:p>
    <w:p>
      <w:pPr>
        <w:pBdr>
          <w:left w:val="single" w:color="BFBFBF" w:sz="12" w:space="8"/>
        </w:pBdr>
        <w:spacing w:after="140" w:line="264"/>
        <w:ind w:left="400"/>
      </w:pPr>
      <w:r>
        <w:rPr>
          <w:rFonts w:ascii="Georgia" w:cs="Georgia" w:eastAsia="Georgia" w:hAnsi="Georgia"/>
          <w:b/>
          <w:bCs/>
          <w:i/>
          <w:iCs/>
          <w:color w:val="595959"/>
          <w:sz w:val="20"/>
          <w:szCs w:val="20"/>
        </w:rPr>
        <w:t xml:space="preserve">a) ADM-2·v3 arrastra DT-9·v3, y el Anexo V del catálogo arrastra DT-7·v3</w:t>
      </w:r>
    </w:p>
    <w:p>
      <w:pPr>
        <w:pBdr>
          <w:left w:val="single" w:color="BFBFBF" w:sz="12" w:space="8"/>
        </w:pBdr>
        <w:spacing w:after="140" w:line="264"/>
        <w:ind w:left="400"/>
      </w:pPr>
      <w:r>
        <w:rPr>
          <w:rFonts w:ascii="Georgia" w:cs="Georgia" w:eastAsia="Georgia" w:hAnsi="Georgia"/>
          <w:i/>
          <w:iCs/>
          <w:color w:val="595959"/>
          <w:sz w:val="20"/>
          <w:szCs w:val="20"/>
        </w:rPr>
        <w:t xml:space="preserve">La tabla de dependencias en sentido inverso —«cláusulas que no pueden incorporarse solas»— es explícita: si se incorpora ADM-2·v3, es obligatorio incorporar también «</w:t>
      </w:r>
      <w:r>
        <w:rPr>
          <w:rFonts w:ascii="Georgia" w:cs="Georgia" w:eastAsia="Georgia" w:hAnsi="Georgia"/>
          <w:b/>
          <w:bCs/>
          <w:i/>
          <w:iCs/>
          <w:color w:val="595959"/>
          <w:sz w:val="20"/>
          <w:szCs w:val="20"/>
        </w:rPr>
        <w:t xml:space="preserve">DT-9·v3 y el Anexo V transcrito (sin catálogo, la condición especial de ejecución carece de alcance)</w:t>
      </w:r>
      <w:r>
        <w:rPr>
          <w:rFonts w:ascii="Georgia" w:cs="Georgia" w:eastAsia="Georgia" w:hAnsi="Georgia"/>
          <w:i/>
          <w:iCs/>
          <w:color w:val="595959"/>
          <w:sz w:val="20"/>
          <w:szCs w:val="20"/>
        </w:rPr>
        <w:t xml:space="preserve">».</w:t>
      </w:r>
    </w:p>
    <w:p>
      <w:pPr>
        <w:pBdr>
          <w:left w:val="single" w:color="BFBFBF" w:sz="12" w:space="8"/>
        </w:pBdr>
        <w:spacing w:after="140" w:line="264"/>
        <w:ind w:left="400"/>
      </w:pPr>
      <w:r>
        <w:rPr>
          <w:rFonts w:ascii="Georgia" w:cs="Georgia" w:eastAsia="Georgia" w:hAnsi="Georgia"/>
          <w:i/>
          <w:iCs/>
          <w:color w:val="595959"/>
          <w:sz w:val="20"/>
          <w:szCs w:val="20"/>
        </w:rPr>
        <w:t xml:space="preserve">Consecuencia práctica: el mínimo son seis cláusulas </w:t>
      </w:r>
      <w:r>
        <w:rPr>
          <w:rFonts w:ascii="Georgia" w:cs="Georgia" w:eastAsia="Georgia" w:hAnsi="Georgia"/>
          <w:i/>
          <w:iCs/>
          <w:color w:val="595959"/>
          <w:sz w:val="20"/>
          <w:szCs w:val="20"/>
        </w:rPr>
        <w:t xml:space="preserve">del PCAP y del PPT</w:t>
      </w:r>
      <w:r>
        <w:rPr>
          <w:rFonts w:ascii="Georgia" w:cs="Georgia" w:eastAsia="Georgia" w:hAnsi="Georgia"/>
          <w:i/>
          <w:iCs/>
          <w:color w:val="595959"/>
          <w:sz w:val="20"/>
          <w:szCs w:val="20"/>
        </w:rPr>
        <w:t xml:space="preserve">, pero el expediente maneja siete piezas —ocho si intervienen sistemas de inteligencia artificial: véase la letra c)—. Y DT-9 trae consigo la advertencia del contraste de mercado, que, como se ve más abajo, es en sí misma una de las mayores ventajas.</w:t>
      </w:r>
    </w:p>
    <w:p>
      <w:pPr>
        <w:pBdr>
          <w:left w:val="single" w:color="BFBFBF" w:sz="12" w:space="8"/>
        </w:pBdr>
        <w:spacing w:after="140" w:line="264"/>
        <w:ind w:left="400"/>
      </w:pPr>
      <w:r>
        <w:rPr>
          <w:rFonts w:ascii="Georgia" w:cs="Georgia" w:eastAsia="Georgia" w:hAnsi="Georgia"/>
          <w:i/>
          <w:iCs/>
          <w:color w:val="595959"/>
          <w:sz w:val="20"/>
          <w:szCs w:val="20"/>
        </w:rPr>
        <w:t xml:space="preserve">Hay una pieza más que depende del Anexo V que se elija. DT-7·v3 no figura en la lista del mínimo, pero si el Anexo V que se transcribe es el del propio catálogo para 2026-2027, entra con él: sus tres exigencias —ET-1, la interfaz normalizada; ET-2, la operación autónoma supervisada; y ET-3, la trazabilidad de la actuación de agentes— dependen de ella, y si DT-7·v3 se marca NO APLICA se suprimen (Anexo VI, fila DT-7·v3). Un Anexo V propio cuyas exigencias no dependan de ella no la arrastra.</w:t>
      </w:r>
    </w:p>
    <w:p>
      <w:pPr>
        <w:pBdr>
          <w:left w:val="single" w:color="BFBFBF" w:sz="12" w:space="8"/>
        </w:pBdr>
        <w:spacing w:after="140" w:line="264"/>
        <w:ind w:left="400"/>
      </w:pPr>
      <w:r>
        <w:rPr>
          <w:rFonts w:ascii="Georgia" w:cs="Georgia" w:eastAsia="Georgia" w:hAnsi="Georgia"/>
          <w:b/>
          <w:bCs/>
          <w:i/>
          <w:iCs/>
          <w:color w:val="595959"/>
          <w:sz w:val="20"/>
          <w:szCs w:val="20"/>
        </w:rPr>
        <w:t xml:space="preserve">b) ADM-4·v3 no está en el mínimo, y ADM-2·v3 se apoya en sus actas</w:t>
      </w:r>
    </w:p>
    <w:p>
      <w:pPr>
        <w:pBdr>
          <w:left w:val="single" w:color="BFBFBF" w:sz="12" w:space="8"/>
        </w:pBdr>
        <w:spacing w:after="140" w:line="264"/>
        <w:ind w:left="400"/>
      </w:pPr>
      <w:r>
        <w:rPr>
          <w:rFonts w:ascii="Georgia" w:cs="Georgia" w:eastAsia="Georgia" w:hAnsi="Georgia"/>
          <w:i/>
          <w:iCs/>
          <w:color w:val="595959"/>
          <w:sz w:val="20"/>
          <w:szCs w:val="20"/>
        </w:rPr>
        <w:t xml:space="preserve">La misma tabla advierte de que, si ADM-4·v3 se marca NO APLICA, decae el «valor probatorio de las actas en el sistema de acreditación de ADM-2·v3», y «</w:t>
      </w:r>
      <w:r>
        <w:rPr>
          <w:rFonts w:ascii="Georgia" w:cs="Georgia" w:eastAsia="Georgia" w:hAnsi="Georgia"/>
          <w:b/>
          <w:bCs/>
          <w:i/>
          <w:iCs/>
          <w:color w:val="595959"/>
          <w:sz w:val="20"/>
          <w:szCs w:val="20"/>
        </w:rPr>
        <w:t xml:space="preserve">hay que sustituirlo por otro medio tasado</w:t>
      </w:r>
      <w:r>
        <w:rPr>
          <w:rFonts w:ascii="Georgia" w:cs="Georgia" w:eastAsia="Georgia" w:hAnsi="Georgia"/>
          <w:i/>
          <w:iCs/>
          <w:color w:val="595959"/>
          <w:sz w:val="20"/>
          <w:szCs w:val="20"/>
        </w:rPr>
        <w:t xml:space="preserve">».</w:t>
      </w:r>
    </w:p>
    <w:p>
      <w:pPr>
        <w:pBdr>
          <w:left w:val="single" w:color="BFBFBF" w:sz="12" w:space="8"/>
        </w:pBdr>
        <w:spacing w:after="140" w:line="264"/>
        <w:ind w:left="400"/>
      </w:pPr>
      <w:r>
        <w:rPr>
          <w:rFonts w:ascii="Georgia" w:cs="Georgia" w:eastAsia="Georgia" w:hAnsi="Georgia"/>
          <w:i/>
          <w:iCs/>
          <w:color w:val="595959"/>
          <w:sz w:val="20"/>
          <w:szCs w:val="20"/>
        </w:rPr>
        <w:t xml:space="preserve">ADM-2·v3 ap. 7 admite cinco medios de acreditación, de los cuales uno es el acta de la Comisión de Seguimiento (letra d). Si no se incorpora ADM-4·v3, hay que apoyarse en los otros cuatro —acta de prueba de aceptación municipal, certificado o nota técnica del fabricante, acta de despliegue verificado y depósito de evidencias en el repositorio documental del contrato— y decirlo expresamente en el pliego. </w:t>
      </w:r>
      <w:r>
        <w:rPr>
          <w:rFonts w:ascii="Georgia" w:cs="Georgia" w:eastAsia="Georgia" w:hAnsi="Georgia"/>
          <w:b/>
          <w:bCs/>
          <w:i/>
          <w:iCs/>
          <w:color w:val="595959"/>
          <w:sz w:val="20"/>
          <w:szCs w:val="20"/>
        </w:rPr>
        <w:t xml:space="preserve">No es un problema; es un párrafo que hay que escribir y que se olvida.</w:t>
      </w:r>
    </w:p>
    <w:p>
      <w:pPr>
        <w:pBdr>
          <w:left w:val="single" w:color="BFBFBF" w:sz="12" w:space="8"/>
        </w:pBdr>
        <w:spacing w:after="140" w:line="264"/>
        <w:ind w:left="400"/>
      </w:pPr>
      <w:r>
        <w:rPr>
          <w:rFonts w:ascii="Georgia" w:cs="Georgia" w:eastAsia="Georgia" w:hAnsi="Georgia"/>
          <w:b/>
          <w:bCs/>
          <w:i/>
          <w:iCs/>
          <w:color w:val="595959"/>
          <w:sz w:val="20"/>
          <w:szCs w:val="20"/>
        </w:rPr>
        <w:t xml:space="preserve">c) Las horas del mínimo, y DT-1·v3</w:t>
      </w:r>
    </w:p>
    <w:p>
      <w:pPr>
        <w:pBdr>
          <w:left w:val="single" w:color="BFBFBF" w:sz="12" w:space="8"/>
        </w:pBdr>
        <w:spacing w:after="140" w:line="264"/>
        <w:ind w:left="400"/>
      </w:pPr>
      <w:r>
        <w:rPr>
          <w:rFonts w:ascii="Georgia" w:cs="Georgia" w:eastAsia="Georgia" w:hAnsi="Georgia"/>
          <w:i/>
          <w:iCs/>
          <w:color w:val="595959"/>
          <w:sz w:val="20"/>
          <w:szCs w:val="20"/>
        </w:rPr>
        <w:t xml:space="preserve">La versión 3.0 del catálogo contenía </w:t>
      </w:r>
      <w:r>
        <w:rPr>
          <w:rFonts w:ascii="Georgia" w:cs="Georgia" w:eastAsia="Georgia" w:hAnsi="Georgia"/>
          <w:b/>
          <w:bCs/>
          <w:i/>
          <w:iCs/>
          <w:color w:val="595959"/>
          <w:sz w:val="20"/>
          <w:szCs w:val="20"/>
        </w:rPr>
        <w:t xml:space="preserve">dos mínimos distintos</w:t>
      </w:r>
      <w:r>
        <w:rPr>
          <w:rFonts w:ascii="Georgia" w:cs="Georgia" w:eastAsia="Georgia" w:hAnsi="Georgia"/>
          <w:i/>
          <w:iCs/>
          <w:color w:val="595959"/>
          <w:sz w:val="20"/>
          <w:szCs w:val="20"/>
        </w:rPr>
        <w:t xml:space="preserve">: el subconjunto mínimo del §VI.2.2, para elegir con qué cláusulas empezar, y un </w:t>
      </w:r>
      <w:r>
        <w:rPr>
          <w:rFonts w:ascii="Georgia" w:cs="Georgia" w:eastAsia="Georgia" w:hAnsi="Georgia"/>
          <w:i/>
          <w:iCs/>
          <w:color w:val="595959"/>
          <w:sz w:val="20"/>
          <w:szCs w:val="20"/>
        </w:rPr>
        <w:t xml:space="preserve">núcleo mínimo verificable</w:t>
      </w:r>
      <w:r>
        <w:rPr>
          <w:rFonts w:ascii="Georgia" w:cs="Georgia" w:eastAsia="Georgia" w:hAnsi="Georgia"/>
          <w:i/>
          <w:iCs/>
          <w:color w:val="595959"/>
          <w:sz w:val="20"/>
          <w:szCs w:val="20"/>
        </w:rPr>
        <w:t xml:space="preserve"> en la Parte III, ADM-4·v3, para calcular la carga de verificación. Sólo coincidían en ADM-2 y ADM-12, y la cifra de 25 horas al año que circulaba asociada al mínimo pertenecía al segundo, no a las seis cláusulas.</w:t>
      </w:r>
    </w:p>
    <w:p>
      <w:pPr>
        <w:pBdr>
          <w:left w:val="single" w:color="BFBFBF" w:sz="12" w:space="8"/>
        </w:pBdr>
        <w:spacing w:after="140" w:line="264"/>
        <w:ind w:left="400"/>
      </w:pPr>
      <w:r>
        <w:rPr>
          <w:rFonts w:ascii="Georgia" w:cs="Georgia" w:eastAsia="Georgia" w:hAnsi="Georgia"/>
          <w:i/>
          <w:iCs/>
          <w:color w:val="595959"/>
          <w:sz w:val="20"/>
          <w:szCs w:val="20"/>
        </w:rPr>
        <w:t xml:space="preserve">Hoy hay un único mínimo, el del §VI.2.2, y su carga de verificación es de </w:t>
      </w:r>
      <w:r>
        <w:rPr>
          <w:rFonts w:ascii="Georgia" w:cs="Georgia" w:eastAsia="Georgia" w:hAnsi="Georgia"/>
          <w:b/>
          <w:bCs/>
          <w:i/>
          <w:iCs/>
          <w:color w:val="595959"/>
          <w:sz w:val="20"/>
          <w:szCs w:val="20"/>
        </w:rPr>
        <w:t xml:space="preserve">20 a 24 horas al año en régimen ordinario y de 44 a 60 el primer año</w:t>
      </w:r>
      <w:r>
        <w:rPr>
          <w:rFonts w:ascii="Georgia" w:cs="Georgia" w:eastAsia="Georgia" w:hAnsi="Georgia"/>
          <w:i/>
          <w:iCs/>
          <w:color w:val="595959"/>
          <w:sz w:val="20"/>
          <w:szCs w:val="20"/>
        </w:rPr>
        <w:t xml:space="preserve"> (Parte III, ADM-4·v3, epígrafe 5). En la versión 4.0, cuando en el contrato intervienen sistemas de inteligencia artificial, el mínimo suma DT-1·v3 (al menos sus apartados 2 y 6), con 12 a 20 horas más al año y 16 a 28 el primer año; y si se incorporan sus apartados 11 a 13, otras 3 al año y 12 a 16 el primer año en el nivel B. Con el Anexo V del propio catálogo suma además DT-7·v3, y la carga es la de esa combinación: de 24 a 28 horas al año y de 56 a 76 el primer año, o de 36 a 48 y de 72 a 104 si interviene también DT-1·v3.</w:t>
      </w:r>
    </w:p>
    <w:p>
      <w:r>
        <w:br w:type="page"/>
      </w:r>
    </w:p>
    <w:p>
      <w:pPr>
        <w:pStyle w:val="Heading1"/>
        <w:keepNext/>
        <w:spacing w:after="240" w:before="200"/>
      </w:pPr>
      <w:r>
        <w:rPr>
          <w:rFonts w:ascii="Georgia" w:cs="Georgia" w:eastAsia="Georgia" w:hAnsi="Georgia"/>
          <w:b/>
          <w:bCs/>
          <w:color w:val="1F3864"/>
          <w:sz w:val="34"/>
          <w:szCs w:val="34"/>
        </w:rPr>
        <w:t xml:space="preserve">3 · Las ventajas, consolidadas</w:t>
      </w:r>
    </w:p>
    <w:p>
      <w:pPr>
        <w:spacing w:after="140" w:line="276"/>
      </w:pPr>
      <w:r>
        <w:rPr>
          <w:rFonts w:ascii="Calibri" w:cs="Calibri" w:eastAsia="Calibri" w:hAnsi="Calibri"/>
          <w:sz w:val="21"/>
          <w:szCs w:val="21"/>
        </w:rPr>
        <w:t xml:space="preserve">Se separan según estén dentro del mínimo o requieran cláusulas de fuera. Las marcadas </w:t>
      </w:r>
      <w:r>
        <w:rPr>
          <w:rFonts w:ascii="Calibri" w:cs="Calibri" w:eastAsia="Calibri" w:hAnsi="Calibri"/>
          <w:i/>
          <w:iCs/>
          <w:sz w:val="21"/>
          <w:szCs w:val="21"/>
        </w:rPr>
        <w:t xml:space="preserve">Nueva</w:t>
      </w:r>
      <w:r>
        <w:rPr>
          <w:rFonts w:ascii="Calibri" w:cs="Calibri" w:eastAsia="Calibri" w:hAnsi="Calibri"/>
          <w:sz w:val="21"/>
          <w:szCs w:val="21"/>
        </w:rPr>
        <w:t xml:space="preserve"> no figuran entre las seis agilizaciones del documento complementario «Qué agiliza el catálogo y qué no».</w:t>
      </w:r>
    </w:p>
    <w:p>
      <w:pPr>
        <w:pStyle w:val="Heading2"/>
        <w:keepNext/>
        <w:spacing w:after="140" w:before="320"/>
      </w:pPr>
      <w:r>
        <w:rPr>
          <w:rFonts w:ascii="Georgia" w:cs="Georgia" w:eastAsia="Georgia" w:hAnsi="Georgia"/>
          <w:b/>
          <w:bCs/>
          <w:color w:val="1F3864"/>
          <w:sz w:val="26"/>
          <w:szCs w:val="26"/>
        </w:rPr>
        <w:t xml:space="preserve">3.1 · Las que aporta el mínimo por sí solo</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Ventaja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Cláusula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Qué evita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 hay expediente de modificación</w:t>
            </w:r>
            <w:r>
              <w:rPr>
                <w:rFonts w:ascii="Calibri" w:cs="Calibri" w:eastAsia="Calibri" w:hAnsi="Calibri"/>
                <w:b w:val="false"/>
                <w:bCs w:val="false"/>
                <w:sz w:val="18"/>
                <w:szCs w:val="18"/>
              </w:rPr>
              <w:t xml:space="preserve"> para lo que está en el Anexo V</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ADM-2, ap. 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expediente de modificación completo: informe, fiscalización, audiencia, acuerdo, publicación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Las versiones sucesoras entran sin coste</w:t>
            </w:r>
            <w:r>
              <w:rPr>
                <w:rFonts w:ascii="Calibri" w:cs="Calibri" w:eastAsia="Calibri" w:hAnsi="Calibri"/>
                <w:b w:val="false"/>
                <w:bCs w:val="false"/>
                <w:sz w:val="18"/>
                <w:szCs w:val="18"/>
              </w:rPr>
              <w:t xml:space="preserve"> y sin nueva contratación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ADM-2, ap. 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Pagar dos veces por la misma función, o negociarla cada vez</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 se reabren contratos vivos:</w:t>
            </w:r>
            <w:r>
              <w:rPr>
                <w:rFonts w:ascii="Calibri" w:cs="Calibri" w:eastAsia="Calibri" w:hAnsi="Calibri"/>
                <w:b w:val="false"/>
                <w:bCs w:val="false"/>
                <w:sz w:val="18"/>
                <w:szCs w:val="18"/>
              </w:rPr>
              <w:t xml:space="preserve"> el Anexo es invariable durante el contrato y sus prórrogas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ADM-2, ap. 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Que cada revisión anual del catálogo obligue a revisar la cartera de contratos en ejecución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El contraste de mercado se hace una vez al año y se reutiliza</w:t>
            </w:r>
            <w:r>
              <w:rPr>
                <w:rFonts w:ascii="Calibri" w:cs="Calibri" w:eastAsia="Calibri" w:hAnsi="Calibri"/>
                <w:b w:val="false"/>
                <w:bCs w:val="false"/>
                <w:sz w:val="18"/>
                <w:szCs w:val="18"/>
              </w:rPr>
              <w:t xml:space="preserve"> en cada expediente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DT-9, epígrafe 3, advertencia de expediente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Repetir la consulta preliminar por expediente, «inasumible para un servicio de contratación, y quien lo intente acabará no haciéndolo»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5</w:t>
            </w:r>
          </w:p>
        </w:tc>
        <w:tc>
          <w:tcPr>
            <w:tcMar>
              <w:top w:type="dxa" w:w="60"/>
              <w:left w:type="dxa" w:w="100"/>
              <w:bottom w:type="dxa" w:w="60"/>
              <w:right w:type="dxa" w:w="100"/>
            </w:tcMar>
          </w:tcPr>
          <w:p>
            <w:pPr>
              <w:spacing w:after="0" w:line="240"/>
            </w:pPr>
            <w:r>
              <w:rPr>
                <w:rFonts w:ascii="Calibri" w:cs="Calibri" w:eastAsia="Calibri" w:hAnsi="Calibri"/>
                <w:b w:val="false"/>
                <w:bCs w:val="false"/>
                <w:i/>
                <w:iCs/>
                <w:sz w:val="18"/>
                <w:szCs w:val="18"/>
              </w:rPr>
              <w:t xml:space="preserve">Nueva</w:t>
            </w:r>
            <w:r>
              <w:rPr>
                <w:rFonts w:ascii="Calibri" w:cs="Calibri" w:eastAsia="Calibri" w:hAnsi="Calibri"/>
                <w:b w:val="false"/>
                <w:bCs w:val="false"/>
                <w:sz w:val="18"/>
                <w:szCs w:val="18"/>
              </w:rPr>
              <w:t xml:space="preserve"> · </w:t>
            </w:r>
            <w:r>
              <w:rPr>
                <w:rFonts w:ascii="Calibri" w:cs="Calibri" w:eastAsia="Calibri" w:hAnsi="Calibri"/>
                <w:b/>
                <w:bCs/>
                <w:sz w:val="18"/>
                <w:szCs w:val="18"/>
              </w:rPr>
              <w:t xml:space="preserve">El rechazo de un equivalente está tasado y motivado:</w:t>
            </w:r>
            <w:r>
              <w:rPr>
                <w:rFonts w:ascii="Calibri" w:cs="Calibri" w:eastAsia="Calibri" w:hAnsi="Calibri"/>
                <w:b w:val="false"/>
                <w:bCs w:val="false"/>
                <w:sz w:val="18"/>
                <w:szCs w:val="18"/>
              </w:rPr>
              <w:t xml:space="preserve"> hay que decir cuál de las tres condiciones falla y con qué prueba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DT-0, ap. 3 y 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rechazo por apreciación, que es de los que se recurren y prosperan; y la discusión posterior sobre qué era «equivalente»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w:t>
            </w:r>
          </w:p>
        </w:tc>
        <w:tc>
          <w:tcPr>
            <w:tcMar>
              <w:top w:type="dxa" w:w="60"/>
              <w:left w:type="dxa" w:w="100"/>
              <w:bottom w:type="dxa" w:w="60"/>
              <w:right w:type="dxa" w:w="100"/>
            </w:tcMar>
          </w:tcPr>
          <w:p>
            <w:pPr>
              <w:spacing w:after="0" w:line="240"/>
            </w:pPr>
            <w:r>
              <w:rPr>
                <w:rFonts w:ascii="Calibri" w:cs="Calibri" w:eastAsia="Calibri" w:hAnsi="Calibri"/>
                <w:b w:val="false"/>
                <w:bCs w:val="false"/>
                <w:i/>
                <w:iCs/>
                <w:sz w:val="18"/>
                <w:szCs w:val="18"/>
              </w:rPr>
              <w:t xml:space="preserve">Nueva</w:t>
            </w:r>
            <w:r>
              <w:rPr>
                <w:rFonts w:ascii="Calibri" w:cs="Calibri" w:eastAsia="Calibri" w:hAnsi="Calibri"/>
                <w:b w:val="false"/>
                <w:bCs w:val="false"/>
                <w:sz w:val="18"/>
                <w:szCs w:val="18"/>
              </w:rPr>
              <w:t xml:space="preserve"> · </w:t>
            </w:r>
            <w:r>
              <w:rPr>
                <w:rFonts w:ascii="Calibri" w:cs="Calibri" w:eastAsia="Calibri" w:hAnsi="Calibri"/>
                <w:b/>
                <w:bCs/>
                <w:sz w:val="18"/>
                <w:szCs w:val="18"/>
              </w:rPr>
              <w:t xml:space="preserve">La prueba de equivalencia viaja en la oferta</w:t>
            </w:r>
            <w:r>
              <w:rPr>
                <w:rFonts w:ascii="Calibri" w:cs="Calibri" w:eastAsia="Calibri" w:hAnsi="Calibri"/>
                <w:b w:val="false"/>
                <w:bCs w:val="false"/>
                <w:sz w:val="18"/>
                <w:szCs w:val="18"/>
              </w:rPr>
              <w:t xml:space="preserve">, condición por condición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DT-0, ap. 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requerimiento de subsanación y el ir y venir de documentación después de abrir sobres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7</w:t>
            </w:r>
          </w:p>
        </w:tc>
        <w:tc>
          <w:tcPr>
            <w:tcMar>
              <w:top w:type="dxa" w:w="60"/>
              <w:left w:type="dxa" w:w="100"/>
              <w:bottom w:type="dxa" w:w="60"/>
              <w:right w:type="dxa" w:w="100"/>
            </w:tcMar>
          </w:tcPr>
          <w:p>
            <w:pPr>
              <w:spacing w:after="0" w:line="240"/>
            </w:pPr>
            <w:r>
              <w:rPr>
                <w:rFonts w:ascii="Calibri" w:cs="Calibri" w:eastAsia="Calibri" w:hAnsi="Calibri"/>
                <w:b w:val="false"/>
                <w:bCs w:val="false"/>
                <w:i/>
                <w:iCs/>
                <w:sz w:val="18"/>
                <w:szCs w:val="18"/>
              </w:rPr>
              <w:t xml:space="preserve">Nueva</w:t>
            </w:r>
            <w:r>
              <w:rPr>
                <w:rFonts w:ascii="Calibri" w:cs="Calibri" w:eastAsia="Calibri" w:hAnsi="Calibri"/>
                <w:b w:val="false"/>
                <w:bCs w:val="false"/>
                <w:sz w:val="18"/>
                <w:szCs w:val="18"/>
              </w:rPr>
              <w:t xml:space="preserve"> · </w:t>
            </w:r>
            <w:r>
              <w:rPr>
                <w:rFonts w:ascii="Calibri" w:cs="Calibri" w:eastAsia="Calibri" w:hAnsi="Calibri"/>
                <w:b/>
                <w:bCs/>
                <w:sz w:val="18"/>
                <w:szCs w:val="18"/>
              </w:rPr>
              <w:t xml:space="preserve">Un pliego heredado se desactiva solo:</w:t>
            </w:r>
            <w:r>
              <w:rPr>
                <w:rFonts w:ascii="Calibri" w:cs="Calibri" w:eastAsia="Calibri" w:hAnsi="Calibri"/>
                <w:b w:val="false"/>
                <w:bCs w:val="false"/>
                <w:sz w:val="18"/>
                <w:szCs w:val="18"/>
              </w:rPr>
              <w:t xml:space="preserve"> prevalece la formulación funcional sobre cualquier producto citado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DT-0, ap. 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Que la descripción del producto del ayuntamiento de origen sobreviva a la traducción a «requisitos funcionales» y restrinja la concurrencia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8</w:t>
            </w:r>
          </w:p>
        </w:tc>
        <w:tc>
          <w:tcPr>
            <w:tcMar>
              <w:top w:type="dxa" w:w="60"/>
              <w:left w:type="dxa" w:w="100"/>
              <w:bottom w:type="dxa" w:w="60"/>
              <w:right w:type="dxa" w:w="100"/>
            </w:tcMar>
          </w:tcPr>
          <w:p>
            <w:pPr>
              <w:spacing w:after="0" w:line="240"/>
            </w:pPr>
            <w:r>
              <w:rPr>
                <w:rFonts w:ascii="Calibri" w:cs="Calibri" w:eastAsia="Calibri" w:hAnsi="Calibri"/>
                <w:b w:val="false"/>
                <w:bCs w:val="false"/>
                <w:i/>
                <w:iCs/>
                <w:sz w:val="18"/>
                <w:szCs w:val="18"/>
              </w:rPr>
              <w:t xml:space="preserve">Nueva</w:t>
            </w:r>
            <w:r>
              <w:rPr>
                <w:rFonts w:ascii="Calibri" w:cs="Calibri" w:eastAsia="Calibri" w:hAnsi="Calibri"/>
                <w:b w:val="false"/>
                <w:bCs w:val="false"/>
                <w:sz w:val="18"/>
                <w:szCs w:val="18"/>
              </w:rPr>
              <w:t xml:space="preserve"> · </w:t>
            </w:r>
            <w:r>
              <w:rPr>
                <w:rFonts w:ascii="Calibri" w:cs="Calibri" w:eastAsia="Calibri" w:hAnsi="Calibri"/>
                <w:b/>
                <w:bCs/>
                <w:sz w:val="18"/>
                <w:szCs w:val="18"/>
              </w:rPr>
              <w:t xml:space="preserve">El órgano interventor consulta sin pedir nada al contratista y sin pagar:</w:t>
            </w:r>
            <w:r>
              <w:rPr>
                <w:rFonts w:ascii="Calibri" w:cs="Calibri" w:eastAsia="Calibri" w:hAnsi="Calibri"/>
                <w:b w:val="false"/>
                <w:bCs w:val="false"/>
                <w:sz w:val="18"/>
                <w:szCs w:val="18"/>
              </w:rPr>
              <w:t xml:space="preserve"> accesos incluidos en el precio, exportación sin coste por consulta, diccionario de datos que permite interpretar sin su asistencia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ADM-12, ap. 1 a 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Cada extracción convertida en una petición al proveedor, con su plazo y su factura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9</w:t>
            </w:r>
          </w:p>
        </w:tc>
        <w:tc>
          <w:tcPr>
            <w:tcMar>
              <w:top w:type="dxa" w:w="60"/>
              <w:left w:type="dxa" w:w="100"/>
              <w:bottom w:type="dxa" w:w="60"/>
              <w:right w:type="dxa" w:w="100"/>
            </w:tcMar>
          </w:tcPr>
          <w:p>
            <w:pPr>
              <w:spacing w:after="0" w:line="240"/>
            </w:pPr>
            <w:r>
              <w:rPr>
                <w:rFonts w:ascii="Calibri" w:cs="Calibri" w:eastAsia="Calibri" w:hAnsi="Calibri"/>
                <w:b w:val="false"/>
                <w:bCs w:val="false"/>
                <w:i/>
                <w:iCs/>
                <w:sz w:val="18"/>
                <w:szCs w:val="18"/>
              </w:rPr>
              <w:t xml:space="preserve">Nueva</w:t>
            </w:r>
            <w:r>
              <w:rPr>
                <w:rFonts w:ascii="Calibri" w:cs="Calibri" w:eastAsia="Calibri" w:hAnsi="Calibri"/>
                <w:b w:val="false"/>
                <w:bCs w:val="false"/>
                <w:sz w:val="18"/>
                <w:szCs w:val="18"/>
              </w:rPr>
              <w:t xml:space="preserve"> · </w:t>
            </w:r>
            <w:r>
              <w:rPr>
                <w:rFonts w:ascii="Calibri" w:cs="Calibri" w:eastAsia="Calibri" w:hAnsi="Calibri"/>
                <w:b/>
                <w:bCs/>
                <w:sz w:val="18"/>
                <w:szCs w:val="18"/>
              </w:rPr>
              <w:t xml:space="preserve">La titularidad no se discute:</w:t>
            </w:r>
            <w:r>
              <w:rPr>
                <w:rFonts w:ascii="Calibri" w:cs="Calibri" w:eastAsia="Calibri" w:hAnsi="Calibri"/>
                <w:b w:val="false"/>
                <w:bCs w:val="false"/>
                <w:sz w:val="18"/>
                <w:szCs w:val="18"/>
              </w:rPr>
              <w:t xml:space="preserve"> en defecto de Inventario, lo que el adjudicatario no acredite como preexistente es del Ayuntamiento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ADM-8, ap. 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discusión, al final del contrato y sin tiempo, sobre qué parte del sistema es del municipio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10</w:t>
            </w:r>
          </w:p>
        </w:tc>
        <w:tc>
          <w:tcPr>
            <w:tcMar>
              <w:top w:type="dxa" w:w="60"/>
              <w:left w:type="dxa" w:w="100"/>
              <w:bottom w:type="dxa" w:w="60"/>
              <w:right w:type="dxa" w:w="100"/>
            </w:tcMar>
          </w:tcPr>
          <w:p>
            <w:pPr>
              <w:spacing w:after="0" w:line="240"/>
            </w:pPr>
            <w:r>
              <w:rPr>
                <w:rFonts w:ascii="Calibri" w:cs="Calibri" w:eastAsia="Calibri" w:hAnsi="Calibri"/>
                <w:b w:val="false"/>
                <w:bCs w:val="false"/>
                <w:i/>
                <w:iCs/>
                <w:sz w:val="18"/>
                <w:szCs w:val="18"/>
              </w:rPr>
              <w:t xml:space="preserve">Nueva</w:t>
            </w:r>
            <w:r>
              <w:rPr>
                <w:rFonts w:ascii="Calibri" w:cs="Calibri" w:eastAsia="Calibri" w:hAnsi="Calibri"/>
                <w:b w:val="false"/>
                <w:bCs w:val="false"/>
                <w:sz w:val="18"/>
                <w:szCs w:val="18"/>
              </w:rPr>
              <w:t xml:space="preserve"> · </w:t>
            </w:r>
            <w:r>
              <w:rPr>
                <w:rFonts w:ascii="Calibri" w:cs="Calibri" w:eastAsia="Calibri" w:hAnsi="Calibri"/>
                <w:b/>
                <w:bCs/>
                <w:sz w:val="18"/>
                <w:szCs w:val="18"/>
              </w:rPr>
              <w:t xml:space="preserve">La licencia mínima existe aunque el pliego calle:</w:t>
            </w:r>
            <w:r>
              <w:rPr>
                <w:rFonts w:ascii="Calibri" w:cs="Calibri" w:eastAsia="Calibri" w:hAnsi="Calibri"/>
                <w:b w:val="false"/>
                <w:bCs w:val="false"/>
                <w:sz w:val="18"/>
                <w:szCs w:val="18"/>
              </w:rPr>
              <w:t xml:space="preserve"> «como mínimo aunque este pliego no disponga otra cosa»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ADM-8, ap. 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Que un pliego incompleto deje al Ayuntamiento sin derecho de uso durante la reversión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11</w:t>
            </w:r>
          </w:p>
        </w:tc>
        <w:tc>
          <w:tcPr>
            <w:tcMar>
              <w:top w:type="dxa" w:w="60"/>
              <w:left w:type="dxa" w:w="100"/>
              <w:bottom w:type="dxa" w:w="60"/>
              <w:right w:type="dxa" w:w="100"/>
            </w:tcMar>
          </w:tcPr>
          <w:p>
            <w:pPr>
              <w:spacing w:after="0" w:line="240"/>
            </w:pPr>
            <w:r>
              <w:rPr>
                <w:rFonts w:ascii="Calibri" w:cs="Calibri" w:eastAsia="Calibri" w:hAnsi="Calibri"/>
                <w:b w:val="false"/>
                <w:bCs w:val="false"/>
                <w:i/>
                <w:iCs/>
                <w:sz w:val="18"/>
                <w:szCs w:val="18"/>
              </w:rPr>
              <w:t xml:space="preserve">Nueva</w:t>
            </w:r>
            <w:r>
              <w:rPr>
                <w:rFonts w:ascii="Calibri" w:cs="Calibri" w:eastAsia="Calibri" w:hAnsi="Calibri"/>
                <w:b w:val="false"/>
                <w:bCs w:val="false"/>
                <w:sz w:val="18"/>
                <w:szCs w:val="18"/>
              </w:rPr>
              <w:t xml:space="preserve"> · </w:t>
            </w:r>
            <w:r>
              <w:rPr>
                <w:rFonts w:ascii="Calibri" w:cs="Calibri" w:eastAsia="Calibri" w:hAnsi="Calibri"/>
                <w:b/>
                <w:bCs/>
                <w:sz w:val="18"/>
                <w:szCs w:val="18"/>
              </w:rPr>
              <w:t xml:space="preserve">El ENS no cierra la licitación:</w:t>
            </w:r>
            <w:r>
              <w:rPr>
                <w:rFonts w:ascii="Calibri" w:cs="Calibri" w:eastAsia="Calibri" w:hAnsi="Calibri"/>
                <w:b w:val="false"/>
                <w:bCs w:val="false"/>
                <w:sz w:val="18"/>
                <w:szCs w:val="18"/>
              </w:rPr>
              <w:t xml:space="preserve"> 6 meses para obtener la acreditación, aplicando entretanto las medidas de la categoría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DT-6, ap. 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Excluir a licitadores solventes por un certificado en trámite, y el recurso que eso genera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w:t>
            </w:r>
          </w:p>
        </w:tc>
        <w:tc>
          <w:tcPr>
            <w:tcMar>
              <w:top w:type="dxa" w:w="60"/>
              <w:left w:type="dxa" w:w="100"/>
              <w:bottom w:type="dxa" w:w="60"/>
              <w:right w:type="dxa" w:w="100"/>
            </w:tcMar>
          </w:tcPr>
          <w:p>
            <w:pPr>
              <w:spacing w:after="0" w:line="240"/>
            </w:pPr>
            <w:r>
              <w:rPr>
                <w:rFonts w:ascii="Calibri" w:cs="Calibri" w:eastAsia="Calibri" w:hAnsi="Calibri"/>
                <w:b w:val="false"/>
                <w:bCs w:val="false"/>
                <w:i/>
                <w:iCs/>
                <w:sz w:val="18"/>
                <w:szCs w:val="18"/>
              </w:rPr>
              <w:t xml:space="preserve">Nueva</w:t>
            </w:r>
            <w:r>
              <w:rPr>
                <w:rFonts w:ascii="Calibri" w:cs="Calibri" w:eastAsia="Calibri" w:hAnsi="Calibri"/>
                <w:b w:val="false"/>
                <w:bCs w:val="false"/>
                <w:sz w:val="18"/>
                <w:szCs w:val="18"/>
              </w:rPr>
              <w:t xml:space="preserve"> · </w:t>
            </w:r>
            <w:r>
              <w:rPr>
                <w:rFonts w:ascii="Calibri" w:cs="Calibri" w:eastAsia="Calibri" w:hAnsi="Calibri"/>
                <w:b/>
                <w:bCs/>
                <w:sz w:val="18"/>
                <w:szCs w:val="18"/>
              </w:rPr>
              <w:t xml:space="preserve">La categoría ENS se motiva, no se declara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DT-6, ap. 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vicio exacto de la Resolución 383/2024 del TACP de Madrid: exigir Nivel Alto sin el análisis que lo sostiene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13</w:t>
            </w:r>
          </w:p>
        </w:tc>
        <w:tc>
          <w:tcPr>
            <w:tcMar>
              <w:top w:type="dxa" w:w="60"/>
              <w:left w:type="dxa" w:w="100"/>
              <w:bottom w:type="dxa" w:w="60"/>
              <w:right w:type="dxa" w:w="100"/>
            </w:tcMar>
          </w:tcPr>
          <w:p>
            <w:pPr>
              <w:spacing w:after="0" w:line="240"/>
            </w:pPr>
            <w:r>
              <w:rPr>
                <w:rFonts w:ascii="Calibri" w:cs="Calibri" w:eastAsia="Calibri" w:hAnsi="Calibri"/>
                <w:b w:val="false"/>
                <w:bCs w:val="false"/>
                <w:i/>
                <w:iCs/>
                <w:sz w:val="18"/>
                <w:szCs w:val="18"/>
              </w:rPr>
              <w:t xml:space="preserve">Nueva</w:t>
            </w:r>
            <w:r>
              <w:rPr>
                <w:rFonts w:ascii="Calibri" w:cs="Calibri" w:eastAsia="Calibri" w:hAnsi="Calibri"/>
                <w:b w:val="false"/>
                <w:bCs w:val="false"/>
                <w:sz w:val="18"/>
                <w:szCs w:val="18"/>
              </w:rPr>
              <w:t xml:space="preserve"> · </w:t>
            </w:r>
            <w:r>
              <w:rPr>
                <w:rFonts w:ascii="Calibri" w:cs="Calibri" w:eastAsia="Calibri" w:hAnsi="Calibri"/>
                <w:b/>
                <w:bCs/>
                <w:sz w:val="18"/>
                <w:szCs w:val="18"/>
              </w:rPr>
              <w:t xml:space="preserve">El expediente de penalidad se resuelve:</w:t>
            </w:r>
            <w:r>
              <w:rPr>
                <w:rFonts w:ascii="Calibri" w:cs="Calibri" w:eastAsia="Calibri" w:hAnsi="Calibri"/>
                <w:b w:val="false"/>
                <w:bCs w:val="false"/>
                <w:sz w:val="18"/>
                <w:szCs w:val="18"/>
              </w:rPr>
              <w:t xml:space="preserve"> hechos fechados con su documento, no conceptos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ADM-5, ap. 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Que la penalidad decaiga porque «obsolescencia tecnológica» no es un hecho probable en un procedimiento contradictorio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14</w:t>
            </w:r>
          </w:p>
        </w:tc>
        <w:tc>
          <w:tcPr>
            <w:tcMar>
              <w:top w:type="dxa" w:w="60"/>
              <w:left w:type="dxa" w:w="100"/>
              <w:bottom w:type="dxa" w:w="60"/>
              <w:right w:type="dxa" w:w="100"/>
            </w:tcMar>
          </w:tcPr>
          <w:p>
            <w:pPr>
              <w:spacing w:after="0" w:line="240"/>
            </w:pPr>
            <w:r>
              <w:rPr>
                <w:rFonts w:ascii="Calibri" w:cs="Calibri" w:eastAsia="Calibri" w:hAnsi="Calibri"/>
                <w:b w:val="false"/>
                <w:bCs w:val="false"/>
                <w:i/>
                <w:iCs/>
                <w:sz w:val="18"/>
                <w:szCs w:val="18"/>
              </w:rPr>
              <w:t xml:space="preserve">Nueva</w:t>
            </w:r>
            <w:r>
              <w:rPr>
                <w:rFonts w:ascii="Calibri" w:cs="Calibri" w:eastAsia="Calibri" w:hAnsi="Calibri"/>
                <w:b w:val="false"/>
                <w:bCs w:val="false"/>
                <w:sz w:val="18"/>
                <w:szCs w:val="18"/>
              </w:rPr>
              <w:t xml:space="preserve"> · </w:t>
            </w:r>
            <w:r>
              <w:rPr>
                <w:rFonts w:ascii="Calibri" w:cs="Calibri" w:eastAsia="Calibri" w:hAnsi="Calibri"/>
                <w:b/>
                <w:bCs/>
                <w:sz w:val="18"/>
                <w:szCs w:val="18"/>
              </w:rPr>
              <w:t xml:space="preserve">Si cae una cláusula no arrastra el pliego:</w:t>
            </w:r>
            <w:r>
              <w:rPr>
                <w:rFonts w:ascii="Calibri" w:cs="Calibri" w:eastAsia="Calibri" w:hAnsi="Calibri"/>
                <w:b w:val="false"/>
                <w:bCs w:val="false"/>
                <w:sz w:val="18"/>
                <w:szCs w:val="18"/>
              </w:rPr>
              <w:t xml:space="preserve"> separabilidad para cláusulas y obligaciones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Parte I, §7.8.a), y Parte IV, §M3.4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Retrotraer todo el procedimiento por la anulación de una pieza. </w:t>
            </w:r>
            <w:r>
              <w:rPr>
                <w:rFonts w:ascii="Calibri" w:cs="Calibri" w:eastAsia="Calibri" w:hAnsi="Calibri"/>
                <w:b w:val="false"/>
                <w:bCs w:val="false"/>
                <w:i/>
                <w:iCs/>
                <w:sz w:val="18"/>
                <w:szCs w:val="18"/>
              </w:rPr>
              <w:t xml:space="preserve">Atención:</w:t>
            </w:r>
            <w:r>
              <w:rPr>
                <w:rFonts w:ascii="Calibri" w:cs="Calibri" w:eastAsia="Calibri" w:hAnsi="Calibri"/>
                <w:b w:val="false"/>
                <w:bCs w:val="false"/>
                <w:sz w:val="18"/>
                <w:szCs w:val="18"/>
              </w:rPr>
              <w:t xml:space="preserve"> no vale para los criterios de adjudicación: el reescalado de ponderaciones está prohibido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15</w:t>
            </w:r>
          </w:p>
        </w:tc>
        <w:tc>
          <w:tcPr>
            <w:tcMar>
              <w:top w:type="dxa" w:w="60"/>
              <w:left w:type="dxa" w:w="100"/>
              <w:bottom w:type="dxa" w:w="60"/>
              <w:right w:type="dxa" w:w="100"/>
            </w:tcMar>
          </w:tcPr>
          <w:p>
            <w:pPr>
              <w:spacing w:after="0" w:line="240"/>
            </w:pPr>
            <w:r>
              <w:rPr>
                <w:rFonts w:ascii="Calibri" w:cs="Calibri" w:eastAsia="Calibri" w:hAnsi="Calibri"/>
                <w:b w:val="false"/>
                <w:bCs w:val="false"/>
                <w:i/>
                <w:iCs/>
                <w:sz w:val="18"/>
                <w:szCs w:val="18"/>
              </w:rPr>
              <w:t xml:space="preserve">Nueva</w:t>
            </w:r>
            <w:r>
              <w:rPr>
                <w:rFonts w:ascii="Calibri" w:cs="Calibri" w:eastAsia="Calibri" w:hAnsi="Calibri"/>
                <w:b w:val="false"/>
                <w:bCs w:val="false"/>
                <w:sz w:val="18"/>
                <w:szCs w:val="18"/>
              </w:rPr>
              <w:t xml:space="preserve"> · </w:t>
            </w:r>
            <w:r>
              <w:rPr>
                <w:rFonts w:ascii="Calibri" w:cs="Calibri" w:eastAsia="Calibri" w:hAnsi="Calibri"/>
                <w:b/>
                <w:bCs/>
                <w:sz w:val="18"/>
                <w:szCs w:val="18"/>
              </w:rPr>
              <w:t xml:space="preserve">Las actas vienen escritas:</w:t>
            </w:r>
            <w:r>
              <w:rPr>
                <w:rFonts w:ascii="Calibri" w:cs="Calibri" w:eastAsia="Calibri" w:hAnsi="Calibri"/>
                <w:b w:val="false"/>
                <w:bCs w:val="false"/>
                <w:sz w:val="18"/>
                <w:szCs w:val="18"/>
              </w:rPr>
              <w:t xml:space="preserve"> modelos comunes, con regla de resultado binario conforme / no conforme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XVIII, función y regla común 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Redactar un acta por expediente, y la consecuencia de no tenerla: «en un procedimiento contradictorio de penalidad o de resolución, lo que no consta en acta no ocurrió»</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16</w:t>
            </w:r>
          </w:p>
        </w:tc>
        <w:tc>
          <w:tcPr>
            <w:tcMar>
              <w:top w:type="dxa" w:w="60"/>
              <w:left w:type="dxa" w:w="100"/>
              <w:bottom w:type="dxa" w:w="60"/>
              <w:right w:type="dxa" w:w="100"/>
            </w:tcMar>
          </w:tcPr>
          <w:p>
            <w:pPr>
              <w:spacing w:after="0" w:line="240"/>
            </w:pPr>
            <w:r>
              <w:rPr>
                <w:rFonts w:ascii="Calibri" w:cs="Calibri" w:eastAsia="Calibri" w:hAnsi="Calibri"/>
                <w:b w:val="false"/>
                <w:bCs w:val="false"/>
                <w:i/>
                <w:iCs/>
                <w:sz w:val="18"/>
                <w:szCs w:val="18"/>
              </w:rPr>
              <w:t xml:space="preserve">Nueva</w:t>
            </w:r>
            <w:r>
              <w:rPr>
                <w:rFonts w:ascii="Calibri" w:cs="Calibri" w:eastAsia="Calibri" w:hAnsi="Calibri"/>
                <w:b w:val="false"/>
                <w:bCs w:val="false"/>
                <w:sz w:val="18"/>
                <w:szCs w:val="18"/>
              </w:rPr>
              <w:t xml:space="preserve"> · </w:t>
            </w:r>
            <w:r>
              <w:rPr>
                <w:rFonts w:ascii="Calibri" w:cs="Calibri" w:eastAsia="Calibri" w:hAnsi="Calibri"/>
                <w:b/>
                <w:bCs/>
                <w:sz w:val="18"/>
                <w:szCs w:val="18"/>
              </w:rPr>
              <w:t xml:space="preserve">Todas menos ADM-2·v3 se pueden usar ya</w:t>
            </w:r>
            <w:r>
              <w:rPr>
                <w:rFonts w:ascii="Calibri" w:cs="Calibri" w:eastAsia="Calibri" w:hAnsi="Calibri"/>
                <w:b w:val="false"/>
                <w:bCs w:val="false"/>
                <w:sz w:val="18"/>
                <w:szCs w:val="18"/>
              </w:rPr>
              <w:t xml:space="preserve">, sin acuerdo previo del órgano de gobierno, con justificación propia y sin citar el catálogo como modelo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Estado de este documento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Esperar un ejercicio entero a que exista un modelo aprobado para empezar a redactar mejor</w:t>
            </w:r>
          </w:p>
        </w:tc>
      </w:tr>
    </w:tbl>
    <w:p>
      <w:pPr>
        <w:spacing w:after="200"/>
      </w:pPr>
    </w:p>
    <w:p>
      <w:pPr>
        <w:pStyle w:val="Heading2"/>
        <w:keepNext/>
        <w:spacing w:after="140" w:before="320"/>
      </w:pPr>
      <w:r>
        <w:rPr>
          <w:rFonts w:ascii="Georgia" w:cs="Georgia" w:eastAsia="Georgia" w:hAnsi="Georgia"/>
          <w:b/>
          <w:bCs/>
          <w:color w:val="1F3864"/>
          <w:sz w:val="26"/>
          <w:szCs w:val="26"/>
        </w:rPr>
        <w:t xml:space="preserve">3.2 · Ventajas reales que el mínimo *no* da</w:t>
      </w:r>
    </w:p>
    <w:p>
      <w:pPr>
        <w:spacing w:after="140" w:line="276"/>
      </w:pPr>
      <w:r>
        <w:rPr>
          <w:rFonts w:ascii="Calibri" w:cs="Calibri" w:eastAsia="Calibri" w:hAnsi="Calibri"/>
          <w:sz w:val="21"/>
          <w:szCs w:val="21"/>
        </w:rPr>
        <w:t xml:space="preserve">Se recogen porque figuran entre las agilizaciones del documento complementario «Qué agiliza el catálogo y qué no», y no deben atribuirse al mínimo. Requieren incorporar cláusulas de fuera de las seis.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Ventaja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Cláusula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Situación</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Bolsa de servicios evolutivos:</w:t>
            </w:r>
            <w:r>
              <w:rPr>
                <w:rFonts w:ascii="Calibri" w:cs="Calibri" w:eastAsia="Calibri" w:hAnsi="Calibri"/>
                <w:b w:val="false"/>
                <w:bCs w:val="false"/>
                <w:sz w:val="18"/>
                <w:szCs w:val="18"/>
              </w:rPr>
              <w:t xml:space="preserve"> catálogo cerrado de seis clases con precios unitarios ofertados, como alternativa a «presiones informales al proveedor o con contratos menores encadenados»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ADM-3, bloque 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Fuera del mínimo. Base: art. 308.3 LCSP</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Dossier de Reversibilidad incorporable al pliego siguiente</w:t>
            </w:r>
            <w:r>
              <w:rPr>
                <w:rFonts w:ascii="Calibri" w:cs="Calibri" w:eastAsia="Calibri" w:hAnsi="Calibri"/>
                <w:b w:val="false"/>
                <w:bCs w:val="false"/>
                <w:sz w:val="18"/>
                <w:szCs w:val="18"/>
              </w:rPr>
              <w:t xml:space="preserve">, con la estimación de esfuerzo de migración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DT-8, ap. 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Fuera del mínimo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Licencia de continuidad</w:t>
            </w:r>
            <w:r>
              <w:rPr>
                <w:rFonts w:ascii="Calibri" w:cs="Calibri" w:eastAsia="Calibri" w:hAnsi="Calibri"/>
                <w:b w:val="false"/>
                <w:bCs w:val="false"/>
                <w:sz w:val="18"/>
                <w:szCs w:val="18"/>
              </w:rPr>
              <w:t xml:space="preserve"> hasta 6 meses después del fin del contrato: se sigue operando durante la migración sin contrato de emergencia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DT-8, ap. 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Fuera del mínimo. Su coste va al presupuesto base (art. 100.2 LCSP)</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Entorno de pruebas</w:t>
            </w:r>
            <w:r>
              <w:rPr>
                <w:rFonts w:ascii="Calibri" w:cs="Calibri" w:eastAsia="Calibri" w:hAnsi="Calibri"/>
                <w:b w:val="false"/>
                <w:bCs w:val="false"/>
                <w:sz w:val="18"/>
                <w:szCs w:val="18"/>
              </w:rPr>
              <w:t xml:space="preserve"> equivalente al de producción, donde se verifica la aceptación sin tocar producción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DT-5, ap. 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Fuera del mínimo, pero ADM-2 ap. 7.a) acredita «sobre el entorno de pruebas»: conviene comprobar de dónde sale (DT-9·v3, apartado 5, remite al entorno de pruebas de DT-5·v3, apartado 6)</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Reglas de construcción del baremo</w:t>
            </w:r>
            <w:r>
              <w:rPr>
                <w:rFonts w:ascii="Calibri" w:cs="Calibri" w:eastAsia="Calibri" w:hAnsi="Calibri"/>
                <w:b w:val="false"/>
                <w:bCs w:val="false"/>
                <w:sz w:val="18"/>
                <w:szCs w:val="18"/>
              </w:rPr>
              <w:t xml:space="preserve"> y hoja de comprobación: un baremo valorado por juicio de valor después de conocidas las ofertas evaluables por fórmula «no se retrotrae: obliga a repetir la licitación entera»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ADM-7 (ADM-7.1 y epígrafe 6) y Anexo IV</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Fuera del mínimo: el mínimo no incorpora criterios de adjudicación, así que el riesgo tampoco aparece</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Modificación prevista como red de seguridad</w:t>
            </w:r>
            <w:r>
              <w:rPr>
                <w:rFonts w:ascii="Calibri" w:cs="Calibri" w:eastAsia="Calibri" w:hAnsi="Calibri"/>
                <w:b w:val="false"/>
                <w:bCs w:val="false"/>
                <w:sz w:val="18"/>
                <w:szCs w:val="18"/>
              </w:rPr>
              <w:t xml:space="preserve">, costeada en el valor estimado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Fuera del mínimo, y el propio catálogo dice que «por defecto, NO se incorpora»</w:t>
            </w:r>
          </w:p>
        </w:tc>
      </w:tr>
    </w:tbl>
    <w:p>
      <w:pPr>
        <w:spacing w:after="200"/>
      </w:pPr>
    </w:p>
    <w:p>
      <w:r>
        <w:br w:type="page"/>
      </w:r>
    </w:p>
    <w:p>
      <w:pPr>
        <w:pStyle w:val="Heading1"/>
        <w:keepNext/>
        <w:spacing w:after="240" w:before="200"/>
      </w:pPr>
      <w:r>
        <w:rPr>
          <w:rFonts w:ascii="Georgia" w:cs="Georgia" w:eastAsia="Georgia" w:hAnsi="Georgia"/>
          <w:b/>
          <w:bCs/>
          <w:color w:val="1F3864"/>
          <w:sz w:val="34"/>
          <w:szCs w:val="34"/>
        </w:rPr>
        <w:t xml:space="preserve">4 · El contrapeso, que también hay que decir</w:t>
      </w:r>
    </w:p>
    <w:p>
      <w:pPr>
        <w:pBdr>
          <w:left w:val="single" w:color="BFBFBF" w:sz="12" w:space="8"/>
        </w:pBdr>
        <w:spacing w:after="140" w:line="264"/>
        <w:ind w:left="400"/>
      </w:pPr>
      <w:r>
        <w:rPr>
          <w:rFonts w:ascii="Georgia" w:cs="Georgia" w:eastAsia="Georgia" w:hAnsi="Georgia"/>
          <w:b/>
          <w:bCs/>
          <w:i/>
          <w:iCs/>
          <w:color w:val="595959"/>
          <w:sz w:val="20"/>
          <w:szCs w:val="20"/>
        </w:rPr>
        <w:t xml:space="preserve">El catálogo no acorta la tramitación de un expediente. Evita tramitaciones futuras.</w:t>
      </w:r>
    </w:p>
    <w:p>
      <w:pPr>
        <w:pBdr>
          <w:left w:val="single" w:color="BFBFBF" w:sz="12" w:space="8"/>
        </w:pBdr>
        <w:spacing w:after="140" w:line="264"/>
        <w:ind w:left="400"/>
      </w:pPr>
      <w:r>
        <w:rPr>
          <w:rFonts w:ascii="Georgia" w:cs="Georgia" w:eastAsia="Georgia" w:hAnsi="Georgia"/>
          <w:i/>
          <w:iCs/>
          <w:color w:val="595959"/>
          <w:sz w:val="20"/>
          <w:szCs w:val="20"/>
        </w:rPr>
        <w:t xml:space="preserve">Ninguna de las dieciséis ventajas de la tabla 3.1 hace que un expediente se apruebe antes. Lo que hacen es que, dos años después, no haga falta un expediente de modificación, ni un contrato nuevo para «modernizar» lo que ya se compró, ni una consulta de mercado por cada licitación, ni un contrato de emergencia para sobrevivir a una migración. La agilidad es de cartera, no de expediente.</w:t>
      </w:r>
    </w:p>
    <w:p>
      <w:pPr>
        <w:spacing w:after="140" w:line="276"/>
      </w:pPr>
      <w:r>
        <w:rPr>
          <w:rFonts w:ascii="Calibri" w:cs="Calibri" w:eastAsia="Calibri" w:hAnsi="Calibri"/>
          <w:sz w:val="21"/>
          <w:szCs w:val="21"/>
        </w:rPr>
        <w:t xml:space="preserve">Y hay un coste de entrada que el documento cuantifica sin maquillarlo (Parte III, ADM-4·v3, epígrafe 5):</w:t>
      </w:r>
    </w:p>
    <w:p>
      <w:pPr>
        <w:pStyle w:val="ListParagraph"/>
        <w:numPr>
          <w:ilvl w:val="0"/>
          <w:numId w:val="1"/>
        </w:numPr>
        <w:spacing w:after="70" w:line="268"/>
      </w:pPr>
      <w:r>
        <w:rPr>
          <w:rFonts w:ascii="Calibri" w:cs="Calibri" w:eastAsia="Calibri" w:hAnsi="Calibri"/>
          <w:sz w:val="21"/>
          <w:szCs w:val="21"/>
        </w:rPr>
        <w:t xml:space="preserve">El catálogo </w:t>
      </w:r>
      <w:r>
        <w:rPr>
          <w:rFonts w:ascii="Calibri" w:cs="Calibri" w:eastAsia="Calibri" w:hAnsi="Calibri"/>
          <w:b/>
          <w:bCs/>
          <w:sz w:val="21"/>
          <w:szCs w:val="21"/>
        </w:rPr>
        <w:t xml:space="preserve">aplicado entero</w:t>
      </w:r>
      <w:r>
        <w:rPr>
          <w:rFonts w:ascii="Calibri" w:cs="Calibri" w:eastAsia="Calibri" w:hAnsi="Calibri"/>
          <w:sz w:val="21"/>
          <w:szCs w:val="21"/>
        </w:rPr>
        <w:t xml:space="preserve"> consume entre </w:t>
      </w:r>
      <w:r>
        <w:rPr>
          <w:rFonts w:ascii="Calibri" w:cs="Calibri" w:eastAsia="Calibri" w:hAnsi="Calibri"/>
          <w:b/>
          <w:bCs/>
          <w:sz w:val="21"/>
          <w:szCs w:val="21"/>
        </w:rPr>
        <w:t xml:space="preserve">124,5 y 140,5 horas al año</w:t>
      </w:r>
      <w:r>
        <w:rPr>
          <w:rFonts w:ascii="Calibri" w:cs="Calibri" w:eastAsia="Calibri" w:hAnsi="Calibri"/>
          <w:sz w:val="21"/>
          <w:szCs w:val="21"/>
        </w:rPr>
        <w:t xml:space="preserve"> de personal municipal por contrato, y entre </w:t>
      </w:r>
      <w:r>
        <w:rPr>
          <w:rFonts w:ascii="Calibri" w:cs="Calibri" w:eastAsia="Calibri" w:hAnsi="Calibri"/>
          <w:b/>
          <w:bCs/>
          <w:sz w:val="21"/>
          <w:szCs w:val="21"/>
        </w:rPr>
        <w:t xml:space="preserve">180,5 y 220,5 el primer año</w:t>
      </w:r>
      <w:r>
        <w:rPr>
          <w:rFonts w:ascii="Calibri" w:cs="Calibri" w:eastAsia="Calibri" w:hAnsi="Calibri"/>
          <w:sz w:val="21"/>
          <w:szCs w:val="21"/>
        </w:rPr>
        <w:t xml:space="preserve">. Diez contratos así son entre 0,7 y 0,9 efectivos a jornada completa. El propio texto lo llama «una cifra incómoda, y ése es exactamente el punto: el catálogo no se aplica entero».</w:t>
      </w:r>
    </w:p>
    <w:p>
      <w:pPr>
        <w:pStyle w:val="ListParagraph"/>
        <w:numPr>
          <w:ilvl w:val="0"/>
          <w:numId w:val="1"/>
        </w:numPr>
        <w:spacing w:after="70" w:line="268"/>
      </w:pPr>
      <w:r>
        <w:rPr>
          <w:rFonts w:ascii="Calibri" w:cs="Calibri" w:eastAsia="Calibri" w:hAnsi="Calibri"/>
          <w:sz w:val="21"/>
          <w:szCs w:val="21"/>
        </w:rPr>
        <w:t xml:space="preserve">El </w:t>
      </w:r>
      <w:r>
        <w:rPr>
          <w:rFonts w:ascii="Calibri" w:cs="Calibri" w:eastAsia="Calibri" w:hAnsi="Calibri"/>
          <w:b/>
          <w:bCs/>
          <w:sz w:val="21"/>
          <w:szCs w:val="21"/>
        </w:rPr>
        <w:t xml:space="preserve">mínimo</w:t>
      </w:r>
      <w:r>
        <w:rPr>
          <w:rFonts w:ascii="Calibri" w:cs="Calibri" w:eastAsia="Calibri" w:hAnsi="Calibri"/>
          <w:sz w:val="21"/>
          <w:szCs w:val="21"/>
        </w:rPr>
        <w:t xml:space="preserve"> del §VI.2.2 consume entre </w:t>
      </w:r>
      <w:r>
        <w:rPr>
          <w:rFonts w:ascii="Calibri" w:cs="Calibri" w:eastAsia="Calibri" w:hAnsi="Calibri"/>
          <w:b/>
          <w:bCs/>
          <w:sz w:val="21"/>
          <w:szCs w:val="21"/>
        </w:rPr>
        <w:t xml:space="preserve">20 y 24 horas al año</w:t>
      </w:r>
      <w:r>
        <w:rPr>
          <w:rFonts w:ascii="Calibri" w:cs="Calibri" w:eastAsia="Calibri" w:hAnsi="Calibri"/>
          <w:sz w:val="21"/>
          <w:szCs w:val="21"/>
        </w:rPr>
        <w:t xml:space="preserve"> y entre </w:t>
      </w:r>
      <w:r>
        <w:rPr>
          <w:rFonts w:ascii="Calibri" w:cs="Calibri" w:eastAsia="Calibri" w:hAnsi="Calibri"/>
          <w:b/>
          <w:bCs/>
          <w:sz w:val="21"/>
          <w:szCs w:val="21"/>
        </w:rPr>
        <w:t xml:space="preserve">44 y 60 el primer año</w:t>
      </w:r>
      <w:r>
        <w:rPr>
          <w:rFonts w:ascii="Calibri" w:cs="Calibri" w:eastAsia="Calibri" w:hAnsi="Calibri"/>
          <w:sz w:val="21"/>
          <w:szCs w:val="21"/>
        </w:rPr>
        <w:t xml:space="preserve">; DT-1·v3 y DT-7·v3, cuando entran, suman lo que dice la sección 2, letra c). Como el primer año supera las 40 horas, todo contrato que lo aplique necesita la </w:t>
      </w:r>
      <w:r>
        <w:rPr>
          <w:rFonts w:ascii="Calibri" w:cs="Calibri" w:eastAsia="Calibri" w:hAnsi="Calibri"/>
          <w:b/>
          <w:bCs/>
          <w:sz w:val="21"/>
          <w:szCs w:val="21"/>
        </w:rPr>
        <w:t xml:space="preserve">conformidad expresa del servicio verificador</w:t>
      </w:r>
      <w:r>
        <w:rPr>
          <w:rFonts w:ascii="Calibri" w:cs="Calibri" w:eastAsia="Calibri" w:hAnsi="Calibri"/>
          <w:sz w:val="21"/>
          <w:szCs w:val="21"/>
        </w:rPr>
        <w:t xml:space="preserve"> (Parte I, §7.9.2; Parte V, paso A-6).</w:t>
      </w:r>
    </w:p>
    <w:p>
      <w:pPr>
        <w:pStyle w:val="ListParagraph"/>
        <w:numPr>
          <w:ilvl w:val="0"/>
          <w:numId w:val="1"/>
        </w:numPr>
        <w:spacing w:after="70" w:line="268"/>
      </w:pPr>
      <w:r>
        <w:rPr>
          <w:rFonts w:ascii="Calibri" w:cs="Calibri" w:eastAsia="Calibri" w:hAnsi="Calibri"/>
          <w:sz w:val="21"/>
          <w:szCs w:val="21"/>
        </w:rPr>
        <w:t xml:space="preserve">A lo anterior se añaden entre 20 y 30 horas en el último año por la reversión efectiva; cada expediente de penalidad, unas 6 horas; cada uno de resolución, entre 25 y 40.</w:t>
      </w:r>
    </w:p>
    <w:p>
      <w:pPr>
        <w:pBdr>
          <w:left w:val="single" w:color="BFBFBF" w:sz="12" w:space="8"/>
        </w:pBdr>
        <w:spacing w:after="140" w:line="264"/>
        <w:ind w:left="400"/>
      </w:pPr>
      <w:r>
        <w:rPr>
          <w:rFonts w:ascii="Georgia" w:cs="Georgia" w:eastAsia="Georgia" w:hAnsi="Georgia"/>
          <w:b/>
          <w:bCs/>
          <w:i/>
          <w:iCs/>
          <w:color w:val="595959"/>
          <w:sz w:val="20"/>
          <w:szCs w:val="20"/>
        </w:rPr>
        <w:t xml:space="preserve">Y la regla que cierra todo esto, en palabras del catálogo:</w:t>
      </w:r>
      <w:r>
        <w:rPr>
          <w:rFonts w:ascii="Georgia" w:cs="Georgia" w:eastAsia="Georgia" w:hAnsi="Georgia"/>
          <w:i/>
          <w:iCs/>
          <w:color w:val="595959"/>
          <w:sz w:val="20"/>
          <w:szCs w:val="20"/>
        </w:rPr>
        <w:t xml:space="preserve"> «Ninguna cláusula de este catálogo se incorpora a un pliego si su verificación no tiene actor municipal designado, periodicidad y horas disponibles. […] </w:t>
      </w:r>
      <w:r>
        <w:rPr>
          <w:rFonts w:ascii="Georgia" w:cs="Georgia" w:eastAsia="Georgia" w:hAnsi="Georgia"/>
          <w:b/>
          <w:bCs/>
          <w:i/>
          <w:iCs/>
          <w:color w:val="595959"/>
          <w:sz w:val="20"/>
          <w:szCs w:val="20"/>
        </w:rPr>
        <w:t xml:space="preserve">Crear obligaciones esenciales que nadie comprueba no protege al Ayuntamiento: le construye un expediente vacío para el día en que quiera resolver, y le da al contratista la mejor prueba de que la obligación nunca importó.</w:t>
      </w:r>
      <w:r>
        <w:rPr>
          <w:rFonts w:ascii="Georgia" w:cs="Georgia" w:eastAsia="Georgia" w:hAnsi="Georgia"/>
          <w:i/>
          <w:iCs/>
          <w:color w:val="595959"/>
          <w:sz w:val="20"/>
          <w:szCs w:val="20"/>
        </w:rPr>
        <w:t xml:space="preserve">» Si el seguimiento no cabe en la plantilla, la conclusión no es que el catálogo sea inaplicable: es elegir entre dotar la función, reducir cláusulas por contrato o reducir contratos a los que se aplica.</w:t>
      </w:r>
    </w:p>
    <w:p>
      <w:r>
        <w:br w:type="page"/>
      </w:r>
    </w:p>
    <w:p>
      <w:pPr>
        <w:pStyle w:val="Heading1"/>
        <w:keepNext/>
        <w:spacing w:after="240" w:before="200"/>
      </w:pPr>
      <w:r>
        <w:rPr>
          <w:rFonts w:ascii="Georgia" w:cs="Georgia" w:eastAsia="Georgia" w:hAnsi="Georgia"/>
          <w:b/>
          <w:bCs/>
          <w:color w:val="1F3864"/>
          <w:sz w:val="34"/>
          <w:szCs w:val="34"/>
        </w:rPr>
        <w:t xml:space="preserve">5 · Resumen en cinco líneas</w:t>
      </w:r>
    </w:p>
    <w:p>
      <w:pPr>
        <w:pBdr>
          <w:left w:val="single" w:color="BFBFBF" w:sz="12" w:space="8"/>
        </w:pBdr>
        <w:spacing w:after="140" w:line="264"/>
        <w:ind w:left="400"/>
      </w:pPr>
      <w:r>
        <w:rPr>
          <w:rFonts w:ascii="Georgia" w:cs="Georgia" w:eastAsia="Georgia" w:hAnsi="Georgia"/>
          <w:b/>
          <w:bCs/>
          <w:i/>
          <w:iCs/>
          <w:color w:val="595959"/>
          <w:sz w:val="20"/>
          <w:szCs w:val="20"/>
        </w:rPr>
        <w:t xml:space="preserve">Con qué empezar:</w:t>
      </w:r>
      <w:r>
        <w:rPr>
          <w:rFonts w:ascii="Georgia" w:cs="Georgia" w:eastAsia="Georgia" w:hAnsi="Georgia"/>
          <w:i/>
          <w:iCs/>
          <w:color w:val="595959"/>
          <w:sz w:val="20"/>
          <w:szCs w:val="20"/>
        </w:rPr>
        <w:t xml:space="preserve"> ADM-12, DT-0, DT-6, ADM-8, ADM-2 + Anexo V y ADM-5, más DT-1·v3 si intervienen sistemas de inteligencia artificial. Todas menos ADM-2 se pueden usar hoy; ADM-2 necesita el Anexo V aprobado antes, arrastra DT-9 y, con el Anexo V del catálogo, DT-7.</w:t>
      </w:r>
    </w:p>
    <w:p>
      <w:pPr>
        <w:pBdr>
          <w:left w:val="single" w:color="BFBFBF" w:sz="12" w:space="8"/>
        </w:pBdr>
        <w:spacing w:after="140" w:line="264"/>
        <w:ind w:left="400"/>
      </w:pPr>
      <w:r>
        <w:rPr>
          <w:rFonts w:ascii="Georgia" w:cs="Georgia" w:eastAsia="Georgia" w:hAnsi="Georgia"/>
          <w:b/>
          <w:bCs/>
          <w:i/>
          <w:iCs/>
          <w:color w:val="595959"/>
          <w:sz w:val="20"/>
          <w:szCs w:val="20"/>
        </w:rPr>
        <w:t xml:space="preserve">Qué se gana:</w:t>
      </w:r>
      <w:r>
        <w:rPr>
          <w:rFonts w:ascii="Georgia" w:cs="Georgia" w:eastAsia="Georgia" w:hAnsi="Georgia"/>
          <w:i/>
          <w:iCs/>
          <w:color w:val="595959"/>
          <w:sz w:val="20"/>
          <w:szCs w:val="20"/>
        </w:rPr>
        <w:t xml:space="preserve"> dieciséis ventajas verificadas, de las que doce no figuran entre las seis agilizaciones del otro documento complementario. La mayor: lo que está en el Anexo V se cumple sin modificación contractual ni facturación adicional, y el contraste de mercado se hace una vez al año en lugar de una vez por expediente.</w:t>
      </w:r>
    </w:p>
    <w:p>
      <w:pPr>
        <w:pBdr>
          <w:left w:val="single" w:color="BFBFBF" w:sz="12" w:space="8"/>
        </w:pBdr>
        <w:spacing w:after="140" w:line="264"/>
        <w:ind w:left="400"/>
      </w:pPr>
      <w:r>
        <w:rPr>
          <w:rFonts w:ascii="Georgia" w:cs="Georgia" w:eastAsia="Georgia" w:hAnsi="Georgia"/>
          <w:b/>
          <w:bCs/>
          <w:i/>
          <w:iCs/>
          <w:color w:val="595959"/>
          <w:sz w:val="20"/>
          <w:szCs w:val="20"/>
        </w:rPr>
        <w:t xml:space="preserve">Qué cuesta:</w:t>
      </w:r>
      <w:r>
        <w:rPr>
          <w:rFonts w:ascii="Georgia" w:cs="Georgia" w:eastAsia="Georgia" w:hAnsi="Georgia"/>
          <w:i/>
          <w:iCs/>
          <w:color w:val="595959"/>
          <w:sz w:val="20"/>
          <w:szCs w:val="20"/>
        </w:rPr>
        <w:t xml:space="preserve"> entre 20 y 24 horas al año y entre 44 y 60 el primer año, más lo que añaden DT-1·v3 y DT-7·v3 cuando entran. Lo prudente es dimensionarlo antes de decidir, con la tabla única de carga de la Parte III, ADM-4·v3, epígrafe 5.</w:t>
      </w:r>
    </w:p>
    <w:p>
      <w:pPr>
        <w:pBdr>
          <w:left w:val="single" w:color="BFBFBF" w:sz="12" w:space="8"/>
        </w:pBdr>
        <w:spacing w:after="140" w:line="264"/>
        <w:ind w:left="400"/>
      </w:pPr>
      <w:r>
        <w:rPr>
          <w:rFonts w:ascii="Georgia" w:cs="Georgia" w:eastAsia="Georgia" w:hAnsi="Georgia"/>
          <w:b/>
          <w:bCs/>
          <w:i/>
          <w:iCs/>
          <w:color w:val="595959"/>
          <w:sz w:val="20"/>
          <w:szCs w:val="20"/>
        </w:rPr>
        <w:t xml:space="preserve">Qué no promete:</w:t>
      </w:r>
      <w:r>
        <w:rPr>
          <w:rFonts w:ascii="Georgia" w:cs="Georgia" w:eastAsia="Georgia" w:hAnsi="Georgia"/>
          <w:i/>
          <w:iCs/>
          <w:color w:val="595959"/>
          <w:sz w:val="20"/>
          <w:szCs w:val="20"/>
        </w:rPr>
        <w:t xml:space="preserve"> que ningún tribunal anule nada. Eso no es prometible, y el propio catálogo lo dice en la Parte 0, apartado 0.3.</w:t>
      </w:r>
    </w:p>
    <w:p>
      <w:pPr>
        <w:spacing w:after="140" w:line="276"/>
      </w:pPr>
      <w:r>
        <w:rPr>
          <w:rFonts w:ascii="Calibri" w:cs="Calibri" w:eastAsia="Calibri" w:hAnsi="Calibri"/>
          <w:i/>
          <w:iCs/>
          <w:sz w:val="21"/>
          <w:szCs w:val="21"/>
        </w:rPr>
        <w:t xml:space="preserve">Las citas entre comillas se han cotejado literalmente con el texto del catálogo, versión 4.0. Fuentes principales: Parte VI, §VI.2.2 · Parte II, DT-0·v3 · Parte II, DT-6·v3 · Parte III, ADM-2·v3 · Parte III, ADM-5·v3 · Parte III, ADM-8·v3 · Parte III, ADM-12·v3 · Parte III, ADM-4·v3, epígrafe 5, tabla única de carga · Parte I, §7.8, y Parte IV, §M3.4, separabilidad · Parte VII, Anexo VI, tabla de dependencias · Anexo XVIII, modelos de acta · Parte II, DT-9·v3, epígrafe 3, advertencia de expediente · Parte III, ADM-3·v3 · Parte II, DT-8·v3 · Parte II, DT-5·v3 · Parte III, ADM-7·v3, y Anexo IV · Parte III, ADM-14·v3 · Parte 0, apartado 0.3 · Estado de este documento.</w:t>
      </w:r>
    </w:p>
    <w:sectPr>
      <w:headerReference w:type="default" r:id="rId7"/>
      <w:footerReference w:type="default" r:id="rId8"/>
      <w:pgSz w:w="11906" w:h="16838"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D0" w:sz="4" w:space="4"/>
      </w:pBdr>
      <w:spacing w:after="200"/>
      <w:jc w:val="right"/>
    </w:pPr>
    <w:r>
      <w:rPr>
        <w:rFonts w:ascii="Calibri" w:cs="Calibri" w:eastAsia="Calibri" w:hAnsi="Calibri"/>
        <w:color w:val="595959"/>
        <w:sz w:val="16"/>
        <w:szCs w:val="16"/>
      </w:rPr>
      <w:t xml:space="preserve">Cláusulas de IA y Deep Tech · versión 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8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8smelftc_wlqrnjtsylbn" Type="http://schemas.openxmlformats.org/officeDocument/2006/relationships/hyperlink" Target="https://migueldadd4u.github.io/ai-clauses/clausulado/indice.html"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Cláusulas de IA y Deep Tech para la contratación pública</dc:title>
  <dc:creator>Miguel Ángel Domínguez Castellano</dc:creator>
  <dc:description>Catálogo de cláusulas, versión 4.0</dc:description>
  <cp:lastModifiedBy>Un-named</cp:lastModifiedBy>
  <cp:revision>1</cp:revision>
  <dcterms:created xsi:type="dcterms:W3CDTF">2026-10-15T09:39:47.239Z</dcterms:created>
  <dcterms:modified xsi:type="dcterms:W3CDTF">2026-10-15T09:39:47.239Z</dcterms:modified>
</cp:coreProperties>
</file>

<file path=docProps/custom.xml><?xml version="1.0" encoding="utf-8"?>
<Properties xmlns="http://schemas.openxmlformats.org/officeDocument/2006/custom-properties" xmlns:vt="http://schemas.openxmlformats.org/officeDocument/2006/docPropsVTypes"/>
</file>