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F5496"/>
        </w:rPr>
        <w:t>Vesla ERP — Cloud Cost Highlights</w:t>
      </w:r>
    </w:p>
    <w:p>
      <w:r>
        <w:rPr>
          <w:i/>
          <w:color w:val="808080"/>
          <w:sz w:val="20"/>
        </w:rPr>
        <w:t>5 Companies  |  Medium Load  |  Neon + Render</w:t>
      </w:r>
    </w:p>
    <w:p>
      <w:pPr>
        <w:pStyle w:val="Heading2"/>
      </w:pPr>
      <w:r>
        <w:t>What We're Hosting</w:t>
      </w:r>
    </w:p>
    <w:p>
      <w:pPr>
        <w:pStyle w:val="ListBullet"/>
      </w:pPr>
      <w:r>
        <w:rPr>
          <w:b/>
        </w:rPr>
        <w:t xml:space="preserve">Backend: </w:t>
      </w:r>
      <w:r>
        <w:t>Node.js + Express + Prisma (275 models, 628 indexes)</w:t>
      </w:r>
    </w:p>
    <w:p>
      <w:pPr>
        <w:pStyle w:val="ListBullet"/>
      </w:pPr>
      <w:r>
        <w:rPr>
          <w:b/>
        </w:rPr>
        <w:t xml:space="preserve">Frontend: </w:t>
      </w:r>
      <w:r>
        <w:t>React + Vite (static site)</w:t>
      </w:r>
    </w:p>
    <w:p>
      <w:pPr>
        <w:pStyle w:val="ListBullet"/>
      </w:pPr>
      <w:r>
        <w:rPr>
          <w:b/>
        </w:rPr>
        <w:t xml:space="preserve">Database: </w:t>
      </w:r>
      <w:r>
        <w:t>PostgreSQL on Neon (serverless)</w:t>
      </w:r>
    </w:p>
    <w:p>
      <w:pPr>
        <w:pStyle w:val="ListBullet"/>
      </w:pPr>
      <w:r>
        <w:rPr>
          <w:b/>
        </w:rPr>
        <w:t xml:space="preserve">Workers: </w:t>
      </w:r>
      <w:r>
        <w:t>TARS sync, Speed Sync, cron jobs</w:t>
      </w:r>
    </w:p>
    <w:p>
      <w:pPr>
        <w:pStyle w:val="Heading2"/>
      </w:pPr>
      <w:r>
        <w:t>Per Company Profile (Medium Load)</w:t>
      </w:r>
    </w:p>
    <w:p>
      <w:pPr>
        <w:pStyle w:val="ListBullet"/>
      </w:pPr>
      <w:r>
        <w:t>100–300 vehicles</w:t>
      </w:r>
    </w:p>
    <w:p>
      <w:pPr>
        <w:pStyle w:val="ListBullet"/>
      </w:pPr>
      <w:r>
        <w:t>10–25 concurrent staff users</w:t>
      </w:r>
    </w:p>
    <w:p>
      <w:pPr>
        <w:pStyle w:val="ListBullet"/>
      </w:pPr>
      <w:r>
        <w:t>300–800 contracts/month</w:t>
      </w:r>
    </w:p>
    <w:p>
      <w:pPr>
        <w:pStyle w:val="ListBullet"/>
      </w:pPr>
      <w:r>
        <w:t>~3–5 GB database after Year 1</w:t>
      </w:r>
    </w:p>
    <w:p>
      <w:r>
        <w:rPr>
          <w:b/>
        </w:rPr>
        <w:t>Total for 5 companies: ~15–25 GB database</w:t>
      </w:r>
    </w:p>
    <w:p>
      <w:pPr>
        <w:pStyle w:val="Heading2"/>
      </w:pPr>
      <w:r>
        <w:t>Monthly Cost Options</w:t>
      </w:r>
    </w:p>
    <w:p>
      <w:pPr>
        <w:pStyle w:val="Heading3"/>
      </w:pPr>
      <w:r>
        <w:t>Option A: Starter — $81/mo  ($16/company)</w:t>
      </w:r>
    </w:p>
    <w:p>
      <w:pPr>
        <w:pStyle w:val="ListBullet"/>
      </w:pPr>
      <w:r>
        <w:t>Neon Launch: $49  (1 CU autoscale, scale-to-zero nights/weekends)</w:t>
      </w:r>
    </w:p>
    <w:p>
      <w:pPr>
        <w:pStyle w:val="ListBullet"/>
      </w:pPr>
      <w:r>
        <w:t>Render Standard backend: $25  (1 CPU, 2 GB RAM)</w:t>
      </w:r>
    </w:p>
    <w:p>
      <w:pPr>
        <w:pStyle w:val="ListBullet"/>
      </w:pPr>
      <w:r>
        <w:t>Render Starter worker: $7</w:t>
      </w:r>
    </w:p>
    <w:p>
      <w:pPr>
        <w:pStyle w:val="ListBullet"/>
      </w:pPr>
      <w:r>
        <w:t>Frontend: free  (static site)</w:t>
      </w:r>
    </w:p>
    <w:p>
      <w:pPr>
        <w:pStyle w:val="Heading3"/>
      </w:pPr>
      <w:r>
        <w:t>Option B: Growth — $244/mo  ($49/company)</w:t>
      </w:r>
    </w:p>
    <w:p>
      <w:pPr>
        <w:pStyle w:val="ListBullet"/>
      </w:pPr>
      <w:r>
        <w:t>Neon Launch: $115  (2 CU autoscale, heavier traffic)</w:t>
      </w:r>
    </w:p>
    <w:p>
      <w:pPr>
        <w:pStyle w:val="ListBullet"/>
      </w:pPr>
      <w:r>
        <w:t>Render Pro backend: $85  (2 CPU, 4 GB RAM)</w:t>
      </w:r>
    </w:p>
    <w:p>
      <w:pPr>
        <w:pStyle w:val="ListBullet"/>
      </w:pPr>
      <w:r>
        <w:t>Render Standard worker: $25</w:t>
      </w:r>
    </w:p>
    <w:p>
      <w:pPr>
        <w:pStyle w:val="ListBullet"/>
      </w:pPr>
      <w:r>
        <w:t>Team workspace: $19</w:t>
      </w:r>
    </w:p>
    <w:p>
      <w:pPr>
        <w:pStyle w:val="Heading3"/>
      </w:pPr>
      <w:r>
        <w:t>Option C: Enterprise — $671/mo  ($134/company)</w:t>
      </w:r>
    </w:p>
    <w:p>
      <w:pPr>
        <w:pStyle w:val="ListBullet"/>
      </w:pPr>
      <w:r>
        <w:t>Neon Scale: $419  (always-on + read replica, SOC2/SLA)</w:t>
      </w:r>
    </w:p>
    <w:p>
      <w:pPr>
        <w:pStyle w:val="ListBullet"/>
      </w:pPr>
      <w:r>
        <w:t>Render Pro ×2 backend: $170  (load balanced)</w:t>
      </w:r>
    </w:p>
    <w:p>
      <w:pPr>
        <w:pStyle w:val="ListBullet"/>
      </w:pPr>
      <w:r>
        <w:t>Render Standard worker: $25</w:t>
      </w:r>
    </w:p>
    <w:p>
      <w:pPr>
        <w:pStyle w:val="ListBullet"/>
      </w:pPr>
      <w:r>
        <w:t>Team workspace ×3: $57</w:t>
      </w:r>
    </w:p>
    <w:p>
      <w:pPr>
        <w:pStyle w:val="Heading2"/>
      </w:pPr>
      <w:r>
        <w:t>Key Takeaways</w:t>
      </w:r>
    </w:p>
    <w:p>
      <w:pPr>
        <w:pStyle w:val="ListBullet"/>
      </w:pPr>
      <w:r>
        <w:rPr>
          <w:b/>
        </w:rPr>
        <w:t>Start at $81/mo</w:t>
      </w:r>
      <w:r>
        <w:t xml:space="preserve"> — enough for 5 medium clients onboarding</w:t>
      </w:r>
    </w:p>
    <w:p>
      <w:pPr>
        <w:pStyle w:val="ListBullet"/>
      </w:pPr>
      <w:r>
        <w:rPr>
          <w:b/>
        </w:rPr>
        <w:t>Biggest cost driver:</w:t>
      </w:r>
      <w:r>
        <w:t xml:space="preserve"> Neon compute (usage-based, quiet hours = free)</w:t>
      </w:r>
    </w:p>
    <w:p>
      <w:pPr>
        <w:pStyle w:val="ListBullet"/>
      </w:pPr>
      <w:r>
        <w:rPr>
          <w:b/>
        </w:rPr>
        <w:t>Storage is cheap:</w:t>
      </w:r>
      <w:r>
        <w:t xml:space="preserve"> $0.35/GB — even 25 GB is only $8.75/mo</w:t>
      </w:r>
    </w:p>
    <w:p>
      <w:pPr>
        <w:pStyle w:val="ListBullet"/>
      </w:pPr>
      <w:r>
        <w:rPr>
          <w:b/>
        </w:rPr>
        <w:t>Scale trigger:</w:t>
      </w:r>
      <w:r>
        <w:t xml:space="preserve"> upgrade when CPU consistently &gt;70% or response times degrade</w:t>
      </w:r>
    </w:p>
    <w:p>
      <w:pPr>
        <w:pStyle w:val="ListBullet"/>
      </w:pPr>
      <w:r>
        <w:rPr>
          <w:b/>
        </w:rPr>
        <w:t>Not included:</w:t>
      </w:r>
      <w:r>
        <w:t xml:space="preserve"> domains, email service, file storage (S3), third-party APIs (RTA, payment gateways)</w:t>
      </w:r>
    </w:p>
    <w:p/>
    <w:p>
      <w:pPr>
        <w:jc w:val="right"/>
      </w:pPr>
      <w:r>
        <w:rPr>
          <w:color w:val="808080"/>
          <w:sz w:val="18"/>
        </w:rPr>
        <w:t>Prepared by Kevin 🔧  |  January 31, 2026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