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0A8CF" w14:textId="77777777" w:rsidR="00D07EB9" w:rsidRDefault="00D07EB9" w:rsidP="00C65375">
      <w:pPr>
        <w:jc w:val="center"/>
        <w:rPr>
          <w:b/>
          <w:sz w:val="40"/>
          <w:szCs w:val="40"/>
        </w:rPr>
      </w:pPr>
      <w:r w:rsidRPr="00D07EB9">
        <w:rPr>
          <w:b/>
          <w:sz w:val="40"/>
          <w:szCs w:val="40"/>
        </w:rPr>
        <w:t>P10 Transacciones</w:t>
      </w:r>
    </w:p>
    <w:p w14:paraId="14888C34" w14:textId="5F272559" w:rsidR="00C65375" w:rsidRPr="00C65375" w:rsidRDefault="00C65375" w:rsidP="00C65375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C65375">
        <w:rPr>
          <w:b/>
          <w:sz w:val="40"/>
          <w:szCs w:val="40"/>
        </w:rPr>
        <w:t>Ejercicios</w:t>
      </w:r>
    </w:p>
    <w:p w14:paraId="54F0C3B8" w14:textId="3B73F1EF" w:rsidR="008A1E1B" w:rsidRDefault="008A1E1B">
      <w:pPr>
        <w:rPr>
          <w:b/>
        </w:rPr>
      </w:pPr>
      <w:r>
        <w:rPr>
          <w:b/>
        </w:rPr>
        <w:t xml:space="preserve">Fuente: </w:t>
      </w:r>
      <w:hyperlink r:id="rId5" w:anchor="TOC-S14-Ingenier-a-inversa-de-BD-12---13-dic-2018-" w:history="1">
        <w:r w:rsidRPr="00AF2FF3">
          <w:rPr>
            <w:rStyle w:val="Hipervnculo"/>
            <w:b/>
          </w:rPr>
          <w:t>http://tisbddocs.dlsi.ua.es/inicio/guias/datos/sesiones#TOC-S14-Ingenier-a-inversa-de-BD-12---13-dic-2018-</w:t>
        </w:r>
      </w:hyperlink>
      <w:r>
        <w:rPr>
          <w:b/>
        </w:rPr>
        <w:t xml:space="preserve"> </w:t>
      </w:r>
    </w:p>
    <w:p w14:paraId="6A1544A0" w14:textId="77777777" w:rsidR="00C65375" w:rsidRPr="009B1016" w:rsidRDefault="00C65375">
      <w:pPr>
        <w:rPr>
          <w:b/>
        </w:rPr>
      </w:pPr>
    </w:p>
    <w:p w14:paraId="751B383E" w14:textId="6A7B98D9" w:rsidR="009B1016" w:rsidRPr="00881F00" w:rsidRDefault="009B1016" w:rsidP="00881F00">
      <w:pPr>
        <w:pStyle w:val="Ttulo1"/>
        <w:numPr>
          <w:ilvl w:val="0"/>
          <w:numId w:val="2"/>
        </w:numPr>
      </w:pPr>
      <w:r w:rsidRPr="00881F00">
        <w:t>Enunciados</w:t>
      </w:r>
    </w:p>
    <w:p w14:paraId="686A8C60" w14:textId="1789BF6B" w:rsidR="009018DA" w:rsidRDefault="009B1016">
      <w:r>
        <w:rPr>
          <w:noProof/>
        </w:rPr>
        <w:drawing>
          <wp:inline distT="0" distB="0" distL="0" distR="0" wp14:anchorId="7FECFF85" wp14:editId="12DEA29D">
            <wp:extent cx="5829143" cy="5295666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1444" cy="534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CB3A" w14:textId="77777777" w:rsidR="00C65375" w:rsidRDefault="00C65375">
      <w:r>
        <w:br w:type="page"/>
      </w:r>
    </w:p>
    <w:p w14:paraId="1A813959" w14:textId="5A6D3D52" w:rsidR="009B1016" w:rsidRPr="00881F00" w:rsidRDefault="009B1016" w:rsidP="00881F00">
      <w:pPr>
        <w:pStyle w:val="Ttulo1"/>
        <w:numPr>
          <w:ilvl w:val="0"/>
          <w:numId w:val="2"/>
        </w:numPr>
      </w:pPr>
      <w:r w:rsidRPr="00881F00">
        <w:lastRenderedPageBreak/>
        <w:t>Soluciones</w:t>
      </w:r>
    </w:p>
    <w:p w14:paraId="79E9BB8A" w14:textId="77777777" w:rsidR="00DB54DD" w:rsidRDefault="00DB54DD">
      <w:pPr>
        <w:rPr>
          <w:noProof/>
        </w:rPr>
      </w:pPr>
    </w:p>
    <w:p w14:paraId="312D1AE3" w14:textId="488037CE" w:rsidR="009B1016" w:rsidRDefault="00C65375">
      <w:r>
        <w:rPr>
          <w:noProof/>
        </w:rPr>
        <w:drawing>
          <wp:inline distT="0" distB="0" distL="0" distR="0" wp14:anchorId="253437E5" wp14:editId="27AD9029">
            <wp:extent cx="5243195" cy="738251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883" b="3582"/>
                    <a:stretch/>
                  </pic:blipFill>
                  <pic:spPr bwMode="auto">
                    <a:xfrm>
                      <a:off x="0" y="0"/>
                      <a:ext cx="5278146" cy="743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9F908" w14:textId="16CC97F1" w:rsidR="00DB54DD" w:rsidRPr="00DB54DD" w:rsidRDefault="00DB54DD" w:rsidP="00DB5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s-ES"/>
        </w:rPr>
      </w:pPr>
      <w:r w:rsidRPr="00DB54DD">
        <w:rPr>
          <w:rFonts w:eastAsia="Times New Roman" w:cstheme="minorHAnsi"/>
          <w:lang w:eastAsia="es-ES"/>
        </w:rPr>
        <w:t xml:space="preserve">No se puede retroceder. La inserción no se puede puesto que </w:t>
      </w:r>
      <w:proofErr w:type="spellStart"/>
      <w:r w:rsidRPr="00DB54DD">
        <w:rPr>
          <w:rFonts w:eastAsia="Times New Roman" w:cstheme="minorHAnsi"/>
          <w:lang w:eastAsia="es-ES"/>
        </w:rPr>
        <w:t>create</w:t>
      </w:r>
      <w:proofErr w:type="spellEnd"/>
      <w:r w:rsidRPr="00DB54DD">
        <w:rPr>
          <w:rFonts w:eastAsia="Times New Roman" w:cstheme="minorHAnsi"/>
          <w:lang w:eastAsia="es-ES"/>
        </w:rPr>
        <w:t xml:space="preserve"> es sentencia de definición de datos. Eso supone que se ha finalizado transacción y validados los cambios pendientes. Con el </w:t>
      </w:r>
      <w:proofErr w:type="spellStart"/>
      <w:r w:rsidRPr="00DB54DD">
        <w:rPr>
          <w:rFonts w:eastAsia="Times New Roman" w:cstheme="minorHAnsi"/>
          <w:lang w:eastAsia="es-ES"/>
        </w:rPr>
        <w:t>commit</w:t>
      </w:r>
      <w:proofErr w:type="spellEnd"/>
      <w:r w:rsidRPr="00DB54DD">
        <w:rPr>
          <w:rFonts w:eastAsia="Times New Roman" w:cstheme="minorHAnsi"/>
          <w:lang w:eastAsia="es-ES"/>
        </w:rPr>
        <w:t xml:space="preserve"> automático del </w:t>
      </w:r>
      <w:proofErr w:type="spellStart"/>
      <w:r w:rsidRPr="00DB54DD">
        <w:rPr>
          <w:rFonts w:eastAsia="Times New Roman" w:cstheme="minorHAnsi"/>
          <w:lang w:eastAsia="es-ES"/>
        </w:rPr>
        <w:t>create</w:t>
      </w:r>
      <w:proofErr w:type="spellEnd"/>
      <w:r w:rsidRPr="00DB54DD">
        <w:rPr>
          <w:rFonts w:eastAsia="Times New Roman" w:cstheme="minorHAnsi"/>
          <w:lang w:eastAsia="es-ES"/>
        </w:rPr>
        <w:t xml:space="preserve">, </w:t>
      </w:r>
      <w:proofErr w:type="spellStart"/>
      <w:r w:rsidRPr="00DB54DD">
        <w:rPr>
          <w:rFonts w:eastAsia="Times New Roman" w:cstheme="minorHAnsi"/>
          <w:lang w:eastAsia="es-ES"/>
        </w:rPr>
        <w:t>autocommit</w:t>
      </w:r>
      <w:proofErr w:type="spellEnd"/>
      <w:r w:rsidRPr="00DB54DD">
        <w:rPr>
          <w:rFonts w:eastAsia="Times New Roman" w:cstheme="minorHAnsi"/>
          <w:lang w:eastAsia="es-ES"/>
        </w:rPr>
        <w:t xml:space="preserve"> se ha activado, por lo </w:t>
      </w:r>
      <w:proofErr w:type="gramStart"/>
      <w:r w:rsidRPr="00DB54DD">
        <w:rPr>
          <w:rFonts w:eastAsia="Times New Roman" w:cstheme="minorHAnsi"/>
          <w:lang w:eastAsia="es-ES"/>
        </w:rPr>
        <w:t>tanto</w:t>
      </w:r>
      <w:proofErr w:type="gramEnd"/>
      <w:r w:rsidRPr="00DB54DD">
        <w:rPr>
          <w:rFonts w:eastAsia="Times New Roman" w:cstheme="minorHAnsi"/>
          <w:lang w:eastAsia="es-ES"/>
        </w:rPr>
        <w:t xml:space="preserve"> la actualización también está validada y no se puede deshacer.</w:t>
      </w:r>
    </w:p>
    <w:sectPr w:rsidR="00DB54DD" w:rsidRPr="00DB5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7A97"/>
    <w:multiLevelType w:val="hybridMultilevel"/>
    <w:tmpl w:val="1E0E6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42966"/>
    <w:multiLevelType w:val="hybridMultilevel"/>
    <w:tmpl w:val="22126D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1"/>
    <w:rsid w:val="00881F00"/>
    <w:rsid w:val="008A1E1B"/>
    <w:rsid w:val="009018DA"/>
    <w:rsid w:val="00971891"/>
    <w:rsid w:val="009B1016"/>
    <w:rsid w:val="00C65375"/>
    <w:rsid w:val="00D07EB9"/>
    <w:rsid w:val="00DB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2494"/>
  <w15:chartTrackingRefBased/>
  <w15:docId w15:val="{4ADC2827-240B-47E7-A26C-7A7B066F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1E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1E1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81F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1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5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54D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isbddocs.dlsi.ua.es/inicio/guias/datos/sesion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7</cp:revision>
  <dcterms:created xsi:type="dcterms:W3CDTF">2018-12-15T08:42:00Z</dcterms:created>
  <dcterms:modified xsi:type="dcterms:W3CDTF">2018-12-15T11:52:00Z</dcterms:modified>
</cp:coreProperties>
</file>