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32" w:rsidRPr="007A4F6E" w:rsidRDefault="00815E32" w:rsidP="00815E32">
      <w:pPr>
        <w:jc w:val="center"/>
        <w:rPr>
          <w:b/>
          <w:sz w:val="52"/>
          <w:szCs w:val="36"/>
          <w:lang w:val="es-ES"/>
        </w:rPr>
      </w:pPr>
      <w:r>
        <w:rPr>
          <w:b/>
          <w:sz w:val="52"/>
          <w:szCs w:val="36"/>
          <w:lang w:val="es-ES"/>
        </w:rPr>
        <w:t>Calibración del Presupuesto</w:t>
      </w: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rPr>
          <w:b/>
          <w:sz w:val="36"/>
          <w:szCs w:val="36"/>
          <w:lang w:val="es-ES"/>
        </w:rPr>
      </w:pPr>
    </w:p>
    <w:p w:rsidR="00815E32" w:rsidRPr="007A4F6E" w:rsidRDefault="00815E32" w:rsidP="00815E32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2F1E5D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A47E54" w:rsidRDefault="00815E32" w:rsidP="00815E32">
      <w:pPr>
        <w:jc w:val="center"/>
        <w:rPr>
          <w:b/>
          <w:sz w:val="44"/>
          <w:szCs w:val="36"/>
          <w:lang w:val="pt-PT"/>
        </w:rPr>
      </w:pPr>
      <w:r w:rsidRPr="00A47E54">
        <w:rPr>
          <w:b/>
          <w:sz w:val="44"/>
          <w:szCs w:val="36"/>
          <w:lang w:val="pt-PT"/>
        </w:rPr>
        <w:t>Versión 1</w:t>
      </w:r>
    </w:p>
    <w:p w:rsidR="00815E32" w:rsidRPr="00A47E54" w:rsidRDefault="00815E32" w:rsidP="00815E32">
      <w:pPr>
        <w:jc w:val="center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Pr="00A47E54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Pr="007A4F6E" w:rsidRDefault="00815E32" w:rsidP="00815E3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815E32" w:rsidRPr="007A4F6E" w:rsidRDefault="00815E32" w:rsidP="00815E3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815E32" w:rsidRPr="00BE1571" w:rsidRDefault="00815E32" w:rsidP="00815E32">
      <w:pPr>
        <w:rPr>
          <w:b/>
          <w:sz w:val="32"/>
          <w:szCs w:val="36"/>
          <w:lang w:val="es-ES"/>
        </w:rPr>
      </w:pPr>
      <w:r w:rsidRPr="00BE1571">
        <w:rPr>
          <w:b/>
          <w:sz w:val="32"/>
          <w:szCs w:val="36"/>
          <w:lang w:val="es-ES"/>
        </w:rPr>
        <w:lastRenderedPageBreak/>
        <w:t>Exposición al riesgo</w:t>
      </w:r>
    </w:p>
    <w:p w:rsidR="00815E32" w:rsidRPr="00815E32" w:rsidRDefault="00815E32" w:rsidP="00815E32">
      <w:pPr>
        <w:jc w:val="both"/>
        <w:rPr>
          <w:sz w:val="28"/>
          <w:szCs w:val="36"/>
          <w:lang w:val="es-ES"/>
        </w:rPr>
      </w:pPr>
      <w:r w:rsidRPr="00815E32">
        <w:rPr>
          <w:sz w:val="28"/>
          <w:szCs w:val="36"/>
          <w:lang w:val="es-ES"/>
        </w:rPr>
        <w:t>Dados los 10 principales riesgos del proyecto, se sigue la compilaci</w:t>
      </w:r>
      <w:r>
        <w:rPr>
          <w:sz w:val="28"/>
          <w:szCs w:val="36"/>
          <w:lang w:val="es-ES"/>
        </w:rPr>
        <w:t>ón de sus probabilidades e impacto en meses, así como la exposición al riesgo resultante también en meses: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8"/>
        <w:gridCol w:w="1694"/>
        <w:gridCol w:w="1089"/>
        <w:gridCol w:w="1797"/>
      </w:tblGrid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BE1571" w:rsidRDefault="0005634A" w:rsidP="00BE1571">
            <w:pPr>
              <w:rPr>
                <w:b/>
              </w:rPr>
            </w:pPr>
            <w:r>
              <w:rPr>
                <w:b/>
              </w:rPr>
              <w:t>Nombre d</w:t>
            </w:r>
            <w:r w:rsidR="00BE1571" w:rsidRPr="00BE1571">
              <w:rPr>
                <w:b/>
              </w:rPr>
              <w:t xml:space="preserve">el Riesgo </w:t>
            </w:r>
          </w:p>
        </w:tc>
        <w:tc>
          <w:tcPr>
            <w:tcW w:w="1694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 xml:space="preserve">Probabilidad </w:t>
            </w:r>
          </w:p>
        </w:tc>
        <w:tc>
          <w:tcPr>
            <w:tcW w:w="1089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Impacto (Meses)</w:t>
            </w:r>
          </w:p>
        </w:tc>
        <w:tc>
          <w:tcPr>
            <w:tcW w:w="1797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Exposición</w:t>
            </w:r>
            <w:r w:rsidR="0005634A">
              <w:rPr>
                <w:b/>
              </w:rPr>
              <w:t xml:space="preserve"> a</w:t>
            </w:r>
            <w:r w:rsidRPr="00BE1571">
              <w:rPr>
                <w:b/>
              </w:rPr>
              <w:t>l Riesgo (Meses)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Planificación optimista, «mejor caso»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70%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4,8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3,36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Falta de personal cualificado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25%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3,6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0,9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Versiones de software desactualizadas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0,36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0,0036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</w:tcPr>
          <w:p w:rsidR="00BE1571" w:rsidRPr="000E1818" w:rsidRDefault="00BE1571" w:rsidP="00BE1571">
            <w:r w:rsidRPr="000E1818">
              <w:t>Alteración o pérdida de la información registrada en base de datos o equipos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2,4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Estructura inadecuada de un equipo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0,0024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Acceso no autorizado a la información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25%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4,8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1,2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La planificación no se ajusta a la velocidad de desarrollo deseada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60%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2,4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1,44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Desarrollar productos que no cumplen con los requerimientos de calidad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4,8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0,48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 xml:space="preserve"> La contratación tarda más de lo esperado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20%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1,2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</w:tr>
      <w:tr w:rsidR="00BE1571" w:rsidRPr="003E1162" w:rsidTr="00BE1571">
        <w:trPr>
          <w:trHeight w:val="300"/>
        </w:trPr>
        <w:tc>
          <w:tcPr>
            <w:tcW w:w="4248" w:type="dxa"/>
            <w:noWrap/>
          </w:tcPr>
          <w:p w:rsidR="00BE1571" w:rsidRPr="000E1818" w:rsidRDefault="00BE1571" w:rsidP="00BE1571">
            <w:r w:rsidRPr="000E1818">
              <w:t>Problemas en la integración de componentes de software</w:t>
            </w:r>
          </w:p>
        </w:tc>
        <w:tc>
          <w:tcPr>
            <w:tcW w:w="1694" w:type="dxa"/>
            <w:noWrap/>
          </w:tcPr>
          <w:p w:rsidR="00BE1571" w:rsidRPr="000E1818" w:rsidRDefault="00BE1571" w:rsidP="00BE1571">
            <w:r w:rsidRPr="000E1818">
              <w:t>10%</w:t>
            </w:r>
          </w:p>
        </w:tc>
        <w:tc>
          <w:tcPr>
            <w:tcW w:w="1089" w:type="dxa"/>
            <w:noWrap/>
          </w:tcPr>
          <w:p w:rsidR="00BE1571" w:rsidRPr="000E1818" w:rsidRDefault="00BE1571" w:rsidP="00BE1571">
            <w:r w:rsidRPr="000E1818">
              <w:t>2,4</w:t>
            </w:r>
          </w:p>
        </w:tc>
        <w:tc>
          <w:tcPr>
            <w:tcW w:w="1797" w:type="dxa"/>
            <w:noWrap/>
          </w:tcPr>
          <w:p w:rsidR="00BE1571" w:rsidRPr="000E1818" w:rsidRDefault="00BE1571" w:rsidP="00BE1571">
            <w:r w:rsidRPr="000E1818">
              <w:t>0,24</w:t>
            </w:r>
          </w:p>
        </w:tc>
      </w:tr>
      <w:tr w:rsidR="00BE1571" w:rsidRPr="003E1162" w:rsidTr="00BE1571">
        <w:trPr>
          <w:trHeight w:val="300"/>
        </w:trPr>
        <w:tc>
          <w:tcPr>
            <w:tcW w:w="7031" w:type="dxa"/>
            <w:gridSpan w:val="3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TOTAL</w:t>
            </w:r>
          </w:p>
        </w:tc>
        <w:tc>
          <w:tcPr>
            <w:tcW w:w="1797" w:type="dxa"/>
            <w:noWrap/>
          </w:tcPr>
          <w:p w:rsidR="00BE1571" w:rsidRPr="00BE1571" w:rsidRDefault="00BE1571" w:rsidP="00BE1571">
            <w:pPr>
              <w:rPr>
                <w:b/>
              </w:rPr>
            </w:pPr>
            <w:r w:rsidRPr="00BE1571">
              <w:rPr>
                <w:b/>
              </w:rPr>
              <w:t>8,106</w:t>
            </w:r>
          </w:p>
        </w:tc>
      </w:tr>
    </w:tbl>
    <w:p w:rsidR="003E1162" w:rsidRDefault="00815E32" w:rsidP="00815E32">
      <w:pPr>
        <w:spacing w:before="160"/>
        <w:jc w:val="both"/>
        <w:rPr>
          <w:sz w:val="28"/>
        </w:rPr>
      </w:pPr>
      <w:r>
        <w:rPr>
          <w:sz w:val="28"/>
        </w:rPr>
        <w:t>En resultado de la tabla anterior, se concluí que la gestión y mitigación de ri</w:t>
      </w:r>
      <w:r w:rsidR="00F8762F">
        <w:rPr>
          <w:sz w:val="28"/>
        </w:rPr>
        <w:t>esgos alargará el proyecto en 8</w:t>
      </w:r>
      <w:r>
        <w:rPr>
          <w:sz w:val="28"/>
        </w:rPr>
        <w:t xml:space="preserve"> meses más, a juntar a los 24 meses previstos anteriormente.</w:t>
      </w:r>
    </w:p>
    <w:p w:rsidR="008039EA" w:rsidRDefault="008039EA" w:rsidP="00815E32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Simulación de riesgos</w:t>
      </w:r>
    </w:p>
    <w:p w:rsidR="00DF669C" w:rsidRDefault="00D978AF" w:rsidP="00815E32">
      <w:pPr>
        <w:spacing w:before="160"/>
        <w:jc w:val="both"/>
        <w:rPr>
          <w:sz w:val="28"/>
        </w:rPr>
      </w:pPr>
      <w:r>
        <w:rPr>
          <w:sz w:val="28"/>
        </w:rPr>
        <w:t>Para la simulació</w:t>
      </w:r>
      <w:r w:rsidR="00BC450A">
        <w:rPr>
          <w:sz w:val="28"/>
        </w:rPr>
        <w:t>n d</w:t>
      </w:r>
      <w:r>
        <w:rPr>
          <w:sz w:val="28"/>
        </w:rPr>
        <w:t>e riesgos se ha usado el software Riskology, con los siguientes parámetros: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04"/>
        <w:gridCol w:w="1789"/>
        <w:gridCol w:w="1756"/>
        <w:gridCol w:w="1722"/>
        <w:gridCol w:w="1557"/>
      </w:tblGrid>
      <w:tr w:rsidR="00D978AF" w:rsidTr="00D978AF">
        <w:trPr>
          <w:trHeight w:val="108"/>
        </w:trPr>
        <w:tc>
          <w:tcPr>
            <w:tcW w:w="2004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Riesgo</w:t>
            </w:r>
          </w:p>
        </w:tc>
        <w:tc>
          <w:tcPr>
            <w:tcW w:w="1789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Worst case</w:t>
            </w:r>
          </w:p>
        </w:tc>
        <w:tc>
          <w:tcPr>
            <w:tcW w:w="1756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Most likely</w:t>
            </w:r>
          </w:p>
        </w:tc>
        <w:tc>
          <w:tcPr>
            <w:tcW w:w="1722" w:type="dxa"/>
          </w:tcPr>
          <w:p w:rsidR="00D978AF" w:rsidRP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Best case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Binary</w:t>
            </w:r>
          </w:p>
        </w:tc>
      </w:tr>
      <w:tr w:rsidR="00D978AF" w:rsidTr="00D978AF">
        <w:trPr>
          <w:trHeight w:val="70"/>
        </w:trPr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Schedule Flaw</w:t>
            </w:r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978AF" w:rsidTr="00D978AF"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Turnover</w:t>
            </w:r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978AF" w:rsidTr="00D978AF"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Inflation</w:t>
            </w:r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15%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978AF" w:rsidTr="00D978AF">
        <w:trPr>
          <w:trHeight w:val="194"/>
        </w:trPr>
        <w:tc>
          <w:tcPr>
            <w:tcW w:w="2004" w:type="dxa"/>
            <w:vMerge w:val="restart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Spec Flaw</w:t>
            </w:r>
          </w:p>
        </w:tc>
        <w:tc>
          <w:tcPr>
            <w:tcW w:w="5267" w:type="dxa"/>
            <w:gridSpan w:val="3"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  <w:r w:rsidRPr="00D978AF">
              <w:rPr>
                <w:sz w:val="24"/>
              </w:rPr>
              <w:t>Risk probability: 2%</w:t>
            </w:r>
          </w:p>
        </w:tc>
        <w:tc>
          <w:tcPr>
            <w:tcW w:w="1557" w:type="dxa"/>
            <w:vMerge w:val="restart"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  <w:r w:rsidRPr="00D978AF">
              <w:rPr>
                <w:sz w:val="28"/>
              </w:rPr>
              <w:t>Sí</w:t>
            </w:r>
          </w:p>
        </w:tc>
      </w:tr>
      <w:tr w:rsidR="00D978AF" w:rsidTr="00D978AF">
        <w:trPr>
          <w:trHeight w:val="247"/>
        </w:trPr>
        <w:tc>
          <w:tcPr>
            <w:tcW w:w="2004" w:type="dxa"/>
            <w:vMerge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</w:p>
        </w:tc>
        <w:tc>
          <w:tcPr>
            <w:tcW w:w="5267" w:type="dxa"/>
            <w:gridSpan w:val="3"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  <w:r w:rsidRPr="00D978AF">
              <w:rPr>
                <w:sz w:val="24"/>
              </w:rPr>
              <w:t>Time penalti: 5%</w:t>
            </w:r>
          </w:p>
        </w:tc>
        <w:tc>
          <w:tcPr>
            <w:tcW w:w="1557" w:type="dxa"/>
            <w:vMerge/>
          </w:tcPr>
          <w:p w:rsidR="00D978AF" w:rsidRPr="00D978AF" w:rsidRDefault="00D978AF" w:rsidP="00D978AF">
            <w:pPr>
              <w:spacing w:before="160"/>
              <w:jc w:val="center"/>
              <w:rPr>
                <w:sz w:val="24"/>
              </w:rPr>
            </w:pPr>
          </w:p>
        </w:tc>
      </w:tr>
      <w:tr w:rsidR="00D978AF" w:rsidTr="00D978AF">
        <w:tc>
          <w:tcPr>
            <w:tcW w:w="2004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Productivity</w:t>
            </w:r>
          </w:p>
        </w:tc>
        <w:tc>
          <w:tcPr>
            <w:tcW w:w="1789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756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1722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557" w:type="dxa"/>
          </w:tcPr>
          <w:p w:rsidR="00D978AF" w:rsidRDefault="00D978AF" w:rsidP="00D978AF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D978AF" w:rsidRDefault="00D978AF" w:rsidP="00815E32">
      <w:pPr>
        <w:spacing w:before="160"/>
        <w:jc w:val="both"/>
        <w:rPr>
          <w:sz w:val="28"/>
        </w:rPr>
      </w:pPr>
      <w:r>
        <w:rPr>
          <w:sz w:val="28"/>
        </w:rPr>
        <w:t xml:space="preserve">Además, hemos introducido los riesgos </w:t>
      </w:r>
      <w:r w:rsidR="00202095">
        <w:rPr>
          <w:sz w:val="28"/>
        </w:rPr>
        <w:t>“</w:t>
      </w:r>
      <w:r w:rsidR="00202095" w:rsidRPr="00202095">
        <w:rPr>
          <w:sz w:val="28"/>
        </w:rPr>
        <w:t>Versiones de software desactualizadas</w:t>
      </w:r>
      <w:r w:rsidR="00202095">
        <w:rPr>
          <w:sz w:val="28"/>
        </w:rPr>
        <w:t>”; “</w:t>
      </w:r>
      <w:r w:rsidR="00202095" w:rsidRPr="00202095">
        <w:rPr>
          <w:sz w:val="28"/>
        </w:rPr>
        <w:t>Alteración o pérdida de la información registrada en base de datos o equipos</w:t>
      </w:r>
      <w:r w:rsidR="00202095">
        <w:rPr>
          <w:sz w:val="28"/>
        </w:rPr>
        <w:t>”; “</w:t>
      </w:r>
      <w:r w:rsidR="00202095" w:rsidRPr="00202095">
        <w:rPr>
          <w:sz w:val="28"/>
        </w:rPr>
        <w:t>Estructura inadecuada de un equipo</w:t>
      </w:r>
      <w:r w:rsidR="00202095">
        <w:rPr>
          <w:sz w:val="28"/>
        </w:rPr>
        <w:t>”; “</w:t>
      </w:r>
      <w:r w:rsidR="00202095" w:rsidRPr="00202095">
        <w:rPr>
          <w:sz w:val="28"/>
        </w:rPr>
        <w:t>Desarrollar productos que no cumplen con los requerimientos de calidad</w:t>
      </w:r>
      <w:r w:rsidR="00202095">
        <w:rPr>
          <w:sz w:val="28"/>
        </w:rPr>
        <w:t>”; y “</w:t>
      </w:r>
      <w:r w:rsidR="00202095" w:rsidRPr="00202095">
        <w:rPr>
          <w:sz w:val="28"/>
        </w:rPr>
        <w:t>Problemas en la integración de componentes de software</w:t>
      </w:r>
      <w:r w:rsidR="00202095">
        <w:rPr>
          <w:sz w:val="28"/>
        </w:rPr>
        <w:t>”.</w:t>
      </w:r>
    </w:p>
    <w:p w:rsidR="004D4153" w:rsidRPr="00DF669C" w:rsidRDefault="004D4153" w:rsidP="00815E32">
      <w:pPr>
        <w:spacing w:before="160"/>
        <w:jc w:val="both"/>
        <w:rPr>
          <w:sz w:val="28"/>
        </w:rPr>
      </w:pPr>
      <w:r>
        <w:rPr>
          <w:sz w:val="28"/>
        </w:rPr>
        <w:t xml:space="preserve">Hemos considerado todos </w:t>
      </w:r>
      <w:r w:rsidR="00BC450A">
        <w:rPr>
          <w:sz w:val="28"/>
        </w:rPr>
        <w:t>esos 5 riesgos</w:t>
      </w:r>
      <w:r>
        <w:rPr>
          <w:sz w:val="28"/>
        </w:rPr>
        <w:t xml:space="preserve"> como Non-Binary, o sea, riesgos continuos. Las tasas de Worst Case y Most Likely corresponde a sus impactos alto y medio, respectivamente; la tasa de Best Case </w:t>
      </w:r>
      <w:r w:rsidR="00BC450A">
        <w:rPr>
          <w:sz w:val="28"/>
        </w:rPr>
        <w:t>es</w:t>
      </w:r>
      <w:r>
        <w:rPr>
          <w:sz w:val="28"/>
        </w:rPr>
        <w:t xml:space="preserve"> de 0%.</w:t>
      </w:r>
    </w:p>
    <w:p w:rsidR="008039EA" w:rsidRDefault="00DF669C" w:rsidP="00815E32">
      <w:pPr>
        <w:spacing w:before="160"/>
        <w:jc w:val="both"/>
        <w:rPr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6FFEE8AF" wp14:editId="38BF0451">
            <wp:extent cx="5612130" cy="3562985"/>
            <wp:effectExtent l="0" t="0" r="7620" b="1841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450A" w:rsidRDefault="00BC450A" w:rsidP="00815E32">
      <w:pPr>
        <w:spacing w:before="160"/>
        <w:jc w:val="both"/>
        <w:rPr>
          <w:sz w:val="28"/>
        </w:rPr>
      </w:pPr>
      <w:r>
        <w:rPr>
          <w:sz w:val="28"/>
        </w:rPr>
        <w:t>De acuerdo con el software Riskology, una fecha algo probable de conclusión del proyecto</w:t>
      </w:r>
      <w:r w:rsidR="0005634A">
        <w:rPr>
          <w:sz w:val="28"/>
        </w:rPr>
        <w:t xml:space="preserve"> (24,6%)</w:t>
      </w:r>
      <w:r>
        <w:rPr>
          <w:sz w:val="28"/>
        </w:rPr>
        <w:t xml:space="preserve"> teniendo en cuenta sus riesgos es Febrero de 2022, lo que alargará el desarrollo del proyecto</w:t>
      </w:r>
      <w:r w:rsidR="009B417C">
        <w:rPr>
          <w:sz w:val="28"/>
        </w:rPr>
        <w:t xml:space="preserve"> en 13 meses y</w:t>
      </w:r>
      <w:r>
        <w:rPr>
          <w:sz w:val="28"/>
        </w:rPr>
        <w:t xml:space="preserve"> en cerca de 55%.</w:t>
      </w:r>
      <w:r w:rsidR="0005634A">
        <w:rPr>
          <w:sz w:val="28"/>
        </w:rPr>
        <w:t xml:space="preserve"> Otras fechas también algo probables son Abril y Mayo de 2022.</w:t>
      </w:r>
      <w:bookmarkStart w:id="0" w:name="_GoBack"/>
      <w:bookmarkEnd w:id="0"/>
    </w:p>
    <w:p w:rsidR="00E938CE" w:rsidRDefault="00E938CE" w:rsidP="00815E32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Ajuste en la estimaci</w:t>
      </w:r>
      <w:r w:rsidR="001D45C5">
        <w:rPr>
          <w:b/>
          <w:sz w:val="32"/>
        </w:rPr>
        <w:t>ón</w:t>
      </w:r>
    </w:p>
    <w:p w:rsidR="001D45C5" w:rsidRDefault="001D45C5" w:rsidP="00815E32">
      <w:pPr>
        <w:spacing w:before="160"/>
        <w:jc w:val="both"/>
        <w:rPr>
          <w:sz w:val="28"/>
        </w:rPr>
      </w:pPr>
      <w:r>
        <w:rPr>
          <w:sz w:val="28"/>
        </w:rPr>
        <w:t xml:space="preserve">Nuestra estimación y la estimación del software Riskology tienen una diferencia de 5 meses. Sin embargo, es verdad que el software Riskology fue </w:t>
      </w:r>
      <w:r>
        <w:rPr>
          <w:sz w:val="28"/>
        </w:rPr>
        <w:lastRenderedPageBreak/>
        <w:t>realizado en 2004 y que ahora existen herramientas de desarrollo más eficiente que las existentes entonces.</w:t>
      </w:r>
    </w:p>
    <w:p w:rsidR="001D45C5" w:rsidRDefault="001D45C5" w:rsidP="00815E32">
      <w:pPr>
        <w:spacing w:before="160"/>
        <w:jc w:val="both"/>
        <w:rPr>
          <w:sz w:val="28"/>
        </w:rPr>
      </w:pPr>
      <w:r>
        <w:rPr>
          <w:sz w:val="28"/>
        </w:rPr>
        <w:t>De esa manera, creemos que una estimación más adecuada para el alargamiento del proyecto deb</w:t>
      </w:r>
      <w:r w:rsidR="00A52803">
        <w:rPr>
          <w:sz w:val="28"/>
        </w:rPr>
        <w:t xml:space="preserve">ido a los riesgos es de 9 meses, un </w:t>
      </w:r>
      <w:r w:rsidR="00F9531E">
        <w:rPr>
          <w:sz w:val="28"/>
        </w:rPr>
        <w:t>equilibrio</w:t>
      </w:r>
      <w:r w:rsidR="00A52803">
        <w:rPr>
          <w:sz w:val="28"/>
        </w:rPr>
        <w:t xml:space="preserve"> entre nuestra estimación original y la del software Riskology.</w:t>
      </w:r>
    </w:p>
    <w:p w:rsidR="00D61B2F" w:rsidRPr="00D61B2F" w:rsidRDefault="00D61B2F" w:rsidP="00D61B2F">
      <w:pPr>
        <w:jc w:val="both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sz w:val="28"/>
        </w:rPr>
        <w:t xml:space="preserve">Asumiendo un coste mensual medio </w:t>
      </w:r>
      <w:r w:rsidRPr="00D61B2F">
        <w:rPr>
          <w:rFonts w:cstheme="minorHAnsi"/>
          <w:sz w:val="28"/>
        </w:rPr>
        <w:t xml:space="preserve">de </w:t>
      </w:r>
      <w:r w:rsidRPr="00D61B2F">
        <w:rPr>
          <w:rFonts w:eastAsia="Times New Roman" w:cstheme="minorHAnsi"/>
          <w:color w:val="000000"/>
          <w:sz w:val="28"/>
          <w:lang w:val="es-ES" w:eastAsia="es-ES"/>
        </w:rPr>
        <w:t>68.451,60€</w:t>
      </w:r>
      <w:r>
        <w:rPr>
          <w:rFonts w:eastAsia="Times New Roman" w:cstheme="minorHAnsi"/>
          <w:color w:val="000000"/>
          <w:sz w:val="28"/>
          <w:lang w:val="es-ES" w:eastAsia="es-ES"/>
        </w:rPr>
        <w:t xml:space="preserve">, obtenido dividiendo los 24 meses originales del proyecto por su presupuesto original, obtuvimos una prorrogación del </w:t>
      </w:r>
      <w:r w:rsidRPr="00D61B2F">
        <w:rPr>
          <w:rFonts w:eastAsia="Times New Roman" w:cstheme="minorHAnsi"/>
          <w:color w:val="000000"/>
          <w:sz w:val="28"/>
          <w:szCs w:val="28"/>
          <w:lang w:val="es-ES" w:eastAsia="es-ES"/>
        </w:rPr>
        <w:t xml:space="preserve">presupuesto de </w:t>
      </w:r>
      <w:r w:rsidRPr="00D61B2F"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>616</w:t>
      </w:r>
      <w:r>
        <w:rPr>
          <w:rFonts w:ascii="Calibri" w:eastAsia="Times New Roman" w:hAnsi="Calibri" w:cs="Calibri"/>
          <w:color w:val="000000"/>
          <w:sz w:val="28"/>
          <w:szCs w:val="28"/>
          <w:lang w:val="es-ES" w:eastAsia="es-ES"/>
        </w:rPr>
        <w:t>.064,40€.</w:t>
      </w:r>
    </w:p>
    <w:p w:rsidR="00D61B2F" w:rsidRPr="00D61B2F" w:rsidRDefault="00D61B2F" w:rsidP="00815E32">
      <w:pPr>
        <w:spacing w:before="160"/>
        <w:jc w:val="both"/>
        <w:rPr>
          <w:sz w:val="28"/>
          <w:lang w:val="es-ES"/>
        </w:rPr>
      </w:pPr>
    </w:p>
    <w:sectPr w:rsidR="00D61B2F" w:rsidRPr="00D61B2F" w:rsidSect="008039E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A09" w:rsidRDefault="00430A09" w:rsidP="008039EA">
      <w:pPr>
        <w:spacing w:after="0" w:line="240" w:lineRule="auto"/>
      </w:pPr>
      <w:r>
        <w:separator/>
      </w:r>
    </w:p>
  </w:endnote>
  <w:endnote w:type="continuationSeparator" w:id="0">
    <w:p w:rsidR="00430A09" w:rsidRDefault="00430A09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592214"/>
      <w:docPartObj>
        <w:docPartGallery w:val="Page Numbers (Bottom of Page)"/>
        <w:docPartUnique/>
      </w:docPartObj>
    </w:sdtPr>
    <w:sdtEndPr/>
    <w:sdtContent>
      <w:p w:rsidR="008039EA" w:rsidRDefault="008039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34A" w:rsidRPr="0005634A">
          <w:rPr>
            <w:noProof/>
            <w:lang w:val="pt-PT"/>
          </w:rPr>
          <w:t>3</w:t>
        </w:r>
        <w:r>
          <w:fldChar w:fldCharType="end"/>
        </w:r>
      </w:p>
    </w:sdtContent>
  </w:sdt>
  <w:p w:rsidR="008039EA" w:rsidRDefault="008039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A09" w:rsidRDefault="00430A09" w:rsidP="008039EA">
      <w:pPr>
        <w:spacing w:after="0" w:line="240" w:lineRule="auto"/>
      </w:pPr>
      <w:r>
        <w:separator/>
      </w:r>
    </w:p>
  </w:footnote>
  <w:footnote w:type="continuationSeparator" w:id="0">
    <w:p w:rsidR="00430A09" w:rsidRDefault="00430A09" w:rsidP="00803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34A" w:rsidRDefault="0005634A">
    <w:pPr>
      <w:pStyle w:val="Cabealho"/>
    </w:pPr>
    <w:r>
      <w:t>Calibración del Presupuesto</w:t>
    </w:r>
    <w:r>
      <w:tab/>
    </w:r>
    <w:r>
      <w:tab/>
      <w:t>Miguel Gonçalves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5634A"/>
    <w:rsid w:val="001D45C5"/>
    <w:rsid w:val="00202095"/>
    <w:rsid w:val="002063B2"/>
    <w:rsid w:val="002A07CA"/>
    <w:rsid w:val="00343055"/>
    <w:rsid w:val="003866A8"/>
    <w:rsid w:val="003E1162"/>
    <w:rsid w:val="00430A09"/>
    <w:rsid w:val="004A6E69"/>
    <w:rsid w:val="004D4153"/>
    <w:rsid w:val="005E28E0"/>
    <w:rsid w:val="008039EA"/>
    <w:rsid w:val="00815E32"/>
    <w:rsid w:val="009B417C"/>
    <w:rsid w:val="00A52803"/>
    <w:rsid w:val="00A71A6D"/>
    <w:rsid w:val="00BC450A"/>
    <w:rsid w:val="00BE1571"/>
    <w:rsid w:val="00D61B2F"/>
    <w:rsid w:val="00D765C2"/>
    <w:rsid w:val="00D978AF"/>
    <w:rsid w:val="00DF669C"/>
    <w:rsid w:val="00E65904"/>
    <w:rsid w:val="00E938CE"/>
    <w:rsid w:val="00F42069"/>
    <w:rsid w:val="00F8762F"/>
    <w:rsid w:val="00F9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39EA"/>
  </w:style>
  <w:style w:type="paragraph" w:styleId="Rodap">
    <w:name w:val="footer"/>
    <w:basedOn w:val="Normal"/>
    <w:link w:val="Rodap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\Desktop\PGPIproject\Practica_5_6\RiskologyV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'Simulation Control'!$B$54</c:f>
          <c:strCache>
            <c:ptCount val="1"/>
            <c:pt idx="0">
              <c:v>SDAC:    Project Simulation (500 Runs)</c:v>
            </c:pt>
          </c:strCache>
        </c:strRef>
      </c:tx>
      <c:layout>
        <c:manualLayout>
          <c:xMode val="edge"/>
          <c:yMode val="edge"/>
          <c:x val="0.27665546885646064"/>
          <c:y val="2.9630541297790709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325" b="1" i="0" u="none" strike="noStrike" baseline="0">
              <a:solidFill>
                <a:srgbClr val="000000"/>
              </a:solidFill>
              <a:latin typeface="New York"/>
              <a:ea typeface="New York"/>
              <a:cs typeface="New York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0712617134670793"/>
          <c:y val="0.14444887444329144"/>
          <c:w val="0.87613847148943436"/>
          <c:h val="0.4986414481116255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'Main Simsheet'!$R$547:$AC$547</c:f>
              <c:strCache>
                <c:ptCount val="12"/>
                <c:pt idx="0">
                  <c:v>31-AUG-02021  </c:v>
                </c:pt>
                <c:pt idx="1">
                  <c:v>23-OCT-02021  </c:v>
                </c:pt>
                <c:pt idx="2">
                  <c:v>16-DEC-02021  </c:v>
                </c:pt>
                <c:pt idx="3">
                  <c:v>9-FEB-02022  </c:v>
                </c:pt>
                <c:pt idx="4">
                  <c:v>1-APR-02022  </c:v>
                </c:pt>
                <c:pt idx="5">
                  <c:v>25-MAY-02022  </c:v>
                </c:pt>
                <c:pt idx="6">
                  <c:v>18-JUL-02022  </c:v>
                </c:pt>
                <c:pt idx="7">
                  <c:v>10-SEP-02022  </c:v>
                </c:pt>
                <c:pt idx="8">
                  <c:v>3-NOV-02022  </c:v>
                </c:pt>
                <c:pt idx="9">
                  <c:v>27-DEC-02022  </c:v>
                </c:pt>
                <c:pt idx="10">
                  <c:v> </c:v>
                </c:pt>
                <c:pt idx="11">
                  <c:v>CANCELLED</c:v>
                </c:pt>
              </c:strCache>
            </c:strRef>
          </c:cat>
          <c:val>
            <c:numRef>
              <c:f>'Main Simsheet'!$R$522:$AC$522</c:f>
              <c:numCache>
                <c:formatCode>General</c:formatCode>
                <c:ptCount val="12"/>
                <c:pt idx="0">
                  <c:v>4</c:v>
                </c:pt>
                <c:pt idx="1">
                  <c:v>34</c:v>
                </c:pt>
                <c:pt idx="2">
                  <c:v>59</c:v>
                </c:pt>
                <c:pt idx="3">
                  <c:v>123</c:v>
                </c:pt>
                <c:pt idx="4">
                  <c:v>119</c:v>
                </c:pt>
                <c:pt idx="5">
                  <c:v>96</c:v>
                </c:pt>
                <c:pt idx="6">
                  <c:v>48</c:v>
                </c:pt>
                <c:pt idx="7">
                  <c:v>15</c:v>
                </c:pt>
                <c:pt idx="8">
                  <c:v>1</c:v>
                </c:pt>
                <c:pt idx="9">
                  <c:v>0</c:v>
                </c:pt>
                <c:pt idx="11" formatCode="0.0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75423696"/>
        <c:axId val="475421736"/>
      </c:barChart>
      <c:catAx>
        <c:axId val="475423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325" b="1" i="0" u="none" strike="noStrike" baseline="0">
                    <a:solidFill>
                      <a:srgbClr val="000000"/>
                    </a:solidFill>
                    <a:latin typeface="New York"/>
                    <a:ea typeface="New York"/>
                    <a:cs typeface="New York"/>
                  </a:defRPr>
                </a:pPr>
                <a:r>
                  <a:rPr lang="es-ES"/>
                  <a:t>Completion Date</a:t>
                </a:r>
              </a:p>
            </c:rich>
          </c:tx>
          <c:layout>
            <c:manualLayout>
              <c:xMode val="edge"/>
              <c:yMode val="edge"/>
              <c:x val="0.44791852647746944"/>
              <c:y val="0.9255360322875340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New York"/>
                <a:ea typeface="New York"/>
                <a:cs typeface="New York"/>
              </a:defRPr>
            </a:pPr>
            <a:endParaRPr lang="es-ES"/>
          </a:p>
        </c:txPr>
        <c:crossAx val="47542173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754217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325" b="1" i="0" u="none" strike="noStrike" baseline="0">
                    <a:solidFill>
                      <a:srgbClr val="000000"/>
                    </a:solidFill>
                    <a:latin typeface="New York"/>
                    <a:ea typeface="New York"/>
                    <a:cs typeface="New York"/>
                  </a:defRPr>
                </a:pPr>
                <a:r>
                  <a:rPr lang="es-ES"/>
                  <a:t>Number of Instances in Range</a:t>
                </a:r>
              </a:p>
            </c:rich>
          </c:tx>
          <c:layout>
            <c:manualLayout>
              <c:xMode val="edge"/>
              <c:yMode val="edge"/>
              <c:x val="7.8474661135789787E-3"/>
              <c:y val="0.1981543565297075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New York"/>
                <a:ea typeface="New York"/>
                <a:cs typeface="New York"/>
              </a:defRPr>
            </a:pPr>
            <a:endParaRPr lang="es-ES"/>
          </a:p>
        </c:txPr>
        <c:crossAx val="47542369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New York"/>
          <a:ea typeface="New York"/>
          <a:cs typeface="New York"/>
        </a:defRPr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22</cp:revision>
  <dcterms:created xsi:type="dcterms:W3CDTF">2018-12-02T00:16:00Z</dcterms:created>
  <dcterms:modified xsi:type="dcterms:W3CDTF">2018-12-02T01:42:00Z</dcterms:modified>
</cp:coreProperties>
</file>