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9"/>
        <w:gridCol w:w="982"/>
        <w:gridCol w:w="1139"/>
        <w:gridCol w:w="1888"/>
      </w:tblGrid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 xml:space="preserve">Nombre Del Riesgo 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 xml:space="preserve">Probabilidad 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>Impacto (Meses)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>Exposición Al Riesgo (Meses)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Planificación optimista, «mejor caso»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70%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4,8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3,36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Falta de personal cualificado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25%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3,6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0,9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Versiones de software desactualizadas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10%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0,36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0,036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hideMark/>
          </w:tcPr>
          <w:p w:rsidR="003E1162" w:rsidRPr="003E1162" w:rsidRDefault="003E1162" w:rsidP="003E1162">
            <w:r w:rsidRPr="003E1162">
              <w:rPr>
                <w:lang w:val="es-ES"/>
              </w:rPr>
              <w:t>Alteración o pérdida de la información registrada en base de datos o equipos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20%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2,4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0,48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Estructura inadecuada de un equipo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5%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0,24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0,012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Acceso no autorizado a la información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25%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4,8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1,2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La planificación no se ajusta a la velocidad de desarrollo deseada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60%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2,4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1,44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Desarrollar productos que no cumplen con los requerimientos de calidad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25%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4,8</w:t>
            </w:r>
            <w:bookmarkStart w:id="0" w:name="_GoBack"/>
            <w:bookmarkEnd w:id="0"/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1,2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 xml:space="preserve"> La contratación tarda más de lo esperado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20%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1,2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0,24</w:t>
            </w:r>
          </w:p>
        </w:tc>
      </w:tr>
      <w:tr w:rsidR="003E1162" w:rsidRPr="003E1162" w:rsidTr="003E1162">
        <w:trPr>
          <w:trHeight w:val="300"/>
        </w:trPr>
        <w:tc>
          <w:tcPr>
            <w:tcW w:w="7220" w:type="dxa"/>
            <w:noWrap/>
            <w:hideMark/>
          </w:tcPr>
          <w:p w:rsidR="003E1162" w:rsidRPr="003E1162" w:rsidRDefault="003E1162">
            <w:r w:rsidRPr="003E1162">
              <w:rPr>
                <w:lang w:val="es-ES"/>
              </w:rPr>
              <w:t>Problemas en la integración de componentes de software</w:t>
            </w:r>
          </w:p>
        </w:tc>
        <w:tc>
          <w:tcPr>
            <w:tcW w:w="1260" w:type="dxa"/>
            <w:noWrap/>
            <w:hideMark/>
          </w:tcPr>
          <w:p w:rsidR="003E1162" w:rsidRPr="003E1162" w:rsidRDefault="003E1162" w:rsidP="003E1162">
            <w:r w:rsidRPr="003E1162">
              <w:t>50%</w:t>
            </w:r>
          </w:p>
        </w:tc>
        <w:tc>
          <w:tcPr>
            <w:tcW w:w="1620" w:type="dxa"/>
            <w:noWrap/>
            <w:hideMark/>
          </w:tcPr>
          <w:p w:rsidR="003E1162" w:rsidRPr="003E1162" w:rsidRDefault="003E1162" w:rsidP="003E1162">
            <w:r w:rsidRPr="003E1162">
              <w:t>2,4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r w:rsidRPr="003E1162">
              <w:t>1,2</w:t>
            </w:r>
          </w:p>
        </w:tc>
      </w:tr>
      <w:tr w:rsidR="003E1162" w:rsidRPr="003E1162" w:rsidTr="003E1162">
        <w:trPr>
          <w:trHeight w:val="300"/>
        </w:trPr>
        <w:tc>
          <w:tcPr>
            <w:tcW w:w="10100" w:type="dxa"/>
            <w:gridSpan w:val="3"/>
            <w:noWrap/>
            <w:hideMark/>
          </w:tcPr>
          <w:p w:rsidR="003E1162" w:rsidRPr="003E1162" w:rsidRDefault="003E1162" w:rsidP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>TOTAL</w:t>
            </w:r>
          </w:p>
        </w:tc>
        <w:tc>
          <w:tcPr>
            <w:tcW w:w="2760" w:type="dxa"/>
            <w:noWrap/>
            <w:hideMark/>
          </w:tcPr>
          <w:p w:rsidR="003E1162" w:rsidRPr="003E1162" w:rsidRDefault="003E1162" w:rsidP="003E1162">
            <w:pPr>
              <w:rPr>
                <w:b/>
                <w:bCs/>
              </w:rPr>
            </w:pPr>
            <w:r w:rsidRPr="003E1162">
              <w:rPr>
                <w:b/>
                <w:bCs/>
              </w:rPr>
              <w:t>10,068</w:t>
            </w:r>
          </w:p>
        </w:tc>
      </w:tr>
    </w:tbl>
    <w:p w:rsidR="00E4528F" w:rsidRDefault="003E1162"/>
    <w:p w:rsidR="003E1162" w:rsidRDefault="003E1162"/>
    <w:p w:rsidR="003E1162" w:rsidRDefault="003E1162"/>
    <w:p w:rsidR="003E1162" w:rsidRDefault="003E1162"/>
    <w:p w:rsidR="003E1162" w:rsidRDefault="003E1162"/>
    <w:sectPr w:rsidR="003E1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2A07CA"/>
    <w:rsid w:val="003E1162"/>
    <w:rsid w:val="00E65904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70A6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2</cp:revision>
  <dcterms:created xsi:type="dcterms:W3CDTF">2018-12-02T00:16:00Z</dcterms:created>
  <dcterms:modified xsi:type="dcterms:W3CDTF">2018-12-02T00:28:00Z</dcterms:modified>
</cp:coreProperties>
</file>