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7A4F6E" w:rsidRDefault="00815E32" w:rsidP="00815E32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Calibración del Presupuesto</w:t>
      </w: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rPr>
          <w:b/>
          <w:sz w:val="36"/>
          <w:szCs w:val="36"/>
          <w:lang w:val="es-ES"/>
        </w:rPr>
      </w:pPr>
    </w:p>
    <w:p w:rsidR="00815E32" w:rsidRPr="007A4F6E" w:rsidRDefault="00815E32" w:rsidP="00815E32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A47E54" w:rsidRDefault="00815E32" w:rsidP="00815E32">
      <w:pPr>
        <w:jc w:val="center"/>
        <w:rPr>
          <w:b/>
          <w:sz w:val="44"/>
          <w:szCs w:val="36"/>
          <w:lang w:val="pt-PT"/>
        </w:rPr>
      </w:pPr>
      <w:proofErr w:type="spellStart"/>
      <w:r w:rsidRPr="00A47E54">
        <w:rPr>
          <w:b/>
          <w:sz w:val="44"/>
          <w:szCs w:val="36"/>
          <w:lang w:val="pt-PT"/>
        </w:rPr>
        <w:t>Versión</w:t>
      </w:r>
      <w:proofErr w:type="spellEnd"/>
      <w:r w:rsidRPr="00A47E54">
        <w:rPr>
          <w:b/>
          <w:sz w:val="44"/>
          <w:szCs w:val="36"/>
          <w:lang w:val="pt-PT"/>
        </w:rPr>
        <w:t xml:space="preserve"> 1</w:t>
      </w:r>
    </w:p>
    <w:p w:rsidR="00815E32" w:rsidRPr="00A47E54" w:rsidRDefault="00815E32" w:rsidP="00815E32">
      <w:pPr>
        <w:jc w:val="center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A47E54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815E32" w:rsidRDefault="00815E32" w:rsidP="00815E32">
      <w:pPr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lastRenderedPageBreak/>
        <w:t xml:space="preserve">Exposición al </w:t>
      </w:r>
      <w:proofErr w:type="spellStart"/>
      <w:r>
        <w:rPr>
          <w:b/>
          <w:sz w:val="32"/>
          <w:szCs w:val="36"/>
          <w:lang w:val="pt-PT"/>
        </w:rPr>
        <w:t>riesgo</w:t>
      </w:r>
      <w:proofErr w:type="spellEnd"/>
    </w:p>
    <w:p w:rsidR="00815E32" w:rsidRPr="00815E32" w:rsidRDefault="00815E32" w:rsidP="00815E32">
      <w:pPr>
        <w:jc w:val="both"/>
        <w:rPr>
          <w:sz w:val="28"/>
          <w:szCs w:val="36"/>
          <w:lang w:val="es-ES"/>
        </w:rPr>
      </w:pPr>
      <w:r w:rsidRPr="00815E32">
        <w:rPr>
          <w:sz w:val="28"/>
          <w:szCs w:val="36"/>
          <w:lang w:val="es-ES"/>
        </w:rPr>
        <w:t>Dados los 10 principales riesgos del proyecto, se sigue la compilaci</w:t>
      </w:r>
      <w:r>
        <w:rPr>
          <w:sz w:val="28"/>
          <w:szCs w:val="36"/>
          <w:lang w:val="es-ES"/>
        </w:rPr>
        <w:t>ón de sus probabilidades e impacto en meses, así como la exposición al riesgo resultante también en meses: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8"/>
        <w:gridCol w:w="1694"/>
        <w:gridCol w:w="1089"/>
        <w:gridCol w:w="1797"/>
      </w:tblGrid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815E32">
            <w:pPr>
              <w:rPr>
                <w:b/>
                <w:bCs/>
              </w:rPr>
            </w:pPr>
            <w:r>
              <w:rPr>
                <w:b/>
                <w:bCs/>
              </w:rPr>
              <w:t>Nombre d</w:t>
            </w:r>
            <w:r w:rsidR="003E1162" w:rsidRPr="003E1162">
              <w:rPr>
                <w:b/>
                <w:bCs/>
              </w:rPr>
              <w:t xml:space="preserve">el Riesgo 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 xml:space="preserve">Probabilidad 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Impacto (Meses)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Exposición Al Riesgo (Meses)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Planificación optimista, «mejor caso»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70%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3,36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Falta de personal cualificado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3,6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0,9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Versiones de software desactualizadas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10%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0,36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0,036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hideMark/>
          </w:tcPr>
          <w:p w:rsidR="003E1162" w:rsidRPr="003E1162" w:rsidRDefault="003E1162" w:rsidP="003E1162">
            <w:r w:rsidRPr="003E1162">
              <w:rPr>
                <w:lang w:val="es-ES"/>
              </w:rPr>
              <w:t>Alteración o pérdida de la información registrada en base de datos o equipos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20%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0,48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Estructura inadecuada de un equipo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5%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0,24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0,012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Acceso no autorizado a la información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La planificación no se ajusta a la velocidad de desarrollo deseada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60%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1,44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Desarrollar productos que no cumplen con los requerimientos de calidad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 xml:space="preserve"> La contratación tarda más de lo esperado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20%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0,24</w:t>
            </w:r>
          </w:p>
        </w:tc>
      </w:tr>
      <w:tr w:rsidR="003E1162" w:rsidRPr="003E1162" w:rsidTr="00815E32">
        <w:trPr>
          <w:trHeight w:val="300"/>
        </w:trPr>
        <w:tc>
          <w:tcPr>
            <w:tcW w:w="4248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Problemas en la integración de componentes de software</w:t>
            </w:r>
          </w:p>
        </w:tc>
        <w:tc>
          <w:tcPr>
            <w:tcW w:w="1694" w:type="dxa"/>
            <w:noWrap/>
            <w:hideMark/>
          </w:tcPr>
          <w:p w:rsidR="003E1162" w:rsidRPr="003E1162" w:rsidRDefault="003E1162" w:rsidP="003E1162">
            <w:r w:rsidRPr="003E1162">
              <w:t>50%</w:t>
            </w:r>
          </w:p>
        </w:tc>
        <w:tc>
          <w:tcPr>
            <w:tcW w:w="1089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815E32">
        <w:trPr>
          <w:trHeight w:val="300"/>
        </w:trPr>
        <w:tc>
          <w:tcPr>
            <w:tcW w:w="7031" w:type="dxa"/>
            <w:gridSpan w:val="3"/>
            <w:noWrap/>
            <w:hideMark/>
          </w:tcPr>
          <w:p w:rsidR="003E1162" w:rsidRPr="003E1162" w:rsidRDefault="003E1162" w:rsidP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TOTAL</w:t>
            </w:r>
          </w:p>
        </w:tc>
        <w:tc>
          <w:tcPr>
            <w:tcW w:w="1797" w:type="dxa"/>
            <w:noWrap/>
            <w:hideMark/>
          </w:tcPr>
          <w:p w:rsidR="003E1162" w:rsidRPr="003E1162" w:rsidRDefault="003E1162" w:rsidP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10,068</w:t>
            </w:r>
          </w:p>
        </w:tc>
      </w:tr>
    </w:tbl>
    <w:p w:rsidR="003E1162" w:rsidRDefault="00815E32" w:rsidP="00815E32">
      <w:pPr>
        <w:spacing w:before="160"/>
        <w:jc w:val="both"/>
        <w:rPr>
          <w:sz w:val="28"/>
        </w:rPr>
      </w:pPr>
      <w:r>
        <w:rPr>
          <w:sz w:val="28"/>
        </w:rPr>
        <w:t>En resultado de la tabla anterior, se concluí que la gestión y mitigación de riesgos alargará el proyecto en 10 meses más, a juntar a los 24 meses previstos anteriormente.</w:t>
      </w:r>
    </w:p>
    <w:p w:rsidR="008039EA" w:rsidRDefault="008039EA" w:rsidP="00815E32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Simulación de riesgos</w:t>
      </w:r>
    </w:p>
    <w:p w:rsidR="008039EA" w:rsidRPr="008039EA" w:rsidRDefault="008039EA" w:rsidP="00815E32">
      <w:pPr>
        <w:spacing w:before="160"/>
        <w:jc w:val="both"/>
        <w:rPr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D607DDC" wp14:editId="39353C8B">
            <wp:extent cx="5612130" cy="3400425"/>
            <wp:effectExtent l="0" t="0" r="762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8039EA" w:rsidRPr="008039EA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6A8" w:rsidRDefault="003866A8" w:rsidP="008039EA">
      <w:pPr>
        <w:spacing w:after="0" w:line="240" w:lineRule="auto"/>
      </w:pPr>
      <w:r>
        <w:separator/>
      </w:r>
    </w:p>
  </w:endnote>
  <w:endnote w:type="continuationSeparator" w:id="0">
    <w:p w:rsidR="003866A8" w:rsidRDefault="003866A8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592214"/>
      <w:docPartObj>
        <w:docPartGallery w:val="Page Numbers (Bottom of Page)"/>
        <w:docPartUnique/>
      </w:docPartObj>
    </w:sdtPr>
    <w:sdtContent>
      <w:p w:rsidR="008039EA" w:rsidRDefault="008039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055" w:rsidRPr="00343055">
          <w:rPr>
            <w:noProof/>
            <w:lang w:val="pt-PT"/>
          </w:rPr>
          <w:t>1</w:t>
        </w:r>
        <w:r>
          <w:fldChar w:fldCharType="end"/>
        </w:r>
      </w:p>
    </w:sdtContent>
  </w:sdt>
  <w:p w:rsidR="008039EA" w:rsidRDefault="008039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6A8" w:rsidRDefault="003866A8" w:rsidP="008039EA">
      <w:pPr>
        <w:spacing w:after="0" w:line="240" w:lineRule="auto"/>
      </w:pPr>
      <w:r>
        <w:separator/>
      </w:r>
    </w:p>
  </w:footnote>
  <w:footnote w:type="continuationSeparator" w:id="0">
    <w:p w:rsidR="003866A8" w:rsidRDefault="003866A8" w:rsidP="0080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2A07CA"/>
    <w:rsid w:val="00343055"/>
    <w:rsid w:val="003866A8"/>
    <w:rsid w:val="003E1162"/>
    <w:rsid w:val="005E28E0"/>
    <w:rsid w:val="008039EA"/>
    <w:rsid w:val="00815E32"/>
    <w:rsid w:val="00E65904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\Desktop\PGPIproject\Practica_5_6\RiskologyV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'Simulation Control'!$B$54</c:f>
          <c:strCache>
            <c:ptCount val="1"/>
            <c:pt idx="0">
              <c:v>SDAC:    Project Simulation (500 Runs)</c:v>
            </c:pt>
          </c:strCache>
        </c:strRef>
      </c:tx>
      <c:layout>
        <c:manualLayout>
          <c:xMode val="edge"/>
          <c:yMode val="edge"/>
          <c:x val="0.27665546885646064"/>
          <c:y val="2.963054129779070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325" b="1" i="0" u="none" strike="noStrike" baseline="0">
              <a:solidFill>
                <a:srgbClr val="000000"/>
              </a:solidFill>
              <a:latin typeface="New York"/>
              <a:ea typeface="New York"/>
              <a:cs typeface="New York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0260026050715147"/>
          <c:y val="0.11406917173328017"/>
          <c:w val="0.87613847148943436"/>
          <c:h val="0.5076838433170537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'Main Simsheet'!$R$547:$AC$547</c:f>
              <c:strCache>
                <c:ptCount val="12"/>
                <c:pt idx="0">
                  <c:v>31-MAR-02023  </c:v>
                </c:pt>
                <c:pt idx="1">
                  <c:v>9-AUG-02023  </c:v>
                </c:pt>
                <c:pt idx="2">
                  <c:v>18-DEC-02023  </c:v>
                </c:pt>
                <c:pt idx="3">
                  <c:v>27-APR-02024  </c:v>
                </c:pt>
                <c:pt idx="4">
                  <c:v>5-SEP-02024  </c:v>
                </c:pt>
                <c:pt idx="5">
                  <c:v>14-JAN-02025  </c:v>
                </c:pt>
                <c:pt idx="6">
                  <c:v>22-MAY-02025  </c:v>
                </c:pt>
                <c:pt idx="7">
                  <c:v>1-OCT-02025  </c:v>
                </c:pt>
                <c:pt idx="8">
                  <c:v>9-FEB-02026  </c:v>
                </c:pt>
                <c:pt idx="9">
                  <c:v>18-JUN-02026  </c:v>
                </c:pt>
                <c:pt idx="10">
                  <c:v> </c:v>
                </c:pt>
                <c:pt idx="11">
                  <c:v>CANCELLED</c:v>
                </c:pt>
              </c:strCache>
            </c:strRef>
          </c:cat>
          <c:val>
            <c:numRef>
              <c:f>'Main Simsheet'!$R$522:$AC$522</c:f>
              <c:numCache>
                <c:formatCode>General</c:formatCode>
                <c:ptCount val="12"/>
                <c:pt idx="0">
                  <c:v>10</c:v>
                </c:pt>
                <c:pt idx="1">
                  <c:v>37</c:v>
                </c:pt>
                <c:pt idx="2">
                  <c:v>59</c:v>
                </c:pt>
                <c:pt idx="3">
                  <c:v>88</c:v>
                </c:pt>
                <c:pt idx="4">
                  <c:v>86</c:v>
                </c:pt>
                <c:pt idx="5">
                  <c:v>75</c:v>
                </c:pt>
                <c:pt idx="6">
                  <c:v>42</c:v>
                </c:pt>
                <c:pt idx="7">
                  <c:v>22</c:v>
                </c:pt>
                <c:pt idx="8">
                  <c:v>12</c:v>
                </c:pt>
                <c:pt idx="9">
                  <c:v>9</c:v>
                </c:pt>
                <c:pt idx="11" formatCode="0.00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50188136"/>
        <c:axId val="550189312"/>
      </c:barChart>
      <c:catAx>
        <c:axId val="550188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Completion Date</a:t>
                </a:r>
              </a:p>
            </c:rich>
          </c:tx>
          <c:layout>
            <c:manualLayout>
              <c:xMode val="edge"/>
              <c:yMode val="edge"/>
              <c:x val="0.38908168556323536"/>
              <c:y val="0.9148427034855937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55018931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501893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Number of Instances in Range</a:t>
                </a:r>
              </a:p>
            </c:rich>
          </c:tx>
          <c:layout>
            <c:manualLayout>
              <c:xMode val="edge"/>
              <c:yMode val="edge"/>
              <c:x val="7.8474661135789804E-3"/>
              <c:y val="0.1981541624804317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5501881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New York"/>
          <a:ea typeface="New York"/>
          <a:cs typeface="New York"/>
        </a:defRPr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5</cp:revision>
  <dcterms:created xsi:type="dcterms:W3CDTF">2018-12-02T00:16:00Z</dcterms:created>
  <dcterms:modified xsi:type="dcterms:W3CDTF">2018-12-02T01:00:00Z</dcterms:modified>
</cp:coreProperties>
</file>