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75" w:leader="none"/>
        </w:tabs>
        <w:rPr>
          <w:b/>
          <w:b/>
          <w:lang w:val="es-ES"/>
        </w:rPr>
      </w:pPr>
      <w:r>
        <w:rPr>
          <w:b/>
          <w:lang w:val="es-ES"/>
        </w:rPr>
        <w:t>Naive Byes Classifier</w:t>
      </w:r>
    </w:p>
    <w:p>
      <w:pPr>
        <w:pStyle w:val="Normal"/>
        <w:tabs>
          <w:tab w:val="left" w:pos="975" w:leader="none"/>
        </w:tabs>
        <w:rPr>
          <w:b/>
          <w:b/>
          <w:lang w:val="es-ES"/>
        </w:rPr>
      </w:pPr>
      <w:r>
        <w:rPr>
          <w:b/>
          <w:lang w:val="es-ES"/>
        </w:rPr>
        <w:t>Definición:</w:t>
      </w:r>
    </w:p>
    <w:p>
      <w:pPr>
        <w:pStyle w:val="Normal"/>
        <w:tabs>
          <w:tab w:val="left" w:pos="975" w:leader="none"/>
        </w:tabs>
        <w:rPr/>
      </w:pPr>
      <w:r>
        <w:rPr>
          <w:lang w:val="es-ES"/>
        </w:rPr>
        <w:t xml:space="preserve">La clasificación </w:t>
      </w:r>
      <w:r>
        <w:rPr>
          <w:lang w:val="es-ES"/>
        </w:rPr>
        <w:t xml:space="preserve">bayesiano ingenuo es </w:t>
      </w:r>
      <w:r>
        <w:rPr>
          <w:lang w:val="es-ES"/>
        </w:rPr>
        <w:t xml:space="preserve">un tipo de clasificación bayesiana simple y probabilística basada en el teorema de Bayes con una fuerte independencia de las hipótesis. Implementa </w:t>
      </w:r>
      <w:r>
        <w:rPr>
          <w:lang w:val="es-ES"/>
        </w:rPr>
        <w:t>clasificador bayesiano ingenuo</w:t>
      </w:r>
      <w:r>
        <w:rPr>
          <w:lang w:val="es-ES"/>
        </w:rPr>
        <w:t xml:space="preserve">, perteneciente a la familia de los clasificadores lineales. En términos sencillos, un clasificador bayesiano </w:t>
      </w:r>
      <w:r>
        <w:rPr>
          <w:lang w:val="es-ES"/>
        </w:rPr>
        <w:t>ingenuo</w:t>
      </w:r>
      <w:r>
        <w:rPr>
          <w:lang w:val="es-ES"/>
        </w:rPr>
        <w:t xml:space="preserve"> asume que la existencia de una característica para una clase es independiente de la existencia de otras características. Una fruta puede ser considerada como una manzana si es roja, redondeada y de unos diez centímetros de largo. Incluso si estas características están vinculadas en la realidad, un ingenuo clasificador bayesiano determinará que la fruta es una manzana considerando independientemente estas características de color, forma y tamaño.</w:t>
      </w:r>
    </w:p>
    <w:p>
      <w:pPr>
        <w:pStyle w:val="Normal"/>
        <w:tabs>
          <w:tab w:val="left" w:pos="975" w:leader="none"/>
        </w:tabs>
        <w:rPr>
          <w:b/>
          <w:b/>
          <w:lang w:val="es-ES"/>
        </w:rPr>
      </w:pPr>
      <w:r>
        <w:rPr>
          <w:b/>
          <w:lang w:val="es-ES"/>
        </w:rPr>
        <w:t>Resultados:</w:t>
      </w:r>
    </w:p>
    <w:p>
      <w:pPr>
        <w:pStyle w:val="Normal"/>
        <w:tabs>
          <w:tab w:val="left" w:pos="975" w:leader="none"/>
        </w:tabs>
        <w:rPr>
          <w:lang w:val="es-ES"/>
        </w:rPr>
      </w:pPr>
      <w:r>
        <w:rPr>
          <w:lang w:val="es-ES"/>
        </w:rPr>
        <w:t>El modelo bayesiano calcula la distribución gaussiana de los atributos numéricos. En nuestro caso los valores son la frecuencia de los términos: TF.</w:t>
      </w:r>
    </w:p>
    <w:p>
      <w:pPr>
        <w:pStyle w:val="Normal"/>
        <w:tabs>
          <w:tab w:val="left" w:pos="975" w:leader="none"/>
        </w:tabs>
        <w:rPr>
          <w:b/>
          <w:b/>
          <w:lang w:val="en-US"/>
        </w:rPr>
      </w:pPr>
      <w:r>
        <w:rPr>
          <w:b/>
          <w:lang w:val="en-US"/>
        </w:rPr>
        <w:t xml:space="preserve">Los parámetros: </w:t>
      </w:r>
    </w:p>
    <w:p>
      <w:pPr>
        <w:pStyle w:val="Normal"/>
        <w:tabs>
          <w:tab w:val="left" w:pos="975" w:leader="none"/>
        </w:tabs>
        <w:rPr>
          <w:b/>
          <w:b/>
          <w:lang w:val="en-US"/>
        </w:rPr>
      </w:pPr>
      <w:r>
        <w:rPr>
          <w:b/>
          <w:lang w:val="en-US"/>
        </w:rPr>
      </w:r>
    </w:p>
    <w:p>
      <w:pPr>
        <w:pStyle w:val="Normal"/>
        <w:tabs>
          <w:tab w:val="left" w:pos="975" w:leader="none"/>
        </w:tabs>
        <w:rPr>
          <w:lang w:val="es-ES"/>
        </w:rPr>
      </w:pPr>
      <w:r>
        <w:rPr>
          <w:lang w:val="es-ES"/>
        </w:rPr>
        <w:t>Porbabilidad= 0.01</w:t>
      </w:r>
    </w:p>
    <w:tbl>
      <w:tblPr>
        <w:tblStyle w:val="Grilledutableau"/>
        <w:tblW w:w="6040" w:type="dxa"/>
        <w:jc w:val="left"/>
        <w:tblInd w:w="0" w:type="dxa"/>
        <w:tblCellMar>
          <w:top w:w="0" w:type="dxa"/>
          <w:left w:w="108" w:type="dxa"/>
          <w:bottom w:w="0" w:type="dxa"/>
          <w:right w:w="108" w:type="dxa"/>
        </w:tblCellMar>
        <w:tblLook w:noVBand="1" w:val="04a0" w:noHBand="0" w:lastColumn="0" w:firstColumn="1" w:lastRow="0" w:firstRow="1"/>
      </w:tblPr>
      <w:tblGrid>
        <w:gridCol w:w="1510"/>
        <w:gridCol w:w="1510"/>
        <w:gridCol w:w="1510"/>
        <w:gridCol w:w="1509"/>
      </w:tblGrid>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Category</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precision</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recall</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f.mesure</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Negative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0.66</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0.78</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0.72</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Positive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0.73</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0.60</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0.66</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Accuracy</w:t>
            </w:r>
          </w:p>
        </w:tc>
        <w:tc>
          <w:tcPr>
            <w:tcW w:w="4529" w:type="dxa"/>
            <w:gridSpan w:val="3"/>
            <w:tcBorders/>
            <w:shd w:fill="auto" w:val="clear"/>
            <w:tcMar>
              <w:left w:w="108" w:type="dxa"/>
            </w:tcMar>
          </w:tcPr>
          <w:p>
            <w:pPr>
              <w:pStyle w:val="Normal"/>
              <w:tabs>
                <w:tab w:val="left" w:pos="975" w:leader="none"/>
              </w:tabs>
              <w:spacing w:lineRule="auto" w:line="240" w:before="0" w:after="0"/>
              <w:jc w:val="center"/>
              <w:rPr>
                <w:lang w:val="en-US"/>
              </w:rPr>
            </w:pPr>
            <w:r>
              <w:rPr>
                <w:lang w:val="en-US"/>
              </w:rPr>
              <w:t>0.69</w:t>
            </w:r>
          </w:p>
        </w:tc>
      </w:tr>
    </w:tbl>
    <w:p>
      <w:pPr>
        <w:pStyle w:val="Normal"/>
        <w:tabs>
          <w:tab w:val="left" w:pos="975" w:leader="none"/>
        </w:tabs>
        <w:rPr>
          <w:lang w:val="en-US"/>
        </w:rPr>
      </w:pPr>
      <w:r>
        <w:rPr>
          <w:lang w:val="en-US"/>
        </w:rPr>
      </w:r>
    </w:p>
    <w:p>
      <w:pPr>
        <w:pStyle w:val="Normal"/>
        <w:tabs>
          <w:tab w:val="left" w:pos="975" w:leader="none"/>
        </w:tabs>
        <w:rPr>
          <w:lang w:val="en-US"/>
        </w:rPr>
      </w:pPr>
      <w:r>
        <w:rPr>
          <w:lang w:val="en-US"/>
        </w:rPr>
        <w:t>Probabilidad = 0.005</w:t>
      </w:r>
    </w:p>
    <w:tbl>
      <w:tblPr>
        <w:tblStyle w:val="Grilledutableau"/>
        <w:tblW w:w="6040" w:type="dxa"/>
        <w:jc w:val="left"/>
        <w:tblInd w:w="0" w:type="dxa"/>
        <w:tblCellMar>
          <w:top w:w="0" w:type="dxa"/>
          <w:left w:w="108" w:type="dxa"/>
          <w:bottom w:w="0" w:type="dxa"/>
          <w:right w:w="108" w:type="dxa"/>
        </w:tblCellMar>
        <w:tblLook w:noVBand="1" w:val="04a0" w:noHBand="0" w:lastColumn="0" w:firstColumn="1" w:lastRow="0" w:firstRow="1"/>
      </w:tblPr>
      <w:tblGrid>
        <w:gridCol w:w="1510"/>
        <w:gridCol w:w="1510"/>
        <w:gridCol w:w="1510"/>
        <w:gridCol w:w="1509"/>
      </w:tblGrid>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Category</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precision</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recall</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f.mesure</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Negative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0.71</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0.80</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0.75</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Positive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0.68</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0.77</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0.72</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Accuracy</w:t>
            </w:r>
          </w:p>
        </w:tc>
        <w:tc>
          <w:tcPr>
            <w:tcW w:w="4529" w:type="dxa"/>
            <w:gridSpan w:val="3"/>
            <w:tcBorders/>
            <w:shd w:fill="auto" w:val="clear"/>
            <w:tcMar>
              <w:left w:w="108" w:type="dxa"/>
            </w:tcMar>
          </w:tcPr>
          <w:p>
            <w:pPr>
              <w:pStyle w:val="Normal"/>
              <w:tabs>
                <w:tab w:val="left" w:pos="975" w:leader="none"/>
              </w:tabs>
              <w:spacing w:lineRule="auto" w:line="240" w:before="0" w:after="0"/>
              <w:jc w:val="center"/>
              <w:rPr>
                <w:lang w:val="en-US"/>
              </w:rPr>
            </w:pPr>
            <w:r>
              <w:rPr>
                <w:lang w:val="en-US"/>
              </w:rPr>
              <w:t>0.74</w:t>
            </w:r>
          </w:p>
        </w:tc>
      </w:tr>
    </w:tbl>
    <w:p>
      <w:pPr>
        <w:pStyle w:val="Normal"/>
        <w:tabs>
          <w:tab w:val="left" w:pos="975" w:leader="none"/>
        </w:tabs>
        <w:rPr>
          <w:lang w:val="en-US"/>
        </w:rPr>
      </w:pPr>
      <w:r>
        <w:rPr>
          <w:lang w:val="en-US"/>
        </w:rPr>
      </w:r>
    </w:p>
    <w:p>
      <w:pPr>
        <w:pStyle w:val="Normal"/>
        <w:tabs>
          <w:tab w:val="left" w:pos="975" w:leader="none"/>
        </w:tabs>
        <w:rPr>
          <w:lang w:val="en-US"/>
        </w:rPr>
      </w:pPr>
      <w:r>
        <w:rPr>
          <w:lang w:val="en-US"/>
        </w:rPr>
        <w:t>Probabilidad = 0.001</w:t>
      </w:r>
    </w:p>
    <w:tbl>
      <w:tblPr>
        <w:tblStyle w:val="Grilledutableau"/>
        <w:tblW w:w="6040" w:type="dxa"/>
        <w:jc w:val="left"/>
        <w:tblInd w:w="0" w:type="dxa"/>
        <w:tblCellMar>
          <w:top w:w="0" w:type="dxa"/>
          <w:left w:w="108" w:type="dxa"/>
          <w:bottom w:w="0" w:type="dxa"/>
          <w:right w:w="108" w:type="dxa"/>
        </w:tblCellMar>
        <w:tblLook w:noVBand="1" w:val="04a0" w:noHBand="0" w:lastColumn="0" w:firstColumn="1" w:lastRow="0" w:firstRow="1"/>
      </w:tblPr>
      <w:tblGrid>
        <w:gridCol w:w="1510"/>
        <w:gridCol w:w="1510"/>
        <w:gridCol w:w="1510"/>
        <w:gridCol w:w="1509"/>
      </w:tblGrid>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Category</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precision</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recall</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f.mesure</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Negative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0.78</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0.80</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0.79</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Positive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0.79</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0.77</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0.78</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Accuracy</w:t>
            </w:r>
          </w:p>
        </w:tc>
        <w:tc>
          <w:tcPr>
            <w:tcW w:w="4529" w:type="dxa"/>
            <w:gridSpan w:val="3"/>
            <w:tcBorders/>
            <w:shd w:fill="auto" w:val="clear"/>
            <w:tcMar>
              <w:left w:w="108" w:type="dxa"/>
            </w:tcMar>
          </w:tcPr>
          <w:p>
            <w:pPr>
              <w:pStyle w:val="Normal"/>
              <w:tabs>
                <w:tab w:val="left" w:pos="975" w:leader="none"/>
              </w:tabs>
              <w:spacing w:lineRule="auto" w:line="240" w:before="0" w:after="0"/>
              <w:jc w:val="center"/>
              <w:rPr>
                <w:lang w:val="en-US"/>
              </w:rPr>
            </w:pPr>
            <w:r>
              <w:rPr>
                <w:lang w:val="en-US"/>
              </w:rPr>
              <w:t>0.78</w:t>
            </w:r>
          </w:p>
        </w:tc>
      </w:tr>
    </w:tbl>
    <w:p>
      <w:pPr>
        <w:pStyle w:val="Normal"/>
        <w:tabs>
          <w:tab w:val="left" w:pos="975" w:leader="none"/>
        </w:tabs>
        <w:rPr>
          <w:lang w:val="en-US"/>
        </w:rPr>
      </w:pPr>
      <w:r>
        <w:rPr>
          <w:lang w:val="en-US"/>
        </w:rPr>
      </w:r>
    </w:p>
    <w:p>
      <w:pPr>
        <w:pStyle w:val="Normal"/>
        <w:tabs>
          <w:tab w:val="left" w:pos="975" w:leader="none"/>
        </w:tabs>
        <w:rPr>
          <w:lang w:val="en-US"/>
        </w:rPr>
      </w:pPr>
      <w:r>
        <w:rPr>
          <w:lang w:val="en-US"/>
        </w:rPr>
        <w:t>Probabilidad = 0</w:t>
      </w:r>
    </w:p>
    <w:tbl>
      <w:tblPr>
        <w:tblStyle w:val="Grilledutableau"/>
        <w:tblW w:w="6040" w:type="dxa"/>
        <w:jc w:val="left"/>
        <w:tblInd w:w="0" w:type="dxa"/>
        <w:tblCellMar>
          <w:top w:w="0" w:type="dxa"/>
          <w:left w:w="108" w:type="dxa"/>
          <w:bottom w:w="0" w:type="dxa"/>
          <w:right w:w="108" w:type="dxa"/>
        </w:tblCellMar>
        <w:tblLook w:noVBand="1" w:val="04a0" w:noHBand="0" w:lastColumn="0" w:firstColumn="1" w:lastRow="0" w:firstRow="1"/>
      </w:tblPr>
      <w:tblGrid>
        <w:gridCol w:w="1510"/>
        <w:gridCol w:w="1510"/>
        <w:gridCol w:w="1510"/>
        <w:gridCol w:w="1509"/>
      </w:tblGrid>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Category</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precision</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recall</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f.mesure</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Negative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0.97</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0.9</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0.93</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Positive</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0.9</w:t>
            </w:r>
          </w:p>
        </w:tc>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0.97</w:t>
            </w:r>
          </w:p>
        </w:tc>
        <w:tc>
          <w:tcPr>
            <w:tcW w:w="1509" w:type="dxa"/>
            <w:tcBorders/>
            <w:shd w:fill="auto" w:val="clear"/>
            <w:tcMar>
              <w:left w:w="108" w:type="dxa"/>
            </w:tcMar>
          </w:tcPr>
          <w:p>
            <w:pPr>
              <w:pStyle w:val="Normal"/>
              <w:tabs>
                <w:tab w:val="left" w:pos="975" w:leader="none"/>
              </w:tabs>
              <w:spacing w:lineRule="auto" w:line="240" w:before="0" w:after="0"/>
              <w:rPr>
                <w:lang w:val="en-US"/>
              </w:rPr>
            </w:pPr>
            <w:r>
              <w:rPr>
                <w:lang w:val="en-US"/>
              </w:rPr>
              <w:t>0.94</w:t>
            </w:r>
          </w:p>
        </w:tc>
      </w:tr>
      <w:tr>
        <w:trPr/>
        <w:tc>
          <w:tcPr>
            <w:tcW w:w="1510" w:type="dxa"/>
            <w:tcBorders/>
            <w:shd w:fill="auto" w:val="clear"/>
            <w:tcMar>
              <w:left w:w="108" w:type="dxa"/>
            </w:tcMar>
          </w:tcPr>
          <w:p>
            <w:pPr>
              <w:pStyle w:val="Normal"/>
              <w:tabs>
                <w:tab w:val="left" w:pos="975" w:leader="none"/>
              </w:tabs>
              <w:spacing w:lineRule="auto" w:line="240" w:before="0" w:after="0"/>
              <w:rPr>
                <w:lang w:val="en-US"/>
              </w:rPr>
            </w:pPr>
            <w:r>
              <w:rPr>
                <w:lang w:val="en-US"/>
              </w:rPr>
              <w:t>Accuracy</w:t>
            </w:r>
          </w:p>
        </w:tc>
        <w:tc>
          <w:tcPr>
            <w:tcW w:w="4529" w:type="dxa"/>
            <w:gridSpan w:val="3"/>
            <w:tcBorders/>
            <w:shd w:fill="auto" w:val="clear"/>
            <w:tcMar>
              <w:left w:w="108" w:type="dxa"/>
            </w:tcMar>
          </w:tcPr>
          <w:p>
            <w:pPr>
              <w:pStyle w:val="Normal"/>
              <w:tabs>
                <w:tab w:val="left" w:pos="975" w:leader="none"/>
              </w:tabs>
              <w:spacing w:lineRule="auto" w:line="240" w:before="0" w:after="0"/>
              <w:jc w:val="center"/>
              <w:rPr>
                <w:lang w:val="en-US"/>
              </w:rPr>
            </w:pPr>
            <w:r>
              <w:rPr>
                <w:lang w:val="en-US"/>
              </w:rPr>
              <w:t>0.93</w:t>
            </w:r>
          </w:p>
        </w:tc>
      </w:tr>
    </w:tbl>
    <w:p>
      <w:pPr>
        <w:pStyle w:val="Normal"/>
        <w:tabs>
          <w:tab w:val="left" w:pos="975" w:leader="none"/>
        </w:tabs>
        <w:rPr>
          <w:lang w:val="en-US"/>
        </w:rPr>
      </w:pPr>
      <w:r>
        <w:rPr>
          <w:lang w:val="en-US"/>
        </w:rPr>
      </w:r>
    </w:p>
    <w:p>
      <w:pPr>
        <w:pStyle w:val="Normal"/>
        <w:tabs>
          <w:tab w:val="left" w:pos="975" w:leader="none"/>
        </w:tabs>
        <w:jc w:val="center"/>
        <w:rPr>
          <w:b/>
          <w:b/>
          <w:lang w:val="es-ES"/>
        </w:rPr>
      </w:pPr>
      <w:r>
        <w:rPr>
          <w:lang w:val="es-ES"/>
        </w:rPr>
        <w:t>La matriz de confusión correspondiente a los mejores resultados :</w:t>
      </w:r>
      <w:bookmarkStart w:id="0" w:name="_GoBack"/>
      <w:bookmarkEnd w:id="0"/>
      <w:r>
        <w:rPr>
          <w:lang w:val="es-ES"/>
        </w:rPr>
        <w:drawing>
          <wp:inline distT="0" distB="9525" distL="0" distR="9525">
            <wp:extent cx="2447925" cy="6191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47925" cy="619125"/>
                    </a:xfrm>
                    <a:prstGeom prst="rect">
                      <a:avLst/>
                    </a:prstGeom>
                  </pic:spPr>
                </pic:pic>
              </a:graphicData>
            </a:graphic>
          </wp:inline>
        </w:drawing>
      </w:r>
    </w:p>
    <w:p>
      <w:pPr>
        <w:pStyle w:val="Normal"/>
        <w:tabs>
          <w:tab w:val="left" w:pos="975" w:leader="none"/>
        </w:tabs>
        <w:rPr>
          <w:b/>
          <w:b/>
          <w:lang w:val="en-US"/>
        </w:rPr>
      </w:pPr>
      <w:r>
        <w:rPr>
          <w:b/>
          <w:lang w:val="en-US"/>
        </w:rPr>
        <w:t>Conclusiones:</w:t>
      </w:r>
    </w:p>
    <w:p>
      <w:pPr>
        <w:pStyle w:val="Normal"/>
        <w:tabs>
          <w:tab w:val="left" w:pos="975" w:leader="none"/>
        </w:tabs>
        <w:spacing w:before="0" w:after="160"/>
        <w:rPr/>
      </w:pPr>
      <w:r>
        <w:rPr>
          <w:lang w:val="es-ES"/>
        </w:rPr>
        <w:t>El clasificador de Naïve Byes es el que nos ha dado los mejores resultados para la clasificación de textos, al disminuir el valor de probabilidad aumenta la precisión y alcanza el valor de 90% de buena clasificación para documentos positivos y 97% para documentos negativos.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4650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a776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LibreOffice/5.4.6.2$Linux_X86_64 LibreOffice_project/40m0$Build-2</Application>
  <Pages>2</Pages>
  <Words>264</Words>
  <Characters>1549</Characters>
  <CharactersWithSpaces>1745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2019-01-30T21:25:00Z</dcterms:created>
  <dc:creator>NEZREG Houaria</dc:creator>
  <dc:description/>
  <dc:language>en-US</dc:language>
  <cp:lastModifiedBy/>
  <dcterms:modified xsi:type="dcterms:W3CDTF">2019-01-30T22:38:29Z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