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Liberation Sans" w:hAnsi="Liberation Sans"/>
          <w:b/>
          <w:color w:val="B6984C"/>
          <w:sz w:val="26"/>
        </w:rPr>
        <w:t>ANATOMIA DE UM CLÃ</w:t>
      </w:r>
    </w:p>
    <w:p>
      <w:pPr>
        <w:jc w:val="center"/>
      </w:pPr>
      <w:r>
        <w:rPr>
          <w:rFonts w:ascii="Liberation Sans" w:hAnsi="Liberation Sans"/>
          <w:b/>
          <w:color w:val="20344B"/>
          <w:sz w:val="68"/>
        </w:rPr>
        <w:t>O FORAGIDO</w:t>
      </w:r>
    </w:p>
    <w:p>
      <w:pPr>
        <w:jc w:val="center"/>
      </w:pPr>
      <w:r>
        <w:rPr>
          <w:rFonts w:ascii="Liberation Serif" w:hAnsi="Liberation Serif"/>
          <w:i/>
          <w:color w:val="20252B"/>
          <w:sz w:val="30"/>
        </w:rPr>
        <w:t>Caderno definitivo de produção</w:t>
      </w:r>
    </w:p>
    <w:p/>
    <w:p>
      <w:pPr>
        <w:jc w:val="center"/>
      </w:pPr>
      <w:r>
        <w:rPr>
          <w:rFonts w:ascii="Liberation Sans" w:hAnsi="Liberation Sans"/>
          <w:b/>
          <w:color w:val="3F7A5A"/>
          <w:sz w:val="24"/>
        </w:rPr>
        <w:t>TERCEIRA ONDA — DEPURAÇÃO</w:t>
      </w:r>
    </w:p>
    <w:p>
      <w:pPr>
        <w:jc w:val="center"/>
      </w:pPr>
      <w:r>
        <w:rPr>
          <w:rFonts w:ascii="Liberation Sans" w:hAnsi="Liberation Sans"/>
          <w:color w:val="6B7280"/>
          <w:sz w:val="19"/>
        </w:rPr>
        <w:t>Tese, seleção de material, 20 capítulos, orçamento de 240 mil caracteres, cenas e protocolo de redação</w:t>
      </w:r>
    </w:p>
    <w:p/>
    <w:p/>
    <w:p/>
    <w:p/>
    <w:p>
      <w:pPr>
        <w:jc w:val="center"/>
      </w:pPr>
      <w:r>
        <w:rPr>
          <w:rFonts w:ascii="Liberation Sans" w:hAnsi="Liberation Sans"/>
          <w:color w:val="6B7280"/>
          <w:sz w:val="16"/>
        </w:rPr>
        <w:t>Fechamento documental: 21 de julho de 2026</w:t>
      </w:r>
    </w:p>
    <w:p>
      <w:pPr>
        <w:jc w:val="center"/>
      </w:pPr>
      <w:r>
        <w:rPr>
          <w:rFonts w:ascii="Liberation Sans" w:hAnsi="Liberation Sans"/>
          <w:i/>
          <w:color w:val="6B7280"/>
          <w:sz w:val="16"/>
        </w:rPr>
        <w:t>Documento de trabalho editorial e investigativo</w:t>
      </w:r>
    </w:p>
    <w:p>
      <w:r>
        <w:br w:type="page"/>
      </w:r>
    </w:p>
    <w:tbl>
      <w:tblPr>
        <w:tblW w:type="auto" w:w="0"/>
        <w:jc w:val="center"/>
        <w:tblLayout w:type="fixed"/>
        <w:tblLook w:firstColumn="1" w:firstRow="1" w:lastColumn="0" w:lastRow="0" w:noHBand="0" w:noVBand="1" w:val="04A0"/>
      </w:tblPr>
      <w:tblGrid>
        <w:gridCol w:w="4933"/>
        <w:gridCol w:w="4933"/>
      </w:tblGrid>
      <w:tr>
        <w:tc>
          <w:tcPr>
            <w:tcW w:type="dxa" w:w="1871"/>
            <w:shd w:fill="3F7A5A"/>
            <w:tcMar>
              <w:top w:w="120" w:type="dxa"/>
              <w:start w:w="120" w:type="dxa"/>
              <w:bottom w:w="120" w:type="dxa"/>
              <w:end w:w="120" w:type="dxa"/>
            </w:tcMar>
            <w:vAlign w:val="center"/>
          </w:tcPr>
          <w:p>
            <w:pPr>
              <w:jc w:val="center"/>
            </w:pPr>
            <w:r>
              <w:rPr>
                <w:rFonts w:ascii="Liberation Sans" w:hAnsi="Liberation Sans"/>
                <w:b/>
                <w:color w:val="FFFFFF"/>
                <w:sz w:val="16"/>
              </w:rPr>
              <w:t>RESULTADO</w:t>
            </w:r>
          </w:p>
        </w:tc>
        <w:tc>
          <w:tcPr>
            <w:tcW w:type="dxa" w:w="7711"/>
            <w:shd w:fill="E9F1EC"/>
            <w:tcMar>
              <w:top w:w="120" w:type="dxa"/>
              <w:start w:w="120" w:type="dxa"/>
              <w:bottom w:w="120" w:type="dxa"/>
              <w:end w:w="120" w:type="dxa"/>
            </w:tcMar>
            <w:vAlign w:val="center"/>
          </w:tcPr>
          <w:p>
            <w:r>
              <w:rPr>
                <w:rFonts w:ascii="Liberation Sans" w:hAnsi="Liberation Sans"/>
                <w:color w:val="20252B"/>
                <w:sz w:val="17"/>
              </w:rPr>
              <w:t>A terceira onda não amplia a rede. Ela escolhe o que entra, o que vira nota, o que permanece em apuração e o que deve ser abandonado.</w:t>
            </w:r>
          </w:p>
        </w:tc>
      </w:tr>
    </w:tbl>
    <w:p>
      <w:pPr>
        <w:pStyle w:val="SmallNote"/>
      </w:pPr>
    </w:p>
    <w:tbl>
      <w:tblPr>
        <w:tblW w:type="auto" w:w="0"/>
        <w:jc w:val="center"/>
        <w:tblLayout w:type="fixed"/>
        <w:tblLook w:firstColumn="1" w:firstRow="1" w:lastColumn="0" w:lastRow="0" w:noHBand="0" w:noVBand="1" w:val="04A0"/>
      </w:tblPr>
      <w:tblGrid>
        <w:gridCol w:w="4933"/>
        <w:gridCol w:w="4933"/>
      </w:tblGrid>
      <w:tr>
        <w:tc>
          <w:tcPr>
            <w:tcW w:type="dxa" w:w="1871"/>
            <w:shd w:fill="B6984C"/>
            <w:tcMar>
              <w:top w:w="120" w:type="dxa"/>
              <w:start w:w="120" w:type="dxa"/>
              <w:bottom w:w="120" w:type="dxa"/>
              <w:end w:w="120" w:type="dxa"/>
            </w:tcMar>
            <w:vAlign w:val="center"/>
          </w:tcPr>
          <w:p>
            <w:pPr>
              <w:jc w:val="center"/>
            </w:pPr>
            <w:r>
              <w:rPr>
                <w:rFonts w:ascii="Liberation Sans" w:hAnsi="Liberation Sans"/>
                <w:b/>
                <w:color w:val="FFFFFF"/>
                <w:sz w:val="16"/>
              </w:rPr>
              <w:t>LIMITE</w:t>
            </w:r>
          </w:p>
        </w:tc>
        <w:tc>
          <w:tcPr>
            <w:tcW w:type="dxa" w:w="7711"/>
            <w:shd w:fill="F4F0E5"/>
            <w:tcMar>
              <w:top w:w="120" w:type="dxa"/>
              <w:start w:w="120" w:type="dxa"/>
              <w:bottom w:w="120" w:type="dxa"/>
              <w:end w:w="120" w:type="dxa"/>
            </w:tcMar>
            <w:vAlign w:val="center"/>
          </w:tcPr>
          <w:p>
            <w:r>
              <w:rPr>
                <w:rFonts w:ascii="Liberation Sans" w:hAnsi="Liberation Sans"/>
                <w:color w:val="20252B"/>
                <w:sz w:val="17"/>
              </w:rPr>
              <w:t>Este documento é a planta do livro, não o manuscrito de 240 mil caracteres. A redação final deve seguir os tetos e o protocolo abaixo.</w:t>
            </w:r>
          </w:p>
        </w:tc>
      </w:tr>
    </w:tbl>
    <w:p>
      <w:pPr>
        <w:pStyle w:val="SmallNote"/>
      </w:pPr>
    </w:p>
    <w:p>
      <w:pPr>
        <w:pStyle w:val="Heading1"/>
      </w:pPr>
      <w:r>
        <w:t>Mapa do documento</w:t>
      </w:r>
    </w:p>
    <w:p>
      <w:pPr>
        <w:spacing w:after="40"/>
      </w:pPr>
      <w:r>
        <w:rPr>
          <w:b/>
          <w:color w:val="B6984C"/>
        </w:rPr>
        <w:t xml:space="preserve">1. </w:t>
      </w:r>
      <w:r>
        <w:rPr>
          <w:color w:val="20344B"/>
        </w:rPr>
        <w:t>Tese editorial definitiva</w:t>
      </w:r>
    </w:p>
    <w:p>
      <w:pPr>
        <w:spacing w:after="40"/>
      </w:pPr>
      <w:r>
        <w:rPr>
          <w:b/>
          <w:color w:val="B6984C"/>
        </w:rPr>
        <w:t xml:space="preserve">2. </w:t>
      </w:r>
      <w:r>
        <w:rPr>
          <w:color w:val="20344B"/>
        </w:rPr>
        <w:t>O que entra, o que sai e o que fica em quarentena</w:t>
      </w:r>
    </w:p>
    <w:p>
      <w:pPr>
        <w:spacing w:after="40"/>
      </w:pPr>
      <w:r>
        <w:rPr>
          <w:b/>
          <w:color w:val="B6984C"/>
        </w:rPr>
        <w:t xml:space="preserve">3. </w:t>
      </w:r>
      <w:r>
        <w:rPr>
          <w:color w:val="20344B"/>
        </w:rPr>
        <w:t>Orçamento exato de 240 mil caracteres</w:t>
      </w:r>
    </w:p>
    <w:p>
      <w:pPr>
        <w:spacing w:after="40"/>
      </w:pPr>
      <w:r>
        <w:rPr>
          <w:b/>
          <w:color w:val="B6984C"/>
        </w:rPr>
        <w:t xml:space="preserve">4. </w:t>
      </w:r>
      <w:r>
        <w:rPr>
          <w:color w:val="20344B"/>
        </w:rPr>
        <w:t>Arquitetura final em 20 capítulos</w:t>
      </w:r>
    </w:p>
    <w:p>
      <w:pPr>
        <w:spacing w:after="40"/>
      </w:pPr>
      <w:r>
        <w:rPr>
          <w:b/>
          <w:color w:val="B6984C"/>
        </w:rPr>
        <w:t xml:space="preserve">5. </w:t>
      </w:r>
      <w:r>
        <w:rPr>
          <w:color w:val="20344B"/>
        </w:rPr>
        <w:t>Banco de cenas</w:t>
      </w:r>
    </w:p>
    <w:p>
      <w:pPr>
        <w:spacing w:after="40"/>
      </w:pPr>
      <w:r>
        <w:rPr>
          <w:b/>
          <w:color w:val="B6984C"/>
        </w:rPr>
        <w:t xml:space="preserve">6. </w:t>
      </w:r>
      <w:r>
        <w:rPr>
          <w:color w:val="20344B"/>
        </w:rPr>
        <w:t>Mapa de personagens</w:t>
      </w:r>
    </w:p>
    <w:p>
      <w:pPr>
        <w:spacing w:after="40"/>
      </w:pPr>
      <w:r>
        <w:rPr>
          <w:b/>
          <w:color w:val="B6984C"/>
        </w:rPr>
        <w:t xml:space="preserve">7. </w:t>
      </w:r>
      <w:r>
        <w:rPr>
          <w:color w:val="20344B"/>
        </w:rPr>
        <w:t>Linguagem de prova e contraditório</w:t>
      </w:r>
    </w:p>
    <w:p>
      <w:pPr>
        <w:spacing w:after="40"/>
      </w:pPr>
      <w:r>
        <w:rPr>
          <w:b/>
          <w:color w:val="B6984C"/>
        </w:rPr>
        <w:t xml:space="preserve">8. </w:t>
      </w:r>
      <w:r>
        <w:rPr>
          <w:color w:val="20344B"/>
        </w:rPr>
        <w:t>Notas, bibliografia e índice</w:t>
      </w:r>
    </w:p>
    <w:p>
      <w:pPr>
        <w:spacing w:after="40"/>
      </w:pPr>
      <w:r>
        <w:rPr>
          <w:b/>
          <w:color w:val="B6984C"/>
        </w:rPr>
        <w:t xml:space="preserve">9. </w:t>
      </w:r>
      <w:r>
        <w:rPr>
          <w:color w:val="20344B"/>
        </w:rPr>
        <w:t>Ordem de redação e controle de qualidade</w:t>
      </w:r>
    </w:p>
    <w:p>
      <w:pPr>
        <w:spacing w:after="40"/>
      </w:pPr>
      <w:r>
        <w:rPr>
          <w:b/>
          <w:color w:val="B6984C"/>
        </w:rPr>
        <w:t xml:space="preserve">10. </w:t>
      </w:r>
      <w:r>
        <w:rPr>
          <w:color w:val="20344B"/>
        </w:rPr>
        <w:t>Abertura e fechamento-modelo</w:t>
      </w:r>
    </w:p>
    <w:p>
      <w:r>
        <w:br w:type="page"/>
      </w:r>
    </w:p>
    <w:p>
      <w:pPr>
        <w:pStyle w:val="Heading1"/>
      </w:pPr>
      <w:r>
        <w:t>1. Tese editorial definitiva</w:t>
      </w:r>
    </w:p>
    <w:p>
      <w:pPr>
        <w:pStyle w:val="PullQuote"/>
      </w:pPr>
      <w:r>
        <w:t>Eduardo Bolsonaro transformou um sobrenome, um mandato e uma credencial policial numa função de emissário internacional; quando essa função entrou em choque com as instituições brasileiras, ele escolheu permanecer nos Estados Unidos e condicionar o retorno a uma mudança política.</w:t>
      </w:r>
    </w:p>
    <w:p>
      <w:r>
        <w:t>Essa é a tese do livro. Ela é forte o suficiente sem precisar provar que Eduardo cometeu todos os atos atribuídos ao clã ou que cada empresa no Texas integra um esquema único. O livro acompanha uma transformação: filho numerado; beneficiário de estrutura pública precoce; policial; deputado; vendedor da agenda armamentista; chanceler informal; operador de rede transnacional; articulador de pressão externa; ex-parlamentar condenado, residente permanente nos Estados Unidos.</w:t>
      </w:r>
    </w:p>
    <w:p>
      <w:pPr>
        <w:pStyle w:val="Heading2"/>
      </w:pPr>
      <w:r>
        <w:t>Pergunta central</w:t>
      </w:r>
    </w:p>
    <w:p>
      <w:r>
        <w:t>Como um deputado de produção legislativa limitada se tornou um dos brasileiros com maior acesso à direita americana — e que estruturas públicas, familiares, digitais e financeiras tornaram isso possível?</w:t>
      </w:r>
    </w:p>
    <w:p>
      <w:pPr>
        <w:pStyle w:val="Heading2"/>
      </w:pPr>
      <w:r>
        <w:t>Promessa ao leitor</w:t>
      </w:r>
    </w:p>
    <w:p>
      <w:pPr>
        <w:pStyle w:val="ListBullet"/>
        <w:ind w:left="340" w:hanging="142"/>
      </w:pPr>
      <w:r>
        <w:t>Uma biografia documentada, não uma coleção de escândalos.</w:t>
      </w:r>
    </w:p>
    <w:p>
      <w:pPr>
        <w:pStyle w:val="ListBullet"/>
        <w:ind w:left="340" w:hanging="142"/>
      </w:pPr>
      <w:r>
        <w:t>Uma explicação de rede: família, polícia, armas, internet, diplomacia e dinheiro.</w:t>
      </w:r>
    </w:p>
    <w:p>
      <w:pPr>
        <w:pStyle w:val="ListBullet"/>
        <w:ind w:left="340" w:hanging="142"/>
      </w:pPr>
      <w:r>
        <w:t>Separação visível entre fato, decisão, reportagem, alegação e hipótese.</w:t>
      </w:r>
    </w:p>
    <w:p>
      <w:pPr>
        <w:pStyle w:val="ListBullet"/>
        <w:ind w:left="340" w:hanging="142"/>
      </w:pPr>
      <w:r>
        <w:t>Contraditório em cada núcleo, não concentrado numa nota defensiva ao fim.</w:t>
      </w:r>
    </w:p>
    <w:p>
      <w:pPr>
        <w:pStyle w:val="ListBullet"/>
        <w:ind w:left="340" w:hanging="142"/>
      </w:pPr>
      <w:r>
        <w:t>Um final aberto apenas onde a realidade ainda está aberta.</w:t>
      </w:r>
    </w:p>
    <w:p>
      <w:pPr>
        <w:pStyle w:val="Heading2"/>
      </w:pPr>
      <w:r>
        <w:t>O sentido do título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TÍTULO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“O Foragido” é uma metáfora editorial para a permanência fora do país durante processos, perda de mandato e retorno condicionado à anistia. O texto explicará na primeira página que o termo não descreve, no fechamento, uma ordem pública de prisão.</w:t>
            </w:r>
          </w:p>
        </w:tc>
      </w:tr>
    </w:tbl>
    <w:p>
      <w:pPr>
        <w:pStyle w:val="SmallNote"/>
      </w:pPr>
    </w:p>
    <w:p>
      <w:r>
        <w:br w:type="page"/>
      </w:r>
    </w:p>
    <w:p>
      <w:pPr>
        <w:pStyle w:val="Heading1"/>
      </w:pPr>
      <w:r>
        <w:t>2. O que entra, o que sai e o que fica em quarentena</w:t>
      </w:r>
    </w:p>
    <w:p>
      <w:pPr>
        <w:pStyle w:val="Heading2"/>
      </w:pPr>
      <w:r>
        <w:t>Entra no corpo principal</w:t>
      </w:r>
    </w:p>
    <w:p>
      <w:pPr>
        <w:pStyle w:val="ListBullet"/>
        <w:ind w:left="340" w:hanging="142"/>
      </w:pPr>
      <w:r>
        <w:t>Cargo na Câmara aos 18 anos e incompatibilidade documental com a UFRJ.</w:t>
      </w:r>
    </w:p>
    <w:p>
      <w:pPr>
        <w:pStyle w:val="ListBullet"/>
        <w:ind w:left="340" w:hanging="142"/>
      </w:pPr>
      <w:r>
        <w:t>Carreira e lotações na PF, com retorno disciplinar no desfecho.</w:t>
      </w:r>
    </w:p>
    <w:p>
      <w:pPr>
        <w:pStyle w:val="ListBullet"/>
        <w:ind w:left="340" w:hanging="142"/>
      </w:pPr>
      <w:r>
        <w:t>Votações, produção legislativa e pauta armamentista.</w:t>
      </w:r>
    </w:p>
    <w:p>
      <w:pPr>
        <w:pStyle w:val="ListBullet"/>
        <w:ind w:left="340" w:hanging="142"/>
      </w:pPr>
      <w:r>
        <w:t>Falas sobre STF e AI-5, com contexto integral.</w:t>
      </w:r>
    </w:p>
    <w:p>
      <w:pPr>
        <w:pStyle w:val="ListBullet"/>
        <w:ind w:left="340" w:hanging="142"/>
      </w:pPr>
      <w:r>
        <w:t>Embaixada, reuniões com Trump, Bannon, CPAC e diplomacia paralela.</w:t>
      </w:r>
    </w:p>
    <w:p>
      <w:pPr>
        <w:pStyle w:val="ListBullet"/>
        <w:ind w:left="340" w:hanging="142"/>
      </w:pPr>
      <w:r>
        <w:t>Crises com a China e custo institucional atribuído a fontes.</w:t>
      </w:r>
    </w:p>
    <w:p>
      <w:pPr>
        <w:pStyle w:val="ListBullet"/>
        <w:ind w:left="340" w:hanging="142"/>
      </w:pPr>
      <w:r>
        <w:t>Meta/DFRLab e assessores, sem imputar comando não provado.</w:t>
      </w:r>
    </w:p>
    <w:p>
      <w:pPr>
        <w:pStyle w:val="ListBullet"/>
        <w:ind w:left="340" w:hanging="142"/>
      </w:pPr>
      <w:r>
        <w:t>Gettr e patrocínio de eventos, com genealogia financeira em nota contextual.</w:t>
      </w:r>
    </w:p>
    <w:p>
      <w:pPr>
        <w:pStyle w:val="ListBullet"/>
        <w:ind w:left="340" w:hanging="142"/>
      </w:pPr>
      <w:r>
        <w:t>Texas como infraestrutura empresarial e migratória, sem qualificar automaticamente como crime.</w:t>
      </w:r>
    </w:p>
    <w:p>
      <w:pPr>
        <w:pStyle w:val="ListBullet"/>
        <w:ind w:left="340" w:hanging="142"/>
      </w:pPr>
      <w:r>
        <w:t>Dark Horse: contrato, valores negociados, remessas documentadas e suspeita oficial sobre destino.</w:t>
      </w:r>
    </w:p>
    <w:p>
      <w:pPr>
        <w:pStyle w:val="ListBullet"/>
        <w:ind w:left="340" w:hanging="142"/>
      </w:pPr>
      <w:r>
        <w:t>Licença, campanha de sanções, acusação, defesa, condenação recorrível.</w:t>
      </w:r>
    </w:p>
    <w:p>
      <w:pPr>
        <w:pStyle w:val="ListBullet"/>
        <w:ind w:left="340" w:hanging="142"/>
      </w:pPr>
      <w:r>
        <w:t>Perda do mandato, PAD, green card e retorno condicionado.</w:t>
      </w:r>
    </w:p>
    <w:p>
      <w:pPr>
        <w:pStyle w:val="Heading2"/>
      </w:pPr>
      <w:r>
        <w:t>Vai para notas ou boxes laterais</w:t>
      </w:r>
    </w:p>
    <w:p>
      <w:pPr>
        <w:pStyle w:val="ListBullet"/>
        <w:ind w:left="340" w:hanging="142"/>
      </w:pPr>
      <w:r>
        <w:t>Contexto amplo sobre milícias e militarização que não se ligue diretamente a ato de Eduardo.</w:t>
      </w:r>
    </w:p>
    <w:p>
      <w:pPr>
        <w:pStyle w:val="ListBullet"/>
        <w:ind w:left="340" w:hanging="142"/>
      </w:pPr>
      <w:r>
        <w:t>Biografias longas de Bannon, Miller, Guo, Calixto e outros operadores.</w:t>
      </w:r>
    </w:p>
    <w:p>
      <w:pPr>
        <w:pStyle w:val="ListBullet"/>
        <w:ind w:left="340" w:hanging="142"/>
      </w:pPr>
      <w:r>
        <w:t>Detalhes regulatórios de fundos que não afetem a compreensão do fluxo.</w:t>
      </w:r>
    </w:p>
    <w:p>
      <w:pPr>
        <w:pStyle w:val="ListBullet"/>
        <w:ind w:left="340" w:hanging="142"/>
      </w:pPr>
      <w:r>
        <w:t>Listas completas de projetos de lei, viagens e entidades.</w:t>
      </w:r>
    </w:p>
    <w:p>
      <w:pPr>
        <w:pStyle w:val="ListBullet"/>
        <w:ind w:left="340" w:hanging="142"/>
      </w:pPr>
      <w:r>
        <w:t>Hipóteses jurídicas sobre extradição, deportação e efeitos migratórios, sempre assinadas por especialista.</w:t>
      </w:r>
    </w:p>
    <w:p>
      <w:pPr>
        <w:pStyle w:val="Heading2"/>
      </w:pPr>
      <w:r>
        <w:t>Fica em quarentena até nova prova</w:t>
      </w:r>
    </w:p>
    <w:p>
      <w:pPr>
        <w:pStyle w:val="ListBullet"/>
        <w:ind w:left="340" w:hanging="142"/>
      </w:pPr>
      <w:r>
        <w:t>Cofre no gabinete, rachadinha pessoal de Eduardo e qualquer acusação criminal sem documento.</w:t>
      </w:r>
    </w:p>
    <w:p>
      <w:pPr>
        <w:pStyle w:val="ListBullet"/>
        <w:ind w:left="340" w:hanging="142"/>
      </w:pPr>
      <w:r>
        <w:t>Porciúncula como laranja; Braz Global como lavagem; trusts como ocultação de patrimônio.</w:t>
      </w:r>
    </w:p>
    <w:p>
      <w:pPr>
        <w:pStyle w:val="ListBullet"/>
        <w:ind w:left="340" w:hanging="142"/>
      </w:pPr>
      <w:r>
        <w:t>Dinheiro do Havengate pagando casa, aluguel, lobby ou sanções.</w:t>
      </w:r>
    </w:p>
    <w:p>
      <w:pPr>
        <w:pStyle w:val="ListBullet"/>
        <w:ind w:left="340" w:hanging="142"/>
      </w:pPr>
      <w:r>
        <w:t>Causalidade direta entre postagens de Eduardo e atraso de vacina/embargo comercial.</w:t>
      </w:r>
    </w:p>
    <w:p>
      <w:pPr>
        <w:pStyle w:val="ListBullet"/>
        <w:ind w:left="340" w:hanging="142"/>
      </w:pPr>
      <w:r>
        <w:t>Participação operacional no 8 de Janeiro.</w:t>
      </w:r>
    </w:p>
    <w:p>
      <w:pPr>
        <w:pStyle w:val="ListBullet"/>
        <w:ind w:left="340" w:hanging="142"/>
      </w:pPr>
      <w:r>
        <w:t>Conhecimento da origem ilícita de recursos ligados ao ecossistema Gettr/Guo.</w:t>
      </w:r>
    </w:p>
    <w:p>
      <w:pPr>
        <w:pStyle w:val="ListBullet"/>
        <w:ind w:left="340" w:hanging="142"/>
      </w:pPr>
      <w:r>
        <w:t>Detalhes do EB-1A não confirmados pelo processo migratório.</w:t>
      </w:r>
    </w:p>
    <w:p>
      <w:pPr>
        <w:pStyle w:val="Heading2"/>
      </w:pPr>
      <w:r>
        <w:t>Sai do projeto</w:t>
      </w:r>
    </w:p>
    <w:p>
      <w:pPr>
        <w:pStyle w:val="ListBullet"/>
        <w:ind w:left="340" w:hanging="142"/>
      </w:pPr>
      <w:r>
        <w:t>Adjetivos substituindo prova: “picareta”, “traidor”, “criminoso contumaz” e equivalentes na voz do narrador.</w:t>
      </w:r>
    </w:p>
    <w:p>
      <w:pPr>
        <w:pStyle w:val="ListBullet"/>
        <w:ind w:left="340" w:hanging="142"/>
      </w:pPr>
      <w:r>
        <w:t>Biografia exaustiva do pai e dos irmãos quando não modifica a trajetória de Eduardo.</w:t>
      </w:r>
    </w:p>
    <w:p>
      <w:pPr>
        <w:pStyle w:val="ListBullet"/>
        <w:ind w:left="340" w:hanging="142"/>
      </w:pPr>
      <w:r>
        <w:t>Rumores de rede social sem fonte original preservada.</w:t>
      </w:r>
    </w:p>
    <w:p>
      <w:pPr>
        <w:pStyle w:val="ListBullet"/>
        <w:ind w:left="340" w:hanging="142"/>
      </w:pPr>
      <w:r>
        <w:t>Repetição de escândalos já explicados em outro capítulo.</w:t>
      </w:r>
    </w:p>
    <w:p>
      <w:pPr>
        <w:pStyle w:val="ListBullet"/>
        <w:ind w:left="340" w:hanging="142"/>
      </w:pPr>
      <w:r>
        <w:t>Material apenas ideológico que não produza cena, decisão, dinheiro ou transformação do personagem.</w:t>
      </w:r>
    </w:p>
    <w:p>
      <w:r>
        <w:br w:type="page"/>
      </w:r>
    </w:p>
    <w:p>
      <w:pPr>
        <w:pStyle w:val="Heading1"/>
      </w:pPr>
      <w:r>
        <w:t>3. Orçamento exato de 240 mil caracteres</w:t>
      </w:r>
    </w:p>
    <w:p>
      <w:r>
        <w:t>A contagem deve incluir espaços, títulos, sumário, notas, bibliografia, créditos e colofão. O corpo dos vinte capítulos recebe 197 mil caracteres; os elementos não narrativos, 43 mil.</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4819"/>
            <w:shd w:fill="20344B"/>
            <w:tcMar>
              <w:top w:w="90" w:type="dxa"/>
              <w:start w:w="100" w:type="dxa"/>
              <w:bottom w:w="90" w:type="dxa"/>
              <w:end w:w="100" w:type="dxa"/>
            </w:tcMar>
          </w:tcPr>
          <w:p>
            <w:r>
              <w:rPr>
                <w:b/>
                <w:color w:val="FFFFFF"/>
              </w:rPr>
              <w:t>Bloco</w:t>
            </w:r>
          </w:p>
        </w:tc>
        <w:tc>
          <w:tcPr>
            <w:tcW w:type="dxa" w:w="1701"/>
            <w:shd w:fill="20344B"/>
            <w:tcMar>
              <w:top w:w="90" w:type="dxa"/>
              <w:start w:w="100" w:type="dxa"/>
              <w:bottom w:w="90" w:type="dxa"/>
              <w:end w:w="100" w:type="dxa"/>
            </w:tcMar>
          </w:tcPr>
          <w:p>
            <w:r>
              <w:rPr>
                <w:b/>
                <w:color w:val="FFFFFF"/>
              </w:rPr>
              <w:t>Caracteres</w:t>
            </w:r>
          </w:p>
        </w:tc>
        <w:tc>
          <w:tcPr>
            <w:tcW w:type="dxa" w:w="3118"/>
            <w:shd w:fill="20344B"/>
            <w:tcMar>
              <w:top w:w="90" w:type="dxa"/>
              <w:start w:w="100" w:type="dxa"/>
              <w:bottom w:w="90" w:type="dxa"/>
              <w:end w:w="100" w:type="dxa"/>
            </w:tcMar>
          </w:tcPr>
          <w:p>
            <w:r>
              <w:rPr>
                <w:b/>
                <w:color w:val="FFFFFF"/>
              </w:rPr>
              <w:t>Função</w:t>
            </w:r>
          </w:p>
        </w:tc>
      </w:tr>
      <w:tr>
        <w:tc>
          <w:tcPr>
            <w:tcW w:type="dxa" w:w="3289"/>
            <w:tcMar>
              <w:top w:w="90" w:type="dxa"/>
              <w:start w:w="100" w:type="dxa"/>
              <w:bottom w:w="90" w:type="dxa"/>
              <w:end w:w="100" w:type="dxa"/>
            </w:tcMar>
          </w:tcPr>
          <w:p>
            <w:r>
              <w:rPr>
                <w:sz w:val="16"/>
              </w:rPr>
              <w:t>Folha de rosto, expediente e aviso metodológico</w:t>
            </w:r>
          </w:p>
        </w:tc>
        <w:tc>
          <w:tcPr>
            <w:tcW w:type="dxa" w:w="3289"/>
            <w:tcMar>
              <w:top w:w="90" w:type="dxa"/>
              <w:start w:w="100" w:type="dxa"/>
              <w:bottom w:w="90" w:type="dxa"/>
              <w:end w:w="100" w:type="dxa"/>
            </w:tcMar>
          </w:tcPr>
          <w:p>
            <w:r>
              <w:rPr>
                <w:sz w:val="16"/>
              </w:rPr>
              <w:t>3.500</w:t>
            </w:r>
          </w:p>
        </w:tc>
        <w:tc>
          <w:tcPr>
            <w:tcW w:type="dxa" w:w="3289"/>
            <w:tcMar>
              <w:top w:w="90" w:type="dxa"/>
              <w:start w:w="100" w:type="dxa"/>
              <w:bottom w:w="90" w:type="dxa"/>
              <w:end w:w="100" w:type="dxa"/>
            </w:tcMar>
          </w:tcPr>
          <w:p>
            <w:r>
              <w:rPr>
                <w:sz w:val="16"/>
              </w:rPr>
              <w:t>Identidade, data e estatuto do título.</w:t>
            </w:r>
          </w:p>
        </w:tc>
      </w:tr>
      <w:tr>
        <w:tc>
          <w:tcPr>
            <w:tcW w:type="dxa" w:w="3289"/>
            <w:tcMar>
              <w:top w:w="90" w:type="dxa"/>
              <w:start w:w="100" w:type="dxa"/>
              <w:bottom w:w="90" w:type="dxa"/>
              <w:end w:w="100" w:type="dxa"/>
            </w:tcMar>
          </w:tcPr>
          <w:p>
            <w:r>
              <w:rPr>
                <w:sz w:val="16"/>
              </w:rPr>
              <w:t>Sumário</w:t>
            </w:r>
          </w:p>
        </w:tc>
        <w:tc>
          <w:tcPr>
            <w:tcW w:type="dxa" w:w="3289"/>
            <w:tcMar>
              <w:top w:w="90" w:type="dxa"/>
              <w:start w:w="100" w:type="dxa"/>
              <w:bottom w:w="90" w:type="dxa"/>
              <w:end w:w="100" w:type="dxa"/>
            </w:tcMar>
          </w:tcPr>
          <w:p>
            <w:r>
              <w:rPr>
                <w:sz w:val="16"/>
              </w:rPr>
              <w:t>2.500</w:t>
            </w:r>
          </w:p>
        </w:tc>
        <w:tc>
          <w:tcPr>
            <w:tcW w:type="dxa" w:w="3289"/>
            <w:tcMar>
              <w:top w:w="90" w:type="dxa"/>
              <w:start w:w="100" w:type="dxa"/>
              <w:bottom w:w="90" w:type="dxa"/>
              <w:end w:w="100" w:type="dxa"/>
            </w:tcMar>
          </w:tcPr>
          <w:p>
            <w:r>
              <w:rPr>
                <w:sz w:val="16"/>
              </w:rPr>
              <w:t>Títulos e estrutura.</w:t>
            </w:r>
          </w:p>
        </w:tc>
      </w:tr>
      <w:tr>
        <w:tc>
          <w:tcPr>
            <w:tcW w:type="dxa" w:w="3289"/>
            <w:tcMar>
              <w:top w:w="90" w:type="dxa"/>
              <w:start w:w="100" w:type="dxa"/>
              <w:bottom w:w="90" w:type="dxa"/>
              <w:end w:w="100" w:type="dxa"/>
            </w:tcMar>
          </w:tcPr>
          <w:p>
            <w:r>
              <w:rPr>
                <w:sz w:val="16"/>
              </w:rPr>
              <w:t>Prólogo</w:t>
            </w:r>
          </w:p>
        </w:tc>
        <w:tc>
          <w:tcPr>
            <w:tcW w:type="dxa" w:w="3289"/>
            <w:tcMar>
              <w:top w:w="90" w:type="dxa"/>
              <w:start w:w="100" w:type="dxa"/>
              <w:bottom w:w="90" w:type="dxa"/>
              <w:end w:w="100" w:type="dxa"/>
            </w:tcMar>
          </w:tcPr>
          <w:p>
            <w:r>
              <w:rPr>
                <w:sz w:val="16"/>
              </w:rPr>
              <w:t>8.500</w:t>
            </w:r>
          </w:p>
        </w:tc>
        <w:tc>
          <w:tcPr>
            <w:tcW w:type="dxa" w:w="3289"/>
            <w:tcMar>
              <w:top w:w="90" w:type="dxa"/>
              <w:start w:w="100" w:type="dxa"/>
              <w:bottom w:w="90" w:type="dxa"/>
              <w:end w:w="100" w:type="dxa"/>
            </w:tcMar>
          </w:tcPr>
          <w:p>
            <w:r>
              <w:rPr>
                <w:sz w:val="16"/>
              </w:rPr>
              <w:t>Cena do green card e pergunta central.</w:t>
            </w:r>
          </w:p>
        </w:tc>
      </w:tr>
      <w:tr>
        <w:tc>
          <w:tcPr>
            <w:tcW w:type="dxa" w:w="3289"/>
            <w:tcMar>
              <w:top w:w="90" w:type="dxa"/>
              <w:start w:w="100" w:type="dxa"/>
              <w:bottom w:w="90" w:type="dxa"/>
              <w:end w:w="100" w:type="dxa"/>
            </w:tcMar>
          </w:tcPr>
          <w:p>
            <w:r>
              <w:rPr>
                <w:sz w:val="16"/>
              </w:rPr>
              <w:t>Corpo dos 20 capítulos</w:t>
            </w:r>
          </w:p>
        </w:tc>
        <w:tc>
          <w:tcPr>
            <w:tcW w:type="dxa" w:w="3289"/>
            <w:tcMar>
              <w:top w:w="90" w:type="dxa"/>
              <w:start w:w="100" w:type="dxa"/>
              <w:bottom w:w="90" w:type="dxa"/>
              <w:end w:w="100" w:type="dxa"/>
            </w:tcMar>
          </w:tcPr>
          <w:p>
            <w:r>
              <w:rPr>
                <w:sz w:val="16"/>
              </w:rPr>
              <w:t>197.000</w:t>
            </w:r>
          </w:p>
        </w:tc>
        <w:tc>
          <w:tcPr>
            <w:tcW w:type="dxa" w:w="3289"/>
            <w:tcMar>
              <w:top w:w="90" w:type="dxa"/>
              <w:start w:w="100" w:type="dxa"/>
              <w:bottom w:w="90" w:type="dxa"/>
              <w:end w:w="100" w:type="dxa"/>
            </w:tcMar>
          </w:tcPr>
          <w:p>
            <w:r>
              <w:rPr>
                <w:sz w:val="16"/>
              </w:rPr>
              <w:t>Narrativa principal.</w:t>
            </w:r>
          </w:p>
        </w:tc>
      </w:tr>
      <w:tr>
        <w:tc>
          <w:tcPr>
            <w:tcW w:type="dxa" w:w="3289"/>
            <w:tcMar>
              <w:top w:w="90" w:type="dxa"/>
              <w:start w:w="100" w:type="dxa"/>
              <w:bottom w:w="90" w:type="dxa"/>
              <w:end w:w="100" w:type="dxa"/>
            </w:tcMar>
          </w:tcPr>
          <w:p>
            <w:r>
              <w:rPr>
                <w:sz w:val="16"/>
              </w:rPr>
              <w:t>Epílogo curto</w:t>
            </w:r>
          </w:p>
        </w:tc>
        <w:tc>
          <w:tcPr>
            <w:tcW w:type="dxa" w:w="3289"/>
            <w:tcMar>
              <w:top w:w="90" w:type="dxa"/>
              <w:start w:w="100" w:type="dxa"/>
              <w:bottom w:w="90" w:type="dxa"/>
              <w:end w:w="100" w:type="dxa"/>
            </w:tcMar>
          </w:tcPr>
          <w:p>
            <w:r>
              <w:rPr>
                <w:sz w:val="16"/>
              </w:rPr>
              <w:t>4.500</w:t>
            </w:r>
          </w:p>
        </w:tc>
        <w:tc>
          <w:tcPr>
            <w:tcW w:type="dxa" w:w="3289"/>
            <w:tcMar>
              <w:top w:w="90" w:type="dxa"/>
              <w:start w:w="100" w:type="dxa"/>
              <w:bottom w:w="90" w:type="dxa"/>
              <w:end w:w="100" w:type="dxa"/>
            </w:tcMar>
          </w:tcPr>
          <w:p>
            <w:r>
              <w:rPr>
                <w:sz w:val="16"/>
              </w:rPr>
              <w:t>Atualização e abertura futura.</w:t>
            </w:r>
          </w:p>
        </w:tc>
      </w:tr>
      <w:tr>
        <w:tc>
          <w:tcPr>
            <w:tcW w:type="dxa" w:w="3289"/>
            <w:tcMar>
              <w:top w:w="90" w:type="dxa"/>
              <w:start w:w="100" w:type="dxa"/>
              <w:bottom w:w="90" w:type="dxa"/>
              <w:end w:w="100" w:type="dxa"/>
            </w:tcMar>
          </w:tcPr>
          <w:p>
            <w:r>
              <w:rPr>
                <w:sz w:val="16"/>
              </w:rPr>
              <w:t>Cronologia seletiva</w:t>
            </w:r>
          </w:p>
        </w:tc>
        <w:tc>
          <w:tcPr>
            <w:tcW w:type="dxa" w:w="3289"/>
            <w:tcMar>
              <w:top w:w="90" w:type="dxa"/>
              <w:start w:w="100" w:type="dxa"/>
              <w:bottom w:w="90" w:type="dxa"/>
              <w:end w:w="100" w:type="dxa"/>
            </w:tcMar>
          </w:tcPr>
          <w:p>
            <w:r>
              <w:rPr>
                <w:sz w:val="16"/>
              </w:rPr>
              <w:t>4.500</w:t>
            </w:r>
          </w:p>
        </w:tc>
        <w:tc>
          <w:tcPr>
            <w:tcW w:type="dxa" w:w="3289"/>
            <w:tcMar>
              <w:top w:w="90" w:type="dxa"/>
              <w:start w:w="100" w:type="dxa"/>
              <w:bottom w:w="90" w:type="dxa"/>
              <w:end w:w="100" w:type="dxa"/>
            </w:tcMar>
          </w:tcPr>
          <w:p>
            <w:r>
              <w:rPr>
                <w:sz w:val="16"/>
              </w:rPr>
              <w:t>Marcos indispensáveis.</w:t>
            </w:r>
          </w:p>
        </w:tc>
      </w:tr>
      <w:tr>
        <w:tc>
          <w:tcPr>
            <w:tcW w:type="dxa" w:w="3289"/>
            <w:tcMar>
              <w:top w:w="90" w:type="dxa"/>
              <w:start w:w="100" w:type="dxa"/>
              <w:bottom w:w="90" w:type="dxa"/>
              <w:end w:w="100" w:type="dxa"/>
            </w:tcMar>
          </w:tcPr>
          <w:p>
            <w:r>
              <w:rPr>
                <w:sz w:val="16"/>
              </w:rPr>
              <w:t>Notas e fontes</w:t>
            </w:r>
          </w:p>
        </w:tc>
        <w:tc>
          <w:tcPr>
            <w:tcW w:type="dxa" w:w="3289"/>
            <w:tcMar>
              <w:top w:w="90" w:type="dxa"/>
              <w:start w:w="100" w:type="dxa"/>
              <w:bottom w:w="90" w:type="dxa"/>
              <w:end w:w="100" w:type="dxa"/>
            </w:tcMar>
          </w:tcPr>
          <w:p>
            <w:r>
              <w:rPr>
                <w:sz w:val="16"/>
              </w:rPr>
              <w:t>13.000</w:t>
            </w:r>
          </w:p>
        </w:tc>
        <w:tc>
          <w:tcPr>
            <w:tcW w:type="dxa" w:w="3289"/>
            <w:tcMar>
              <w:top w:w="90" w:type="dxa"/>
              <w:start w:w="100" w:type="dxa"/>
              <w:bottom w:w="90" w:type="dxa"/>
              <w:end w:w="100" w:type="dxa"/>
            </w:tcMar>
          </w:tcPr>
          <w:p>
            <w:r>
              <w:rPr>
                <w:sz w:val="16"/>
              </w:rPr>
              <w:t>Referências, contraditório e precisão.</w:t>
            </w:r>
          </w:p>
        </w:tc>
      </w:tr>
      <w:tr>
        <w:tc>
          <w:tcPr>
            <w:tcW w:type="dxa" w:w="3289"/>
            <w:tcMar>
              <w:top w:w="90" w:type="dxa"/>
              <w:start w:w="100" w:type="dxa"/>
              <w:bottom w:w="90" w:type="dxa"/>
              <w:end w:w="100" w:type="dxa"/>
            </w:tcMar>
          </w:tcPr>
          <w:p>
            <w:r>
              <w:rPr>
                <w:sz w:val="16"/>
              </w:rPr>
              <w:t>Bibliografia, índice onomástico, agradecimentos e colofão</w:t>
            </w:r>
          </w:p>
        </w:tc>
        <w:tc>
          <w:tcPr>
            <w:tcW w:type="dxa" w:w="3289"/>
            <w:tcMar>
              <w:top w:w="90" w:type="dxa"/>
              <w:start w:w="100" w:type="dxa"/>
              <w:bottom w:w="90" w:type="dxa"/>
              <w:end w:w="100" w:type="dxa"/>
            </w:tcMar>
          </w:tcPr>
          <w:p>
            <w:r>
              <w:rPr>
                <w:sz w:val="16"/>
              </w:rPr>
              <w:t>6.500</w:t>
            </w:r>
          </w:p>
        </w:tc>
        <w:tc>
          <w:tcPr>
            <w:tcW w:type="dxa" w:w="3289"/>
            <w:tcMar>
              <w:top w:w="90" w:type="dxa"/>
              <w:start w:w="100" w:type="dxa"/>
              <w:bottom w:w="90" w:type="dxa"/>
              <w:end w:w="100" w:type="dxa"/>
            </w:tcMar>
          </w:tcPr>
          <w:p>
            <w:r>
              <w:rPr>
                <w:sz w:val="16"/>
              </w:rPr>
              <w:t>Aparato final.</w:t>
            </w:r>
          </w:p>
        </w:tc>
      </w:tr>
    </w:tbl>
    <w:p>
      <w:pPr>
        <w:pStyle w:val="Heading2"/>
      </w:pPr>
      <w:r>
        <w:t>Auditoria de contagem</w:t>
      </w:r>
    </w:p>
    <w:p>
      <w:pPr>
        <w:pStyle w:val="ListNumber"/>
      </w:pPr>
      <w:r>
        <w:t>Redigir a versão 1 com 232–235 mil caracteres para preservar margem de edição e atualização.</w:t>
      </w:r>
    </w:p>
    <w:p>
      <w:pPr>
        <w:pStyle w:val="ListNumber"/>
      </w:pPr>
      <w:r>
        <w:t>Contar por script todo o texto extraído do DOCX, com espaços e títulos.</w:t>
      </w:r>
    </w:p>
    <w:p>
      <w:pPr>
        <w:pStyle w:val="ListNumber"/>
      </w:pPr>
      <w:r>
        <w:t>Ajustar por capítulo; não sacrificar contraditório ou notas para caber.</w:t>
      </w:r>
    </w:p>
    <w:p>
      <w:pPr>
        <w:pStyle w:val="ListNumber"/>
      </w:pPr>
      <w:r>
        <w:t>Congelar fatos quentes 72 horas antes do fechamento e inserir somente mudanças essenciais.</w:t>
      </w:r>
    </w:p>
    <w:p>
      <w:pPr>
        <w:pStyle w:val="ListNumber"/>
      </w:pPr>
      <w:r>
        <w:t>Fechar em exatamente 240.000 caracteres, sem frases de enchimento.</w:t>
      </w:r>
    </w:p>
    <w:p>
      <w:r>
        <w:br w:type="page"/>
      </w:r>
    </w:p>
    <w:p>
      <w:pPr>
        <w:pStyle w:val="Heading1"/>
      </w:pPr>
      <w:r>
        <w:t>4. Arquitetura final em 20 capítulos</w:t>
      </w:r>
    </w:p>
    <w:p>
      <w:r>
        <w:t>Cada capítulo tem uma função dramática, uma cena, um conjunto de provas e uma pergunta que empurra o leitor ao seguinte. Os tetos abaixo totalizam exatamente 197 mil caracteres.</w:t>
      </w:r>
    </w:p>
    <w:p>
      <w:r>
        <w:br w:type="page"/>
      </w:r>
    </w:p>
    <w:p>
      <w:r>
        <w:rPr>
          <w:rFonts w:ascii="Liberation Sans" w:hAnsi="Liberation Sans"/>
          <w:b/>
          <w:color w:val="20344B"/>
          <w:sz w:val="34"/>
        </w:rPr>
        <w:t>01  O Zero Três</w:t>
      </w:r>
    </w:p>
    <w:p>
      <w:r>
        <w:rPr>
          <w:b/>
          <w:color w:val="B6984C"/>
        </w:rPr>
        <w:t>Orçamento: 8.500 caracteres</w:t>
      </w:r>
    </w:p>
    <w:p>
      <w:r>
        <w:rPr>
          <w:rFonts w:ascii="Liberation Sans" w:hAnsi="Liberation Sans"/>
          <w:b/>
          <w:color w:val="20344B"/>
          <w:sz w:val="16"/>
        </w:rPr>
        <w:t xml:space="preserve">FUNÇÃO  </w:t>
      </w:r>
      <w:r>
        <w:rPr>
          <w:rFonts w:ascii="Liberation Sans" w:hAnsi="Liberation Sans"/>
          <w:sz w:val="18"/>
        </w:rPr>
        <w:t>A biografia começa menos num indivíduo isolado do que numa arquitetura familiar. Eduardo nasce em Resende, cresce no Rio e recebe a designação “03”, uma numeração doméstica que transforma filiação em posição numa cadeia de comando política.</w:t>
      </w:r>
    </w:p>
    <w:p>
      <w:r>
        <w:rPr>
          <w:rFonts w:ascii="Liberation Sans" w:hAnsi="Liberation Sans"/>
          <w:b/>
          <w:color w:val="2B5B84"/>
          <w:sz w:val="16"/>
        </w:rPr>
        <w:t xml:space="preserve">ABERTURA  </w:t>
      </w:r>
      <w:r>
        <w:rPr>
          <w:rFonts w:ascii="Liberation Sans" w:hAnsi="Liberation Sans"/>
          <w:sz w:val="18"/>
        </w:rPr>
        <w:t>A cena mais segura é o registro civil/institucional de Resende em contraste com a carreira eleitoral construída por São Paulo. A numeração “03” funciona como detalhe concreto, não como diagnóstico psicológico.</w:t>
      </w:r>
    </w:p>
    <w:p>
      <w:pPr>
        <w:pStyle w:val="Heading2"/>
      </w:pPr>
      <w:r>
        <w:t>Movimentos narrativos</w:t>
      </w:r>
    </w:p>
    <w:p>
      <w:pPr>
        <w:pStyle w:val="ListBullet"/>
        <w:ind w:left="340" w:hanging="142"/>
      </w:pPr>
      <w:r>
        <w:t>Apresentar o documento ou cena que concentra o período 1984–2002.</w:t>
      </w:r>
    </w:p>
    <w:p>
      <w:pPr>
        <w:pStyle w:val="ListBullet"/>
        <w:ind w:left="340" w:hanging="142"/>
      </w:pPr>
      <w:r>
        <w:t>O perfil oficial da Câmara registra nascimento em 10 de julho de 1984, em Resende, e formação posterior em Direito na UFRJ.</w:t>
      </w:r>
    </w:p>
    <w:p>
      <w:pPr>
        <w:pStyle w:val="ListBullet"/>
        <w:ind w:left="340" w:hanging="142"/>
      </w:pPr>
      <w:r>
        <w:t>O corpus de Juliana Dal Piva situa a infância no núcleo formado por Jair Bolsonaro, Rogéria Nantes e os três filhos mais velhos, mas as cenas de infância disponíveis dependem em grande parte de relatos de terceiros.</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O perfil oficial da Câmara registra nascimento em 10 de julho de 1984, em Resende, e formação posterior em Direito na UFRJ.</w:t>
      </w:r>
    </w:p>
    <w:p>
      <w:pPr>
        <w:pStyle w:val="ListBullet"/>
        <w:ind w:left="340" w:hanging="142"/>
      </w:pPr>
      <w:r>
        <w:t>O corpus de Juliana Dal Piva situa a infância no núcleo formado por Jair Bolsonaro, Rogéria Nantes e os três filhos mais velhos, mas as cenas de infância disponíveis dependem em grande parte de relatos de terceiros.</w:t>
      </w:r>
    </w:p>
    <w:p>
      <w:pPr>
        <w:pStyle w:val="ListBullet"/>
        <w:ind w:left="340" w:hanging="142"/>
      </w:pPr>
      <w:r>
        <w:t>O livro assinado por Eduardo deve ser lido como fonte de autoimagem: o que escolhe contar sobre o pai e o que omite sobre a própria trajetória.</w:t>
      </w:r>
    </w:p>
    <w:p>
      <w:pPr>
        <w:pStyle w:val="Heading2"/>
      </w:pPr>
      <w:r>
        <w:t>Contraditório e ressalva</w:t>
      </w:r>
    </w:p>
    <w:p>
      <w:r>
        <w:t>Não afirmar traços de personalidade infantil sem testemunhos identificados. Não transportar para Eduardo fatos criminais ou patrimoniais atribuídos a outros membros da família.</w:t>
      </w:r>
    </w:p>
    <w:p>
      <w:pPr>
        <w:pStyle w:val="Heading2"/>
      </w:pPr>
      <w:r>
        <w:t>Material em quarentena</w:t>
      </w:r>
    </w:p>
    <w:p>
      <w:r>
        <w:t>Qualquer alegação relacionada a este núcleo que não passe pela regra acima permanece fora do corpo até a obtenção de documento ou testemunho independente. Diligência pendente: Localizar escolas, turmas, álbuns, colegas, cronologia residencial e campanhas em que apareceu antes de 2002.</w:t>
      </w:r>
    </w:p>
    <w:p>
      <w:pPr>
        <w:pStyle w:val="SmallNote"/>
      </w:pPr>
      <w:r>
        <w:rPr>
          <w:b/>
          <w:color w:val="6B7280"/>
        </w:rPr>
        <w:t xml:space="preserve">Base documental: </w:t>
      </w:r>
      <w:r>
        <w:t>S01, S25, S47.</w:t>
      </w:r>
    </w:p>
    <w:p>
      <w:r>
        <w:br w:type="page"/>
      </w:r>
    </w:p>
    <w:p>
      <w:r>
        <w:rPr>
          <w:rFonts w:ascii="Liberation Sans" w:hAnsi="Liberation Sans"/>
          <w:b/>
          <w:color w:val="20344B"/>
          <w:sz w:val="34"/>
        </w:rPr>
        <w:t>02  A fábrica doméstica</w:t>
      </w:r>
    </w:p>
    <w:p>
      <w:r>
        <w:rPr>
          <w:b/>
          <w:color w:val="B6984C"/>
        </w:rPr>
        <w:t>Orçamento: 9.000 caracteres</w:t>
      </w:r>
    </w:p>
    <w:p>
      <w:r>
        <w:rPr>
          <w:rFonts w:ascii="Liberation Sans" w:hAnsi="Liberation Sans"/>
          <w:b/>
          <w:color w:val="20344B"/>
          <w:sz w:val="16"/>
        </w:rPr>
        <w:t xml:space="preserve">FUNÇÃO  </w:t>
      </w:r>
      <w:r>
        <w:rPr>
          <w:rFonts w:ascii="Liberation Sans" w:hAnsi="Liberation Sans"/>
          <w:sz w:val="18"/>
        </w:rPr>
        <w:t>Antes de existir uma carreira própria, já existia uma máquina familiar: mandatos, gabinetes, assessores compartilhados, linguagem de segurança pública e transmissão de capital político.</w:t>
      </w:r>
    </w:p>
    <w:p>
      <w:r>
        <w:rPr>
          <w:rFonts w:ascii="Liberation Sans" w:hAnsi="Liberation Sans"/>
          <w:b/>
          <w:color w:val="2B5B84"/>
          <w:sz w:val="16"/>
        </w:rPr>
        <w:t xml:space="preserve">ABERTURA  </w:t>
      </w:r>
      <w:r>
        <w:rPr>
          <w:rFonts w:ascii="Liberation Sans" w:hAnsi="Liberation Sans"/>
          <w:sz w:val="18"/>
        </w:rPr>
        <w:t>Um corredor de gabinetes contíguos, descrito por fontes do corpus, pode servir de imagem desde que a cena seja atribuída e não inventada.</w:t>
      </w:r>
    </w:p>
    <w:p>
      <w:pPr>
        <w:pStyle w:val="Heading2"/>
      </w:pPr>
      <w:r>
        <w:t>Movimentos narrativos</w:t>
      </w:r>
    </w:p>
    <w:p>
      <w:pPr>
        <w:pStyle w:val="ListBullet"/>
        <w:ind w:left="340" w:hanging="142"/>
      </w:pPr>
      <w:r>
        <w:t>Apresentar o documento ou cena que concentra o período 1990–2002.</w:t>
      </w:r>
    </w:p>
    <w:p>
      <w:pPr>
        <w:pStyle w:val="ListBullet"/>
        <w:ind w:left="340" w:hanging="142"/>
      </w:pPr>
      <w:r>
        <w:t>O Negócio do Jair reconstrói um sistema de gabinetes e parentes em torno de Jair, Flávio, Carlos e, depois, Eduardo; o livro deve atribuir ao trabalho jornalístico da autora, não apresentá-lo como sentença judicial.</w:t>
      </w:r>
    </w:p>
    <w:p>
      <w:pPr>
        <w:pStyle w:val="ListBullet"/>
        <w:ind w:left="340" w:hanging="142"/>
      </w:pPr>
      <w:r>
        <w:t>A República das Milícias e República de Segurança Nacional fornecem contexto sobre o ambiente policial-militar e a politização das forças, mas não provam atos pessoais de Eduardo.</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O Negócio do Jair reconstrói um sistema de gabinetes e parentes em torno de Jair, Flávio, Carlos e, depois, Eduardo; o livro deve atribuir ao trabalho jornalístico da autora, não apresentá-lo como sentença judicial.</w:t>
      </w:r>
    </w:p>
    <w:p>
      <w:pPr>
        <w:pStyle w:val="ListBullet"/>
        <w:ind w:left="340" w:hanging="142"/>
      </w:pPr>
      <w:r>
        <w:t>A República das Milícias e República de Segurança Nacional fornecem contexto sobre o ambiente policial-militar e a politização das forças, mas não provam atos pessoais de Eduardo.</w:t>
      </w:r>
    </w:p>
    <w:p>
      <w:pPr>
        <w:pStyle w:val="ListBullet"/>
        <w:ind w:left="340" w:hanging="142"/>
      </w:pPr>
      <w:r>
        <w:t>A expansão geográfica do clã — Rio, Brasília e São Paulo — deve ser tratada como estratégia verificável por candidaturas, nomeações e endereços institucionais, não como conspiração abstrata.</w:t>
      </w:r>
    </w:p>
    <w:p>
      <w:pPr>
        <w:pStyle w:val="Heading2"/>
      </w:pPr>
      <w:r>
        <w:t>Contraditório e ressalva</w:t>
      </w:r>
    </w:p>
    <w:p>
      <w:r>
        <w:t>Evitar a expressão “organização criminosa familiar” para abarcar Eduardo sem decisão ou acusação formal específica. Contexto não é imputação.</w:t>
      </w:r>
    </w:p>
    <w:p>
      <w:pPr>
        <w:pStyle w:val="Heading2"/>
      </w:pPr>
      <w:r>
        <w:t>Material em quarentena</w:t>
      </w:r>
    </w:p>
    <w:p>
      <w:r>
        <w:t>Qualquer alegação relacionada a este núcleo que não passe pela regra acima permanece fora do corpo até a obtenção de documento ou testemunho independente. Diligência pendente: Mapear todas as nomeações e relações de parentesco nos gabinetes em que Eduardo trabalhou ou chefiou, com atos, períodos e funções.</w:t>
      </w:r>
    </w:p>
    <w:p>
      <w:pPr>
        <w:pStyle w:val="SmallNote"/>
      </w:pPr>
      <w:r>
        <w:rPr>
          <w:b/>
          <w:color w:val="6B7280"/>
        </w:rPr>
        <w:t xml:space="preserve">Base documental: </w:t>
      </w:r>
      <w:r>
        <w:t>S25, S48, S49.</w:t>
      </w:r>
    </w:p>
    <w:p>
      <w:r>
        <w:br w:type="page"/>
      </w:r>
    </w:p>
    <w:p>
      <w:r>
        <w:rPr>
          <w:rFonts w:ascii="Liberation Sans" w:hAnsi="Liberation Sans"/>
          <w:b/>
          <w:color w:val="20344B"/>
          <w:sz w:val="34"/>
        </w:rPr>
        <w:t>03  O emprego que veio antes da profissão</w:t>
      </w:r>
    </w:p>
    <w:p>
      <w:r>
        <w:rPr>
          <w:b/>
          <w:color w:val="B6984C"/>
        </w:rPr>
        <w:t>Orçamento: 9.500 caracteres</w:t>
      </w:r>
    </w:p>
    <w:p>
      <w:r>
        <w:rPr>
          <w:rFonts w:ascii="Liberation Sans" w:hAnsi="Liberation Sans"/>
          <w:b/>
          <w:color w:val="20344B"/>
          <w:sz w:val="16"/>
        </w:rPr>
        <w:t xml:space="preserve">FUNÇÃO  </w:t>
      </w:r>
      <w:r>
        <w:rPr>
          <w:rFonts w:ascii="Liberation Sans" w:hAnsi="Liberation Sans"/>
          <w:sz w:val="18"/>
        </w:rPr>
        <w:t>Três dias depois de ingressar em Direito na UFRJ, aos dezoito anos, Eduardo foi nomeado para um cargo de quarenta horas semanais na liderança do PTB na Câmara, em Brasília. O documento inaugura o motivo central do livro: a estrutura pública chegando antes da qualificação e da experiência.</w:t>
      </w:r>
    </w:p>
    <w:p>
      <w:r>
        <w:rPr>
          <w:rFonts w:ascii="Liberation Sans" w:hAnsi="Liberation Sans"/>
          <w:b/>
          <w:color w:val="2B5B84"/>
          <w:sz w:val="16"/>
        </w:rPr>
        <w:t xml:space="preserve">ABERTURA  </w:t>
      </w:r>
      <w:r>
        <w:rPr>
          <w:rFonts w:ascii="Liberation Sans" w:hAnsi="Liberation Sans"/>
          <w:sz w:val="18"/>
        </w:rPr>
        <w:t>Aprovado na UFRJ no Rio; três dias depois, nomeado em Brasília. Duas linhas de documentos, duas cidades e uma jornada impossível de visualizar sem explicação.</w:t>
      </w:r>
    </w:p>
    <w:p>
      <w:pPr>
        <w:pStyle w:val="Heading2"/>
      </w:pPr>
      <w:r>
        <w:t>Movimentos narrativos</w:t>
      </w:r>
    </w:p>
    <w:p>
      <w:pPr>
        <w:pStyle w:val="ListBullet"/>
        <w:ind w:left="340" w:hanging="142"/>
      </w:pPr>
      <w:r>
        <w:t>Apresentar o documento ou cena que concentra o período 2003–2004.</w:t>
      </w:r>
    </w:p>
    <w:p>
      <w:pPr>
        <w:pStyle w:val="ListBullet"/>
        <w:ind w:left="340" w:hanging="142"/>
      </w:pPr>
      <w:r>
        <w:t>A reportagem baseada em registros da Câmara documenta nomeação, carga horária, remuneração e duração aproximada de dezesseis meses.</w:t>
      </w:r>
    </w:p>
    <w:p>
      <w:pPr>
        <w:pStyle w:val="ListBullet"/>
        <w:ind w:left="340" w:hanging="142"/>
      </w:pPr>
      <w:r>
        <w:t>A própria Câmara informou que a função não podia ser exercida fora de Brasília; a reportagem confirmou que Eduardo cursava presencialmente os primeiros semestres no Rio.</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A reportagem baseada em registros da Câmara documenta nomeação, carga horária, remuneração e duração aproximada de dezesseis meses.</w:t>
      </w:r>
    </w:p>
    <w:p>
      <w:pPr>
        <w:pStyle w:val="ListBullet"/>
        <w:ind w:left="340" w:hanging="142"/>
      </w:pPr>
      <w:r>
        <w:t>A própria Câmara informou que a função não podia ser exercida fora de Brasília; a reportagem confirmou que Eduardo cursava presencialmente os primeiros semestres no Rio.</w:t>
      </w:r>
    </w:p>
    <w:p>
      <w:pPr>
        <w:pStyle w:val="ListBullet"/>
        <w:ind w:left="340" w:hanging="142"/>
      </w:pPr>
      <w:r>
        <w:t>A vedação geral ao nepotismo só foi consolidada anos depois; o problema documental aqui é jornada e local de exercício, não uma condenação por nepotismo.</w:t>
      </w:r>
    </w:p>
    <w:p>
      <w:pPr>
        <w:pStyle w:val="Heading2"/>
      </w:pPr>
      <w:r>
        <w:t>Contraditório e ressalva</w:t>
      </w:r>
    </w:p>
    <w:p>
      <w:r>
        <w:t>Não usar “funcionário fantasma” em voz do narrador sem prova de não comparecimento. Registrar que veículos e críticos usaram o termo, e explicar o que os papéis demonstram.</w:t>
      </w:r>
    </w:p>
    <w:p>
      <w:pPr>
        <w:pStyle w:val="Heading2"/>
      </w:pPr>
      <w:r>
        <w:t>Material em quarentena</w:t>
      </w:r>
    </w:p>
    <w:p>
      <w:r>
        <w:t>Qualquer alegação relacionada a este núcleo que não passe pela regra acima permanece fora do corpo até a obtenção de documento ou testemunho independente. Diligência pendente: Pedir à Câmara ato de nomeação, descrição funcional vigente, folhas de frequência, chefia imediata, registros de acesso e contracheques.</w:t>
      </w:r>
    </w:p>
    <w:p>
      <w:pPr>
        <w:pStyle w:val="SmallNote"/>
      </w:pPr>
      <w:r>
        <w:rPr>
          <w:b/>
          <w:color w:val="6B7280"/>
        </w:rPr>
        <w:t xml:space="preserve">Base documental: </w:t>
      </w:r>
      <w:r>
        <w:t>S11, S25.</w:t>
      </w:r>
    </w:p>
    <w:p>
      <w:r>
        <w:br w:type="page"/>
      </w:r>
    </w:p>
    <w:p>
      <w:r>
        <w:rPr>
          <w:rFonts w:ascii="Liberation Sans" w:hAnsi="Liberation Sans"/>
          <w:b/>
          <w:color w:val="20344B"/>
          <w:sz w:val="34"/>
        </w:rPr>
        <w:t>04  O americano inventado</w:t>
      </w:r>
    </w:p>
    <w:p>
      <w:r>
        <w:rPr>
          <w:b/>
          <w:color w:val="B6984C"/>
        </w:rPr>
        <w:t>Orçamento: 8.500 caracteres</w:t>
      </w:r>
    </w:p>
    <w:p>
      <w:r>
        <w:rPr>
          <w:rFonts w:ascii="Liberation Sans" w:hAnsi="Liberation Sans"/>
          <w:b/>
          <w:color w:val="20344B"/>
          <w:sz w:val="16"/>
        </w:rPr>
        <w:t xml:space="preserve">FUNÇÃO  </w:t>
      </w:r>
      <w:r>
        <w:rPr>
          <w:rFonts w:ascii="Liberation Sans" w:hAnsi="Liberation Sans"/>
          <w:sz w:val="18"/>
        </w:rPr>
        <w:t>O currículo institucional registra intercâmbio nos Estados Unidos e passagem por Coimbra. Anos depois, a fluência em inglês e a familiaridade cultural com a direita americana seriam apresentadas como credencial política. Falta reconstruir a experiência concreta que formou essa persona.</w:t>
      </w:r>
    </w:p>
    <w:p>
      <w:r>
        <w:rPr>
          <w:rFonts w:ascii="Liberation Sans" w:hAnsi="Liberation Sans"/>
          <w:b/>
          <w:color w:val="2B5B84"/>
          <w:sz w:val="16"/>
        </w:rPr>
        <w:t xml:space="preserve">ABERTURA  </w:t>
      </w:r>
      <w:r>
        <w:rPr>
          <w:rFonts w:ascii="Liberation Sans" w:hAnsi="Liberation Sans"/>
          <w:sz w:val="18"/>
        </w:rPr>
        <w:t>O primeiro grande programa em inglês, na Fox em 2018, pode abrir o capítulo e recuar ao intercâmbio não documentado: o adulto apresenta como natural uma familiaridade cuja origem ainda é opaca.</w:t>
      </w:r>
    </w:p>
    <w:p>
      <w:pPr>
        <w:pStyle w:val="Heading2"/>
      </w:pPr>
      <w:r>
        <w:t>Movimentos narrativos</w:t>
      </w:r>
    </w:p>
    <w:p>
      <w:pPr>
        <w:pStyle w:val="ListBullet"/>
        <w:ind w:left="340" w:hanging="142"/>
      </w:pPr>
      <w:r>
        <w:t>Apresentar o documento ou cena que concentra o período 2004–2008.</w:t>
      </w:r>
    </w:p>
    <w:p>
      <w:pPr>
        <w:pStyle w:val="ListBullet"/>
        <w:ind w:left="340" w:hanging="142"/>
      </w:pPr>
      <w:r>
        <w:t>A Câmara registra curso de intercâmbio pela World Study em 2004–2005 e passagem pela Universidade de Coimbra em 2006.</w:t>
      </w:r>
    </w:p>
    <w:p>
      <w:pPr>
        <w:pStyle w:val="ListBullet"/>
        <w:ind w:left="340" w:hanging="142"/>
      </w:pPr>
      <w:r>
        <w:t>Entrevistas posteriores em inglês mostram uma persona política voltada ao público americano, mas não esclarecem escolas, vistos, trabalhos ou redes formadas no intercâmbio.</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A Câmara registra curso de intercâmbio pela World Study em 2004–2005 e passagem pela Universidade de Coimbra em 2006.</w:t>
      </w:r>
    </w:p>
    <w:p>
      <w:pPr>
        <w:pStyle w:val="ListBullet"/>
        <w:ind w:left="340" w:hanging="142"/>
      </w:pPr>
      <w:r>
        <w:t>Entrevistas posteriores em inglês mostram uma persona política voltada ao público americano, mas não esclarecem escolas, vistos, trabalhos ou redes formadas no intercâmbio.</w:t>
      </w:r>
    </w:p>
    <w:p>
      <w:pPr>
        <w:pStyle w:val="ListBullet"/>
        <w:ind w:left="340" w:hanging="142"/>
      </w:pPr>
      <w:r>
        <w:t>O salto causal entre viagem de juventude e alinhamento ideológico deve ser demonstrado, não presumido.</w:t>
      </w:r>
    </w:p>
    <w:p>
      <w:pPr>
        <w:pStyle w:val="Heading2"/>
      </w:pPr>
      <w:r>
        <w:t>Contraditório e ressalva</w:t>
      </w:r>
    </w:p>
    <w:p>
      <w:r>
        <w:t>Não afirmar que trabalhou ilegalmente, que teve determinado visto ou que foi expulso de qualquer programa sem documentos.</w:t>
      </w:r>
    </w:p>
    <w:p>
      <w:pPr>
        <w:pStyle w:val="Heading2"/>
      </w:pPr>
      <w:r>
        <w:t>Material em quarentena</w:t>
      </w:r>
    </w:p>
    <w:p>
      <w:r>
        <w:t>Qualquer alegação relacionada a este núcleo que não passe pela regra acima permanece fora do corpo até a obtenção de documento ou testemunho independente. Diligência pendente: Identificar instituição, cidade, datas, histórico escolar, família anfitriã, emprego, visto e colegas; pedir comprovação à World Study e a Coimbra.</w:t>
      </w:r>
    </w:p>
    <w:p>
      <w:pPr>
        <w:pStyle w:val="SmallNote"/>
      </w:pPr>
      <w:r>
        <w:rPr>
          <w:b/>
          <w:color w:val="6B7280"/>
        </w:rPr>
        <w:t xml:space="preserve">Base documental: </w:t>
      </w:r>
      <w:r>
        <w:t>S01, S36, S37, S38.</w:t>
      </w:r>
    </w:p>
    <w:p>
      <w:r>
        <w:br w:type="page"/>
      </w:r>
    </w:p>
    <w:p>
      <w:r>
        <w:rPr>
          <w:rFonts w:ascii="Liberation Sans" w:hAnsi="Liberation Sans"/>
          <w:b/>
          <w:color w:val="20344B"/>
          <w:sz w:val="34"/>
        </w:rPr>
        <w:t>05  O escrivão de papel</w:t>
      </w:r>
    </w:p>
    <w:p>
      <w:r>
        <w:rPr>
          <w:b/>
          <w:color w:val="B6984C"/>
        </w:rPr>
        <w:t>Orçamento: 9.000 caracteres</w:t>
      </w:r>
    </w:p>
    <w:p>
      <w:r>
        <w:rPr>
          <w:rFonts w:ascii="Liberation Sans" w:hAnsi="Liberation Sans"/>
          <w:b/>
          <w:color w:val="20344B"/>
          <w:sz w:val="16"/>
        </w:rPr>
        <w:t xml:space="preserve">FUNÇÃO  </w:t>
      </w:r>
      <w:r>
        <w:rPr>
          <w:rFonts w:ascii="Liberation Sans" w:hAnsi="Liberation Sans"/>
          <w:sz w:val="18"/>
        </w:rPr>
        <w:t>A carreira policial foi curta, territorialmente móvel e politicamente rentável. Eduardo transformou a condição de escrivão em identidade pública, mas as fontes abertas ainda não mostram uma operação de grande relevo de que tenha participado.</w:t>
      </w:r>
    </w:p>
    <w:p>
      <w:r>
        <w:rPr>
          <w:rFonts w:ascii="Liberation Sans" w:hAnsi="Liberation Sans"/>
          <w:b/>
          <w:color w:val="2B5B84"/>
          <w:sz w:val="16"/>
        </w:rPr>
        <w:t xml:space="preserve">ABERTURA  </w:t>
      </w:r>
      <w:r>
        <w:rPr>
          <w:rFonts w:ascii="Liberation Sans" w:hAnsi="Liberation Sans"/>
          <w:sz w:val="18"/>
        </w:rPr>
        <w:t>O retorno administrativo esperado ao posto de Angra depois de dez anos de mandato, contrastado com a permanência no Texas.</w:t>
      </w:r>
    </w:p>
    <w:p>
      <w:pPr>
        <w:pStyle w:val="Heading2"/>
      </w:pPr>
      <w:r>
        <w:t>Movimentos narrativos</w:t>
      </w:r>
    </w:p>
    <w:p>
      <w:pPr>
        <w:pStyle w:val="ListBullet"/>
        <w:ind w:left="340" w:hanging="142"/>
      </w:pPr>
      <w:r>
        <w:t>Apresentar o documento ou cena que concentra o período 2010–2014.</w:t>
      </w:r>
    </w:p>
    <w:p>
      <w:pPr>
        <w:pStyle w:val="ListBullet"/>
        <w:ind w:left="340" w:hanging="142"/>
      </w:pPr>
      <w:r>
        <w:t>O perfil oficial registra lotações em Guajará-Mirim, Guarulhos, São Paulo e Angra dos Reis entre 2010 e 2015.</w:t>
      </w:r>
    </w:p>
    <w:p>
      <w:pPr>
        <w:pStyle w:val="ListBullet"/>
        <w:ind w:left="340" w:hanging="142"/>
      </w:pPr>
      <w:r>
        <w:t>A Pública ouviu dirigente de delegados dizer que ele era considerado bom escrivão, porém não conhecido por grande operação; a mesma reportagem mostra seu uso corporativo da credencial no Congresso.</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O perfil oficial registra lotações em Guajará-Mirim, Guarulhos, São Paulo e Angra dos Reis entre 2010 e 2015.</w:t>
      </w:r>
    </w:p>
    <w:p>
      <w:pPr>
        <w:pStyle w:val="ListBullet"/>
        <w:ind w:left="340" w:hanging="142"/>
      </w:pPr>
      <w:r>
        <w:t>A Pública ouviu dirigente de delegados dizer que ele era considerado bom escrivão, porém não conhecido por grande operação; a mesma reportagem mostra seu uso corporativo da credencial no Congresso.</w:t>
      </w:r>
    </w:p>
    <w:p>
      <w:pPr>
        <w:pStyle w:val="ListBullet"/>
        <w:ind w:left="340" w:hanging="142"/>
      </w:pPr>
      <w:r>
        <w:t>Após a perda do mandato, a PF exigiu retorno. Em julho de 2026, segundo a Folha, o PAD concluiu pela demissão por abandono; o ato ainda dependia de assinatura ministerial e publicação.</w:t>
      </w:r>
    </w:p>
    <w:p>
      <w:pPr>
        <w:pStyle w:val="Heading2"/>
      </w:pPr>
      <w:r>
        <w:t>Contraditório e ressalva</w:t>
      </w:r>
    </w:p>
    <w:p>
      <w:r>
        <w:t>Não dizer que já foi formalmente demitido enquanto o ato ministerial não estiver publicado. Não inventar operações ou avaliações funcionais.</w:t>
      </w:r>
    </w:p>
    <w:p>
      <w:pPr>
        <w:pStyle w:val="Heading2"/>
      </w:pPr>
      <w:r>
        <w:t>Material em quarentena</w:t>
      </w:r>
    </w:p>
    <w:p>
      <w:r>
        <w:t>Qualquer alegação relacionada a este núcleo que não passe pela regra acima permanece fora do corpo até a obtenção de documento ou testemunho independente. Diligência pendente: Obter assentamentos, elogios, punições, cursos, unidades, chefias, atos assinados, períodos de trânsito e eventual licença não remunerada.</w:t>
      </w:r>
    </w:p>
    <w:p>
      <w:pPr>
        <w:pStyle w:val="SmallNote"/>
      </w:pPr>
      <w:r>
        <w:rPr>
          <w:b/>
          <w:color w:val="6B7280"/>
        </w:rPr>
        <w:t xml:space="preserve">Base documental: </w:t>
      </w:r>
      <w:r>
        <w:t>S01, S12, S10.</w:t>
      </w:r>
    </w:p>
    <w:p>
      <w:r>
        <w:br w:type="page"/>
      </w:r>
    </w:p>
    <w:p>
      <w:r>
        <w:rPr>
          <w:rFonts w:ascii="Liberation Sans" w:hAnsi="Liberation Sans"/>
          <w:b/>
          <w:color w:val="20344B"/>
          <w:sz w:val="34"/>
        </w:rPr>
        <w:t>06  São Paulo como distrito eleitoral</w:t>
      </w:r>
    </w:p>
    <w:p>
      <w:r>
        <w:rPr>
          <w:b/>
          <w:color w:val="B6984C"/>
        </w:rPr>
        <w:t>Orçamento: 9.500 caracteres</w:t>
      </w:r>
    </w:p>
    <w:p>
      <w:r>
        <w:rPr>
          <w:rFonts w:ascii="Liberation Sans" w:hAnsi="Liberation Sans"/>
          <w:b/>
          <w:color w:val="20344B"/>
          <w:sz w:val="16"/>
        </w:rPr>
        <w:t xml:space="preserve">FUNÇÃO  </w:t>
      </w:r>
      <w:r>
        <w:rPr>
          <w:rFonts w:ascii="Liberation Sans" w:hAnsi="Liberation Sans"/>
          <w:sz w:val="18"/>
        </w:rPr>
        <w:t>Carioca, criado no Rio e com carreira policial em diferentes estados, Eduardo foi lançado por São Paulo. A candidatura mostra como o clã distribuiu seus membros por territórios eleitorais disponíveis e transformou o sobrenome em base nacional.</w:t>
      </w:r>
    </w:p>
    <w:p>
      <w:r>
        <w:rPr>
          <w:rFonts w:ascii="Liberation Sans" w:hAnsi="Liberation Sans"/>
          <w:b/>
          <w:color w:val="2B5B84"/>
          <w:sz w:val="16"/>
        </w:rPr>
        <w:t xml:space="preserve">ABERTURA  </w:t>
      </w:r>
      <w:r>
        <w:rPr>
          <w:rFonts w:ascii="Liberation Sans" w:hAnsi="Liberation Sans"/>
          <w:sz w:val="18"/>
        </w:rPr>
        <w:t>A noite da apuração de 2018, quando o placar de 1,84 milhão converte o terceiro filho em fenômeno eleitoral nacional.</w:t>
      </w:r>
    </w:p>
    <w:p>
      <w:pPr>
        <w:pStyle w:val="Heading2"/>
      </w:pPr>
      <w:r>
        <w:t>Movimentos narrativos</w:t>
      </w:r>
    </w:p>
    <w:p>
      <w:pPr>
        <w:pStyle w:val="ListBullet"/>
        <w:ind w:left="340" w:hanging="142"/>
      </w:pPr>
      <w:r>
        <w:t>Apresentar o documento ou cena que concentra o período 2014–2018.</w:t>
      </w:r>
    </w:p>
    <w:p>
      <w:pPr>
        <w:pStyle w:val="ListBullet"/>
        <w:ind w:left="340" w:hanging="142"/>
      </w:pPr>
      <w:r>
        <w:t>Eleito em 2014 com 82.224 votos, Eduardo saltou a 1.843.735 em 2018 e caiu para cerca de 742 mil em 2022.</w:t>
      </w:r>
    </w:p>
    <w:p>
      <w:pPr>
        <w:pStyle w:val="ListBullet"/>
        <w:ind w:left="340" w:hanging="142"/>
      </w:pPr>
      <w:r>
        <w:t>O levantamento da Pública/Lupa mostra produção legislativa concentrada em segurança e armas, com baixo número de normas resultantes.</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Eleito em 2014 com 82.224 votos, Eduardo saltou a 1.843.735 em 2018 e caiu para cerca de 742 mil em 2022.</w:t>
      </w:r>
    </w:p>
    <w:p>
      <w:pPr>
        <w:pStyle w:val="ListBullet"/>
        <w:ind w:left="340" w:hanging="142"/>
      </w:pPr>
      <w:r>
        <w:t>O levantamento da Pública/Lupa mostra produção legislativa concentrada em segurança e armas, com baixo número de normas resultantes.</w:t>
      </w:r>
    </w:p>
    <w:p>
      <w:pPr>
        <w:pStyle w:val="ListBullet"/>
        <w:ind w:left="340" w:hanging="142"/>
      </w:pPr>
      <w:r>
        <w:t>O material de Juliana Dal Piva descreve assessores e famílias integrando gabinetes de Jair e Eduardo; é necessária a conferência individual de atos de nomeação.</w:t>
      </w:r>
    </w:p>
    <w:p>
      <w:pPr>
        <w:pStyle w:val="Heading2"/>
      </w:pPr>
      <w:r>
        <w:t>Contraditório e ressalva</w:t>
      </w:r>
    </w:p>
    <w:p>
      <w:r>
        <w:t>Não tratar eleitores como massa manipulada. Explicar contexto da eleição, quociente, mobilização digital e pautas próprias.</w:t>
      </w:r>
    </w:p>
    <w:p>
      <w:pPr>
        <w:pStyle w:val="Heading2"/>
      </w:pPr>
      <w:r>
        <w:t>Material em quarentena</w:t>
      </w:r>
    </w:p>
    <w:p>
      <w:r>
        <w:t>Qualquer alegação relacionada a este núcleo que não passe pela regra acima permanece fora do corpo até a obtenção de documento ou testemunho independente. Diligência pendente: Construir mapa municipal de votos 2014/2018/2022; comparar emendas, agendas e proposições com demandas paulistas.</w:t>
      </w:r>
    </w:p>
    <w:p>
      <w:pPr>
        <w:pStyle w:val="SmallNote"/>
      </w:pPr>
      <w:r>
        <w:rPr>
          <w:b/>
          <w:color w:val="6B7280"/>
        </w:rPr>
        <w:t xml:space="preserve">Base documental: </w:t>
      </w:r>
      <w:r>
        <w:t>S01, S13, S14, S25.</w:t>
      </w:r>
    </w:p>
    <w:p>
      <w:r>
        <w:br w:type="page"/>
      </w:r>
    </w:p>
    <w:p>
      <w:r>
        <w:rPr>
          <w:rFonts w:ascii="Liberation Sans" w:hAnsi="Liberation Sans"/>
          <w:b/>
          <w:color w:val="20344B"/>
          <w:sz w:val="34"/>
        </w:rPr>
        <w:t>07  O mandato da família</w:t>
      </w:r>
    </w:p>
    <w:p>
      <w:r>
        <w:rPr>
          <w:b/>
          <w:color w:val="B6984C"/>
        </w:rPr>
        <w:t>Orçamento: 10.000 caracteres</w:t>
      </w:r>
    </w:p>
    <w:p>
      <w:r>
        <w:rPr>
          <w:rFonts w:ascii="Liberation Sans" w:hAnsi="Liberation Sans"/>
          <w:b/>
          <w:color w:val="20344B"/>
          <w:sz w:val="16"/>
        </w:rPr>
        <w:t xml:space="preserve">FUNÇÃO  </w:t>
      </w:r>
      <w:r>
        <w:rPr>
          <w:rFonts w:ascii="Liberation Sans" w:hAnsi="Liberation Sans"/>
          <w:sz w:val="18"/>
        </w:rPr>
        <w:t>O primeiro mandato combina pautas policiais, gabinete integrado à família e formação de uma equipe que depois ocuparia o governo. O objetivo é mostrar como a estrutura doméstica se converte em aparato parlamentar.</w:t>
      </w:r>
    </w:p>
    <w:p>
      <w:r>
        <w:rPr>
          <w:rFonts w:ascii="Liberation Sans" w:hAnsi="Liberation Sans"/>
          <w:b/>
          <w:color w:val="2B5B84"/>
          <w:sz w:val="16"/>
        </w:rPr>
        <w:t xml:space="preserve">ABERTURA  </w:t>
      </w:r>
      <w:r>
        <w:rPr>
          <w:rFonts w:ascii="Liberation Sans" w:hAnsi="Liberation Sans"/>
          <w:sz w:val="18"/>
        </w:rPr>
        <w:t>Dois gabinetes lado a lado e uma família de assessores atravessando as portas.</w:t>
      </w:r>
    </w:p>
    <w:p>
      <w:pPr>
        <w:pStyle w:val="Heading2"/>
      </w:pPr>
      <w:r>
        <w:t>Movimentos narrativos</w:t>
      </w:r>
    </w:p>
    <w:p>
      <w:pPr>
        <w:pStyle w:val="ListBullet"/>
        <w:ind w:left="340" w:hanging="142"/>
      </w:pPr>
      <w:r>
        <w:t>Apresentar o documento ou cena que concentra o período 2015–2018.</w:t>
      </w:r>
    </w:p>
    <w:p>
      <w:pPr>
        <w:pStyle w:val="ListBullet"/>
        <w:ind w:left="340" w:hanging="142"/>
      </w:pPr>
      <w:r>
        <w:t>O levantamento legislativo registra 116 proposições de autoria ou coautoria ao longo da década, 52 de segurança e 15 ligadas a armas.</w:t>
      </w:r>
    </w:p>
    <w:p>
      <w:pPr>
        <w:pStyle w:val="ListBullet"/>
        <w:ind w:left="340" w:hanging="142"/>
      </w:pPr>
      <w:r>
        <w:t>O Negócio do Jair descreve Jorge Francisco e Jorge Oliveira Francisco à frente dos gabinetes contíguos de Jair e Eduardo e a nomeação de Marília de Oliveira Francisco; os atos precisam ser reunidos em uma ficha única.</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O levantamento legislativo registra 116 proposições de autoria ou coautoria ao longo da década, 52 de segurança e 15 ligadas a armas.</w:t>
      </w:r>
    </w:p>
    <w:p>
      <w:pPr>
        <w:pStyle w:val="ListBullet"/>
        <w:ind w:left="340" w:hanging="142"/>
      </w:pPr>
      <w:r>
        <w:t>O Negócio do Jair descreve Jorge Francisco e Jorge Oliveira Francisco à frente dos gabinetes contíguos de Jair e Eduardo e a nomeação de Marília de Oliveira Francisco; os atos precisam ser reunidos em uma ficha única.</w:t>
      </w:r>
    </w:p>
    <w:p>
      <w:pPr>
        <w:pStyle w:val="ListBullet"/>
        <w:ind w:left="340" w:hanging="142"/>
      </w:pPr>
      <w:r>
        <w:t>Há relatos e rumores sobre cofre e rachadinha, mas o próprio corpus alerta que não foram comprovados contra Eduardo.</w:t>
      </w:r>
    </w:p>
    <w:p>
      <w:pPr>
        <w:pStyle w:val="Heading2"/>
      </w:pPr>
      <w:r>
        <w:t>Contraditório e ressalva</w:t>
      </w:r>
    </w:p>
    <w:p>
      <w:r>
        <w:t>Excluir do texto principal rumores de cofre enquanto não houver testemunha identificada ou documento. Não usar o arquivamento de procedimento como prova de inocência ou culpa.</w:t>
      </w:r>
    </w:p>
    <w:p>
      <w:pPr>
        <w:pStyle w:val="Heading2"/>
      </w:pPr>
      <w:r>
        <w:t>Material em quarentena</w:t>
      </w:r>
    </w:p>
    <w:p>
      <w:r>
        <w:t>Qualquer alegação relacionada a este núcleo que não passe pela regra acima permanece fora do corpo até a obtenção de documento ou testemunho independente. Diligência pendente: Baixar atos de nomeação e exoneração; entrevistar ex-servidores; solicitar registros de acesso e funções; obter escrituras citadas em fonte secundária.</w:t>
      </w:r>
    </w:p>
    <w:p>
      <w:pPr>
        <w:pStyle w:val="SmallNote"/>
      </w:pPr>
      <w:r>
        <w:rPr>
          <w:b/>
          <w:color w:val="6B7280"/>
        </w:rPr>
        <w:t xml:space="preserve">Base documental: </w:t>
      </w:r>
      <w:r>
        <w:t>S13, S25, S01.</w:t>
      </w:r>
    </w:p>
    <w:p>
      <w:r>
        <w:br w:type="page"/>
      </w:r>
    </w:p>
    <w:p>
      <w:r>
        <w:rPr>
          <w:rFonts w:ascii="Liberation Sans" w:hAnsi="Liberation Sans"/>
          <w:b/>
          <w:color w:val="20344B"/>
          <w:sz w:val="34"/>
        </w:rPr>
        <w:t>08  O mercado das armas</w:t>
      </w:r>
    </w:p>
    <w:p>
      <w:r>
        <w:rPr>
          <w:b/>
          <w:color w:val="B6984C"/>
        </w:rPr>
        <w:t>Orçamento: 9.500 caracteres</w:t>
      </w:r>
    </w:p>
    <w:p>
      <w:r>
        <w:rPr>
          <w:rFonts w:ascii="Liberation Sans" w:hAnsi="Liberation Sans"/>
          <w:b/>
          <w:color w:val="20344B"/>
          <w:sz w:val="16"/>
        </w:rPr>
        <w:t xml:space="preserve">FUNÇÃO  </w:t>
      </w:r>
      <w:r>
        <w:rPr>
          <w:rFonts w:ascii="Liberation Sans" w:hAnsi="Liberation Sans"/>
          <w:sz w:val="18"/>
        </w:rPr>
        <w:t>Armas são pauta legislativa, identidade profissional, circuito de eventos e linguagem de autoridade. Eduardo não apenas defendeu a agenda: tornou-se um de seus principais vendedores políticos.</w:t>
      </w:r>
    </w:p>
    <w:p>
      <w:r>
        <w:rPr>
          <w:rFonts w:ascii="Liberation Sans" w:hAnsi="Liberation Sans"/>
          <w:b/>
          <w:color w:val="2B5B84"/>
          <w:sz w:val="16"/>
        </w:rPr>
        <w:t xml:space="preserve">ABERTURA  </w:t>
      </w:r>
      <w:r>
        <w:rPr>
          <w:rFonts w:ascii="Liberation Sans" w:hAnsi="Liberation Sans"/>
          <w:sz w:val="18"/>
        </w:rPr>
        <w:t>Um evento de armas nos Estados Unidos, com Eduardo usando a carreira policial e o mandato como credenciais diante de um público estrangeiro.</w:t>
      </w:r>
    </w:p>
    <w:p>
      <w:pPr>
        <w:pStyle w:val="Heading2"/>
      </w:pPr>
      <w:r>
        <w:t>Movimentos narrativos</w:t>
      </w:r>
    </w:p>
    <w:p>
      <w:pPr>
        <w:pStyle w:val="ListBullet"/>
        <w:ind w:left="340" w:hanging="142"/>
      </w:pPr>
      <w:r>
        <w:t>Apresentar o documento ou cena que concentra o período 2015–2022.</w:t>
      </w:r>
    </w:p>
    <w:p>
      <w:pPr>
        <w:pStyle w:val="ListBullet"/>
        <w:ind w:left="340" w:hanging="142"/>
      </w:pPr>
      <w:r>
        <w:t>A Pública/Lupa identificou quinze proposições relacionadas a porte ou posse de armas e presença prolongada na comissão de segurança.</w:t>
      </w:r>
    </w:p>
    <w:p>
      <w:pPr>
        <w:pStyle w:val="ListBullet"/>
        <w:ind w:left="340" w:hanging="142"/>
      </w:pPr>
      <w:r>
        <w:t>O perfil de 2019 registra o hábito de andar armado e a atuação em favor de categorias policiais.</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A Pública/Lupa identificou quinze proposições relacionadas a porte ou posse de armas e presença prolongada na comissão de segurança.</w:t>
      </w:r>
    </w:p>
    <w:p>
      <w:pPr>
        <w:pStyle w:val="ListBullet"/>
        <w:ind w:left="340" w:hanging="142"/>
      </w:pPr>
      <w:r>
        <w:t>O perfil de 2019 registra o hábito de andar armado e a atuação em favor de categorias policiais.</w:t>
      </w:r>
    </w:p>
    <w:p>
      <w:pPr>
        <w:pStyle w:val="ListBullet"/>
        <w:ind w:left="340" w:hanging="142"/>
      </w:pPr>
      <w:r>
        <w:t>A fala sobre “um soldado e um cabo” mostra como a retórica de força contra instituições transbordou a pauta corporativa.</w:t>
      </w:r>
    </w:p>
    <w:p>
      <w:pPr>
        <w:pStyle w:val="Heading2"/>
      </w:pPr>
      <w:r>
        <w:t>Contraditório e ressalva</w:t>
      </w:r>
    </w:p>
    <w:p>
      <w:r>
        <w:t>Não atribuir financiamento de indústria específica sem prestação de contas, patrocínio ou documento. Não confundir defesa política com participação em negócio privado.</w:t>
      </w:r>
    </w:p>
    <w:p>
      <w:pPr>
        <w:pStyle w:val="Heading2"/>
      </w:pPr>
      <w:r>
        <w:t>Material em quarentena</w:t>
      </w:r>
    </w:p>
    <w:p>
      <w:r>
        <w:t>Qualquer alegação relacionada a este núcleo que não passe pela regra acima permanece fora do corpo até a obtenção de documento ou testemunho independente. Diligência pendente: Reconstituir agendas internacionais, despesas parlamentares, patrocinadores, associações e contatos com NRA e grupos equivalentes.</w:t>
      </w:r>
    </w:p>
    <w:p>
      <w:pPr>
        <w:pStyle w:val="SmallNote"/>
      </w:pPr>
      <w:r>
        <w:rPr>
          <w:b/>
          <w:color w:val="6B7280"/>
        </w:rPr>
        <w:t xml:space="preserve">Base documental: </w:t>
      </w:r>
      <w:r>
        <w:t>S12, S13, S15, S48.</w:t>
      </w:r>
    </w:p>
    <w:p>
      <w:r>
        <w:br w:type="page"/>
      </w:r>
    </w:p>
    <w:p>
      <w:r>
        <w:rPr>
          <w:rFonts w:ascii="Liberation Sans" w:hAnsi="Liberation Sans"/>
          <w:b/>
          <w:color w:val="20344B"/>
          <w:sz w:val="34"/>
        </w:rPr>
        <w:t>09  Olavo, a internet e a guerra cultural</w:t>
      </w:r>
    </w:p>
    <w:p>
      <w:r>
        <w:rPr>
          <w:b/>
          <w:color w:val="B6984C"/>
        </w:rPr>
        <w:t>Orçamento: 10.500 caracteres</w:t>
      </w:r>
    </w:p>
    <w:p>
      <w:r>
        <w:rPr>
          <w:rFonts w:ascii="Liberation Sans" w:hAnsi="Liberation Sans"/>
          <w:b/>
          <w:color w:val="20344B"/>
          <w:sz w:val="16"/>
        </w:rPr>
        <w:t xml:space="preserve">FUNÇÃO  </w:t>
      </w:r>
      <w:r>
        <w:rPr>
          <w:rFonts w:ascii="Liberation Sans" w:hAnsi="Liberation Sans"/>
          <w:sz w:val="18"/>
        </w:rPr>
        <w:t>O político de segurança pública ganha uma língua ideológica: anticomunismo, combate à imprensa, hostilidade a universidades e guerra cultural. A internet permite converter essa língua em identidade própria.</w:t>
      </w:r>
    </w:p>
    <w:p>
      <w:r>
        <w:rPr>
          <w:rFonts w:ascii="Liberation Sans" w:hAnsi="Liberation Sans"/>
          <w:b/>
          <w:color w:val="2B5B84"/>
          <w:sz w:val="16"/>
        </w:rPr>
        <w:t xml:space="preserve">ABERTURA  </w:t>
      </w:r>
      <w:r>
        <w:rPr>
          <w:rFonts w:ascii="Liberation Sans" w:hAnsi="Liberation Sans"/>
          <w:sz w:val="18"/>
        </w:rPr>
        <w:t>A passagem do aluno cordial e pouco politizado descrito por ex-colegas ao entrevistado que apresenta o Brasil como campo de batalha civilizacional.</w:t>
      </w:r>
    </w:p>
    <w:p>
      <w:pPr>
        <w:pStyle w:val="Heading2"/>
      </w:pPr>
      <w:r>
        <w:t>Movimentos narrativos</w:t>
      </w:r>
    </w:p>
    <w:p>
      <w:pPr>
        <w:pStyle w:val="ListBullet"/>
        <w:ind w:left="340" w:hanging="142"/>
      </w:pPr>
      <w:r>
        <w:t>Apresentar o documento ou cena que concentra o período 2015–2019.</w:t>
      </w:r>
    </w:p>
    <w:p>
      <w:pPr>
        <w:pStyle w:val="ListBullet"/>
        <w:ind w:left="340" w:hanging="142"/>
      </w:pPr>
      <w:r>
        <w:t>As entrevistas de 2018–2019 apresentam a autoimagem de uma batalha para “expurgar o socialismo”.</w:t>
      </w:r>
    </w:p>
    <w:p>
      <w:pPr>
        <w:pStyle w:val="ListBullet"/>
        <w:ind w:left="340" w:hanging="142"/>
      </w:pPr>
      <w:r>
        <w:t>Sem Máscara registra a influência de Olavo e a centralidade dos filhos na circulação de mensagens e conflitos do governo, com cenas baseadas em fontes de bastidor que devem ser atribuídas.</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As entrevistas de 2018–2019 apresentam a autoimagem de uma batalha para “expurgar o socialismo”.</w:t>
      </w:r>
    </w:p>
    <w:p>
      <w:pPr>
        <w:pStyle w:val="ListBullet"/>
        <w:ind w:left="340" w:hanging="142"/>
      </w:pPr>
      <w:r>
        <w:t>Sem Máscara registra a influência de Olavo e a centralidade dos filhos na circulação de mensagens e conflitos do governo, com cenas baseadas em fontes de bastidor que devem ser atribuídas.</w:t>
      </w:r>
    </w:p>
    <w:p>
      <w:pPr>
        <w:pStyle w:val="ListBullet"/>
        <w:ind w:left="340" w:hanging="142"/>
      </w:pPr>
      <w:r>
        <w:t>O livro assinado por Eduardo é peça importante para comparar narrativa heroica e silêncios documentais.</w:t>
      </w:r>
    </w:p>
    <w:p>
      <w:pPr>
        <w:pStyle w:val="Heading2"/>
      </w:pPr>
      <w:r>
        <w:t>Contraditório e ressalva</w:t>
      </w:r>
    </w:p>
    <w:p>
      <w:r>
        <w:t>Atribuir cenas anônimas ao autor/veículo. Não diagnosticar conversão íntima sem documentos pessoais ou depoimentos diretos.</w:t>
      </w:r>
    </w:p>
    <w:p>
      <w:pPr>
        <w:pStyle w:val="Heading2"/>
      </w:pPr>
      <w:r>
        <w:t>Material em quarentena</w:t>
      </w:r>
    </w:p>
    <w:p>
      <w:r>
        <w:t>Qualquer alegação relacionada a este núcleo que não passe pela regra acima permanece fora do corpo até a obtenção de documento ou testemunho independente. Diligência pendente: Fichar vídeos por vocabulário, datas e interlocutores; localizar primeiros contatos com Olavo, cursos, viagens e mensagens públicas.</w:t>
      </w:r>
    </w:p>
    <w:p>
      <w:pPr>
        <w:pStyle w:val="SmallNote"/>
      </w:pPr>
      <w:r>
        <w:rPr>
          <w:b/>
          <w:color w:val="6B7280"/>
        </w:rPr>
        <w:t xml:space="preserve">Base documental: </w:t>
      </w:r>
      <w:r>
        <w:t>S26, S27, S38, S47.</w:t>
      </w:r>
    </w:p>
    <w:p>
      <w:r>
        <w:br w:type="page"/>
      </w:r>
    </w:p>
    <w:p>
      <w:r>
        <w:rPr>
          <w:rFonts w:ascii="Liberation Sans" w:hAnsi="Liberation Sans"/>
          <w:b/>
          <w:color w:val="20344B"/>
          <w:sz w:val="34"/>
        </w:rPr>
        <w:t>10  Um soldado e um cabo</w:t>
      </w:r>
    </w:p>
    <w:p>
      <w:r>
        <w:rPr>
          <w:b/>
          <w:color w:val="B6984C"/>
        </w:rPr>
        <w:t>Orçamento: 10.000 caracteres</w:t>
      </w:r>
    </w:p>
    <w:p>
      <w:r>
        <w:rPr>
          <w:rFonts w:ascii="Liberation Sans" w:hAnsi="Liberation Sans"/>
          <w:b/>
          <w:color w:val="20344B"/>
          <w:sz w:val="16"/>
        </w:rPr>
        <w:t xml:space="preserve">FUNÇÃO  </w:t>
      </w:r>
      <w:r>
        <w:rPr>
          <w:rFonts w:ascii="Liberation Sans" w:hAnsi="Liberation Sans"/>
          <w:sz w:val="18"/>
        </w:rPr>
        <w:t>A ameaça retórica ao Supremo não foi acidente isolado. Ela inaugura uma linha que atravessa o “novo AI-5”, o conflito institucional do governo e, anos depois, a ação penal por coação.</w:t>
      </w:r>
    </w:p>
    <w:p>
      <w:r>
        <w:rPr>
          <w:rFonts w:ascii="Liberation Sans" w:hAnsi="Liberation Sans"/>
          <w:b/>
          <w:color w:val="2B5B84"/>
          <w:sz w:val="16"/>
        </w:rPr>
        <w:t xml:space="preserve">ABERTURA  </w:t>
      </w:r>
      <w:r>
        <w:rPr>
          <w:rFonts w:ascii="Liberation Sans" w:hAnsi="Liberation Sans"/>
          <w:sz w:val="18"/>
        </w:rPr>
        <w:t>A palestra gravada em que a frase sobre o Supremo é recebida como comentário de campanha; depois, a repercussão nacional.</w:t>
      </w:r>
    </w:p>
    <w:p>
      <w:pPr>
        <w:pStyle w:val="Heading2"/>
      </w:pPr>
      <w:r>
        <w:t>Movimentos narrativos</w:t>
      </w:r>
    </w:p>
    <w:p>
      <w:pPr>
        <w:pStyle w:val="ListBullet"/>
        <w:ind w:left="340" w:hanging="142"/>
      </w:pPr>
      <w:r>
        <w:t>Apresentar o documento ou cena que concentra o período 2018–2019.</w:t>
      </w:r>
    </w:p>
    <w:p>
      <w:pPr>
        <w:pStyle w:val="ListBullet"/>
        <w:ind w:left="340" w:hanging="142"/>
      </w:pPr>
      <w:r>
        <w:t>O vídeo de 2018 registra a fala sobre fechar o STF com “um soldado e um cabo”.</w:t>
      </w:r>
    </w:p>
    <w:p>
      <w:pPr>
        <w:pStyle w:val="ListBullet"/>
        <w:ind w:left="340" w:hanging="142"/>
      </w:pPr>
      <w:r>
        <w:t>Em entrevista de 2019, Eduardo mencionou a possibilidade de um “novo AI-5” diante de radicalização da esquerda; o contexto integral deve acompanhar qualquer citação.</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O vídeo de 2018 registra a fala sobre fechar o STF com “um soldado e um cabo”.</w:t>
      </w:r>
    </w:p>
    <w:p>
      <w:pPr>
        <w:pStyle w:val="ListBullet"/>
        <w:ind w:left="340" w:hanging="142"/>
      </w:pPr>
      <w:r>
        <w:t>Em entrevista de 2019, Eduardo mencionou a possibilidade de um “novo AI-5” diante de radicalização da esquerda; o contexto integral deve acompanhar qualquer citação.</w:t>
      </w:r>
    </w:p>
    <w:p>
      <w:pPr>
        <w:pStyle w:val="ListBullet"/>
        <w:ind w:left="340" w:hanging="142"/>
      </w:pPr>
      <w:r>
        <w:t>A condenação de 2026 não puniu essas falas antigas, mas atos posteriores de pressão externa; o capítulo deve mostrar continuidade retórica sem confundir objetos jurídicos.</w:t>
      </w:r>
    </w:p>
    <w:p>
      <w:pPr>
        <w:pStyle w:val="Heading2"/>
      </w:pPr>
      <w:r>
        <w:t>Contraditório e ressalva</w:t>
      </w:r>
    </w:p>
    <w:p>
      <w:r>
        <w:t>Não dizer que a fala constituiu golpe consumado ou crime sem decisão específica. Contextualizar respostas e alegações de hipérbole.</w:t>
      </w:r>
    </w:p>
    <w:p>
      <w:pPr>
        <w:pStyle w:val="Heading2"/>
      </w:pPr>
      <w:r>
        <w:t>Material em quarentena</w:t>
      </w:r>
    </w:p>
    <w:p>
      <w:r>
        <w:t>Qualquer alegação relacionada a este núcleo que não passe pela regra acima permanece fora do corpo até a obtenção de documento ou testemunho independente. Diligência pendente: Transcrever vídeos integralmente, localizar evento, data, audiência, organizadores e respostas posteriores de Eduardo.</w:t>
      </w:r>
    </w:p>
    <w:p>
      <w:pPr>
        <w:pStyle w:val="SmallNote"/>
      </w:pPr>
      <w:r>
        <w:rPr>
          <w:b/>
          <w:color w:val="6B7280"/>
        </w:rPr>
        <w:t xml:space="preserve">Base documental: </w:t>
      </w:r>
      <w:r>
        <w:t>S15, S40, S39, S04.</w:t>
      </w:r>
    </w:p>
    <w:p>
      <w:r>
        <w:br w:type="page"/>
      </w:r>
    </w:p>
    <w:p>
      <w:r>
        <w:rPr>
          <w:rFonts w:ascii="Liberation Sans" w:hAnsi="Liberation Sans"/>
          <w:b/>
          <w:color w:val="20344B"/>
          <w:sz w:val="34"/>
        </w:rPr>
        <w:t>11  O chanceler sem Itamaraty</w:t>
      </w:r>
    </w:p>
    <w:p>
      <w:r>
        <w:rPr>
          <w:b/>
          <w:color w:val="B6984C"/>
        </w:rPr>
        <w:t>Orçamento: 10.500 caracteres</w:t>
      </w:r>
    </w:p>
    <w:p>
      <w:r>
        <w:rPr>
          <w:rFonts w:ascii="Liberation Sans" w:hAnsi="Liberation Sans"/>
          <w:b/>
          <w:color w:val="20344B"/>
          <w:sz w:val="16"/>
        </w:rPr>
        <w:t xml:space="preserve">FUNÇÃO  </w:t>
      </w:r>
      <w:r>
        <w:rPr>
          <w:rFonts w:ascii="Liberation Sans" w:hAnsi="Liberation Sans"/>
          <w:sz w:val="18"/>
        </w:rPr>
        <w:t>Eduardo atua como emissário familiar: abre portas na direita americana, acompanha o chanceler, encontra Trump e intervém em temas sensíveis sem mandato diplomático formal.</w:t>
      </w:r>
    </w:p>
    <w:p>
      <w:r>
        <w:rPr>
          <w:rFonts w:ascii="Liberation Sans" w:hAnsi="Liberation Sans"/>
          <w:b/>
          <w:color w:val="2B5B84"/>
          <w:sz w:val="16"/>
        </w:rPr>
        <w:t xml:space="preserve">ABERTURA  </w:t>
      </w:r>
      <w:r>
        <w:rPr>
          <w:rFonts w:ascii="Liberation Sans" w:hAnsi="Liberation Sans"/>
          <w:sz w:val="18"/>
        </w:rPr>
        <w:t>O filho do presidente e o chanceler saindo de reunião com Trump para falar sobre a Amazônia, antes de qualquer nomeação diplomática.</w:t>
      </w:r>
    </w:p>
    <w:p>
      <w:pPr>
        <w:pStyle w:val="Heading2"/>
      </w:pPr>
      <w:r>
        <w:t>Movimentos narrativos</w:t>
      </w:r>
    </w:p>
    <w:p>
      <w:pPr>
        <w:pStyle w:val="ListBullet"/>
        <w:ind w:left="340" w:hanging="142"/>
      </w:pPr>
      <w:r>
        <w:t>Apresentar o documento ou cena que concentra o período 2018–2021.</w:t>
      </w:r>
    </w:p>
    <w:p>
      <w:pPr>
        <w:pStyle w:val="ListBullet"/>
        <w:ind w:left="340" w:hanging="142"/>
      </w:pPr>
      <w:r>
        <w:t>Reuters registra aproximação com Bannon antes do segundo turno de 2018 e reunião com Trump em 2019 ao lado do chanceler.</w:t>
      </w:r>
    </w:p>
    <w:p>
      <w:pPr>
        <w:pStyle w:val="ListBullet"/>
        <w:ind w:left="340" w:hanging="142"/>
      </w:pPr>
      <w:r>
        <w:t>As crises com a China em 2020 partiram de manifestações públicas de Eduardo e produziram respostas oficiais da embaixada chinesa.</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Reuters registra aproximação com Bannon antes do segundo turno de 2018 e reunião com Trump em 2019 ao lado do chanceler.</w:t>
      </w:r>
    </w:p>
    <w:p>
      <w:pPr>
        <w:pStyle w:val="ListBullet"/>
        <w:ind w:left="340" w:hanging="142"/>
      </w:pPr>
      <w:r>
        <w:t>As crises com a China em 2020 partiram de manifestações públicas de Eduardo e produziram respostas oficiais da embaixada chinesa.</w:t>
      </w:r>
    </w:p>
    <w:p>
      <w:pPr>
        <w:pStyle w:val="ListBullet"/>
        <w:ind w:left="340" w:hanging="142"/>
      </w:pPr>
      <w:r>
        <w:t>Sem Máscara descreve o custo de alinhamentos pessoais e ideológicos para a política externa; suas relações causais devem ser atribuídas às fontes diplomáticas do livro.</w:t>
      </w:r>
    </w:p>
    <w:p>
      <w:pPr>
        <w:pStyle w:val="Heading2"/>
      </w:pPr>
      <w:r>
        <w:t>Contraditório e ressalva</w:t>
      </w:r>
    </w:p>
    <w:p>
      <w:r>
        <w:t>Não atribuir sozinho queda de exportações, atraso de vacinas ou decisões chinesas. Registrar causalidade apenas como avaliação de diplomatas ou senadores.</w:t>
      </w:r>
    </w:p>
    <w:p>
      <w:pPr>
        <w:pStyle w:val="Heading2"/>
      </w:pPr>
      <w:r>
        <w:t>Material em quarentena</w:t>
      </w:r>
    </w:p>
    <w:p>
      <w:r>
        <w:t>Qualquer alegação relacionada a este núcleo que não passe pela regra acima permanece fora do corpo até a obtenção de documento ou testemunho independente. Diligência pendente: Obter telegramas, agendas, pedidos de audiência, notas oficiais, mensagens e depoimentos de diplomatas de Washington e Pequim.</w:t>
      </w:r>
    </w:p>
    <w:p>
      <w:pPr>
        <w:pStyle w:val="SmallNote"/>
      </w:pPr>
      <w:r>
        <w:rPr>
          <w:b/>
          <w:color w:val="6B7280"/>
        </w:rPr>
        <w:t xml:space="preserve">Base documental: </w:t>
      </w:r>
      <w:r>
        <w:t>S16, S19, S23, S24, S26.</w:t>
      </w:r>
    </w:p>
    <w:p>
      <w:r>
        <w:br w:type="page"/>
      </w:r>
    </w:p>
    <w:p>
      <w:r>
        <w:rPr>
          <w:rFonts w:ascii="Liberation Sans" w:hAnsi="Liberation Sans"/>
          <w:b/>
          <w:color w:val="20344B"/>
          <w:sz w:val="34"/>
        </w:rPr>
        <w:t>12  A embaixada do filho</w:t>
      </w:r>
    </w:p>
    <w:p>
      <w:r>
        <w:rPr>
          <w:b/>
          <w:color w:val="B6984C"/>
        </w:rPr>
        <w:t>Orçamento: 10.000 caracteres</w:t>
      </w:r>
    </w:p>
    <w:p>
      <w:r>
        <w:rPr>
          <w:rFonts w:ascii="Liberation Sans" w:hAnsi="Liberation Sans"/>
          <w:b/>
          <w:color w:val="20344B"/>
          <w:sz w:val="16"/>
        </w:rPr>
        <w:t xml:space="preserve">FUNÇÃO  </w:t>
      </w:r>
      <w:r>
        <w:rPr>
          <w:rFonts w:ascii="Liberation Sans" w:hAnsi="Liberation Sans"/>
          <w:sz w:val="18"/>
        </w:rPr>
        <w:t>A tentativa de nomear Eduardo embaixador nos Estados Unidos expôs a fusão entre interesse de Estado, amizade familiar e projeto político. A desistência não encerrou a função; apenas retirou o título formal.</w:t>
      </w:r>
    </w:p>
    <w:p>
      <w:r>
        <w:rPr>
          <w:rFonts w:ascii="Liberation Sans" w:hAnsi="Liberation Sans"/>
          <w:b/>
          <w:color w:val="2B5B84"/>
          <w:sz w:val="16"/>
        </w:rPr>
        <w:t xml:space="preserve">ABERTURA  </w:t>
      </w:r>
      <w:r>
        <w:rPr>
          <w:rFonts w:ascii="Liberation Sans" w:hAnsi="Liberation Sans"/>
          <w:sz w:val="18"/>
        </w:rPr>
        <w:t>A pergunta simples sobre qualificação para a embaixada e a resposta baseada na proximidade com a família Trump.</w:t>
      </w:r>
    </w:p>
    <w:p>
      <w:pPr>
        <w:pStyle w:val="Heading2"/>
      </w:pPr>
      <w:r>
        <w:t>Movimentos narrativos</w:t>
      </w:r>
    </w:p>
    <w:p>
      <w:pPr>
        <w:pStyle w:val="ListBullet"/>
        <w:ind w:left="340" w:hanging="142"/>
      </w:pPr>
      <w:r>
        <w:t>Apresentar o documento ou cena que concentra o período 2019.</w:t>
      </w:r>
    </w:p>
    <w:p>
      <w:pPr>
        <w:pStyle w:val="ListBullet"/>
        <w:ind w:left="340" w:hanging="142"/>
      </w:pPr>
      <w:r>
        <w:t>Jair Bolsonaro anunciou o convite em julho de 2019, e Eduardo disse que aceitaria a missão.</w:t>
      </w:r>
    </w:p>
    <w:p>
      <w:pPr>
        <w:pStyle w:val="ListBullet"/>
        <w:ind w:left="340" w:hanging="142"/>
      </w:pPr>
      <w:r>
        <w:t>A nomeação dependeria do Senado e encontrou resistência inclusive entre aliados e diplomatas.</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Jair Bolsonaro anunciou o convite em julho de 2019, e Eduardo disse que aceitaria a missão.</w:t>
      </w:r>
    </w:p>
    <w:p>
      <w:pPr>
        <w:pStyle w:val="ListBullet"/>
        <w:ind w:left="340" w:hanging="142"/>
      </w:pPr>
      <w:r>
        <w:t>A nomeação dependeria do Senado e encontrou resistência inclusive entre aliados e diplomatas.</w:t>
      </w:r>
    </w:p>
    <w:p>
      <w:pPr>
        <w:pStyle w:val="ListBullet"/>
        <w:ind w:left="340" w:hanging="142"/>
      </w:pPr>
      <w:r>
        <w:t>Em outubro, Eduardo desistiu para permanecer no Brasil e atuar na disputa interna do PSL.</w:t>
      </w:r>
    </w:p>
    <w:p>
      <w:pPr>
        <w:pStyle w:val="Heading2"/>
      </w:pPr>
      <w:r>
        <w:t>Contraditório e ressalva</w:t>
      </w:r>
    </w:p>
    <w:p>
      <w:r>
        <w:t>Não afirmar que a rejeição no Senado era certa; falar em resistência e risco político documentado.</w:t>
      </w:r>
    </w:p>
    <w:p>
      <w:pPr>
        <w:pStyle w:val="Heading2"/>
      </w:pPr>
      <w:r>
        <w:t>Material em quarentena</w:t>
      </w:r>
    </w:p>
    <w:p>
      <w:r>
        <w:t>Qualquer alegação relacionada a este núcleo que não passe pela regra acima permanece fora do corpo até a obtenção de documento ou testemunho independente. Diligência pendente: Levantar votos declarados, reuniões com senadores, pareceres jurídicos, memorandos do Itamaraty e preparação para sabatina.</w:t>
      </w:r>
    </w:p>
    <w:p>
      <w:pPr>
        <w:pStyle w:val="SmallNote"/>
      </w:pPr>
      <w:r>
        <w:rPr>
          <w:b/>
          <w:color w:val="6B7280"/>
        </w:rPr>
        <w:t xml:space="preserve">Base documental: </w:t>
      </w:r>
      <w:r>
        <w:t>S17, S18, S37, S19.</w:t>
      </w:r>
    </w:p>
    <w:p>
      <w:r>
        <w:br w:type="page"/>
      </w:r>
    </w:p>
    <w:p>
      <w:r>
        <w:rPr>
          <w:rFonts w:ascii="Liberation Sans" w:hAnsi="Liberation Sans"/>
          <w:b/>
          <w:color w:val="20344B"/>
          <w:sz w:val="34"/>
        </w:rPr>
        <w:t>13  A internacional de Bannon</w:t>
      </w:r>
    </w:p>
    <w:p>
      <w:r>
        <w:rPr>
          <w:b/>
          <w:color w:val="B6984C"/>
        </w:rPr>
        <w:t>Orçamento: 10.500 caracteres</w:t>
      </w:r>
    </w:p>
    <w:p>
      <w:r>
        <w:rPr>
          <w:rFonts w:ascii="Liberation Sans" w:hAnsi="Liberation Sans"/>
          <w:b/>
          <w:color w:val="20344B"/>
          <w:sz w:val="16"/>
        </w:rPr>
        <w:t xml:space="preserve">FUNÇÃO  </w:t>
      </w:r>
      <w:r>
        <w:rPr>
          <w:rFonts w:ascii="Liberation Sans" w:hAnsi="Liberation Sans"/>
          <w:sz w:val="18"/>
        </w:rPr>
        <w:t>Bannon, CPAC, Tucker Carlson, Jordan Peterson, Jason Miller e outros formam uma infraestrutura transnacional. Eduardo passa de convidado brasileiro a intermediário capaz de traduzir conflitos domésticos para a direita global.</w:t>
      </w:r>
    </w:p>
    <w:p>
      <w:r>
        <w:rPr>
          <w:rFonts w:ascii="Liberation Sans" w:hAnsi="Liberation Sans"/>
          <w:b/>
          <w:color w:val="2B5B84"/>
          <w:sz w:val="16"/>
        </w:rPr>
        <w:t xml:space="preserve">ABERTURA  </w:t>
      </w:r>
      <w:r>
        <w:rPr>
          <w:rFonts w:ascii="Liberation Sans" w:hAnsi="Liberation Sans"/>
          <w:sz w:val="18"/>
        </w:rPr>
        <w:t>A apresentação de Eduardo a Bannon em 2018, seguida anos depois pela repetição do mesmo enredo brasileiro em palcos americanos.</w:t>
      </w:r>
    </w:p>
    <w:p>
      <w:pPr>
        <w:pStyle w:val="Heading2"/>
      </w:pPr>
      <w:r>
        <w:t>Movimentos narrativos</w:t>
      </w:r>
    </w:p>
    <w:p>
      <w:pPr>
        <w:pStyle w:val="ListBullet"/>
        <w:ind w:left="340" w:hanging="142"/>
      </w:pPr>
      <w:r>
        <w:t>Apresentar o documento ou cena que concentra o período 2018–2024.</w:t>
      </w:r>
    </w:p>
    <w:p>
      <w:pPr>
        <w:pStyle w:val="ListBullet"/>
        <w:ind w:left="340" w:hanging="142"/>
      </w:pPr>
      <w:r>
        <w:t>A aproximação com Bannon é pública desde 2018; eventos CPAC ampliaram a rede em vários países.</w:t>
      </w:r>
    </w:p>
    <w:p>
      <w:pPr>
        <w:pStyle w:val="ListBullet"/>
        <w:ind w:left="340" w:hanging="142"/>
      </w:pPr>
      <w:r>
        <w:t>A Gettr patrocinou ao menos quatro eventos do Instituto Conservador-Liberal em 2021–2022, segundo a Pública.</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A aproximação com Bannon é pública desde 2018; eventos CPAC ampliaram a rede em vários países.</w:t>
      </w:r>
    </w:p>
    <w:p>
      <w:pPr>
        <w:pStyle w:val="ListBullet"/>
        <w:ind w:left="340" w:hanging="142"/>
      </w:pPr>
      <w:r>
        <w:t>A Gettr patrocinou ao menos quatro eventos do Instituto Conservador-Liberal em 2021–2022, segundo a Pública.</w:t>
      </w:r>
    </w:p>
    <w:p>
      <w:pPr>
        <w:pStyle w:val="ListBullet"/>
        <w:ind w:left="340" w:hanging="142"/>
      </w:pPr>
      <w:r>
        <w:t>Entrevistas de 2024 já apresentam o Supremo e as eleições brasileiras como tema para mobilização americana antes da mudança definitiva.</w:t>
      </w:r>
    </w:p>
    <w:p>
      <w:pPr>
        <w:pStyle w:val="Heading2"/>
      </w:pPr>
      <w:r>
        <w:t>Contraditório e ressalva</w:t>
      </w:r>
    </w:p>
    <w:p>
      <w:r>
        <w:t>Não chamar todos os interlocutores de cúmplices de crime. Relação política, patrocínio e financiamento precisam de verbos diferentes.</w:t>
      </w:r>
    </w:p>
    <w:p>
      <w:pPr>
        <w:pStyle w:val="Heading2"/>
      </w:pPr>
      <w:r>
        <w:t>Material em quarentena</w:t>
      </w:r>
    </w:p>
    <w:p>
      <w:r>
        <w:t>Qualquer alegação relacionada a este núcleo que não passe pela regra acima permanece fora do corpo até a obtenção de documento ou testemunho independente. Diligência pendente: Mapear contratos, patrocínios, despesas, convites, hospedagens, FARA/LDA e agendas de cada viagem.</w:t>
      </w:r>
    </w:p>
    <w:p>
      <w:pPr>
        <w:pStyle w:val="SmallNote"/>
      </w:pPr>
      <w:r>
        <w:rPr>
          <w:b/>
          <w:color w:val="6B7280"/>
        </w:rPr>
        <w:t xml:space="preserve">Base documental: </w:t>
      </w:r>
      <w:r>
        <w:t>S16, S20, S27, S41, S42.</w:t>
      </w:r>
    </w:p>
    <w:p>
      <w:r>
        <w:br w:type="page"/>
      </w:r>
    </w:p>
    <w:p>
      <w:r>
        <w:rPr>
          <w:rFonts w:ascii="Liberation Sans" w:hAnsi="Liberation Sans"/>
          <w:b/>
          <w:color w:val="20344B"/>
          <w:sz w:val="34"/>
        </w:rPr>
        <w:t>14  O gabinete digital</w:t>
      </w:r>
    </w:p>
    <w:p>
      <w:r>
        <w:rPr>
          <w:b/>
          <w:color w:val="B6984C"/>
        </w:rPr>
        <w:t>Orçamento: 10.000 caracteres</w:t>
      </w:r>
    </w:p>
    <w:p>
      <w:r>
        <w:rPr>
          <w:rFonts w:ascii="Liberation Sans" w:hAnsi="Liberation Sans"/>
          <w:b/>
          <w:color w:val="20344B"/>
          <w:sz w:val="16"/>
        </w:rPr>
        <w:t xml:space="preserve">FUNÇÃO  </w:t>
      </w:r>
      <w:r>
        <w:rPr>
          <w:rFonts w:ascii="Liberation Sans" w:hAnsi="Liberation Sans"/>
          <w:sz w:val="18"/>
        </w:rPr>
        <w:t>A projeção internacional apoiou-se numa retaguarda digital doméstica. Páginas removidas pela Meta foram ligadas a assessores do gabinete de Eduardo, mas a cadeia de comando pessoal não está demonstrada em fonte aberta.</w:t>
      </w:r>
    </w:p>
    <w:p>
      <w:r>
        <w:rPr>
          <w:rFonts w:ascii="Liberation Sans" w:hAnsi="Liberation Sans"/>
          <w:b/>
          <w:color w:val="2B5B84"/>
          <w:sz w:val="16"/>
        </w:rPr>
        <w:t xml:space="preserve">ABERTURA  </w:t>
      </w:r>
      <w:r>
        <w:rPr>
          <w:rFonts w:ascii="Liberation Sans" w:hAnsi="Liberation Sans"/>
          <w:sz w:val="18"/>
        </w:rPr>
        <w:t>A tela de uma investigação técnica que, por trás de páginas aparentemente espontâneas, encontra nomes na folha de pagamento parlamentar.</w:t>
      </w:r>
    </w:p>
    <w:p>
      <w:pPr>
        <w:pStyle w:val="Heading2"/>
      </w:pPr>
      <w:r>
        <w:t>Movimentos narrativos</w:t>
      </w:r>
    </w:p>
    <w:p>
      <w:pPr>
        <w:pStyle w:val="ListBullet"/>
        <w:ind w:left="340" w:hanging="142"/>
      </w:pPr>
      <w:r>
        <w:t>Apresentar o documento ou cena que concentra o período 2018–2022.</w:t>
      </w:r>
    </w:p>
    <w:p>
      <w:pPr>
        <w:pStyle w:val="ListBullet"/>
        <w:ind w:left="340" w:hanging="142"/>
      </w:pPr>
      <w:r>
        <w:t>A Meta anunciou a remoção de redes por comportamento inautêntico coordenado no Brasil em julho de 2020.</w:t>
      </w:r>
    </w:p>
    <w:p>
      <w:pPr>
        <w:pStyle w:val="ListBullet"/>
        <w:ind w:left="340" w:hanging="142"/>
      </w:pPr>
      <w:r>
        <w:t>O DFRLab e reportagens identificaram administradores vinculados a gabinetes bolsonaristas, incluindo Paulo Chuchu e Eduardo Guimarães, assessores de Eduardo.</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A Meta anunciou a remoção de redes por comportamento inautêntico coordenado no Brasil em julho de 2020.</w:t>
      </w:r>
    </w:p>
    <w:p>
      <w:pPr>
        <w:pStyle w:val="ListBullet"/>
        <w:ind w:left="340" w:hanging="142"/>
      </w:pPr>
      <w:r>
        <w:t>O DFRLab e reportagens identificaram administradores vinculados a gabinetes bolsonaristas, incluindo Paulo Chuchu e Eduardo Guimarães, assessores de Eduardo.</w:t>
      </w:r>
    </w:p>
    <w:p>
      <w:pPr>
        <w:pStyle w:val="ListBullet"/>
        <w:ind w:left="340" w:hanging="142"/>
      </w:pPr>
      <w:r>
        <w:t>Sem Máscara descreve o temor do governo diante das investigações e trata esse material como o elo público mais forte até então entre o gabinete e o esquema.</w:t>
      </w:r>
    </w:p>
    <w:p>
      <w:pPr>
        <w:pStyle w:val="Heading2"/>
      </w:pPr>
      <w:r>
        <w:t>Contraditório e ressalva</w:t>
      </w:r>
    </w:p>
    <w:p>
      <w:r>
        <w:t>Não afirmar que Eduardo criou, comandou ou financiou cada página sem evidência direta. Não usar métricas de alcance sem fonte primária.</w:t>
      </w:r>
    </w:p>
    <w:p>
      <w:pPr>
        <w:pStyle w:val="Heading2"/>
      </w:pPr>
      <w:r>
        <w:t>Material em quarentena</w:t>
      </w:r>
    </w:p>
    <w:p>
      <w:r>
        <w:t>Qualquer alegação relacionada a este núcleo que não passe pela regra acima permanece fora do corpo até a obtenção de documento ou testemunho independente. Diligência pendente: Obter relatórios integrais da Meta/DFRLab, registros trabalhistas, depoimentos, contratos de mídia, domínios e cadeia de aprovação de conteúdo.</w:t>
      </w:r>
    </w:p>
    <w:p>
      <w:pPr>
        <w:pStyle w:val="SmallNote"/>
      </w:pPr>
      <w:r>
        <w:rPr>
          <w:b/>
          <w:color w:val="6B7280"/>
        </w:rPr>
        <w:t xml:space="preserve">Base documental: </w:t>
      </w:r>
      <w:r>
        <w:t>S21, S22, S26, S20.</w:t>
      </w:r>
    </w:p>
    <w:p>
      <w:r>
        <w:br w:type="page"/>
      </w:r>
    </w:p>
    <w:p>
      <w:r>
        <w:rPr>
          <w:rFonts w:ascii="Liberation Sans" w:hAnsi="Liberation Sans"/>
          <w:b/>
          <w:color w:val="20344B"/>
          <w:sz w:val="34"/>
        </w:rPr>
        <w:t>15  China, pandemia e o preço da ideologia</w:t>
      </w:r>
    </w:p>
    <w:p>
      <w:r>
        <w:rPr>
          <w:b/>
          <w:color w:val="B6984C"/>
        </w:rPr>
        <w:t>Orçamento: 9.500 caracteres</w:t>
      </w:r>
    </w:p>
    <w:p>
      <w:r>
        <w:rPr>
          <w:rFonts w:ascii="Liberation Sans" w:hAnsi="Liberation Sans"/>
          <w:b/>
          <w:color w:val="20344B"/>
          <w:sz w:val="16"/>
        </w:rPr>
        <w:t xml:space="preserve">FUNÇÃO  </w:t>
      </w:r>
      <w:r>
        <w:rPr>
          <w:rFonts w:ascii="Liberation Sans" w:hAnsi="Liberation Sans"/>
          <w:sz w:val="18"/>
        </w:rPr>
        <w:t>A guerra cultural encontrou uma potência comercial e sanitária real. As postagens de Eduardo contra a China produziram crises oficiais num momento em que o Brasil dependia de insumos, vacinas e mercado.</w:t>
      </w:r>
    </w:p>
    <w:p>
      <w:r>
        <w:rPr>
          <w:rFonts w:ascii="Liberation Sans" w:hAnsi="Liberation Sans"/>
          <w:b/>
          <w:color w:val="2B5B84"/>
          <w:sz w:val="16"/>
        </w:rPr>
        <w:t xml:space="preserve">ABERTURA  </w:t>
      </w:r>
      <w:r>
        <w:rPr>
          <w:rFonts w:ascii="Liberation Sans" w:hAnsi="Liberation Sans"/>
          <w:sz w:val="18"/>
        </w:rPr>
        <w:t>Em plena corrida por insumos médicos, a embaixada chinesa responde publicamente ao filho do presidente brasileiro.</w:t>
      </w:r>
    </w:p>
    <w:p>
      <w:pPr>
        <w:pStyle w:val="Heading2"/>
      </w:pPr>
      <w:r>
        <w:t>Movimentos narrativos</w:t>
      </w:r>
    </w:p>
    <w:p>
      <w:pPr>
        <w:pStyle w:val="ListBullet"/>
        <w:ind w:left="340" w:hanging="142"/>
      </w:pPr>
      <w:r>
        <w:t>Apresentar o documento ou cena que concentra o período 2020–2021.</w:t>
      </w:r>
    </w:p>
    <w:p>
      <w:pPr>
        <w:pStyle w:val="ListBullet"/>
        <w:ind w:left="340" w:hanging="142"/>
      </w:pPr>
      <w:r>
        <w:t>Em março de 2020, Eduardo responsabilizou a China pela pandemia e comparou a condução do caso ao desastre de Chernobyl; houve resposta diplomática pública.</w:t>
      </w:r>
    </w:p>
    <w:p>
      <w:pPr>
        <w:pStyle w:val="ListBullet"/>
        <w:ind w:left="340" w:hanging="142"/>
      </w:pPr>
      <w:r>
        <w:t>Em novembro, nova declaração sobre Huawei e 5G gerou reação chinesa.</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Em março de 2020, Eduardo responsabilizou a China pela pandemia e comparou a condução do caso ao desastre de Chernobyl; houve resposta diplomática pública.</w:t>
      </w:r>
    </w:p>
    <w:p>
      <w:pPr>
        <w:pStyle w:val="ListBullet"/>
        <w:ind w:left="340" w:hanging="142"/>
      </w:pPr>
      <w:r>
        <w:t>Em novembro, nova declaração sobre Huawei e 5G gerou reação chinesa.</w:t>
      </w:r>
    </w:p>
    <w:p>
      <w:pPr>
        <w:pStyle w:val="ListBullet"/>
        <w:ind w:left="340" w:hanging="142"/>
      </w:pPr>
      <w:r>
        <w:t>Sem Máscara relata que diplomatas avaliaram o alinhamento como prejudicial; essa avaliação deve permanecer atribuída, não convertida em causalidade comprovada.</w:t>
      </w:r>
    </w:p>
    <w:p>
      <w:pPr>
        <w:pStyle w:val="Heading2"/>
      </w:pPr>
      <w:r>
        <w:t>Contraditório e ressalva</w:t>
      </w:r>
    </w:p>
    <w:p>
      <w:r>
        <w:t>Evitar “a China retaliou por causa de Eduardo” sem documento decisório. Separar coincidência temporal, percepção diplomática e ato formal.</w:t>
      </w:r>
    </w:p>
    <w:p>
      <w:pPr>
        <w:pStyle w:val="Heading2"/>
      </w:pPr>
      <w:r>
        <w:t>Material em quarentena</w:t>
      </w:r>
    </w:p>
    <w:p>
      <w:r>
        <w:t>Qualquer alegação relacionada a este núcleo que não passe pela regra acima permanece fora do corpo até a obtenção de documento ou testemunho independente. Diligência pendente: Buscar telegramas, atas de reunião, cronologia de insumos, decisões comerciais e entrevistas com diplomatas brasileiros e chineses.</w:t>
      </w:r>
    </w:p>
    <w:p>
      <w:pPr>
        <w:pStyle w:val="SmallNote"/>
      </w:pPr>
      <w:r>
        <w:rPr>
          <w:b/>
          <w:color w:val="6B7280"/>
        </w:rPr>
        <w:t xml:space="preserve">Base documental: </w:t>
      </w:r>
      <w:r>
        <w:t>S23, S24, S26.</w:t>
      </w:r>
    </w:p>
    <w:p>
      <w:r>
        <w:br w:type="page"/>
      </w:r>
    </w:p>
    <w:p>
      <w:r>
        <w:rPr>
          <w:rFonts w:ascii="Liberation Sans" w:hAnsi="Liberation Sans"/>
          <w:b/>
          <w:color w:val="20344B"/>
          <w:sz w:val="34"/>
        </w:rPr>
        <w:t>16  A derrota que não acabou</w:t>
      </w:r>
    </w:p>
    <w:p>
      <w:r>
        <w:rPr>
          <w:b/>
          <w:color w:val="B6984C"/>
        </w:rPr>
        <w:t>Orçamento: 10.500 caracteres</w:t>
      </w:r>
    </w:p>
    <w:p>
      <w:r>
        <w:rPr>
          <w:rFonts w:ascii="Liberation Sans" w:hAnsi="Liberation Sans"/>
          <w:b/>
          <w:color w:val="20344B"/>
          <w:sz w:val="16"/>
        </w:rPr>
        <w:t xml:space="preserve">FUNÇÃO  </w:t>
      </w:r>
      <w:r>
        <w:rPr>
          <w:rFonts w:ascii="Liberation Sans" w:hAnsi="Liberation Sans"/>
          <w:sz w:val="18"/>
        </w:rPr>
        <w:t>Depois da derrota eleitoral de 2022 e do 8 de Janeiro, Eduardo não recua para o mandato. Ele internacionaliza a narrativa de fraude, censura e perseguição e prepara a infraestrutura política da saída.</w:t>
      </w:r>
    </w:p>
    <w:p>
      <w:r>
        <w:rPr>
          <w:rFonts w:ascii="Liberation Sans" w:hAnsi="Liberation Sans"/>
          <w:b/>
          <w:color w:val="2B5B84"/>
          <w:sz w:val="16"/>
        </w:rPr>
        <w:t xml:space="preserve">ABERTURA  </w:t>
      </w:r>
      <w:r>
        <w:rPr>
          <w:rFonts w:ascii="Liberation Sans" w:hAnsi="Liberation Sans"/>
          <w:sz w:val="18"/>
        </w:rPr>
        <w:t>Eduardo, num palco mexicano, exibe ao exterior a contestação da eleição brasileira dias depois da derrota do pai.</w:t>
      </w:r>
    </w:p>
    <w:p>
      <w:pPr>
        <w:pStyle w:val="Heading2"/>
      </w:pPr>
      <w:r>
        <w:t>Movimentos narrativos</w:t>
      </w:r>
    </w:p>
    <w:p>
      <w:pPr>
        <w:pStyle w:val="ListBullet"/>
        <w:ind w:left="340" w:hanging="142"/>
      </w:pPr>
      <w:r>
        <w:t>Apresentar o documento ou cena que concentra o período 2022–2024.</w:t>
      </w:r>
    </w:p>
    <w:p>
      <w:pPr>
        <w:pStyle w:val="ListBullet"/>
        <w:ind w:left="340" w:hanging="142"/>
      </w:pPr>
      <w:r>
        <w:t>Em CPAC México de novembro de 2022, Eduardo repetiu questionamentos sobre a integridade eleitoral diante de aliados internacionais.</w:t>
      </w:r>
    </w:p>
    <w:p>
      <w:pPr>
        <w:pStyle w:val="ListBullet"/>
        <w:ind w:left="340" w:hanging="142"/>
      </w:pPr>
      <w:r>
        <w:t>Entrevistas de 2024 a Tucker Carlson e Jordan Peterson transformam o conflito com o STF em tema de mobilização estrangeira.</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Em CPAC México de novembro de 2022, Eduardo repetiu questionamentos sobre a integridade eleitoral diante de aliados internacionais.</w:t>
      </w:r>
    </w:p>
    <w:p>
      <w:pPr>
        <w:pStyle w:val="ListBullet"/>
        <w:ind w:left="340" w:hanging="142"/>
      </w:pPr>
      <w:r>
        <w:t>Entrevistas de 2024 a Tucker Carlson e Jordan Peterson transformam o conflito com o STF em tema de mobilização estrangeira.</w:t>
      </w:r>
    </w:p>
    <w:p>
      <w:pPr>
        <w:pStyle w:val="ListBullet"/>
        <w:ind w:left="340" w:hanging="142"/>
      </w:pPr>
      <w:r>
        <w:t>Os arquivos de trabalho sobre Texas indicam empresas criadas em 2023 por aliados, mas cada conexão precisa ser sustentada por certificados oficiais.</w:t>
      </w:r>
    </w:p>
    <w:p>
      <w:pPr>
        <w:pStyle w:val="Heading2"/>
      </w:pPr>
      <w:r>
        <w:t>Contraditório e ressalva</w:t>
      </w:r>
    </w:p>
    <w:p>
      <w:r>
        <w:t>Não atribuir participação operacional no 8 de Janeiro sem prova específica. Não dizer que empresas de 2023 foram criadas para ocultar dinheiro sem rastreamento financeiro.</w:t>
      </w:r>
    </w:p>
    <w:p>
      <w:pPr>
        <w:pStyle w:val="Heading2"/>
      </w:pPr>
      <w:r>
        <w:t>Material em quarentena</w:t>
      </w:r>
    </w:p>
    <w:p>
      <w:r>
        <w:t>Qualquer alegação relacionada a este núcleo que não passe pela regra acima permanece fora do corpo até a obtenção de documento ou testemunho independente. Diligência pendente: Obter registros empresariais originais, mensagens, agenda pós-eleição, viagens e depoimentos sobre o Instituto Liberdade/Braz Global.</w:t>
      </w:r>
    </w:p>
    <w:p>
      <w:pPr>
        <w:pStyle w:val="SmallNote"/>
      </w:pPr>
      <w:r>
        <w:rPr>
          <w:b/>
          <w:color w:val="6B7280"/>
        </w:rPr>
        <w:t xml:space="preserve">Base documental: </w:t>
      </w:r>
      <w:r>
        <w:t>S20, S27, S41, S42, S25.</w:t>
      </w:r>
    </w:p>
    <w:p>
      <w:r>
        <w:br w:type="page"/>
      </w:r>
    </w:p>
    <w:p>
      <w:r>
        <w:rPr>
          <w:rFonts w:ascii="Liberation Sans" w:hAnsi="Liberation Sans"/>
          <w:b/>
          <w:color w:val="20344B"/>
          <w:sz w:val="34"/>
        </w:rPr>
        <w:t>17  O laboratório do Texas</w:t>
      </w:r>
    </w:p>
    <w:p>
      <w:r>
        <w:rPr>
          <w:b/>
          <w:color w:val="B6984C"/>
        </w:rPr>
        <w:t>Orçamento: 11.000 caracteres</w:t>
      </w:r>
    </w:p>
    <w:p>
      <w:r>
        <w:rPr>
          <w:rFonts w:ascii="Liberation Sans" w:hAnsi="Liberation Sans"/>
          <w:b/>
          <w:color w:val="20344B"/>
          <w:sz w:val="16"/>
        </w:rPr>
        <w:t xml:space="preserve">FUNÇÃO  </w:t>
      </w:r>
      <w:r>
        <w:rPr>
          <w:rFonts w:ascii="Liberation Sans" w:hAnsi="Liberation Sans"/>
          <w:sz w:val="18"/>
        </w:rPr>
        <w:t>Antes da mudança definitiva, o Texas já concentrava aliados, empresas, instituto, advogado de imigração e estruturas financeiras. O que existe é uma rede documental; o que ainda falta é provar sua finalidade comum e seus beneficiários.</w:t>
      </w:r>
    </w:p>
    <w:p>
      <w:r>
        <w:rPr>
          <w:rFonts w:ascii="Liberation Sans" w:hAnsi="Liberation Sans"/>
          <w:b/>
          <w:color w:val="2B5B84"/>
          <w:sz w:val="16"/>
        </w:rPr>
        <w:t xml:space="preserve">ABERTURA  </w:t>
      </w:r>
      <w:r>
        <w:rPr>
          <w:rFonts w:ascii="Liberation Sans" w:hAnsi="Liberation Sans"/>
          <w:sz w:val="18"/>
        </w:rPr>
        <w:t>Três inscrições empresariais surgindo no mesmo endereço da região de Dallas–Fort Worth em poucas semanas.</w:t>
      </w:r>
    </w:p>
    <w:p>
      <w:pPr>
        <w:pStyle w:val="Heading2"/>
      </w:pPr>
      <w:r>
        <w:t>Movimentos narrativos</w:t>
      </w:r>
    </w:p>
    <w:p>
      <w:pPr>
        <w:pStyle w:val="ListBullet"/>
        <w:ind w:left="340" w:hanging="142"/>
      </w:pPr>
      <w:r>
        <w:t>Apresentar o documento ou cena que concentra o período 2023–2025.</w:t>
      </w:r>
    </w:p>
    <w:p>
      <w:pPr>
        <w:pStyle w:val="ListBullet"/>
        <w:ind w:left="340" w:hanging="142"/>
      </w:pPr>
      <w:r>
        <w:t>Registros reunidos no corpus indicam Braz Global Holding com Eduardo, Paulo Generoso e André Porciúncula em 2023, encerrada em 2024; o certificado oficial deve acompanhar qualquer afirmação final.</w:t>
      </w:r>
    </w:p>
    <w:p>
      <w:pPr>
        <w:pStyle w:val="ListBullet"/>
        <w:ind w:left="340" w:hanging="142"/>
      </w:pPr>
      <w:r>
        <w:t>O Havengate existia desde 2020, originalmente associado a projeto imobiliário e migratório, e mais tarde recebeu dinheiro destinado a Dark Horse.</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Registros reunidos no corpus indicam Braz Global Holding com Eduardo, Paulo Generoso e André Porciúncula em 2023, encerrada em 2024; o certificado oficial deve acompanhar qualquer afirmação final.</w:t>
      </w:r>
    </w:p>
    <w:p>
      <w:pPr>
        <w:pStyle w:val="ListBullet"/>
        <w:ind w:left="340" w:hanging="142"/>
      </w:pPr>
      <w:r>
        <w:t>O Havengate existia desde 2020, originalmente associado a projeto imobiliário e migratório, e mais tarde recebeu dinheiro destinado a Dark Horse.</w:t>
      </w:r>
    </w:p>
    <w:p>
      <w:pPr>
        <w:pStyle w:val="ListBullet"/>
        <w:ind w:left="340" w:hanging="142"/>
      </w:pPr>
      <w:r>
        <w:t>O Form ADV da Calixsan documenta nome anterior Southern Cross, atividade como general partner de fundo privado e um fundo CCM-1 de pequena base de investidores; registro encerrado não prova ilegalidade.</w:t>
      </w:r>
    </w:p>
    <w:p>
      <w:pPr>
        <w:pStyle w:val="Heading2"/>
      </w:pPr>
      <w:r>
        <w:t>Contraditório e ressalva</w:t>
      </w:r>
    </w:p>
    <w:p>
      <w:r>
        <w:t>Não chamar Porciúncula ou outro aliado de “laranja” como fato. Não usar coincidência de endereço ou número como prova de desvio.</w:t>
      </w:r>
    </w:p>
    <w:p>
      <w:pPr>
        <w:pStyle w:val="Heading2"/>
      </w:pPr>
      <w:r>
        <w:t>Material em quarentena</w:t>
      </w:r>
    </w:p>
    <w:p>
      <w:r>
        <w:t>Qualquer alegação relacionada a este núcleo que não passe pela regra acima permanece fora do corpo até a obtenção de documento ou testemunho independente. Diligência pendente: Obter certificados, annual reports, beneficial ownership quando legalmente acessível, contratos, extratos, escrituras e respostas formais de todos os envolvidos.</w:t>
      </w:r>
    </w:p>
    <w:p>
      <w:pPr>
        <w:pStyle w:val="SmallNote"/>
      </w:pPr>
      <w:r>
        <w:rPr>
          <w:b/>
          <w:color w:val="6B7280"/>
        </w:rPr>
        <w:t xml:space="preserve">Base documental: </w:t>
      </w:r>
      <w:r>
        <w:t>S28, S29, S31, S33, S34.</w:t>
      </w:r>
    </w:p>
    <w:p>
      <w:r>
        <w:br w:type="page"/>
      </w:r>
    </w:p>
    <w:p>
      <w:r>
        <w:rPr>
          <w:rFonts w:ascii="Liberation Sans" w:hAnsi="Liberation Sans"/>
          <w:b/>
          <w:color w:val="20344B"/>
          <w:sz w:val="34"/>
        </w:rPr>
        <w:t>18  Dark Horse, Havengate e o caminho do dinheiro</w:t>
      </w:r>
    </w:p>
    <w:p>
      <w:r>
        <w:rPr>
          <w:b/>
          <w:color w:val="B6984C"/>
        </w:rPr>
        <w:t>Orçamento: 10.500 caracteres</w:t>
      </w:r>
    </w:p>
    <w:p>
      <w:r>
        <w:rPr>
          <w:rFonts w:ascii="Liberation Sans" w:hAnsi="Liberation Sans"/>
          <w:b/>
          <w:color w:val="20344B"/>
          <w:sz w:val="16"/>
        </w:rPr>
        <w:t xml:space="preserve">FUNÇÃO  </w:t>
      </w:r>
      <w:r>
        <w:rPr>
          <w:rFonts w:ascii="Liberation Sans" w:hAnsi="Liberation Sans"/>
          <w:sz w:val="18"/>
        </w:rPr>
        <w:t>O filme conecta a família a um fluxo internacional de milhões. Há documentos de contrato, cronograma e SWIFT; não há, até agora, extrato público que mostre dinheiro do fundo pagando a vida pessoal de Eduardo.</w:t>
      </w:r>
    </w:p>
    <w:p>
      <w:r>
        <w:rPr>
          <w:rFonts w:ascii="Liberation Sans" w:hAnsi="Liberation Sans"/>
          <w:b/>
          <w:color w:val="2B5B84"/>
          <w:sz w:val="16"/>
        </w:rPr>
        <w:t xml:space="preserve">ABERTURA  </w:t>
      </w:r>
      <w:r>
        <w:rPr>
          <w:rFonts w:ascii="Liberation Sans" w:hAnsi="Liberation Sans"/>
          <w:sz w:val="18"/>
        </w:rPr>
        <w:t>Um comprovante SWIFT com a palavra “Filme!” circulando entre operadores, enquanto a conta de destino está no Texas.</w:t>
      </w:r>
    </w:p>
    <w:p>
      <w:pPr>
        <w:pStyle w:val="Heading2"/>
      </w:pPr>
      <w:r>
        <w:t>Movimentos narrativos</w:t>
      </w:r>
    </w:p>
    <w:p>
      <w:pPr>
        <w:pStyle w:val="ListBullet"/>
        <w:ind w:left="340" w:hanging="142"/>
      </w:pPr>
      <w:r>
        <w:t>Apresentar o documento ou cena que concentra o período 2024–2026.</w:t>
      </w:r>
    </w:p>
    <w:p>
      <w:pPr>
        <w:pStyle w:val="ListBullet"/>
        <w:ind w:left="340" w:hanging="142"/>
      </w:pPr>
      <w:r>
        <w:t>O Intercept distingue US$ 24 milhões negociados de US$ 10,6 milhões documentados como recebidos pelo fundo.</w:t>
      </w:r>
    </w:p>
    <w:p>
      <w:pPr>
        <w:pStyle w:val="ListBullet"/>
        <w:ind w:left="340" w:hanging="142"/>
      </w:pPr>
      <w:r>
        <w:t>Um SWIFT de 13 de fevereiro de 2025 registra US$ 2 milhões da Entre Investimentos para Havengate, via Banco BS2 e JPMorgan, segundo a reportagem.</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O Intercept distingue US$ 24 milhões negociados de US$ 10,6 milhões documentados como recebidos pelo fundo.</w:t>
      </w:r>
    </w:p>
    <w:p>
      <w:pPr>
        <w:pStyle w:val="ListBullet"/>
        <w:ind w:left="340" w:hanging="142"/>
      </w:pPr>
      <w:r>
        <w:t>Um SWIFT de 13 de fevereiro de 2025 registra US$ 2 milhões da Entre Investimentos para Havengate, via Banco BS2 e JPMorgan, segundo a reportagem.</w:t>
      </w:r>
    </w:p>
    <w:p>
      <w:pPr>
        <w:pStyle w:val="ListBullet"/>
        <w:ind w:left="340" w:hanging="142"/>
      </w:pPr>
      <w:r>
        <w:t>A PF pretende buscar cooperação americana para verificar finalidade dos recursos; a defesa nega destinação a Eduardo e afirma estrutura própria da produção.</w:t>
      </w:r>
    </w:p>
    <w:p>
      <w:pPr>
        <w:pStyle w:val="Heading2"/>
      </w:pPr>
      <w:r>
        <w:t>Contraditório e ressalva</w:t>
      </w:r>
    </w:p>
    <w:p>
      <w:r>
        <w:t>Não afirmar que Eduardo recebeu R$ 61 milhões; que o aluguel foi pago pelo fundo; ou que a produção é lavagem sem conclusão oficial. Usar “segundo documentos obtidos pelo Intercept” e registrar o outro lado.</w:t>
      </w:r>
    </w:p>
    <w:p>
      <w:pPr>
        <w:pStyle w:val="Heading2"/>
      </w:pPr>
      <w:r>
        <w:t>Material em quarentena</w:t>
      </w:r>
    </w:p>
    <w:p>
      <w:r>
        <w:t>Qualquer alegação relacionada a este núcleo que não passe pela regra acima permanece fora do corpo até a obtenção de documento ou testemunho independente. Diligência pendente: Obter extratos do fundo, general ledger, contrato de produção, invoices, auditoria, investidores, pagamentos de imóveis e cooperação jurídica internacional.</w:t>
      </w:r>
    </w:p>
    <w:p>
      <w:pPr>
        <w:pStyle w:val="SmallNote"/>
      </w:pPr>
      <w:r>
        <w:rPr>
          <w:b/>
          <w:color w:val="6B7280"/>
        </w:rPr>
        <w:t xml:space="preserve">Base documental: </w:t>
      </w:r>
      <w:r>
        <w:t>S28, S30, S31, S32, S29.</w:t>
      </w:r>
    </w:p>
    <w:p>
      <w:r>
        <w:br w:type="page"/>
      </w:r>
    </w:p>
    <w:p>
      <w:r>
        <w:rPr>
          <w:rFonts w:ascii="Liberation Sans" w:hAnsi="Liberation Sans"/>
          <w:b/>
          <w:color w:val="20344B"/>
          <w:sz w:val="34"/>
        </w:rPr>
        <w:t>19  Washington: sanções, tarifas e coação</w:t>
      </w:r>
    </w:p>
    <w:p>
      <w:r>
        <w:rPr>
          <w:b/>
          <w:color w:val="B6984C"/>
        </w:rPr>
        <w:t>Orçamento: 10.500 caracteres</w:t>
      </w:r>
    </w:p>
    <w:p>
      <w:r>
        <w:rPr>
          <w:rFonts w:ascii="Liberation Sans" w:hAnsi="Liberation Sans"/>
          <w:b/>
          <w:color w:val="20344B"/>
          <w:sz w:val="16"/>
        </w:rPr>
        <w:t xml:space="preserve">FUNÇÃO  </w:t>
      </w:r>
      <w:r>
        <w:rPr>
          <w:rFonts w:ascii="Liberation Sans" w:hAnsi="Liberation Sans"/>
          <w:sz w:val="18"/>
        </w:rPr>
        <w:t>A mudança transforma discurso em campanha externa. Eduardo anuncia que buscará punição de autoridades, participa de reuniões e antecipa novas sanções; a PGR acusa coação e o STF o condena. A defesa diz que exercia liberdade política e denunciava violações constitucionais.</w:t>
      </w:r>
    </w:p>
    <w:p>
      <w:r>
        <w:rPr>
          <w:rFonts w:ascii="Liberation Sans" w:hAnsi="Liberation Sans"/>
          <w:b/>
          <w:color w:val="2B5B84"/>
          <w:sz w:val="16"/>
        </w:rPr>
        <w:t xml:space="preserve">ABERTURA  </w:t>
      </w:r>
      <w:r>
        <w:rPr>
          <w:rFonts w:ascii="Liberation Sans" w:hAnsi="Liberation Sans"/>
          <w:sz w:val="18"/>
        </w:rPr>
        <w:t>O mesmo entrevistado que anuncia novas sanções contesta depois a forma de sua notificação no processo brasileiro.</w:t>
      </w:r>
    </w:p>
    <w:p>
      <w:pPr>
        <w:pStyle w:val="Heading2"/>
      </w:pPr>
      <w:r>
        <w:t>Movimentos narrativos</w:t>
      </w:r>
    </w:p>
    <w:p>
      <w:pPr>
        <w:pStyle w:val="ListBullet"/>
        <w:ind w:left="340" w:hanging="142"/>
      </w:pPr>
      <w:r>
        <w:t>Apresentar o documento ou cena que concentra o período 2025–2026.</w:t>
      </w:r>
    </w:p>
    <w:p>
      <w:pPr>
        <w:pStyle w:val="ListBullet"/>
        <w:ind w:left="340" w:hanging="142"/>
      </w:pPr>
      <w:r>
        <w:t>Em março de 2025, Eduardo declarou que viveria nos EUA para construir apoio internacional e buscar punições contra autoridades.</w:t>
      </w:r>
    </w:p>
    <w:p>
      <w:pPr>
        <w:pStyle w:val="ListBullet"/>
        <w:ind w:left="340" w:hanging="142"/>
      </w:pPr>
      <w:r>
        <w:t>Entrevistas Reuters de agosto e setembro de 2025 registram advertências sobre sanções e reunião no Tesouro americano.</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Em março de 2025, Eduardo declarou que viveria nos EUA para construir apoio internacional e buscar punições contra autoridades.</w:t>
      </w:r>
    </w:p>
    <w:p>
      <w:pPr>
        <w:pStyle w:val="ListBullet"/>
        <w:ind w:left="340" w:hanging="142"/>
      </w:pPr>
      <w:r>
        <w:t>Entrevistas Reuters de agosto e setembro de 2025 registram advertências sobre sanções e reunião no Tesouro americano.</w:t>
      </w:r>
    </w:p>
    <w:p>
      <w:pPr>
        <w:pStyle w:val="ListBullet"/>
        <w:ind w:left="340" w:hanging="142"/>
      </w:pPr>
      <w:r>
        <w:t>Em junho de 2026, a Primeira Turma do STF o condenou por unanimidade a quatro anos e dois meses, em decisão ainda sujeita a recursos.</w:t>
      </w:r>
    </w:p>
    <w:p>
      <w:pPr>
        <w:pStyle w:val="Heading2"/>
      </w:pPr>
      <w:r>
        <w:t>Contraditório e ressalva</w:t>
      </w:r>
    </w:p>
    <w:p>
      <w:r>
        <w:t>Não dizer que Eduardo causou sozinho tarifas ou sanções. Não chamar a condenação de definitiva antes do trânsito em julgado. Registrar recursos e votos integrais.</w:t>
      </w:r>
    </w:p>
    <w:p>
      <w:pPr>
        <w:pStyle w:val="Heading2"/>
      </w:pPr>
      <w:r>
        <w:t>Material em quarentena</w:t>
      </w:r>
    </w:p>
    <w:p>
      <w:r>
        <w:t>Qualquer alegação relacionada a este núcleo que não passe pela regra acima permanece fora do corpo até a obtenção de documento ou testemunho independente. Diligência pendente: Obter autos completos, memoriais, sustentações, votos, pedidos de sanção, agenda oficial americana, FARA/LDA e entrevistas integrais.</w:t>
      </w:r>
    </w:p>
    <w:p>
      <w:pPr>
        <w:pStyle w:val="SmallNote"/>
      </w:pPr>
      <w:r>
        <w:rPr>
          <w:b/>
          <w:color w:val="6B7280"/>
        </w:rPr>
        <w:t xml:space="preserve">Base documental: </w:t>
      </w:r>
      <w:r>
        <w:t>S07, S44, S45, S46, S05, S06, S04, S08.</w:t>
      </w:r>
    </w:p>
    <w:p>
      <w:r>
        <w:br w:type="page"/>
      </w:r>
    </w:p>
    <w:p>
      <w:r>
        <w:rPr>
          <w:rFonts w:ascii="Liberation Sans" w:hAnsi="Liberation Sans"/>
          <w:b/>
          <w:color w:val="20344B"/>
          <w:sz w:val="34"/>
        </w:rPr>
        <w:t>20  “Aqui estou livre”</w:t>
      </w:r>
    </w:p>
    <w:p>
      <w:r>
        <w:rPr>
          <w:b/>
          <w:color w:val="B6984C"/>
        </w:rPr>
        <w:t>Orçamento: 10.000 caracteres</w:t>
      </w:r>
    </w:p>
    <w:p>
      <w:r>
        <w:rPr>
          <w:rFonts w:ascii="Liberation Sans" w:hAnsi="Liberation Sans"/>
          <w:b/>
          <w:color w:val="20344B"/>
          <w:sz w:val="16"/>
        </w:rPr>
        <w:t xml:space="preserve">FUNÇÃO  </w:t>
      </w:r>
      <w:r>
        <w:rPr>
          <w:rFonts w:ascii="Liberation Sans" w:hAnsi="Liberation Sans"/>
          <w:sz w:val="18"/>
        </w:rPr>
        <w:t>O arco termina provisoriamente nos Estados Unidos: mandato perdido por faltas, condenação criminal recorrível, vínculo com a PF em processo de extinção e residência permanente EB-1A. O título “O Foragido” permanece editorial, não processual.</w:t>
      </w:r>
    </w:p>
    <w:p>
      <w:r>
        <w:rPr>
          <w:rFonts w:ascii="Liberation Sans" w:hAnsi="Liberation Sans"/>
          <w:b/>
          <w:color w:val="2B5B84"/>
          <w:sz w:val="16"/>
        </w:rPr>
        <w:t xml:space="preserve">ABERTURA  </w:t>
      </w:r>
      <w:r>
        <w:rPr>
          <w:rFonts w:ascii="Liberation Sans" w:hAnsi="Liberation Sans"/>
          <w:sz w:val="18"/>
        </w:rPr>
        <w:t>A entrevista telefônica em que anuncia o green card, um dia antes de a PF divulgar a conclusão disciplinar.</w:t>
      </w:r>
    </w:p>
    <w:p>
      <w:pPr>
        <w:pStyle w:val="Heading2"/>
      </w:pPr>
      <w:r>
        <w:t>Movimentos narrativos</w:t>
      </w:r>
    </w:p>
    <w:p>
      <w:pPr>
        <w:pStyle w:val="ListBullet"/>
        <w:ind w:left="340" w:hanging="142"/>
      </w:pPr>
      <w:r>
        <w:t>Apresentar o documento ou cena que concentra o período 2025–21 jul. 2026.</w:t>
      </w:r>
    </w:p>
    <w:p>
      <w:pPr>
        <w:pStyle w:val="ListBullet"/>
        <w:ind w:left="340" w:hanging="142"/>
      </w:pPr>
      <w:r>
        <w:t>A Câmara declarou a perda do mandato em 18 de dezembro de 2025 por ausência a um terço das sessões deliberativas.</w:t>
      </w:r>
    </w:p>
    <w:p>
      <w:pPr>
        <w:pStyle w:val="ListBullet"/>
        <w:ind w:left="340" w:hanging="142"/>
      </w:pPr>
      <w:r>
        <w:t>A Reuters registrou em 20 de julho de 2026 a declaração de que recebeu green card EB-1A, cujo processo teria começado um ano antes, e que só retornaria com anistia.</w:t>
      </w:r>
    </w:p>
    <w:p>
      <w:pPr>
        <w:pStyle w:val="ListBullet"/>
        <w:ind w:left="340" w:hanging="142"/>
      </w:pPr>
      <w:r>
        <w:t>Confrontar a autoimagem ou a resposta defensiva com o que as fontes permitem afirmar.</w:t>
      </w:r>
    </w:p>
    <w:p>
      <w:pPr>
        <w:pStyle w:val="ListBullet"/>
        <w:ind w:left="340" w:hanging="142"/>
      </w:pPr>
      <w:r>
        <w:t>Encerrar na pergunta que abre o capítulo seguinte, sem conclusão moralizante.</w:t>
      </w:r>
    </w:p>
    <w:p>
      <w:pPr>
        <w:pStyle w:val="Heading2"/>
      </w:pPr>
      <w:r>
        <w:t>Prova que precisa aparecer</w:t>
      </w:r>
    </w:p>
    <w:p>
      <w:pPr>
        <w:pStyle w:val="ListBullet"/>
        <w:ind w:left="340" w:hanging="142"/>
      </w:pPr>
      <w:r>
        <w:t>A Câmara declarou a perda do mandato em 18 de dezembro de 2025 por ausência a um terço das sessões deliberativas.</w:t>
      </w:r>
    </w:p>
    <w:p>
      <w:pPr>
        <w:pStyle w:val="ListBullet"/>
        <w:ind w:left="340" w:hanging="142"/>
      </w:pPr>
      <w:r>
        <w:t>A Reuters registrou em 20 de julho de 2026 a declaração de que recebeu green card EB-1A, cujo processo teria começado um ano antes, e que só retornaria com anistia.</w:t>
      </w:r>
    </w:p>
    <w:p>
      <w:pPr>
        <w:pStyle w:val="ListBullet"/>
        <w:ind w:left="340" w:hanging="142"/>
      </w:pPr>
      <w:r>
        <w:t>A PF concluiu PAD pela demissão por abandono, segundo a Folha, mas o ato final ainda dependia do ministro da Justiça no fechamento.</w:t>
      </w:r>
    </w:p>
    <w:p>
      <w:pPr>
        <w:pStyle w:val="Heading2"/>
      </w:pPr>
      <w:r>
        <w:t>Contraditório e ressalva</w:t>
      </w:r>
    </w:p>
    <w:p>
      <w:r>
        <w:t>Explicar que EB-1A foi informado por ele; o arquivo migratório não é público. Não afirmar ordem de prisão ativa sem localizar o ato. Não dizer que a demissão já foi publicada.</w:t>
      </w:r>
    </w:p>
    <w:p>
      <w:pPr>
        <w:pStyle w:val="Heading2"/>
      </w:pPr>
      <w:r>
        <w:t>Material em quarentena</w:t>
      </w:r>
    </w:p>
    <w:p>
      <w:r>
        <w:t>Qualquer alegação relacionada a este núcleo que não passe pela regra acima permanece fora do corpo até a obtenção de documento ou testemunho independente. Diligência pendente: Monitorar recursos, trânsito em julgado, eventual mandado, ato ministerial da PF, status migratório e novos registros de trabalho/financiamento.</w:t>
      </w:r>
    </w:p>
    <w:p>
      <w:pPr>
        <w:pStyle w:val="SmallNote"/>
      </w:pPr>
      <w:r>
        <w:rPr>
          <w:b/>
          <w:color w:val="6B7280"/>
        </w:rPr>
        <w:t xml:space="preserve">Base documental: </w:t>
      </w:r>
      <w:r>
        <w:t>S03, S04, S09, S10, S02.</w:t>
      </w:r>
    </w:p>
    <w:p>
      <w:r>
        <w:br w:type="page"/>
      </w:r>
    </w:p>
    <w:p>
      <w:pPr>
        <w:pStyle w:val="Heading1"/>
      </w:pPr>
      <w:r>
        <w:t>5. Banco de cenas</w:t>
      </w:r>
    </w:p>
    <w:p>
      <w:r>
        <w:t>O banco abaixo evita capítulos abstratos. Cada cena deve ser confirmada por documento, vídeo ou testemunha; quando reconstruída, a fonte deve ficar clara no texto ou em nota.</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91"/>
            <w:shd w:fill="20344B"/>
            <w:tcMar>
              <w:top w:w="90" w:type="dxa"/>
              <w:start w:w="100" w:type="dxa"/>
              <w:bottom w:w="90" w:type="dxa"/>
              <w:end w:w="100" w:type="dxa"/>
            </w:tcMar>
          </w:tcPr>
          <w:p>
            <w:r>
              <w:rPr>
                <w:b/>
                <w:color w:val="FFFFFF"/>
              </w:rPr>
              <w:t>Cena</w:t>
            </w:r>
          </w:p>
        </w:tc>
        <w:tc>
          <w:tcPr>
            <w:tcW w:type="dxa" w:w="6747"/>
            <w:shd w:fill="20344B"/>
            <w:tcMar>
              <w:top w:w="90" w:type="dxa"/>
              <w:start w:w="100" w:type="dxa"/>
              <w:bottom w:w="90" w:type="dxa"/>
              <w:end w:w="100" w:type="dxa"/>
            </w:tcMar>
          </w:tcPr>
          <w:p>
            <w:r>
              <w:rPr>
                <w:b/>
                <w:color w:val="FFFFFF"/>
              </w:rPr>
              <w:t>Uso narrativo</w:t>
            </w:r>
          </w:p>
        </w:tc>
      </w:tr>
      <w:tr>
        <w:tc>
          <w:tcPr>
            <w:tcW w:type="dxa" w:w="4933"/>
            <w:shd w:fill="E8EEF5"/>
            <w:tcMar>
              <w:top w:w="70" w:type="dxa"/>
              <w:start w:w="90" w:type="dxa"/>
              <w:bottom w:w="70" w:type="dxa"/>
              <w:end w:w="90" w:type="dxa"/>
            </w:tcMar>
          </w:tcPr>
          <w:p>
            <w:r>
              <w:rPr>
                <w:b/>
                <w:color w:val="20344B"/>
                <w:sz w:val="15"/>
              </w:rPr>
              <w:t>A entrevista do green card</w:t>
            </w:r>
          </w:p>
        </w:tc>
        <w:tc>
          <w:tcPr>
            <w:tcW w:type="dxa" w:w="4933"/>
            <w:tcMar>
              <w:top w:w="70" w:type="dxa"/>
              <w:start w:w="90" w:type="dxa"/>
              <w:bottom w:w="70" w:type="dxa"/>
              <w:end w:w="90" w:type="dxa"/>
            </w:tcMar>
          </w:tcPr>
          <w:p>
            <w:r>
              <w:rPr>
                <w:sz w:val="15"/>
              </w:rPr>
              <w:t>Eduardo ao telefone com a Reuters, anuncia o EB-1A e encerra com “At least here I am free”.</w:t>
            </w:r>
          </w:p>
        </w:tc>
      </w:tr>
      <w:tr>
        <w:tc>
          <w:tcPr>
            <w:tcW w:type="dxa" w:w="4933"/>
            <w:shd w:fill="E8EEF5"/>
            <w:tcMar>
              <w:top w:w="70" w:type="dxa"/>
              <w:start w:w="90" w:type="dxa"/>
              <w:bottom w:w="70" w:type="dxa"/>
              <w:end w:w="90" w:type="dxa"/>
            </w:tcMar>
          </w:tcPr>
          <w:p>
            <w:r>
              <w:rPr>
                <w:b/>
                <w:color w:val="20344B"/>
                <w:sz w:val="15"/>
              </w:rPr>
              <w:t>Resende versus São Paulo</w:t>
            </w:r>
          </w:p>
        </w:tc>
        <w:tc>
          <w:tcPr>
            <w:tcW w:type="dxa" w:w="4933"/>
            <w:tcMar>
              <w:top w:w="70" w:type="dxa"/>
              <w:start w:w="90" w:type="dxa"/>
              <w:bottom w:w="70" w:type="dxa"/>
              <w:end w:w="90" w:type="dxa"/>
            </w:tcMar>
          </w:tcPr>
          <w:p>
            <w:r>
              <w:rPr>
                <w:sz w:val="15"/>
              </w:rPr>
              <w:t>O registro de nascimento em Resende diante do cartaz eleitoral paulista.</w:t>
            </w:r>
          </w:p>
        </w:tc>
      </w:tr>
      <w:tr>
        <w:tc>
          <w:tcPr>
            <w:tcW w:type="dxa" w:w="4933"/>
            <w:shd w:fill="E8EEF5"/>
            <w:tcMar>
              <w:top w:w="70" w:type="dxa"/>
              <w:start w:w="90" w:type="dxa"/>
              <w:bottom w:w="70" w:type="dxa"/>
              <w:end w:w="90" w:type="dxa"/>
            </w:tcMar>
          </w:tcPr>
          <w:p>
            <w:r>
              <w:rPr>
                <w:b/>
                <w:color w:val="20344B"/>
                <w:sz w:val="15"/>
              </w:rPr>
              <w:t>Três dias</w:t>
            </w:r>
          </w:p>
        </w:tc>
        <w:tc>
          <w:tcPr>
            <w:tcW w:type="dxa" w:w="4933"/>
            <w:tcMar>
              <w:top w:w="70" w:type="dxa"/>
              <w:start w:w="90" w:type="dxa"/>
              <w:bottom w:w="70" w:type="dxa"/>
              <w:end w:w="90" w:type="dxa"/>
            </w:tcMar>
          </w:tcPr>
          <w:p>
            <w:r>
              <w:rPr>
                <w:sz w:val="15"/>
              </w:rPr>
              <w:t>A aprovação na UFRJ e a nomeação em Brasília separadas por três dias.</w:t>
            </w:r>
          </w:p>
        </w:tc>
      </w:tr>
      <w:tr>
        <w:tc>
          <w:tcPr>
            <w:tcW w:type="dxa" w:w="4933"/>
            <w:shd w:fill="E8EEF5"/>
            <w:tcMar>
              <w:top w:w="70" w:type="dxa"/>
              <w:start w:w="90" w:type="dxa"/>
              <w:bottom w:w="70" w:type="dxa"/>
              <w:end w:w="90" w:type="dxa"/>
            </w:tcMar>
          </w:tcPr>
          <w:p>
            <w:r>
              <w:rPr>
                <w:b/>
                <w:color w:val="20344B"/>
                <w:sz w:val="15"/>
              </w:rPr>
              <w:t>Duas cidades, quarenta horas</w:t>
            </w:r>
          </w:p>
        </w:tc>
        <w:tc>
          <w:tcPr>
            <w:tcW w:type="dxa" w:w="4933"/>
            <w:tcMar>
              <w:top w:w="70" w:type="dxa"/>
              <w:start w:w="90" w:type="dxa"/>
              <w:bottom w:w="70" w:type="dxa"/>
              <w:end w:w="90" w:type="dxa"/>
            </w:tcMar>
          </w:tcPr>
          <w:p>
            <w:r>
              <w:rPr>
                <w:sz w:val="15"/>
              </w:rPr>
              <w:t>Horários de aula no Rio confrontados com a jornada formal em Brasília.</w:t>
            </w:r>
          </w:p>
        </w:tc>
      </w:tr>
      <w:tr>
        <w:tc>
          <w:tcPr>
            <w:tcW w:type="dxa" w:w="4933"/>
            <w:shd w:fill="E8EEF5"/>
            <w:tcMar>
              <w:top w:w="70" w:type="dxa"/>
              <w:start w:w="90" w:type="dxa"/>
              <w:bottom w:w="70" w:type="dxa"/>
              <w:end w:w="90" w:type="dxa"/>
            </w:tcMar>
          </w:tcPr>
          <w:p>
            <w:r>
              <w:rPr>
                <w:b/>
                <w:color w:val="20344B"/>
                <w:sz w:val="15"/>
              </w:rPr>
              <w:t>O primeiro inglês político</w:t>
            </w:r>
          </w:p>
        </w:tc>
        <w:tc>
          <w:tcPr>
            <w:tcW w:type="dxa" w:w="4933"/>
            <w:tcMar>
              <w:top w:w="70" w:type="dxa"/>
              <w:start w:w="90" w:type="dxa"/>
              <w:bottom w:w="70" w:type="dxa"/>
              <w:end w:w="90" w:type="dxa"/>
            </w:tcMar>
          </w:tcPr>
          <w:p>
            <w:r>
              <w:rPr>
                <w:sz w:val="15"/>
              </w:rPr>
              <w:t>Entrevista a Lou Dobbs, semanas depois da eleição do pai.</w:t>
            </w:r>
          </w:p>
        </w:tc>
      </w:tr>
      <w:tr>
        <w:tc>
          <w:tcPr>
            <w:tcW w:type="dxa" w:w="4933"/>
            <w:shd w:fill="E8EEF5"/>
            <w:tcMar>
              <w:top w:w="70" w:type="dxa"/>
              <w:start w:w="90" w:type="dxa"/>
              <w:bottom w:w="70" w:type="dxa"/>
              <w:end w:w="90" w:type="dxa"/>
            </w:tcMar>
          </w:tcPr>
          <w:p>
            <w:r>
              <w:rPr>
                <w:b/>
                <w:color w:val="20344B"/>
                <w:sz w:val="15"/>
              </w:rPr>
              <w:t>O escrivão sem grande operação</w:t>
            </w:r>
          </w:p>
        </w:tc>
        <w:tc>
          <w:tcPr>
            <w:tcW w:type="dxa" w:w="4933"/>
            <w:tcMar>
              <w:top w:w="70" w:type="dxa"/>
              <w:start w:w="90" w:type="dxa"/>
              <w:bottom w:w="70" w:type="dxa"/>
              <w:end w:w="90" w:type="dxa"/>
            </w:tcMar>
          </w:tcPr>
          <w:p>
            <w:r>
              <w:rPr>
                <w:sz w:val="15"/>
              </w:rPr>
              <w:t>A avaliação corporativa: bom servidor, nenhuma grande operação conhecida.</w:t>
            </w:r>
          </w:p>
        </w:tc>
      </w:tr>
      <w:tr>
        <w:tc>
          <w:tcPr>
            <w:tcW w:type="dxa" w:w="4933"/>
            <w:shd w:fill="E8EEF5"/>
            <w:tcMar>
              <w:top w:w="70" w:type="dxa"/>
              <w:start w:w="90" w:type="dxa"/>
              <w:bottom w:w="70" w:type="dxa"/>
              <w:end w:w="90" w:type="dxa"/>
            </w:tcMar>
          </w:tcPr>
          <w:p>
            <w:r>
              <w:rPr>
                <w:b/>
                <w:color w:val="20344B"/>
                <w:sz w:val="15"/>
              </w:rPr>
              <w:t>A urna de 2018</w:t>
            </w:r>
          </w:p>
        </w:tc>
        <w:tc>
          <w:tcPr>
            <w:tcW w:type="dxa" w:w="4933"/>
            <w:tcMar>
              <w:top w:w="70" w:type="dxa"/>
              <w:start w:w="90" w:type="dxa"/>
              <w:bottom w:w="70" w:type="dxa"/>
              <w:end w:w="90" w:type="dxa"/>
            </w:tcMar>
          </w:tcPr>
          <w:p>
            <w:r>
              <w:rPr>
                <w:sz w:val="15"/>
              </w:rPr>
              <w:t>O placar de 1.843.735 votos.</w:t>
            </w:r>
          </w:p>
        </w:tc>
      </w:tr>
      <w:tr>
        <w:tc>
          <w:tcPr>
            <w:tcW w:type="dxa" w:w="4933"/>
            <w:shd w:fill="E8EEF5"/>
            <w:tcMar>
              <w:top w:w="70" w:type="dxa"/>
              <w:start w:w="90" w:type="dxa"/>
              <w:bottom w:w="70" w:type="dxa"/>
              <w:end w:w="90" w:type="dxa"/>
            </w:tcMar>
          </w:tcPr>
          <w:p>
            <w:r>
              <w:rPr>
                <w:b/>
                <w:color w:val="20344B"/>
                <w:sz w:val="15"/>
              </w:rPr>
              <w:t>O vídeo do cabo e do soldado</w:t>
            </w:r>
          </w:p>
        </w:tc>
        <w:tc>
          <w:tcPr>
            <w:tcW w:type="dxa" w:w="4933"/>
            <w:tcMar>
              <w:top w:w="70" w:type="dxa"/>
              <w:start w:w="90" w:type="dxa"/>
              <w:bottom w:w="70" w:type="dxa"/>
              <w:end w:w="90" w:type="dxa"/>
            </w:tcMar>
          </w:tcPr>
          <w:p>
            <w:r>
              <w:rPr>
                <w:sz w:val="15"/>
              </w:rPr>
              <w:t>A frase, a risada, o corte viral e a reação institucional.</w:t>
            </w:r>
          </w:p>
        </w:tc>
      </w:tr>
      <w:tr>
        <w:tc>
          <w:tcPr>
            <w:tcW w:type="dxa" w:w="4933"/>
            <w:shd w:fill="E8EEF5"/>
            <w:tcMar>
              <w:top w:w="70" w:type="dxa"/>
              <w:start w:w="90" w:type="dxa"/>
              <w:bottom w:w="70" w:type="dxa"/>
              <w:end w:w="90" w:type="dxa"/>
            </w:tcMar>
          </w:tcPr>
          <w:p>
            <w:r>
              <w:rPr>
                <w:b/>
                <w:color w:val="20344B"/>
                <w:sz w:val="15"/>
              </w:rPr>
              <w:t>O convite de embaixador</w:t>
            </w:r>
          </w:p>
        </w:tc>
        <w:tc>
          <w:tcPr>
            <w:tcW w:type="dxa" w:w="4933"/>
            <w:tcMar>
              <w:top w:w="70" w:type="dxa"/>
              <w:start w:w="90" w:type="dxa"/>
              <w:bottom w:w="70" w:type="dxa"/>
              <w:end w:w="90" w:type="dxa"/>
            </w:tcMar>
          </w:tcPr>
          <w:p>
            <w:r>
              <w:rPr>
                <w:sz w:val="15"/>
              </w:rPr>
              <w:t>Jair oferece o posto; Eduardo aceita diante das câmeras.</w:t>
            </w:r>
          </w:p>
        </w:tc>
      </w:tr>
      <w:tr>
        <w:tc>
          <w:tcPr>
            <w:tcW w:type="dxa" w:w="4933"/>
            <w:shd w:fill="E8EEF5"/>
            <w:tcMar>
              <w:top w:w="70" w:type="dxa"/>
              <w:start w:w="90" w:type="dxa"/>
              <w:bottom w:w="70" w:type="dxa"/>
              <w:end w:w="90" w:type="dxa"/>
            </w:tcMar>
          </w:tcPr>
          <w:p>
            <w:r>
              <w:rPr>
                <w:b/>
                <w:color w:val="20344B"/>
                <w:sz w:val="15"/>
              </w:rPr>
              <w:t>A sabatina que não houve</w:t>
            </w:r>
          </w:p>
        </w:tc>
        <w:tc>
          <w:tcPr>
            <w:tcW w:type="dxa" w:w="4933"/>
            <w:tcMar>
              <w:top w:w="70" w:type="dxa"/>
              <w:start w:w="90" w:type="dxa"/>
              <w:bottom w:w="70" w:type="dxa"/>
              <w:end w:w="90" w:type="dxa"/>
            </w:tcMar>
          </w:tcPr>
          <w:p>
            <w:r>
              <w:rPr>
                <w:sz w:val="15"/>
              </w:rPr>
              <w:t>Contagem incerta no Senado e desistência.</w:t>
            </w:r>
          </w:p>
        </w:tc>
      </w:tr>
      <w:tr>
        <w:tc>
          <w:tcPr>
            <w:tcW w:type="dxa" w:w="4933"/>
            <w:shd w:fill="E8EEF5"/>
            <w:tcMar>
              <w:top w:w="70" w:type="dxa"/>
              <w:start w:w="90" w:type="dxa"/>
              <w:bottom w:w="70" w:type="dxa"/>
              <w:end w:w="90" w:type="dxa"/>
            </w:tcMar>
          </w:tcPr>
          <w:p>
            <w:r>
              <w:rPr>
                <w:b/>
                <w:color w:val="20344B"/>
                <w:sz w:val="15"/>
              </w:rPr>
              <w:t>A reunião com Trump</w:t>
            </w:r>
          </w:p>
        </w:tc>
        <w:tc>
          <w:tcPr>
            <w:tcW w:type="dxa" w:w="4933"/>
            <w:tcMar>
              <w:top w:w="70" w:type="dxa"/>
              <w:start w:w="90" w:type="dxa"/>
              <w:bottom w:w="70" w:type="dxa"/>
              <w:end w:w="90" w:type="dxa"/>
            </w:tcMar>
          </w:tcPr>
          <w:p>
            <w:r>
              <w:rPr>
                <w:sz w:val="15"/>
              </w:rPr>
              <w:t>Eduardo e o chanceler saem da Casa Branca durante crise da Amazônia.</w:t>
            </w:r>
          </w:p>
        </w:tc>
      </w:tr>
      <w:tr>
        <w:tc>
          <w:tcPr>
            <w:tcW w:type="dxa" w:w="4933"/>
            <w:shd w:fill="E8EEF5"/>
            <w:tcMar>
              <w:top w:w="70" w:type="dxa"/>
              <w:start w:w="90" w:type="dxa"/>
              <w:bottom w:w="70" w:type="dxa"/>
              <w:end w:w="90" w:type="dxa"/>
            </w:tcMar>
          </w:tcPr>
          <w:p>
            <w:r>
              <w:rPr>
                <w:b/>
                <w:color w:val="20344B"/>
                <w:sz w:val="15"/>
              </w:rPr>
              <w:t>A postagem sobre a China</w:t>
            </w:r>
          </w:p>
        </w:tc>
        <w:tc>
          <w:tcPr>
            <w:tcW w:type="dxa" w:w="4933"/>
            <w:tcMar>
              <w:top w:w="70" w:type="dxa"/>
              <w:start w:w="90" w:type="dxa"/>
              <w:bottom w:w="70" w:type="dxa"/>
              <w:end w:w="90" w:type="dxa"/>
            </w:tcMar>
          </w:tcPr>
          <w:p>
            <w:r>
              <w:rPr>
                <w:sz w:val="15"/>
              </w:rPr>
              <w:t>Uma mensagem de rede social vira nota diplomática.</w:t>
            </w:r>
          </w:p>
        </w:tc>
      </w:tr>
      <w:tr>
        <w:tc>
          <w:tcPr>
            <w:tcW w:type="dxa" w:w="4933"/>
            <w:shd w:fill="E8EEF5"/>
            <w:tcMar>
              <w:top w:w="70" w:type="dxa"/>
              <w:start w:w="90" w:type="dxa"/>
              <w:bottom w:w="70" w:type="dxa"/>
              <w:end w:w="90" w:type="dxa"/>
            </w:tcMar>
          </w:tcPr>
          <w:p>
            <w:r>
              <w:rPr>
                <w:b/>
                <w:color w:val="20344B"/>
                <w:sz w:val="15"/>
              </w:rPr>
              <w:t>A Fox e o teste de covid</w:t>
            </w:r>
          </w:p>
        </w:tc>
        <w:tc>
          <w:tcPr>
            <w:tcW w:type="dxa" w:w="4933"/>
            <w:tcMar>
              <w:top w:w="70" w:type="dxa"/>
              <w:start w:w="90" w:type="dxa"/>
              <w:bottom w:w="70" w:type="dxa"/>
              <w:end w:w="90" w:type="dxa"/>
            </w:tcMar>
          </w:tcPr>
          <w:p>
            <w:r>
              <w:rPr>
                <w:sz w:val="15"/>
              </w:rPr>
              <w:t>A informação contraditória sobre o resultado do pai e a crise com o canal aliado.</w:t>
            </w:r>
          </w:p>
        </w:tc>
      </w:tr>
      <w:tr>
        <w:tc>
          <w:tcPr>
            <w:tcW w:type="dxa" w:w="4933"/>
            <w:shd w:fill="E8EEF5"/>
            <w:tcMar>
              <w:top w:w="70" w:type="dxa"/>
              <w:start w:w="90" w:type="dxa"/>
              <w:bottom w:w="70" w:type="dxa"/>
              <w:end w:w="90" w:type="dxa"/>
            </w:tcMar>
          </w:tcPr>
          <w:p>
            <w:r>
              <w:rPr>
                <w:b/>
                <w:color w:val="20344B"/>
                <w:sz w:val="15"/>
              </w:rPr>
              <w:t>A Meta abre a folha</w:t>
            </w:r>
          </w:p>
        </w:tc>
        <w:tc>
          <w:tcPr>
            <w:tcW w:type="dxa" w:w="4933"/>
            <w:tcMar>
              <w:top w:w="70" w:type="dxa"/>
              <w:start w:w="90" w:type="dxa"/>
              <w:bottom w:w="70" w:type="dxa"/>
              <w:end w:w="90" w:type="dxa"/>
            </w:tcMar>
          </w:tcPr>
          <w:p>
            <w:r>
              <w:rPr>
                <w:sz w:val="15"/>
              </w:rPr>
              <w:t>Administradores de páginas removidas aparecem na estrutura parlamentar.</w:t>
            </w:r>
          </w:p>
        </w:tc>
      </w:tr>
      <w:tr>
        <w:tc>
          <w:tcPr>
            <w:tcW w:type="dxa" w:w="4933"/>
            <w:shd w:fill="E8EEF5"/>
            <w:tcMar>
              <w:top w:w="70" w:type="dxa"/>
              <w:start w:w="90" w:type="dxa"/>
              <w:bottom w:w="70" w:type="dxa"/>
              <w:end w:w="90" w:type="dxa"/>
            </w:tcMar>
          </w:tcPr>
          <w:p>
            <w:r>
              <w:rPr>
                <w:b/>
                <w:color w:val="20344B"/>
                <w:sz w:val="15"/>
              </w:rPr>
              <w:t>Gettr no rodapé</w:t>
            </w:r>
          </w:p>
        </w:tc>
        <w:tc>
          <w:tcPr>
            <w:tcW w:type="dxa" w:w="4933"/>
            <w:tcMar>
              <w:top w:w="70" w:type="dxa"/>
              <w:start w:w="90" w:type="dxa"/>
              <w:bottom w:w="70" w:type="dxa"/>
              <w:end w:w="90" w:type="dxa"/>
            </w:tcMar>
          </w:tcPr>
          <w:p>
            <w:r>
              <w:rPr>
                <w:sz w:val="15"/>
              </w:rPr>
              <w:t>Logomarca de plataforma americana em eventos eleitorais brasileiros.</w:t>
            </w:r>
          </w:p>
        </w:tc>
      </w:tr>
      <w:tr>
        <w:tc>
          <w:tcPr>
            <w:tcW w:type="dxa" w:w="4933"/>
            <w:shd w:fill="E8EEF5"/>
            <w:tcMar>
              <w:top w:w="70" w:type="dxa"/>
              <w:start w:w="90" w:type="dxa"/>
              <w:bottom w:w="70" w:type="dxa"/>
              <w:end w:w="90" w:type="dxa"/>
            </w:tcMar>
          </w:tcPr>
          <w:p>
            <w:r>
              <w:rPr>
                <w:b/>
                <w:color w:val="20344B"/>
                <w:sz w:val="15"/>
              </w:rPr>
              <w:t>Bannon, primeira ponte</w:t>
            </w:r>
          </w:p>
        </w:tc>
        <w:tc>
          <w:tcPr>
            <w:tcW w:type="dxa" w:w="4933"/>
            <w:tcMar>
              <w:top w:w="70" w:type="dxa"/>
              <w:start w:w="90" w:type="dxa"/>
              <w:bottom w:w="70" w:type="dxa"/>
              <w:end w:w="90" w:type="dxa"/>
            </w:tcMar>
          </w:tcPr>
          <w:p>
            <w:r>
              <w:rPr>
                <w:sz w:val="15"/>
              </w:rPr>
              <w:t>A foto/encontro de 2018 que antecede a rede transnacional.</w:t>
            </w:r>
          </w:p>
        </w:tc>
      </w:tr>
      <w:tr>
        <w:tc>
          <w:tcPr>
            <w:tcW w:type="dxa" w:w="4933"/>
            <w:shd w:fill="E8EEF5"/>
            <w:tcMar>
              <w:top w:w="70" w:type="dxa"/>
              <w:start w:w="90" w:type="dxa"/>
              <w:bottom w:w="70" w:type="dxa"/>
              <w:end w:w="90" w:type="dxa"/>
            </w:tcMar>
          </w:tcPr>
          <w:p>
            <w:r>
              <w:rPr>
                <w:b/>
                <w:color w:val="20344B"/>
                <w:sz w:val="15"/>
              </w:rPr>
              <w:t>CPAC México após a derrota</w:t>
            </w:r>
          </w:p>
        </w:tc>
        <w:tc>
          <w:tcPr>
            <w:tcW w:type="dxa" w:w="4933"/>
            <w:tcMar>
              <w:top w:w="70" w:type="dxa"/>
              <w:start w:w="90" w:type="dxa"/>
              <w:bottom w:w="70" w:type="dxa"/>
              <w:end w:w="90" w:type="dxa"/>
            </w:tcMar>
          </w:tcPr>
          <w:p>
            <w:r>
              <w:rPr>
                <w:sz w:val="15"/>
              </w:rPr>
              <w:t>A contestação eleitoral brasileira oferecida a uma plateia estrangeira.</w:t>
            </w:r>
          </w:p>
        </w:tc>
      </w:tr>
      <w:tr>
        <w:tc>
          <w:tcPr>
            <w:tcW w:type="dxa" w:w="4933"/>
            <w:shd w:fill="E8EEF5"/>
            <w:tcMar>
              <w:top w:w="70" w:type="dxa"/>
              <w:start w:w="90" w:type="dxa"/>
              <w:bottom w:w="70" w:type="dxa"/>
              <w:end w:w="90" w:type="dxa"/>
            </w:tcMar>
          </w:tcPr>
          <w:p>
            <w:r>
              <w:rPr>
                <w:b/>
                <w:color w:val="20344B"/>
                <w:sz w:val="15"/>
              </w:rPr>
              <w:t>O endereço do Texas</w:t>
            </w:r>
          </w:p>
        </w:tc>
        <w:tc>
          <w:tcPr>
            <w:tcW w:type="dxa" w:w="4933"/>
            <w:tcMar>
              <w:top w:w="70" w:type="dxa"/>
              <w:start w:w="90" w:type="dxa"/>
              <w:bottom w:w="70" w:type="dxa"/>
              <w:end w:w="90" w:type="dxa"/>
            </w:tcMar>
          </w:tcPr>
          <w:p>
            <w:r>
              <w:rPr>
                <w:sz w:val="15"/>
              </w:rPr>
              <w:t>Entidades criadas em sequência no mesmo endereço.</w:t>
            </w:r>
          </w:p>
        </w:tc>
      </w:tr>
      <w:tr>
        <w:tc>
          <w:tcPr>
            <w:tcW w:type="dxa" w:w="4933"/>
            <w:shd w:fill="E8EEF5"/>
            <w:tcMar>
              <w:top w:w="70" w:type="dxa"/>
              <w:start w:w="90" w:type="dxa"/>
              <w:bottom w:w="70" w:type="dxa"/>
              <w:end w:w="90" w:type="dxa"/>
            </w:tcMar>
          </w:tcPr>
          <w:p>
            <w:r>
              <w:rPr>
                <w:b/>
                <w:color w:val="20344B"/>
                <w:sz w:val="15"/>
              </w:rPr>
              <w:t>O contrato de Dark Horse</w:t>
            </w:r>
          </w:p>
        </w:tc>
        <w:tc>
          <w:tcPr>
            <w:tcW w:type="dxa" w:w="4933"/>
            <w:tcMar>
              <w:top w:w="70" w:type="dxa"/>
              <w:start w:w="90" w:type="dxa"/>
              <w:bottom w:w="70" w:type="dxa"/>
              <w:end w:w="90" w:type="dxa"/>
            </w:tcMar>
          </w:tcPr>
          <w:p>
            <w:r>
              <w:rPr>
                <w:sz w:val="15"/>
              </w:rPr>
              <w:t>O nome de Eduardo associado a poder sobre orçamento e captação, segundo reportagem.</w:t>
            </w:r>
          </w:p>
        </w:tc>
      </w:tr>
      <w:tr>
        <w:tc>
          <w:tcPr>
            <w:tcW w:type="dxa" w:w="4933"/>
            <w:shd w:fill="E8EEF5"/>
            <w:tcMar>
              <w:top w:w="70" w:type="dxa"/>
              <w:start w:w="90" w:type="dxa"/>
              <w:bottom w:w="70" w:type="dxa"/>
              <w:end w:w="90" w:type="dxa"/>
            </w:tcMar>
          </w:tcPr>
          <w:p>
            <w:r>
              <w:rPr>
                <w:b/>
                <w:color w:val="20344B"/>
                <w:sz w:val="15"/>
              </w:rPr>
              <w:t>“Filme!”</w:t>
            </w:r>
          </w:p>
        </w:tc>
        <w:tc>
          <w:tcPr>
            <w:tcW w:type="dxa" w:w="4933"/>
            <w:tcMar>
              <w:top w:w="70" w:type="dxa"/>
              <w:start w:w="90" w:type="dxa"/>
              <w:bottom w:w="70" w:type="dxa"/>
              <w:end w:w="90" w:type="dxa"/>
            </w:tcMar>
          </w:tcPr>
          <w:p>
            <w:r>
              <w:rPr>
                <w:sz w:val="15"/>
              </w:rPr>
              <w:t>O comprovante SWIFT enviado numa conversa entre operadores.</w:t>
            </w:r>
          </w:p>
        </w:tc>
      </w:tr>
      <w:tr>
        <w:tc>
          <w:tcPr>
            <w:tcW w:type="dxa" w:w="4933"/>
            <w:shd w:fill="E8EEF5"/>
            <w:tcMar>
              <w:top w:w="70" w:type="dxa"/>
              <w:start w:w="90" w:type="dxa"/>
              <w:bottom w:w="70" w:type="dxa"/>
              <w:end w:w="90" w:type="dxa"/>
            </w:tcMar>
          </w:tcPr>
          <w:p>
            <w:r>
              <w:rPr>
                <w:b/>
                <w:color w:val="20344B"/>
                <w:sz w:val="15"/>
              </w:rPr>
              <w:t>A casa de Southlake</w:t>
            </w:r>
          </w:p>
        </w:tc>
        <w:tc>
          <w:tcPr>
            <w:tcW w:type="dxa" w:w="4933"/>
            <w:tcMar>
              <w:top w:w="70" w:type="dxa"/>
              <w:start w:w="90" w:type="dxa"/>
              <w:bottom w:w="70" w:type="dxa"/>
              <w:end w:w="90" w:type="dxa"/>
            </w:tcMar>
          </w:tcPr>
          <w:p>
            <w:r>
              <w:rPr>
                <w:sz w:val="15"/>
              </w:rPr>
              <w:t>A campainha tocada por repórteres e a confirmação da residência.</w:t>
            </w:r>
          </w:p>
        </w:tc>
      </w:tr>
      <w:tr>
        <w:tc>
          <w:tcPr>
            <w:tcW w:type="dxa" w:w="4933"/>
            <w:shd w:fill="E8EEF5"/>
            <w:tcMar>
              <w:top w:w="70" w:type="dxa"/>
              <w:start w:w="90" w:type="dxa"/>
              <w:bottom w:w="70" w:type="dxa"/>
              <w:end w:w="90" w:type="dxa"/>
            </w:tcMar>
          </w:tcPr>
          <w:p>
            <w:r>
              <w:rPr>
                <w:b/>
                <w:color w:val="20344B"/>
                <w:sz w:val="15"/>
              </w:rPr>
              <w:t>A licença que termina</w:t>
            </w:r>
          </w:p>
        </w:tc>
        <w:tc>
          <w:tcPr>
            <w:tcW w:type="dxa" w:w="4933"/>
            <w:tcMar>
              <w:top w:w="70" w:type="dxa"/>
              <w:start w:w="90" w:type="dxa"/>
              <w:bottom w:w="70" w:type="dxa"/>
              <w:end w:w="90" w:type="dxa"/>
            </w:tcMar>
          </w:tcPr>
          <w:p>
            <w:r>
              <w:rPr>
                <w:sz w:val="15"/>
              </w:rPr>
              <w:t>20 de julho de 2025 chega sem retorno ao plenário.</w:t>
            </w:r>
          </w:p>
        </w:tc>
      </w:tr>
      <w:tr>
        <w:tc>
          <w:tcPr>
            <w:tcW w:type="dxa" w:w="4933"/>
            <w:shd w:fill="E8EEF5"/>
            <w:tcMar>
              <w:top w:w="70" w:type="dxa"/>
              <w:start w:w="90" w:type="dxa"/>
              <w:bottom w:w="70" w:type="dxa"/>
              <w:end w:w="90" w:type="dxa"/>
            </w:tcMar>
          </w:tcPr>
          <w:p>
            <w:r>
              <w:rPr>
                <w:b/>
                <w:color w:val="20344B"/>
                <w:sz w:val="15"/>
              </w:rPr>
              <w:t>A reunião no Tesouro</w:t>
            </w:r>
          </w:p>
        </w:tc>
        <w:tc>
          <w:tcPr>
            <w:tcW w:type="dxa" w:w="4933"/>
            <w:tcMar>
              <w:top w:w="70" w:type="dxa"/>
              <w:start w:w="90" w:type="dxa"/>
              <w:bottom w:w="70" w:type="dxa"/>
              <w:end w:w="90" w:type="dxa"/>
            </w:tcMar>
          </w:tcPr>
          <w:p>
            <w:r>
              <w:rPr>
                <w:sz w:val="15"/>
              </w:rPr>
              <w:t>A agenda americana registrada em meio à campanha de sanções.</w:t>
            </w:r>
          </w:p>
        </w:tc>
      </w:tr>
      <w:tr>
        <w:tc>
          <w:tcPr>
            <w:tcW w:type="dxa" w:w="4933"/>
            <w:shd w:fill="E8EEF5"/>
            <w:tcMar>
              <w:top w:w="70" w:type="dxa"/>
              <w:start w:w="90" w:type="dxa"/>
              <w:bottom w:w="70" w:type="dxa"/>
              <w:end w:w="90" w:type="dxa"/>
            </w:tcMar>
          </w:tcPr>
          <w:p>
            <w:r>
              <w:rPr>
                <w:b/>
                <w:color w:val="20344B"/>
                <w:sz w:val="15"/>
              </w:rPr>
              <w:t>A notificação contestada</w:t>
            </w:r>
          </w:p>
        </w:tc>
        <w:tc>
          <w:tcPr>
            <w:tcW w:type="dxa" w:w="4933"/>
            <w:tcMar>
              <w:top w:w="70" w:type="dxa"/>
              <w:start w:w="90" w:type="dxa"/>
              <w:bottom w:w="70" w:type="dxa"/>
              <w:end w:w="90" w:type="dxa"/>
            </w:tcMar>
          </w:tcPr>
          <w:p>
            <w:r>
              <w:rPr>
                <w:sz w:val="15"/>
              </w:rPr>
              <w:t>Entrevistas públicas em contraste com a defesa processual sobre ciência do caso.</w:t>
            </w:r>
          </w:p>
        </w:tc>
      </w:tr>
      <w:tr>
        <w:tc>
          <w:tcPr>
            <w:tcW w:type="dxa" w:w="4933"/>
            <w:shd w:fill="E8EEF5"/>
            <w:tcMar>
              <w:top w:w="70" w:type="dxa"/>
              <w:start w:w="90" w:type="dxa"/>
              <w:bottom w:w="70" w:type="dxa"/>
              <w:end w:w="90" w:type="dxa"/>
            </w:tcMar>
          </w:tcPr>
          <w:p>
            <w:r>
              <w:rPr>
                <w:b/>
                <w:color w:val="20344B"/>
                <w:sz w:val="15"/>
              </w:rPr>
              <w:t>A votação unânime</w:t>
            </w:r>
          </w:p>
        </w:tc>
        <w:tc>
          <w:tcPr>
            <w:tcW w:type="dxa" w:w="4933"/>
            <w:tcMar>
              <w:top w:w="70" w:type="dxa"/>
              <w:start w:w="90" w:type="dxa"/>
              <w:bottom w:w="70" w:type="dxa"/>
              <w:end w:w="90" w:type="dxa"/>
            </w:tcMar>
          </w:tcPr>
          <w:p>
            <w:r>
              <w:rPr>
                <w:sz w:val="15"/>
              </w:rPr>
              <w:t>Quatro ministros formam a condenação em junho de 2026.</w:t>
            </w:r>
          </w:p>
        </w:tc>
      </w:tr>
      <w:tr>
        <w:tc>
          <w:tcPr>
            <w:tcW w:type="dxa" w:w="4933"/>
            <w:shd w:fill="E8EEF5"/>
            <w:tcMar>
              <w:top w:w="70" w:type="dxa"/>
              <w:start w:w="90" w:type="dxa"/>
              <w:bottom w:w="70" w:type="dxa"/>
              <w:end w:w="90" w:type="dxa"/>
            </w:tcMar>
          </w:tcPr>
          <w:p>
            <w:r>
              <w:rPr>
                <w:b/>
                <w:color w:val="20344B"/>
                <w:sz w:val="15"/>
              </w:rPr>
              <w:t>O Ato 229</w:t>
            </w:r>
          </w:p>
        </w:tc>
        <w:tc>
          <w:tcPr>
            <w:tcW w:type="dxa" w:w="4933"/>
            <w:tcMar>
              <w:top w:w="70" w:type="dxa"/>
              <w:start w:w="90" w:type="dxa"/>
              <w:bottom w:w="70" w:type="dxa"/>
              <w:end w:w="90" w:type="dxa"/>
            </w:tcMar>
          </w:tcPr>
          <w:p>
            <w:r>
              <w:rPr>
                <w:sz w:val="15"/>
              </w:rPr>
              <w:t>Uma página administrativa encerra dez anos de mandato.</w:t>
            </w:r>
          </w:p>
        </w:tc>
      </w:tr>
      <w:tr>
        <w:tc>
          <w:tcPr>
            <w:tcW w:type="dxa" w:w="4933"/>
            <w:shd w:fill="E8EEF5"/>
            <w:tcMar>
              <w:top w:w="70" w:type="dxa"/>
              <w:start w:w="90" w:type="dxa"/>
              <w:bottom w:w="70" w:type="dxa"/>
              <w:end w:w="90" w:type="dxa"/>
            </w:tcMar>
          </w:tcPr>
          <w:p>
            <w:r>
              <w:rPr>
                <w:b/>
                <w:color w:val="20344B"/>
                <w:sz w:val="15"/>
              </w:rPr>
              <w:t>A ordem de voltar à PF</w:t>
            </w:r>
          </w:p>
        </w:tc>
        <w:tc>
          <w:tcPr>
            <w:tcW w:type="dxa" w:w="4933"/>
            <w:tcMar>
              <w:top w:w="70" w:type="dxa"/>
              <w:start w:w="90" w:type="dxa"/>
              <w:bottom w:w="70" w:type="dxa"/>
              <w:end w:w="90" w:type="dxa"/>
            </w:tcMar>
          </w:tcPr>
          <w:p>
            <w:r>
              <w:rPr>
                <w:sz w:val="15"/>
              </w:rPr>
              <w:t>A instituição reaparece depois da política.</w:t>
            </w:r>
          </w:p>
        </w:tc>
      </w:tr>
      <w:tr>
        <w:tc>
          <w:tcPr>
            <w:tcW w:type="dxa" w:w="4933"/>
            <w:shd w:fill="E8EEF5"/>
            <w:tcMar>
              <w:top w:w="70" w:type="dxa"/>
              <w:start w:w="90" w:type="dxa"/>
              <w:bottom w:w="70" w:type="dxa"/>
              <w:end w:w="90" w:type="dxa"/>
            </w:tcMar>
          </w:tcPr>
          <w:p>
            <w:r>
              <w:rPr>
                <w:b/>
                <w:color w:val="20344B"/>
                <w:sz w:val="15"/>
              </w:rPr>
              <w:t>O PAD na mesa do ministro</w:t>
            </w:r>
          </w:p>
        </w:tc>
        <w:tc>
          <w:tcPr>
            <w:tcW w:type="dxa" w:w="4933"/>
            <w:tcMar>
              <w:top w:w="70" w:type="dxa"/>
              <w:start w:w="90" w:type="dxa"/>
              <w:bottom w:w="70" w:type="dxa"/>
              <w:end w:w="90" w:type="dxa"/>
            </w:tcMar>
          </w:tcPr>
          <w:p>
            <w:r>
              <w:rPr>
                <w:sz w:val="15"/>
              </w:rPr>
              <w:t>Decisão disciplinar pronta, mas ainda sem publicação final.</w:t>
            </w:r>
          </w:p>
        </w:tc>
      </w:tr>
      <w:tr>
        <w:tc>
          <w:tcPr>
            <w:tcW w:type="dxa" w:w="4933"/>
            <w:shd w:fill="E8EEF5"/>
            <w:tcMar>
              <w:top w:w="70" w:type="dxa"/>
              <w:start w:w="90" w:type="dxa"/>
              <w:bottom w:w="70" w:type="dxa"/>
              <w:end w:w="90" w:type="dxa"/>
            </w:tcMar>
          </w:tcPr>
          <w:p>
            <w:r>
              <w:rPr>
                <w:b/>
                <w:color w:val="20344B"/>
                <w:sz w:val="15"/>
              </w:rPr>
              <w:t>A fala condicionada à anistia</w:t>
            </w:r>
          </w:p>
        </w:tc>
        <w:tc>
          <w:tcPr>
            <w:tcW w:type="dxa" w:w="4933"/>
            <w:tcMar>
              <w:top w:w="70" w:type="dxa"/>
              <w:start w:w="90" w:type="dxa"/>
              <w:bottom w:w="70" w:type="dxa"/>
              <w:end w:w="90" w:type="dxa"/>
            </w:tcMar>
          </w:tcPr>
          <w:p>
            <w:r>
              <w:rPr>
                <w:sz w:val="15"/>
              </w:rPr>
              <w:t>O retorno ao Brasil transformado em cláusula política.</w:t>
            </w:r>
          </w:p>
        </w:tc>
      </w:tr>
      <w:tr>
        <w:tc>
          <w:tcPr>
            <w:tcW w:type="dxa" w:w="4933"/>
            <w:shd w:fill="E8EEF5"/>
            <w:tcMar>
              <w:top w:w="70" w:type="dxa"/>
              <w:start w:w="90" w:type="dxa"/>
              <w:bottom w:w="70" w:type="dxa"/>
              <w:end w:w="90" w:type="dxa"/>
            </w:tcMar>
          </w:tcPr>
          <w:p>
            <w:r>
              <w:rPr>
                <w:b/>
                <w:color w:val="20344B"/>
                <w:sz w:val="15"/>
              </w:rPr>
              <w:t>O livro dentro do livro</w:t>
            </w:r>
          </w:p>
        </w:tc>
        <w:tc>
          <w:tcPr>
            <w:tcW w:type="dxa" w:w="4933"/>
            <w:tcMar>
              <w:top w:w="70" w:type="dxa"/>
              <w:start w:w="90" w:type="dxa"/>
              <w:bottom w:w="70" w:type="dxa"/>
              <w:end w:w="90" w:type="dxa"/>
            </w:tcMar>
          </w:tcPr>
          <w:p>
            <w:r>
              <w:rPr>
                <w:sz w:val="15"/>
              </w:rPr>
              <w:t>A autoimagem de O fenômeno ignorado confrontada com documentos omitidos.</w:t>
            </w:r>
          </w:p>
        </w:tc>
      </w:tr>
    </w:tbl>
    <w:p>
      <w:r>
        <w:br w:type="page"/>
      </w:r>
    </w:p>
    <w:p>
      <w:pPr>
        <w:pStyle w:val="Heading1"/>
      </w:pPr>
      <w:r>
        <w:t>6. Mapa de personagens</w:t>
      </w:r>
    </w:p>
    <w:p>
      <w:pPr>
        <w:pStyle w:val="Heading2"/>
      </w:pPr>
      <w:r>
        <w:t>Núcleo familiar</w:t>
      </w:r>
    </w:p>
    <w:p>
      <w:pPr>
        <w:pStyle w:val="ListBullet"/>
        <w:ind w:left="340" w:hanging="142"/>
      </w:pPr>
      <w:r>
        <w:t>Jair Bolsonaro — origem do capital político, chefe e beneficiário da diplomacia familiar.</w:t>
      </w:r>
    </w:p>
    <w:p>
      <w:pPr>
        <w:pStyle w:val="ListBullet"/>
        <w:ind w:left="340" w:hanging="142"/>
      </w:pPr>
      <w:r>
        <w:t>Rogéria Nantes — mãe dos três filhos mais velhos; contexto da formação.</w:t>
      </w:r>
    </w:p>
    <w:p>
      <w:pPr>
        <w:pStyle w:val="ListBullet"/>
        <w:ind w:left="340" w:hanging="142"/>
      </w:pPr>
      <w:r>
        <w:t>Flávio Bolsonaro — primogênito, interlocutor do filme e contraponto de método.</w:t>
      </w:r>
    </w:p>
    <w:p>
      <w:pPr>
        <w:pStyle w:val="ListBullet"/>
        <w:ind w:left="340" w:hanging="142"/>
      </w:pPr>
      <w:r>
        <w:t>Carlos Bolsonaro — operador digital familiar; relação de cooperação e disputa.</w:t>
      </w:r>
    </w:p>
    <w:p>
      <w:pPr>
        <w:pStyle w:val="ListBullet"/>
        <w:ind w:left="340" w:hanging="142"/>
      </w:pPr>
      <w:r>
        <w:t>Heloísa Bolsonaro — mudança e vida familiar nos EUA; privacidade deve ser respeitada.</w:t>
      </w:r>
    </w:p>
    <w:p>
      <w:pPr>
        <w:pStyle w:val="Heading2"/>
      </w:pPr>
      <w:r>
        <w:t>Estado e mandato</w:t>
      </w:r>
    </w:p>
    <w:p>
      <w:pPr>
        <w:pStyle w:val="ListBullet"/>
        <w:ind w:left="340" w:hanging="142"/>
      </w:pPr>
      <w:r>
        <w:t>Jorge Oliveira e família Francisco — ponte entre gabinetes e governo.</w:t>
      </w:r>
    </w:p>
    <w:p>
      <w:pPr>
        <w:pStyle w:val="ListBullet"/>
        <w:ind w:left="340" w:hanging="142"/>
      </w:pPr>
      <w:r>
        <w:t>Ex-colegas da PF — testemunhas do trabalho concreto.</w:t>
      </w:r>
    </w:p>
    <w:p>
      <w:pPr>
        <w:pStyle w:val="ListBullet"/>
        <w:ind w:left="340" w:hanging="142"/>
      </w:pPr>
      <w:r>
        <w:t>Diplomatas — contraponto institucional às intervenções internacionais.</w:t>
      </w:r>
    </w:p>
    <w:p>
      <w:pPr>
        <w:pStyle w:val="ListBullet"/>
        <w:ind w:left="340" w:hanging="142"/>
      </w:pPr>
      <w:r>
        <w:t>Ministros e parlamentares — embaixada, CREDN, China e crises.</w:t>
      </w:r>
    </w:p>
    <w:p>
      <w:pPr>
        <w:pStyle w:val="Heading2"/>
      </w:pPr>
      <w:r>
        <w:t>Rede internacional</w:t>
      </w:r>
    </w:p>
    <w:p>
      <w:pPr>
        <w:pStyle w:val="ListBullet"/>
        <w:ind w:left="340" w:hanging="142"/>
      </w:pPr>
      <w:r>
        <w:t>Steve Bannon — padrinho e ideólogo de rede.</w:t>
      </w:r>
    </w:p>
    <w:p>
      <w:pPr>
        <w:pStyle w:val="ListBullet"/>
        <w:ind w:left="340" w:hanging="142"/>
      </w:pPr>
      <w:r>
        <w:t>Gerald Brant — intermediário inicial.</w:t>
      </w:r>
    </w:p>
    <w:p>
      <w:pPr>
        <w:pStyle w:val="ListBullet"/>
        <w:ind w:left="340" w:hanging="142"/>
      </w:pPr>
      <w:r>
        <w:t>Jason Miller — Gettr, CPAC e ponte trumpista.</w:t>
      </w:r>
    </w:p>
    <w:p>
      <w:pPr>
        <w:pStyle w:val="ListBullet"/>
        <w:ind w:left="340" w:hanging="142"/>
      </w:pPr>
      <w:r>
        <w:t>Paulo Figueiredo — operação de mídia e sanções.</w:t>
      </w:r>
    </w:p>
    <w:p>
      <w:pPr>
        <w:pStyle w:val="ListBullet"/>
        <w:ind w:left="340" w:hanging="142"/>
      </w:pPr>
      <w:r>
        <w:t>Tucker Carlson/Jordan Peterson — amplificação da narrativa.</w:t>
      </w:r>
    </w:p>
    <w:p>
      <w:pPr>
        <w:pStyle w:val="Heading2"/>
      </w:pPr>
      <w:r>
        <w:t>Texas e dinheiro</w:t>
      </w:r>
    </w:p>
    <w:p>
      <w:pPr>
        <w:pStyle w:val="ListBullet"/>
        <w:ind w:left="340" w:hanging="142"/>
      </w:pPr>
      <w:r>
        <w:t>Paulo Calixto — advogado e gestor ligado ao Havengate.</w:t>
      </w:r>
    </w:p>
    <w:p>
      <w:pPr>
        <w:pStyle w:val="ListBullet"/>
        <w:ind w:left="340" w:hanging="142"/>
      </w:pPr>
      <w:r>
        <w:t>Altieris Santana — gestor/corretor e operador financeiro-imobiliário.</w:t>
      </w:r>
    </w:p>
    <w:p>
      <w:pPr>
        <w:pStyle w:val="ListBullet"/>
        <w:ind w:left="340" w:hanging="142"/>
      </w:pPr>
      <w:r>
        <w:t>Paulo Generoso — aliado e ex-sócio empresarial.</w:t>
      </w:r>
    </w:p>
    <w:p>
      <w:pPr>
        <w:pStyle w:val="ListBullet"/>
        <w:ind w:left="340" w:hanging="142"/>
      </w:pPr>
      <w:r>
        <w:t>André Porciúncula — ex-sócio e operador logístico citado no corpus.</w:t>
      </w:r>
    </w:p>
    <w:p>
      <w:pPr>
        <w:pStyle w:val="ListBullet"/>
        <w:ind w:left="340" w:hanging="142"/>
      </w:pPr>
      <w:r>
        <w:t>Mário Frias, Karina Gama e produtores — contrato e execução de Dark Horse.</w:t>
      </w:r>
    </w:p>
    <w:p>
      <w:pPr>
        <w:pStyle w:val="ListBullet"/>
        <w:ind w:left="340" w:hanging="142"/>
      </w:pPr>
      <w:r>
        <w:t>Daniel Vorcaro e operadores — origem e decisão sobre os aportes.</w:t>
      </w:r>
    </w:p>
    <w:p>
      <w:pPr>
        <w:pStyle w:val="Heading2"/>
      </w:pPr>
      <w:r>
        <w:t>Instituições e investigação</w:t>
      </w:r>
    </w:p>
    <w:p>
      <w:pPr>
        <w:pStyle w:val="ListBullet"/>
        <w:ind w:left="340" w:hanging="142"/>
      </w:pPr>
      <w:r>
        <w:t>STF/PGR — acusação, julgamento e efeitos.</w:t>
      </w:r>
    </w:p>
    <w:p>
      <w:pPr>
        <w:pStyle w:val="ListBullet"/>
        <w:ind w:left="340" w:hanging="142"/>
      </w:pPr>
      <w:r>
        <w:t>Câmara — mandato, frequência e perda.</w:t>
      </w:r>
    </w:p>
    <w:p>
      <w:pPr>
        <w:pStyle w:val="ListBullet"/>
        <w:ind w:left="340" w:hanging="142"/>
      </w:pPr>
      <w:r>
        <w:t>Polícia Federal — carreira, inquéritos e PAD.</w:t>
      </w:r>
    </w:p>
    <w:p>
      <w:pPr>
        <w:pStyle w:val="ListBullet"/>
        <w:ind w:left="340" w:hanging="142"/>
      </w:pPr>
      <w:r>
        <w:t>Imprensa investigativa — documentos, cadeia de custódia e contraditório.</w:t>
      </w:r>
    </w:p>
    <w:tbl>
      <w:tblPr>
        <w:tblW w:type="auto" w:w="0"/>
        <w:jc w:val="center"/>
        <w:tblLayout w:type="fixed"/>
        <w:tblLook w:firstColumn="1" w:firstRow="1" w:lastColumn="0" w:lastRow="0" w:noHBand="0" w:noVBand="1" w:val="04A0"/>
      </w:tblPr>
      <w:tblGrid>
        <w:gridCol w:w="4933"/>
        <w:gridCol w:w="4933"/>
      </w:tblGrid>
      <w:tr>
        <w:tc>
          <w:tcPr>
            <w:tcW w:type="dxa" w:w="1871"/>
            <w:shd w:fill="B6984C"/>
            <w:tcMar>
              <w:top w:w="120" w:type="dxa"/>
              <w:start w:w="120" w:type="dxa"/>
              <w:bottom w:w="120" w:type="dxa"/>
              <w:end w:w="120" w:type="dxa"/>
            </w:tcMar>
            <w:vAlign w:val="center"/>
          </w:tcPr>
          <w:p>
            <w:pPr>
              <w:jc w:val="center"/>
            </w:pPr>
            <w:r>
              <w:rPr>
                <w:rFonts w:ascii="Liberation Sans" w:hAnsi="Liberation Sans"/>
                <w:b/>
                <w:color w:val="FFFFFF"/>
                <w:sz w:val="16"/>
              </w:rPr>
              <w:t>REGRA</w:t>
            </w:r>
          </w:p>
        </w:tc>
        <w:tc>
          <w:tcPr>
            <w:tcW w:type="dxa" w:w="7711"/>
            <w:shd w:fill="F4F0E5"/>
            <w:tcMar>
              <w:top w:w="120" w:type="dxa"/>
              <w:start w:w="120" w:type="dxa"/>
              <w:bottom w:w="120" w:type="dxa"/>
              <w:end w:w="120" w:type="dxa"/>
            </w:tcMar>
            <w:vAlign w:val="center"/>
          </w:tcPr>
          <w:p>
            <w:r>
              <w:rPr>
                <w:rFonts w:ascii="Liberation Sans" w:hAnsi="Liberation Sans"/>
                <w:color w:val="20252B"/>
                <w:sz w:val="17"/>
              </w:rPr>
              <w:t>Personagem entra quando altera uma decisão, abre uma porta, movimenta dinheiro, fornece prova ou encarna um conflito. Nome sem função vai para nota.</w:t>
            </w:r>
          </w:p>
        </w:tc>
      </w:tr>
    </w:tbl>
    <w:p>
      <w:pPr>
        <w:pStyle w:val="SmallNote"/>
      </w:pPr>
    </w:p>
    <w:p>
      <w:r>
        <w:br w:type="page"/>
      </w:r>
    </w:p>
    <w:p>
      <w:pPr>
        <w:pStyle w:val="Heading1"/>
      </w:pPr>
      <w:r>
        <w:t>7. Linguagem de prova e contraditório</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20344B"/>
            <w:tcMar>
              <w:top w:w="90" w:type="dxa"/>
              <w:start w:w="100" w:type="dxa"/>
              <w:bottom w:w="90" w:type="dxa"/>
              <w:end w:w="100" w:type="dxa"/>
            </w:tcMar>
          </w:tcPr>
          <w:p>
            <w:r>
              <w:rPr>
                <w:b/>
                <w:color w:val="FFFFFF"/>
              </w:rPr>
              <w:t>Estatuto</w:t>
            </w:r>
          </w:p>
        </w:tc>
        <w:tc>
          <w:tcPr>
            <w:tcW w:type="dxa" w:w="4706"/>
            <w:shd w:fill="20344B"/>
            <w:tcMar>
              <w:top w:w="90" w:type="dxa"/>
              <w:start w:w="100" w:type="dxa"/>
              <w:bottom w:w="90" w:type="dxa"/>
              <w:end w:w="100" w:type="dxa"/>
            </w:tcMar>
          </w:tcPr>
          <w:p>
            <w:r>
              <w:rPr>
                <w:b/>
                <w:color w:val="FFFFFF"/>
              </w:rPr>
              <w:t>Verbo recomendado</w:t>
            </w:r>
          </w:p>
        </w:tc>
        <w:tc>
          <w:tcPr>
            <w:tcW w:type="dxa" w:w="2948"/>
            <w:shd w:fill="20344B"/>
            <w:tcMar>
              <w:top w:w="90" w:type="dxa"/>
              <w:start w:w="100" w:type="dxa"/>
              <w:bottom w:w="90" w:type="dxa"/>
              <w:end w:w="100" w:type="dxa"/>
            </w:tcMar>
          </w:tcPr>
          <w:p>
            <w:r>
              <w:rPr>
                <w:b/>
                <w:color w:val="FFFFFF"/>
              </w:rPr>
              <w:t>Exigência</w:t>
            </w:r>
          </w:p>
        </w:tc>
      </w:tr>
      <w:tr>
        <w:tc>
          <w:tcPr>
            <w:tcW w:type="dxa" w:w="3289"/>
            <w:tcMar>
              <w:top w:w="90" w:type="dxa"/>
              <w:start w:w="100" w:type="dxa"/>
              <w:bottom w:w="90" w:type="dxa"/>
              <w:end w:w="100" w:type="dxa"/>
            </w:tcMar>
            <w:shd w:fill="E8EEF5"/>
          </w:tcPr>
          <w:p>
            <w:r>
              <w:rPr>
                <w:sz w:val="16"/>
              </w:rPr>
              <w:t>Fato oficial</w:t>
            </w:r>
          </w:p>
        </w:tc>
        <w:tc>
          <w:tcPr>
            <w:tcW w:type="dxa" w:w="3289"/>
            <w:tcMar>
              <w:top w:w="90" w:type="dxa"/>
              <w:start w:w="100" w:type="dxa"/>
              <w:bottom w:w="90" w:type="dxa"/>
              <w:end w:w="100" w:type="dxa"/>
            </w:tcMar>
          </w:tcPr>
          <w:p>
            <w:r>
              <w:rPr>
                <w:sz w:val="16"/>
              </w:rPr>
              <w:t>“O Ato da Mesa declarou…”, “o perfil registra…”, “a decisão fixou…”</w:t>
            </w:r>
          </w:p>
        </w:tc>
        <w:tc>
          <w:tcPr>
            <w:tcW w:type="dxa" w:w="3289"/>
            <w:tcMar>
              <w:top w:w="90" w:type="dxa"/>
              <w:start w:w="100" w:type="dxa"/>
              <w:bottom w:w="90" w:type="dxa"/>
              <w:end w:w="100" w:type="dxa"/>
            </w:tcMar>
          </w:tcPr>
          <w:p>
            <w:r>
              <w:rPr>
                <w:sz w:val="16"/>
              </w:rPr>
              <w:t>Documento institucional.</w:t>
            </w:r>
          </w:p>
        </w:tc>
      </w:tr>
      <w:tr>
        <w:tc>
          <w:tcPr>
            <w:tcW w:type="dxa" w:w="3289"/>
            <w:tcMar>
              <w:top w:w="90" w:type="dxa"/>
              <w:start w:w="100" w:type="dxa"/>
              <w:bottom w:w="90" w:type="dxa"/>
              <w:end w:w="100" w:type="dxa"/>
            </w:tcMar>
            <w:shd w:fill="E8EEF5"/>
          </w:tcPr>
          <w:p>
            <w:r>
              <w:rPr>
                <w:sz w:val="16"/>
              </w:rPr>
              <w:t>Reportagem documental</w:t>
            </w:r>
          </w:p>
        </w:tc>
        <w:tc>
          <w:tcPr>
            <w:tcW w:type="dxa" w:w="3289"/>
            <w:tcMar>
              <w:top w:w="90" w:type="dxa"/>
              <w:start w:w="100" w:type="dxa"/>
              <w:bottom w:w="90" w:type="dxa"/>
              <w:end w:w="100" w:type="dxa"/>
            </w:tcMar>
          </w:tcPr>
          <w:p>
            <w:r>
              <w:rPr>
                <w:sz w:val="16"/>
              </w:rPr>
              <w:t>“Segundo documentos obtidos pelo Intercept…”, “a Pública identificou…”</w:t>
            </w:r>
          </w:p>
        </w:tc>
        <w:tc>
          <w:tcPr>
            <w:tcW w:type="dxa" w:w="3289"/>
            <w:tcMar>
              <w:top w:w="90" w:type="dxa"/>
              <w:start w:w="100" w:type="dxa"/>
              <w:bottom w:w="90" w:type="dxa"/>
              <w:end w:w="100" w:type="dxa"/>
            </w:tcMar>
          </w:tcPr>
          <w:p>
            <w:r>
              <w:rPr>
                <w:sz w:val="16"/>
              </w:rPr>
              <w:t>Atribuir veículo e método.</w:t>
            </w:r>
          </w:p>
        </w:tc>
      </w:tr>
      <w:tr>
        <w:tc>
          <w:tcPr>
            <w:tcW w:type="dxa" w:w="3289"/>
            <w:tcMar>
              <w:top w:w="90" w:type="dxa"/>
              <w:start w:w="100" w:type="dxa"/>
              <w:bottom w:w="90" w:type="dxa"/>
              <w:end w:w="100" w:type="dxa"/>
            </w:tcMar>
            <w:shd w:fill="E8EEF5"/>
          </w:tcPr>
          <w:p>
            <w:r>
              <w:rPr>
                <w:sz w:val="16"/>
              </w:rPr>
              <w:t>Depoimento/relato</w:t>
            </w:r>
          </w:p>
        </w:tc>
        <w:tc>
          <w:tcPr>
            <w:tcW w:type="dxa" w:w="3289"/>
            <w:tcMar>
              <w:top w:w="90" w:type="dxa"/>
              <w:start w:w="100" w:type="dxa"/>
              <w:bottom w:w="90" w:type="dxa"/>
              <w:end w:w="100" w:type="dxa"/>
            </w:tcMar>
          </w:tcPr>
          <w:p>
            <w:r>
              <w:rPr>
                <w:sz w:val="16"/>
              </w:rPr>
              <w:t>“Segundo X, que afirmou ter presenciado…”</w:t>
            </w:r>
          </w:p>
        </w:tc>
        <w:tc>
          <w:tcPr>
            <w:tcW w:type="dxa" w:w="3289"/>
            <w:tcMar>
              <w:top w:w="90" w:type="dxa"/>
              <w:start w:w="100" w:type="dxa"/>
              <w:bottom w:w="90" w:type="dxa"/>
              <w:end w:w="100" w:type="dxa"/>
            </w:tcMar>
          </w:tcPr>
          <w:p>
            <w:r>
              <w:rPr>
                <w:sz w:val="16"/>
              </w:rPr>
              <w:t>Informar interesse, anonimato e corroboração.</w:t>
            </w:r>
          </w:p>
        </w:tc>
      </w:tr>
      <w:tr>
        <w:tc>
          <w:tcPr>
            <w:tcW w:type="dxa" w:w="3289"/>
            <w:tcMar>
              <w:top w:w="90" w:type="dxa"/>
              <w:start w:w="100" w:type="dxa"/>
              <w:bottom w:w="90" w:type="dxa"/>
              <w:end w:w="100" w:type="dxa"/>
            </w:tcMar>
            <w:shd w:fill="E8EEF5"/>
          </w:tcPr>
          <w:p>
            <w:r>
              <w:rPr>
                <w:sz w:val="16"/>
              </w:rPr>
              <w:t>Alegação da acusação</w:t>
            </w:r>
          </w:p>
        </w:tc>
        <w:tc>
          <w:tcPr>
            <w:tcW w:type="dxa" w:w="3289"/>
            <w:tcMar>
              <w:top w:w="90" w:type="dxa"/>
              <w:start w:w="100" w:type="dxa"/>
              <w:bottom w:w="90" w:type="dxa"/>
              <w:end w:w="100" w:type="dxa"/>
            </w:tcMar>
          </w:tcPr>
          <w:p>
            <w:r>
              <w:rPr>
                <w:sz w:val="16"/>
              </w:rPr>
              <w:t>“A PGR sustentou…”, “a PF suspeita…”</w:t>
            </w:r>
          </w:p>
        </w:tc>
        <w:tc>
          <w:tcPr>
            <w:tcW w:type="dxa" w:w="3289"/>
            <w:tcMar>
              <w:top w:w="90" w:type="dxa"/>
              <w:start w:w="100" w:type="dxa"/>
              <w:bottom w:w="90" w:type="dxa"/>
              <w:end w:w="100" w:type="dxa"/>
            </w:tcMar>
          </w:tcPr>
          <w:p>
            <w:r>
              <w:rPr>
                <w:sz w:val="16"/>
              </w:rPr>
              <w:t>Não converter em fato.</w:t>
            </w:r>
          </w:p>
        </w:tc>
      </w:tr>
      <w:tr>
        <w:tc>
          <w:tcPr>
            <w:tcW w:type="dxa" w:w="3289"/>
            <w:tcMar>
              <w:top w:w="90" w:type="dxa"/>
              <w:start w:w="100" w:type="dxa"/>
              <w:bottom w:w="90" w:type="dxa"/>
              <w:end w:w="100" w:type="dxa"/>
            </w:tcMar>
            <w:shd w:fill="E8EEF5"/>
          </w:tcPr>
          <w:p>
            <w:r>
              <w:rPr>
                <w:sz w:val="16"/>
              </w:rPr>
              <w:t>Resposta/defesa</w:t>
            </w:r>
          </w:p>
        </w:tc>
        <w:tc>
          <w:tcPr>
            <w:tcW w:type="dxa" w:w="3289"/>
            <w:tcMar>
              <w:top w:w="90" w:type="dxa"/>
              <w:start w:w="100" w:type="dxa"/>
              <w:bottom w:w="90" w:type="dxa"/>
              <w:end w:w="100" w:type="dxa"/>
            </w:tcMar>
          </w:tcPr>
          <w:p>
            <w:r>
              <w:rPr>
                <w:sz w:val="16"/>
              </w:rPr>
              <w:t>“Eduardo afirmou…”, “a defesa negou…”</w:t>
            </w:r>
          </w:p>
        </w:tc>
        <w:tc>
          <w:tcPr>
            <w:tcW w:type="dxa" w:w="3289"/>
            <w:tcMar>
              <w:top w:w="90" w:type="dxa"/>
              <w:start w:w="100" w:type="dxa"/>
              <w:bottom w:w="90" w:type="dxa"/>
              <w:end w:w="100" w:type="dxa"/>
            </w:tcMar>
          </w:tcPr>
          <w:p>
            <w:r>
              <w:rPr>
                <w:sz w:val="16"/>
              </w:rPr>
              <w:t>Dar contexto e testar contra documentos.</w:t>
            </w:r>
          </w:p>
        </w:tc>
      </w:tr>
      <w:tr>
        <w:tc>
          <w:tcPr>
            <w:tcW w:type="dxa" w:w="3289"/>
            <w:tcMar>
              <w:top w:w="90" w:type="dxa"/>
              <w:start w:w="100" w:type="dxa"/>
              <w:bottom w:w="90" w:type="dxa"/>
              <w:end w:w="100" w:type="dxa"/>
            </w:tcMar>
            <w:shd w:fill="E8EEF5"/>
          </w:tcPr>
          <w:p>
            <w:r>
              <w:rPr>
                <w:sz w:val="16"/>
              </w:rPr>
              <w:t>Inferência</w:t>
            </w:r>
          </w:p>
        </w:tc>
        <w:tc>
          <w:tcPr>
            <w:tcW w:type="dxa" w:w="3289"/>
            <w:tcMar>
              <w:top w:w="90" w:type="dxa"/>
              <w:start w:w="100" w:type="dxa"/>
              <w:bottom w:w="90" w:type="dxa"/>
              <w:end w:w="100" w:type="dxa"/>
            </w:tcMar>
          </w:tcPr>
          <w:p>
            <w:r>
              <w:rPr>
                <w:sz w:val="16"/>
              </w:rPr>
              <w:t>“A sequência sugere…”, “é possível inferir…”</w:t>
            </w:r>
          </w:p>
        </w:tc>
        <w:tc>
          <w:tcPr>
            <w:tcW w:type="dxa" w:w="3289"/>
            <w:tcMar>
              <w:top w:w="90" w:type="dxa"/>
              <w:start w:w="100" w:type="dxa"/>
              <w:bottom w:w="90" w:type="dxa"/>
              <w:end w:w="100" w:type="dxa"/>
            </w:tcMar>
          </w:tcPr>
          <w:p>
            <w:r>
              <w:rPr>
                <w:sz w:val="16"/>
              </w:rPr>
              <w:t>Explicar os fatos que sustentam e os limites.</w:t>
            </w:r>
          </w:p>
        </w:tc>
      </w:tr>
      <w:tr>
        <w:tc>
          <w:tcPr>
            <w:tcW w:type="dxa" w:w="3289"/>
            <w:tcMar>
              <w:top w:w="90" w:type="dxa"/>
              <w:start w:w="100" w:type="dxa"/>
              <w:bottom w:w="90" w:type="dxa"/>
              <w:end w:w="100" w:type="dxa"/>
            </w:tcMar>
            <w:shd w:fill="E8EEF5"/>
          </w:tcPr>
          <w:p>
            <w:r>
              <w:rPr>
                <w:sz w:val="16"/>
              </w:rPr>
              <w:t>Hipótese de pauta</w:t>
            </w:r>
          </w:p>
        </w:tc>
        <w:tc>
          <w:tcPr>
            <w:tcW w:type="dxa" w:w="3289"/>
            <w:tcMar>
              <w:top w:w="90" w:type="dxa"/>
              <w:start w:w="100" w:type="dxa"/>
              <w:bottom w:w="90" w:type="dxa"/>
              <w:end w:w="100" w:type="dxa"/>
            </w:tcMar>
          </w:tcPr>
          <w:p>
            <w:r>
              <w:rPr>
                <w:sz w:val="16"/>
              </w:rPr>
              <w:t>Não entra no corpo como frase afirmativa.</w:t>
            </w:r>
          </w:p>
        </w:tc>
        <w:tc>
          <w:tcPr>
            <w:tcW w:type="dxa" w:w="3289"/>
            <w:tcMar>
              <w:top w:w="90" w:type="dxa"/>
              <w:start w:w="100" w:type="dxa"/>
              <w:bottom w:w="90" w:type="dxa"/>
              <w:end w:w="100" w:type="dxa"/>
            </w:tcMar>
          </w:tcPr>
          <w:p>
            <w:r>
              <w:rPr>
                <w:sz w:val="16"/>
              </w:rPr>
              <w:t>Fica no caderno de investigação.</w:t>
            </w:r>
          </w:p>
        </w:tc>
      </w:tr>
    </w:tbl>
    <w:p>
      <w:pPr>
        <w:pStyle w:val="Heading2"/>
      </w:pPr>
      <w:r>
        <w:t>Contraditório por capítulo</w:t>
      </w:r>
    </w:p>
    <w:p>
      <w:pPr>
        <w:pStyle w:val="ListNumber"/>
      </w:pPr>
      <w:r>
        <w:t>Enviar perguntas factuais, numeradas e acompanhadas dos documentos relevantes.</w:t>
      </w:r>
    </w:p>
    <w:p>
      <w:pPr>
        <w:pStyle w:val="ListNumber"/>
      </w:pPr>
      <w:r>
        <w:t>Separar perguntas a Eduardo, defesa criminal, família, empresas, produtores e instituições.</w:t>
      </w:r>
    </w:p>
    <w:p>
      <w:pPr>
        <w:pStyle w:val="ListNumber"/>
      </w:pPr>
      <w:r>
        <w:t>Registrar data, meio, prazo, resposta integral e pedido de correção.</w:t>
      </w:r>
    </w:p>
    <w:p>
      <w:pPr>
        <w:pStyle w:val="ListNumber"/>
      </w:pPr>
      <w:r>
        <w:t>Incorporar resposta no ponto da acusação, não em bloco distante.</w:t>
      </w:r>
    </w:p>
    <w:p>
      <w:pPr>
        <w:pStyle w:val="ListNumber"/>
      </w:pPr>
      <w:r>
        <w:t>Quando não houver resposta, informar tentativa com data e canais usados.</w:t>
      </w:r>
    </w:p>
    <w:p>
      <w:pPr>
        <w:pStyle w:val="ListNumber"/>
      </w:pPr>
      <w:r>
        <w:t>Submeter capítulos 17–20 a leitura jurídica independente antes do fechamento.</w:t>
      </w:r>
    </w:p>
    <w:p>
      <w:r>
        <w:br w:type="page"/>
      </w:r>
    </w:p>
    <w:p>
      <w:pPr>
        <w:pStyle w:val="Heading1"/>
      </w:pPr>
      <w:r>
        <w:t>8. Notas, bibliografia e índice</w:t>
      </w:r>
    </w:p>
    <w:p>
      <w:r>
        <w:t>O livro deve usar notas finais numeradas por capítulo, não notas de rodapé extensas. O corpo permanece fluido; as notas guardam URL, data, página, estatuto e divergências. Fontes primárias devem preceder reportagens; reportagens precedem análises e livros de contexto.</w:t>
      </w:r>
    </w:p>
    <w:p>
      <w:pPr>
        <w:pStyle w:val="Heading2"/>
      </w:pPr>
      <w:r>
        <w:t>Modelo de nota</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NOTA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Órgão/veículo, autor, “título”, data, URL ou número do processo, página/timestamp. Em seguida: o que a fonte sustenta, divergências e resposta da parte.</w:t>
            </w:r>
          </w:p>
        </w:tc>
      </w:tr>
    </w:tbl>
    <w:p>
      <w:pPr>
        <w:pStyle w:val="SmallNote"/>
      </w:pPr>
    </w:p>
    <w:p>
      <w:pPr>
        <w:pStyle w:val="Heading2"/>
      </w:pPr>
      <w:r>
        <w:t>Bibliografia mínima</w:t>
      </w:r>
    </w:p>
    <w:p>
      <w:pPr>
        <w:pStyle w:val="ListBullet"/>
        <w:ind w:left="340" w:hanging="142"/>
      </w:pPr>
      <w:r>
        <w:t>Fontes de autoimagem: livro assinado por Eduardo, entrevistas, discursos e redes preservadas.</w:t>
      </w:r>
    </w:p>
    <w:p>
      <w:pPr>
        <w:pStyle w:val="ListBullet"/>
        <w:ind w:left="340" w:hanging="142"/>
      </w:pPr>
      <w:r>
        <w:t>Reportagem investigativa: Juliana Dal Piva, Guilherme Amado, Agência Pública/Lupa, Reuters, Intercept e Folha.</w:t>
      </w:r>
    </w:p>
    <w:p>
      <w:pPr>
        <w:pStyle w:val="ListBullet"/>
        <w:ind w:left="340" w:hanging="142"/>
      </w:pPr>
      <w:r>
        <w:t>Contexto: Bruno Paes Manso, Rodrigo Lentz, Camila Rocha, Benjamin Teitelbaum e artigos sobre transnacionalização.</w:t>
      </w:r>
    </w:p>
    <w:p>
      <w:pPr>
        <w:pStyle w:val="ListBullet"/>
        <w:ind w:left="340" w:hanging="142"/>
      </w:pPr>
      <w:r>
        <w:t>Documentos: Câmara, TSE, STF, PGR, Meta, SEC/IAPD, registros empresariais e cartoriais.</w:t>
      </w:r>
    </w:p>
    <w:p>
      <w:pPr>
        <w:pStyle w:val="Heading2"/>
      </w:pPr>
      <w:r>
        <w:t>Índice onomástico e temático</w:t>
      </w:r>
    </w:p>
    <w:p>
      <w:r>
        <w:t>Priorizar pessoas, instituições, empresas, fundos, eventos e conceitos recorrentes. Endereços residenciais e dados pessoais não necessários ficam fora. Entradas sugeridas: armas; Bannon; Braz Global; Câmara; China; CPAC; Dark Horse; EB-1A; Gettr; Havengate; Meta; Polícia Federal; sanções; STF; Texas.</w:t>
      </w:r>
    </w:p>
    <w:p>
      <w:r>
        <w:br w:type="page"/>
      </w:r>
    </w:p>
    <w:p>
      <w:pPr>
        <w:pStyle w:val="Heading1"/>
      </w:pPr>
      <w:r>
        <w:t>9. Ordem de redação e controle de qualidade</w:t>
      </w:r>
    </w:p>
    <w:p>
      <w:pPr>
        <w:pStyle w:val="Heading2"/>
      </w:pPr>
      <w:r>
        <w:t>Ordem recomendada</w:t>
      </w:r>
    </w:p>
    <w:p>
      <w:pPr>
        <w:pStyle w:val="ListNumber"/>
      </w:pPr>
      <w:r>
        <w:t>Capítulos 19 e 20: fixar o desfecho e a régua jurídica.</w:t>
      </w:r>
    </w:p>
    <w:p>
      <w:pPr>
        <w:pStyle w:val="ListNumber"/>
      </w:pPr>
      <w:r>
        <w:t>Capítulos 3, 5 e 6: consolidar a ascensão documental.</w:t>
      </w:r>
    </w:p>
    <w:p>
      <w:pPr>
        <w:pStyle w:val="ListNumber"/>
      </w:pPr>
      <w:r>
        <w:t>Capítulos 10, 11 e 12: construir a virada institucional e diplomática.</w:t>
      </w:r>
    </w:p>
    <w:p>
      <w:pPr>
        <w:pStyle w:val="ListNumber"/>
      </w:pPr>
      <w:r>
        <w:t>Capítulos 13–15: rede, digital e China.</w:t>
      </w:r>
    </w:p>
    <w:p>
      <w:pPr>
        <w:pStyle w:val="ListNumber"/>
      </w:pPr>
      <w:r>
        <w:t>Capítulos 16–18: pós-2022, Texas e dinheiro.</w:t>
      </w:r>
    </w:p>
    <w:p>
      <w:pPr>
        <w:pStyle w:val="ListNumber"/>
      </w:pPr>
      <w:r>
        <w:t>Capítulos 1, 2 e 4: escrever por último, incorporando reportagem oral.</w:t>
      </w:r>
    </w:p>
    <w:p>
      <w:pPr>
        <w:pStyle w:val="ListNumber"/>
      </w:pPr>
      <w:r>
        <w:t>Capítulos 7–9: fechar pontes internas e eliminar repetição.</w:t>
      </w:r>
    </w:p>
    <w:p>
      <w:pPr>
        <w:pStyle w:val="ListNumber"/>
      </w:pPr>
      <w:r>
        <w:t>Prólogo e epílogo: somente depois de o corpo estar estável.</w:t>
      </w:r>
    </w:p>
    <w:p>
      <w:pPr>
        <w:pStyle w:val="Heading2"/>
      </w:pPr>
      <w:r>
        <w:t>Controle em seis passagens</w:t>
      </w:r>
    </w:p>
    <w:p>
      <w:pPr>
        <w:pStyle w:val="ListNumber"/>
      </w:pPr>
      <w:r>
        <w:t>Passagem factual: cada número, data, cargo e citação conferidos.</w:t>
      </w:r>
    </w:p>
    <w:p>
      <w:pPr>
        <w:pStyle w:val="ListNumber"/>
      </w:pPr>
      <w:r>
        <w:t>Passagem de estatuto: toda acusação e hipótese rotuladas.</w:t>
      </w:r>
    </w:p>
    <w:p>
      <w:pPr>
        <w:pStyle w:val="ListNumber"/>
      </w:pPr>
      <w:r>
        <w:t>Passagem de contraditório: respostas presentes no ponto correto.</w:t>
      </w:r>
    </w:p>
    <w:p>
      <w:pPr>
        <w:pStyle w:val="ListNumber"/>
      </w:pPr>
      <w:r>
        <w:t>Passagem narrativa: cada capítulo abre com cena e fecha com movimento.</w:t>
      </w:r>
    </w:p>
    <w:p>
      <w:pPr>
        <w:pStyle w:val="ListNumber"/>
      </w:pPr>
      <w:r>
        <w:t>Passagem jurídica: títulos, imputações, privacidade, presunção e recursos.</w:t>
      </w:r>
    </w:p>
    <w:p>
      <w:pPr>
        <w:pStyle w:val="ListNumber"/>
      </w:pPr>
      <w:r>
        <w:t>Passagem de 240 mil: contagem, cortes e compensações sem perda de prova.</w:t>
      </w:r>
    </w:p>
    <w:p>
      <w:pPr>
        <w:pStyle w:val="Heading2"/>
      </w:pPr>
      <w:r>
        <w:t>Planilha-mãe obrigatória</w:t>
      </w:r>
    </w:p>
    <w:p>
      <w:r>
        <w:t>Colunas: ID do fato; frase do manuscrito; capítulo; estatuto; fonte primária; fonte secundária; página/timestamp; resposta; risco; última checagem; editor responsável; publicado? Nenhuma frase sensível deve sobreviver sem linha correspondente.</w:t>
      </w:r>
    </w:p>
    <w:p>
      <w:r>
        <w:br w:type="page"/>
      </w:r>
    </w:p>
    <w:p>
      <w:pPr>
        <w:pStyle w:val="Heading1"/>
      </w:pPr>
      <w:r>
        <w:t>10. Abertura e fechamento-modelo</w:t>
      </w:r>
    </w:p>
    <w:p>
      <w:pPr>
        <w:pStyle w:val="Heading2"/>
      </w:pPr>
      <w:r>
        <w:t>Abertura-modelo — prólogo</w:t>
      </w:r>
    </w:p>
    <w:p>
      <w:r>
        <w:t>No dia 20 de julho de 2026, Eduardo Bolsonaro atendeu o telefone nos Estados Unidos para anunciar que já não dependia de uma estadia provisória. Tinha recebido residência permanente americana, disse à Reuters, na categoria reservada a pessoas de “habilidade extraordinária”. O processo, segundo ele, começara cerca de um ano antes — quando ainda era deputado federal brasileiro e já vivia fora do país.</w:t>
      </w:r>
    </w:p>
    <w:p>
      <w:r>
        <w:t>A frase que encerrou a conversa cabia num título: “At least here I am free”. Pelo menos aqui estou livre. No Brasil, a Câmara já havia declarado a perda do mandato por faltas. A Primeira Turma do Supremo o condenara, por unanimidade, a quatro anos e dois meses por coação no curso do processo, decisão ainda sujeita a recursos. Na Polícia Federal, a instituição que lhe dera a primeira profissão regular, um processo disciplinar por abandono de cargo estava pronto para seguir à mesa do ministro da Justiça.</w:t>
      </w:r>
    </w:p>
    <w:p>
      <w:r>
        <w:t>Nada disso, sozinho, explica por que o terceiro filho de Jair Bolsonaro estava no Texas, com acesso à direita americana e capacidade de transformar disputas brasileiras em assunto de Washington. Para entender a chegada é preciso voltar ao primeiro documento: três dias depois de entrar em Direito na Universidade Federal do Rio de Janeiro, aos dezoito anos, Eduardo foi nomeado para trabalhar quarenta horas por semana na Câmara dos Deputados, em Brasília. A estrutura pública veio antes da profissão. O resto da história repetiria, em escalas maiores, essa ordem.</w:t>
      </w:r>
    </w:p>
    <w:p>
      <w:r>
        <w:t>Este livro acompanha a transformação do Zero Três em emissário. Não parte do pressuposto de que cada suspeita é verdadeira, nem chama de prova aquilo que é apenas coincidência. Segue documentos, vídeos, registros empresariais, decisões e dinheiro até o ponto em que eles permitem seguir. Quando o rastro termina, a pergunta fica à vista. É desse método — e não do adjetivo — que nasce O Foragido.</w:t>
      </w:r>
    </w:p>
    <w:p>
      <w:pPr>
        <w:pStyle w:val="SmallNote"/>
      </w:pPr>
      <w:r>
        <w:rPr>
          <w:b/>
          <w:color w:val="6B7280"/>
        </w:rPr>
        <w:t xml:space="preserve">Base documental: </w:t>
      </w:r>
      <w:r>
        <w:t>S03, S04, S09, S10, S11.</w:t>
      </w:r>
    </w:p>
    <w:p>
      <w:pPr>
        <w:pStyle w:val="Heading2"/>
      </w:pPr>
      <w:r>
        <w:t>Fechamento-modelo — última página</w:t>
      </w:r>
    </w:p>
    <w:p>
      <w:r>
        <w:t>Eduardo Bolsonaro não terminou a trajetória fora da política. Terminou esta apuração fora do país. A residência permanente lhe dá tempo; não apaga o Ato da Mesa, a sentença recorrível, o processo disciplinar nem as perguntas sobre a estrutura que o sustenta. Também não transforma automaticamente permanência em fuga jurídica.</w:t>
      </w:r>
    </w:p>
    <w:p>
      <w:r>
        <w:t>Ao condicionar o retorno à anistia, ele próprio converteu a geografia em programa. A liberdade que reivindica nos Estados Unidos depende de uma rede de partidos, mídia, eventos, advogados, financiadores e autoridades estrangeiras construída ao longo de anos. O mandato perdido foi apenas uma de suas plataformas.</w:t>
      </w:r>
    </w:p>
    <w:p>
      <w:r>
        <w:t>A pergunta final não é quando o Zero Três voltará. É o que continuará fazendo enquanto não volta — e em nome de quem.</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FECHO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Atualizar esta página no dia do fechamento. Qualquer novo recurso, mandado, ato da PF ou mudança migratória altera o estatuto e precisa ser incorporado.</w:t>
            </w:r>
          </w:p>
        </w:tc>
      </w:tr>
    </w:tbl>
    <w:p>
      <w:pPr>
        <w:pStyle w:val="SmallNote"/>
      </w:pPr>
    </w:p>
    <w:sectPr w:rsidR="00FC693F" w:rsidRPr="0006063C" w:rsidSect="00034616">
      <w:headerReference w:type="default" r:id="rId9"/>
      <w:footerReference w:type="default" r:id="rId10"/>
      <w:pgSz w:w="11906" w:h="16838"/>
      <w:pgMar w:top="964"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B7280"/>
        <w:sz w:val="14"/>
      </w:rPr>
      <w:t>Terceira onda — depuração  |  Fechamento: 21 jul. 2026 | Caderno de produção</w:t>
    </w:r>
    <w:r>
      <w:t xml:space="preserv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6984C"/>
      </w:pBdr>
    </w:pPr>
    <w:r>
      <w:rPr>
        <w:rFonts w:ascii="Liberation Sans" w:hAnsi="Liberation Sans"/>
        <w:b/>
        <w:color w:val="20344B"/>
        <w:sz w:val="14"/>
      </w:rPr>
      <w:t>ANATOMIA DE UM CLÃ  |  VOL. I — O FORAGIDO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pPr>
    <w:rPr>
      <w:rFonts w:ascii="Liberation Sans" w:hAnsi="Liberation Sans" w:eastAsia="Liberation Sans"/>
      <w:color w:val="2025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20344B"/>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20344B"/>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2B5B8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2034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Liberation Sans" w:hAnsi="Liberation Sans" w:eastAsia="Liberation Sans"/>
      <w:color w:val="6B7280"/>
      <w:sz w:val="16"/>
    </w:rPr>
  </w:style>
  <w:style w:type="paragraph" w:customStyle="1" w:styleId="SourceEntry">
    <w:name w:val="Source Entry"/>
    <w:pPr>
      <w:spacing w:after="60" w:line="240" w:lineRule="auto"/>
      <w:ind w:left="227" w:hanging="227"/>
    </w:pPr>
    <w:rPr>
      <w:rFonts w:ascii="Liberation Sans" w:hAnsi="Liberation Sans" w:eastAsia="Liberation Sans"/>
      <w:sz w:val="16"/>
    </w:rPr>
  </w:style>
  <w:style w:type="paragraph" w:customStyle="1" w:styleId="PullQuote">
    <w:name w:val="Pull Quote"/>
    <w:pPr>
      <w:spacing w:before="160" w:after="160"/>
      <w:ind w:left="454" w:right="454"/>
    </w:pPr>
    <w:rPr>
      <w:rFonts w:ascii="Liberation Serif" w:hAnsi="Liberation Serif" w:eastAsia="Liberation Serif"/>
      <w:i/>
      <w:color w:val="20344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Anatomia de um Clã — O Foragido — Terceira Onda de Depuração</dc:title>
  <dc:subject>Caderno definitivo de produção do livro sobre Eduardo Bolsonaro</dc:subject>
  <dc:creator>Projeto Anatomia de um Clã</dc:creator>
  <cp:keywords/>
  <dc:description>generated by python-docx</dc:description>
  <cp:lastModifiedBy/>
  <cp:revision>1</cp:revision>
  <dcterms:created xsi:type="dcterms:W3CDTF">2013-12-23T23:15:00Z</dcterms:created>
  <dcterms:modified xsi:type="dcterms:W3CDTF">2013-12-23T23:15:00Z</dcterms:modified>
  <cp:category/>
</cp:coreProperties>
</file>