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Y="725"/>
        <w:tblW w:w="8730" w:type="dxa"/>
        <w:tblLayout w:type="fixed"/>
        <w:tblLook w:val="0000" w:firstRow="0" w:lastRow="0" w:firstColumn="0" w:lastColumn="0" w:noHBand="0" w:noVBand="0"/>
      </w:tblPr>
      <w:tblGrid>
        <w:gridCol w:w="2178"/>
        <w:gridCol w:w="3060"/>
        <w:gridCol w:w="3492"/>
      </w:tblGrid>
      <w:tr w:rsidR="00F10BA6" w14:paraId="5AC636F9" w14:textId="77777777">
        <w:trPr>
          <w:trHeight w:val="1980"/>
        </w:trPr>
        <w:tc>
          <w:tcPr>
            <w:tcW w:w="2178" w:type="dxa"/>
          </w:tcPr>
          <w:p w14:paraId="38059E8A" w14:textId="77777777" w:rsidR="00F10BA6" w:rsidRDefault="00F10BA6" w:rsidP="00DF6C55">
            <w:r>
              <w:rPr>
                <w:noProof/>
                <w:lang w:eastAsia="en-US"/>
              </w:rPr>
              <w:drawing>
                <wp:anchor distT="0" distB="0" distL="114300" distR="114300" simplePos="0" relativeHeight="251659264" behindDoc="0" locked="0" layoutInCell="1" allowOverlap="1" wp14:anchorId="5DCA0D20" wp14:editId="2B667BD6">
                  <wp:simplePos x="0" y="0"/>
                  <wp:positionH relativeFrom="column">
                    <wp:posOffset>0</wp:posOffset>
                  </wp:positionH>
                  <wp:positionV relativeFrom="paragraph">
                    <wp:posOffset>73025</wp:posOffset>
                  </wp:positionV>
                  <wp:extent cx="1234440" cy="1234440"/>
                  <wp:effectExtent l="0" t="0" r="10160" b="10160"/>
                  <wp:wrapNone/>
                  <wp:docPr id="2" name="Picture 2" descr="jwst_circle_desig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wst_circle_design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pic:spPr>
                      </pic:pic>
                    </a:graphicData>
                  </a:graphic>
                </wp:anchor>
              </w:drawing>
            </w:r>
          </w:p>
        </w:tc>
        <w:tc>
          <w:tcPr>
            <w:tcW w:w="3060" w:type="dxa"/>
          </w:tcPr>
          <w:p w14:paraId="4A9FD386" w14:textId="77777777" w:rsidR="00F10BA6" w:rsidRDefault="00F10BA6" w:rsidP="00DF6C55">
            <w:pPr>
              <w:spacing w:before="600"/>
              <w:jc w:val="center"/>
              <w:rPr>
                <w:b/>
                <w:sz w:val="36"/>
              </w:rPr>
            </w:pPr>
            <w:r>
              <w:rPr>
                <w:b/>
                <w:sz w:val="36"/>
              </w:rPr>
              <w:t>TECHNICAL REPORT</w:t>
            </w:r>
          </w:p>
        </w:tc>
        <w:tc>
          <w:tcPr>
            <w:tcW w:w="3492" w:type="dxa"/>
          </w:tcPr>
          <w:p w14:paraId="708288C7" w14:textId="77777777" w:rsidR="00F10BA6" w:rsidRDefault="00F10BA6" w:rsidP="00DF6C55">
            <w:pPr>
              <w:pBdr>
                <w:top w:val="single" w:sz="6" w:space="0" w:color="FFFFFF"/>
                <w:left w:val="single" w:sz="6" w:space="0" w:color="FFFFFF"/>
                <w:bottom w:val="single" w:sz="6" w:space="0" w:color="FFFFFF"/>
                <w:right w:val="single" w:sz="6" w:space="0" w:color="FFFFFF"/>
              </w:pBdr>
            </w:pPr>
            <w:r>
              <w:rPr>
                <w:noProof/>
                <w:lang w:eastAsia="en-US"/>
              </w:rPr>
              <w:drawing>
                <wp:inline distT="0" distB="0" distL="0" distR="0" wp14:anchorId="15A99A36" wp14:editId="268DB873">
                  <wp:extent cx="2082800" cy="1358900"/>
                  <wp:effectExtent l="0" t="0" r="0" b="12700"/>
                  <wp:docPr id="1" name="Picture 1" descr="S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2800" cy="1358900"/>
                          </a:xfrm>
                          <a:prstGeom prst="rect">
                            <a:avLst/>
                          </a:prstGeom>
                          <a:noFill/>
                          <a:ln>
                            <a:noFill/>
                          </a:ln>
                        </pic:spPr>
                      </pic:pic>
                    </a:graphicData>
                  </a:graphic>
                </wp:inline>
              </w:drawing>
            </w:r>
          </w:p>
        </w:tc>
      </w:tr>
    </w:tbl>
    <w:p w14:paraId="0137D1E4" w14:textId="77777777" w:rsidR="00F10BA6" w:rsidRDefault="00F10BA6" w:rsidP="00F10BA6">
      <w:pPr>
        <w:ind w:firstLine="432"/>
        <w:rPr>
          <w:sz w:val="32"/>
        </w:rPr>
      </w:pPr>
    </w:p>
    <w:tbl>
      <w:tblPr>
        <w:tblW w:w="874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2808"/>
        <w:gridCol w:w="1710"/>
        <w:gridCol w:w="900"/>
        <w:gridCol w:w="3330"/>
      </w:tblGrid>
      <w:tr w:rsidR="00F10BA6" w14:paraId="7A4A3D67" w14:textId="77777777">
        <w:tc>
          <w:tcPr>
            <w:tcW w:w="4518" w:type="dxa"/>
            <w:gridSpan w:val="2"/>
          </w:tcPr>
          <w:p w14:paraId="557BCCBA" w14:textId="293144C8" w:rsidR="00F10BA6" w:rsidRDefault="00F10BA6" w:rsidP="00934B2B">
            <w:pPr>
              <w:rPr>
                <w:b/>
              </w:rPr>
            </w:pPr>
            <w:r>
              <w:t xml:space="preserve">Title: </w:t>
            </w:r>
            <w:r w:rsidR="00DD0E9E">
              <w:t>Verification of the JWST Exposure Time C</w:t>
            </w:r>
            <w:r w:rsidR="00384070">
              <w:t>alculator</w:t>
            </w:r>
            <w:r>
              <w:t xml:space="preserve"> </w:t>
            </w:r>
          </w:p>
        </w:tc>
        <w:tc>
          <w:tcPr>
            <w:tcW w:w="900" w:type="dxa"/>
            <w:tcBorders>
              <w:right w:val="nil"/>
            </w:tcBorders>
          </w:tcPr>
          <w:p w14:paraId="0969DE8E" w14:textId="77777777" w:rsidR="00F10BA6" w:rsidRDefault="00F10BA6" w:rsidP="00934B2B">
            <w:r>
              <w:t>Doc #:</w:t>
            </w:r>
          </w:p>
          <w:p w14:paraId="3D8BAA81" w14:textId="77777777" w:rsidR="00F10BA6" w:rsidRDefault="00F10BA6" w:rsidP="00934B2B">
            <w:r>
              <w:t>Date:</w:t>
            </w:r>
          </w:p>
          <w:p w14:paraId="3218E431" w14:textId="77777777" w:rsidR="00F10BA6" w:rsidRDefault="00F10BA6" w:rsidP="00934B2B">
            <w:r>
              <w:t>Rev:</w:t>
            </w:r>
          </w:p>
        </w:tc>
        <w:tc>
          <w:tcPr>
            <w:tcW w:w="3330" w:type="dxa"/>
            <w:tcBorders>
              <w:left w:val="nil"/>
            </w:tcBorders>
          </w:tcPr>
          <w:p w14:paraId="7FF6F0A8" w14:textId="77777777" w:rsidR="00F10BA6" w:rsidRDefault="00F10BA6" w:rsidP="00934B2B">
            <w:r>
              <w:t xml:space="preserve">JWST-STScI-000NNN, SM-12 </w:t>
            </w:r>
          </w:p>
          <w:p w14:paraId="3F7B5A76" w14:textId="77777777" w:rsidR="00F10BA6" w:rsidRPr="00F76276" w:rsidRDefault="00F10BA6" w:rsidP="00DF6C55">
            <w:pPr>
              <w:pStyle w:val="BodyText"/>
            </w:pPr>
          </w:p>
        </w:tc>
      </w:tr>
      <w:tr w:rsidR="00F10BA6" w14:paraId="2837035A" w14:textId="77777777">
        <w:tc>
          <w:tcPr>
            <w:tcW w:w="2808" w:type="dxa"/>
            <w:tcBorders>
              <w:right w:val="nil"/>
            </w:tcBorders>
          </w:tcPr>
          <w:p w14:paraId="0D227EC6" w14:textId="40423BFE" w:rsidR="00F10BA6" w:rsidRDefault="00F10BA6" w:rsidP="00934B2B">
            <w:r>
              <w:t xml:space="preserve">Authors:  </w:t>
            </w:r>
            <w:r w:rsidR="00384070">
              <w:t>Klaus Pontoppidan</w:t>
            </w:r>
          </w:p>
        </w:tc>
        <w:tc>
          <w:tcPr>
            <w:tcW w:w="1710" w:type="dxa"/>
            <w:tcBorders>
              <w:left w:val="nil"/>
            </w:tcBorders>
          </w:tcPr>
          <w:p w14:paraId="7F662A33" w14:textId="48044901" w:rsidR="00F10BA6" w:rsidRDefault="00F10BA6" w:rsidP="00934B2B">
            <w:r>
              <w:t xml:space="preserve">Phone:  </w:t>
            </w:r>
            <w:r w:rsidR="00384070">
              <w:t>410 338 4744</w:t>
            </w:r>
          </w:p>
          <w:p w14:paraId="0D6DD02E" w14:textId="77777777" w:rsidR="00F10BA6" w:rsidRDefault="00F10BA6" w:rsidP="00DF6C55">
            <w:pPr>
              <w:pStyle w:val="BodyText"/>
              <w:rPr>
                <w:i/>
              </w:rPr>
            </w:pPr>
          </w:p>
        </w:tc>
        <w:tc>
          <w:tcPr>
            <w:tcW w:w="4230" w:type="dxa"/>
            <w:gridSpan w:val="2"/>
          </w:tcPr>
          <w:p w14:paraId="48D82CAF" w14:textId="77777777" w:rsidR="00F10BA6" w:rsidRDefault="00F10BA6" w:rsidP="00934B2B">
            <w:pPr>
              <w:rPr>
                <w:i/>
                <w:iCs/>
              </w:rPr>
            </w:pPr>
            <w:r>
              <w:t>Release Date:</w:t>
            </w:r>
          </w:p>
        </w:tc>
      </w:tr>
    </w:tbl>
    <w:p w14:paraId="61885C00" w14:textId="77777777" w:rsidR="00F10BA6" w:rsidRPr="008E1AC7" w:rsidRDefault="00F10BA6" w:rsidP="00F10BA6">
      <w:pPr>
        <w:rPr>
          <w:b/>
          <w:color w:val="FF0000"/>
        </w:rPr>
      </w:pPr>
    </w:p>
    <w:p w14:paraId="3CAAE807" w14:textId="77777777" w:rsidR="00F10BA6" w:rsidRDefault="00F10BA6" w:rsidP="00934B2B"/>
    <w:p w14:paraId="039417D5" w14:textId="77777777" w:rsidR="00F10BA6" w:rsidRDefault="00F10BA6" w:rsidP="00014AD1">
      <w:pPr>
        <w:pStyle w:val="Heading1"/>
      </w:pPr>
      <w:r>
        <w:t>Abstract</w:t>
      </w:r>
    </w:p>
    <w:p w14:paraId="36A7D721" w14:textId="4D5CF1D2" w:rsidR="00BE3B30" w:rsidRDefault="00BE3B30" w:rsidP="00934B2B">
      <w:r>
        <w:t>DRAFT---DRAFT---DRAFT---DRAFT---DRAFT---DRAFT---DRAFT---DRAFT</w:t>
      </w:r>
    </w:p>
    <w:p w14:paraId="67BED0BA" w14:textId="77777777" w:rsidR="00F10BA6" w:rsidRDefault="00F10BA6" w:rsidP="00014AD1">
      <w:pPr>
        <w:pStyle w:val="Heading1"/>
      </w:pPr>
      <w:r>
        <w:t>Introduction</w:t>
      </w:r>
    </w:p>
    <w:p w14:paraId="2FC1E345" w14:textId="0FA4CF04" w:rsidR="00786DCD" w:rsidRPr="00786DCD" w:rsidRDefault="00786DCD" w:rsidP="00786DCD">
      <w:r>
        <w:t>This report documents the comparison of the JWST exposure time calculator</w:t>
      </w:r>
      <w:r w:rsidR="00C63107">
        <w:t xml:space="preserve"> (</w:t>
      </w:r>
      <w:proofErr w:type="spellStart"/>
      <w:r w:rsidR="00C63107">
        <w:t>Pandeia</w:t>
      </w:r>
      <w:proofErr w:type="spellEnd"/>
      <w:r w:rsidR="00C63107">
        <w:t>)</w:t>
      </w:r>
      <w:r>
        <w:t xml:space="preserve"> to independent benc</w:t>
      </w:r>
      <w:r w:rsidR="00512B83">
        <w:t>hmark sensitivity calculations. The benchmark calculations are g</w:t>
      </w:r>
      <w:r w:rsidR="00D77DC7">
        <w:t xml:space="preserve">enerally supplied by the instrument teams, and constitute completely independent estimates of the JWST performance. </w:t>
      </w:r>
    </w:p>
    <w:p w14:paraId="283424E4" w14:textId="73781957" w:rsidR="00B004C6" w:rsidRDefault="00B004C6" w:rsidP="00B004C6">
      <w:pPr>
        <w:pStyle w:val="Heading1"/>
      </w:pPr>
      <w:r>
        <w:t>Scope of the verification</w:t>
      </w:r>
    </w:p>
    <w:p w14:paraId="7FB50F78" w14:textId="1DE0FFD8" w:rsidR="00502D8C" w:rsidRDefault="00502D8C" w:rsidP="00502D8C">
      <w:r>
        <w:t xml:space="preserve">The goal is to verify the accuracy of the </w:t>
      </w:r>
      <w:proofErr w:type="spellStart"/>
      <w:r>
        <w:t>Pandeia</w:t>
      </w:r>
      <w:proofErr w:type="spellEnd"/>
      <w:r>
        <w:t xml:space="preserve"> calculation engine. That is, given the same</w:t>
      </w:r>
      <w:r w:rsidR="003017DA">
        <w:t xml:space="preserve"> (or as similar as possible)</w:t>
      </w:r>
      <w:r>
        <w:t xml:space="preserve"> input parameters and reference data (throughputs, read noise, backgrounds), does the predicted signal-to-noise ratios of </w:t>
      </w:r>
      <w:proofErr w:type="spellStart"/>
      <w:r>
        <w:t>Pandeia</w:t>
      </w:r>
      <w:proofErr w:type="spellEnd"/>
      <w:r>
        <w:t xml:space="preserve"> match thos</w:t>
      </w:r>
      <w:r w:rsidR="001D5B15">
        <w:t>e of the benchmark calculations?</w:t>
      </w:r>
      <w:r w:rsidR="00B20A59">
        <w:t xml:space="preserve"> </w:t>
      </w:r>
      <w:r>
        <w:t xml:space="preserve">The goal is not to verify that </w:t>
      </w:r>
      <w:proofErr w:type="spellStart"/>
      <w:r>
        <w:t>Pandeia</w:t>
      </w:r>
      <w:proofErr w:type="spellEnd"/>
      <w:r>
        <w:t xml:space="preserve"> correctly predict in-orbit performance, although, given that most benchmarks use the best available reference data, the </w:t>
      </w:r>
      <w:proofErr w:type="spellStart"/>
      <w:r>
        <w:t>Pandeia</w:t>
      </w:r>
      <w:proofErr w:type="spellEnd"/>
      <w:r>
        <w:t xml:space="preserve"> calculations approximate best-effort pre-launch sensitivities of JWST.</w:t>
      </w:r>
      <w:r w:rsidR="005E58C7">
        <w:t xml:space="preserve"> </w:t>
      </w:r>
    </w:p>
    <w:p w14:paraId="065E5F1E" w14:textId="58AD7C82" w:rsidR="005E58C7" w:rsidRPr="00502D8C" w:rsidRDefault="005E58C7" w:rsidP="00502D8C">
      <w:r>
        <w:t xml:space="preserve">Since it is fundamentally not possible to carry out a one-to-one comparison of a three-dimensional ETC, such as </w:t>
      </w:r>
      <w:proofErr w:type="spellStart"/>
      <w:r>
        <w:t>Pandeia</w:t>
      </w:r>
      <w:proofErr w:type="spellEnd"/>
      <w:r>
        <w:t xml:space="preserve">, and the typically one-dimensional benchmarks, a tolerance of ~10% </w:t>
      </w:r>
      <w:r w:rsidR="00175751">
        <w:t xml:space="preserve">in signal-to-noise ratio </w:t>
      </w:r>
      <w:r>
        <w:t>is</w:t>
      </w:r>
      <w:r w:rsidR="00D459EF">
        <w:t xml:space="preserve"> allowed; if the comparison of a given mode and instrument configuration is within the tolerance, it is considered to have passed the verification.</w:t>
      </w:r>
    </w:p>
    <w:p w14:paraId="3B8129A3" w14:textId="65271A98" w:rsidR="00B004C6" w:rsidRDefault="00B004C6" w:rsidP="00B004C6">
      <w:pPr>
        <w:pStyle w:val="Heading1"/>
      </w:pPr>
      <w:r>
        <w:t>Verification procedure</w:t>
      </w:r>
    </w:p>
    <w:p w14:paraId="130B3FD6" w14:textId="049D255C" w:rsidR="00434B28" w:rsidRDefault="00664BB4" w:rsidP="00434B28">
      <w:r>
        <w:t xml:space="preserve">The verification adopted an iterative </w:t>
      </w:r>
      <w:r w:rsidR="00EB295C">
        <w:t>procedure for matching the benchmark calculations and to correct errors in the engine code as well as in the assumed reference data.</w:t>
      </w:r>
      <w:r w:rsidR="00B20DCB">
        <w:t xml:space="preserve"> </w:t>
      </w:r>
      <w:r w:rsidR="00AB1E8E">
        <w:t>Generally, the instrument teams supplied sets of independent benchmark calculations, along with relevant referen</w:t>
      </w:r>
      <w:r w:rsidR="00D67819">
        <w:t>ce data. The reference data are</w:t>
      </w:r>
      <w:r w:rsidR="00AB1E8E">
        <w:t xml:space="preserve"> </w:t>
      </w:r>
      <w:r w:rsidR="00D67819">
        <w:t>typically</w:t>
      </w:r>
      <w:r w:rsidR="00AB1E8E">
        <w:t xml:space="preserve"> those delivered for </w:t>
      </w:r>
      <w:r w:rsidR="00AB1E8E">
        <w:lastRenderedPageBreak/>
        <w:t>use with the flight build of the exposure time calculator</w:t>
      </w:r>
      <w:r w:rsidR="00C81A98">
        <w:t>, although this is not a requirement for the verification</w:t>
      </w:r>
      <w:r w:rsidR="00AB1E8E">
        <w:t>.</w:t>
      </w:r>
      <w:r w:rsidR="00502D8C">
        <w:t xml:space="preserve"> </w:t>
      </w:r>
      <w:r w:rsidR="00AB1E8E">
        <w:t xml:space="preserve"> </w:t>
      </w:r>
    </w:p>
    <w:p w14:paraId="2A0C6CD5" w14:textId="3E7B6937" w:rsidR="005C68B8" w:rsidRDefault="005C68B8" w:rsidP="005C68B8">
      <w:pPr>
        <w:pStyle w:val="ListParagraph"/>
        <w:numPr>
          <w:ilvl w:val="0"/>
          <w:numId w:val="33"/>
        </w:numPr>
      </w:pPr>
      <w:r>
        <w:t xml:space="preserve">Ingest delivered reference data into the </w:t>
      </w:r>
      <w:proofErr w:type="spellStart"/>
      <w:r>
        <w:t>Pandeia</w:t>
      </w:r>
      <w:proofErr w:type="spellEnd"/>
      <w:r>
        <w:t xml:space="preserve"> reference file structure.</w:t>
      </w:r>
    </w:p>
    <w:p w14:paraId="1265FA09" w14:textId="6D35D48D" w:rsidR="006D7E8F" w:rsidRDefault="006D7E8F" w:rsidP="005C68B8">
      <w:pPr>
        <w:pStyle w:val="ListParagraph"/>
        <w:numPr>
          <w:ilvl w:val="0"/>
          <w:numId w:val="33"/>
        </w:numPr>
      </w:pPr>
      <w:r>
        <w:t>Use the background spectrum assumed by the benchmark.</w:t>
      </w:r>
    </w:p>
    <w:p w14:paraId="05F37DEA" w14:textId="69323341" w:rsidR="00276C67" w:rsidRDefault="00276C67" w:rsidP="005C68B8">
      <w:pPr>
        <w:pStyle w:val="ListParagraph"/>
        <w:numPr>
          <w:ilvl w:val="0"/>
          <w:numId w:val="33"/>
        </w:numPr>
      </w:pPr>
      <w:r>
        <w:t>Compare benchmark PCEs, if available.</w:t>
      </w:r>
    </w:p>
    <w:p w14:paraId="7B2E1C31" w14:textId="23B708C6" w:rsidR="00276C67" w:rsidRDefault="00276C67" w:rsidP="00276C67">
      <w:pPr>
        <w:pStyle w:val="ListParagraph"/>
        <w:numPr>
          <w:ilvl w:val="0"/>
          <w:numId w:val="33"/>
        </w:numPr>
      </w:pPr>
      <w:r>
        <w:t xml:space="preserve">If applicable, explicitly add any margin in throughputs or noise to match benchmark assumptions.  </w:t>
      </w:r>
    </w:p>
    <w:p w14:paraId="06DC1D90" w14:textId="32603BCE" w:rsidR="00664BB4" w:rsidRDefault="00664BB4" w:rsidP="00276C67">
      <w:pPr>
        <w:pStyle w:val="ListParagraph"/>
        <w:numPr>
          <w:ilvl w:val="0"/>
          <w:numId w:val="33"/>
        </w:numPr>
      </w:pPr>
      <w:r>
        <w:t xml:space="preserve">Calculate the limiting flux in </w:t>
      </w:r>
      <w:r w:rsidR="004A1F2D">
        <w:t>~</w:t>
      </w:r>
      <w:r>
        <w:t>10,000 seconds of photon-collecting time as a function of effect</w:t>
      </w:r>
      <w:r w:rsidR="00B26BD8">
        <w:t xml:space="preserve">ive wavelength, and compare. </w:t>
      </w:r>
    </w:p>
    <w:p w14:paraId="66C28719" w14:textId="6E2B513E" w:rsidR="001A35D2" w:rsidRDefault="00C41C31" w:rsidP="001A35D2">
      <w:r>
        <w:t xml:space="preserve">The benchmarks are not always supplied with the complete set of assumptions necessary to create an unambiguous </w:t>
      </w:r>
      <w:proofErr w:type="spellStart"/>
      <w:r>
        <w:t>Pandeia</w:t>
      </w:r>
      <w:proofErr w:type="spellEnd"/>
      <w:r>
        <w:t xml:space="preserve"> equivalent. For instance, it is not always </w:t>
      </w:r>
      <w:r w:rsidR="002E51B7">
        <w:t>known</w:t>
      </w:r>
      <w:r>
        <w:t xml:space="preserve"> how the background is subtracted in t</w:t>
      </w:r>
      <w:r w:rsidR="00413FD2">
        <w:t xml:space="preserve">he benchmarks. In such cases, </w:t>
      </w:r>
      <w:r w:rsidR="002E51B7">
        <w:t>it is</w:t>
      </w:r>
      <w:r w:rsidR="00413FD2">
        <w:t xml:space="preserve"> ma</w:t>
      </w:r>
      <w:r w:rsidR="002E51B7">
        <w:t>de</w:t>
      </w:r>
      <w:r w:rsidR="00413FD2">
        <w:t xml:space="preserve"> clear </w:t>
      </w:r>
      <w:r w:rsidR="002E51B7">
        <w:t xml:space="preserve">what the </w:t>
      </w:r>
      <w:proofErr w:type="spellStart"/>
      <w:r w:rsidR="002E51B7">
        <w:t>Pandeia</w:t>
      </w:r>
      <w:proofErr w:type="spellEnd"/>
      <w:r w:rsidR="002E51B7">
        <w:t xml:space="preserve"> assumption is</w:t>
      </w:r>
      <w:r w:rsidR="00413FD2">
        <w:t xml:space="preserve">. </w:t>
      </w:r>
      <w:r w:rsidR="00C1788D">
        <w:t>The instrument benchmarks are all different, using different algorithms, methodologies and assumptions, and have varying degrees of sophistication, although they tend to be implemented as spreadsheets (Excel) or workbooks (</w:t>
      </w:r>
      <w:r w:rsidR="00461A12">
        <w:t>Mathcad</w:t>
      </w:r>
      <w:r w:rsidR="00C1788D">
        <w:t xml:space="preserve">). The single unifying component in the comparison is </w:t>
      </w:r>
      <w:proofErr w:type="spellStart"/>
      <w:r w:rsidR="00C1788D">
        <w:t>Pandeia</w:t>
      </w:r>
      <w:proofErr w:type="spellEnd"/>
      <w:r w:rsidR="00C1788D">
        <w:t xml:space="preserve">, which is required to find the “middle ground” in a collection of heterogeneous calculations. </w:t>
      </w:r>
      <w:r w:rsidR="00C47DB0">
        <w:t xml:space="preserve">Matching these different benchmarks is intended to provide additional confidence in the underlying algorithmic approach of </w:t>
      </w:r>
      <w:proofErr w:type="spellStart"/>
      <w:r w:rsidR="00C47DB0">
        <w:t>Pandeia</w:t>
      </w:r>
      <w:proofErr w:type="spellEnd"/>
      <w:r w:rsidR="00C47DB0">
        <w:t>.</w:t>
      </w:r>
    </w:p>
    <w:p w14:paraId="302518D8" w14:textId="7330F768" w:rsidR="00D830ED" w:rsidRDefault="00D830ED" w:rsidP="001A35D2">
      <w:r>
        <w:t xml:space="preserve">Finally, </w:t>
      </w:r>
      <w:r w:rsidR="00C47DB0">
        <w:t xml:space="preserve">note that </w:t>
      </w:r>
      <w:r w:rsidR="00D86163">
        <w:t xml:space="preserve">an appropriate benchmark is not available for </w:t>
      </w:r>
      <w:r>
        <w:t>all</w:t>
      </w:r>
      <w:r w:rsidR="00D86163">
        <w:t xml:space="preserve"> modes</w:t>
      </w:r>
      <w:r>
        <w:t xml:space="preserve">. In </w:t>
      </w:r>
      <w:r w:rsidR="000000FE">
        <w:t>such</w:t>
      </w:r>
      <w:r>
        <w:t xml:space="preserve"> cases, we present the nominal limiting sensitivity, as calculated</w:t>
      </w:r>
      <w:r w:rsidR="000000FE">
        <w:t xml:space="preserve"> by </w:t>
      </w:r>
      <w:proofErr w:type="spellStart"/>
      <w:r w:rsidR="000000FE">
        <w:t>Pandeia</w:t>
      </w:r>
      <w:proofErr w:type="spellEnd"/>
      <w:r w:rsidR="000000FE">
        <w:t>, without comparison.</w:t>
      </w:r>
      <w:r w:rsidR="00500B1A">
        <w:t xml:space="preserve"> </w:t>
      </w:r>
    </w:p>
    <w:p w14:paraId="02E43DED" w14:textId="68030134" w:rsidR="00B20DCB" w:rsidRDefault="002E51B7" w:rsidP="00B20DCB">
      <w:pPr>
        <w:pStyle w:val="Heading1"/>
      </w:pPr>
      <w:r>
        <w:t>Background</w:t>
      </w:r>
      <w:r w:rsidR="003238A0">
        <w:t xml:space="preserve">s </w:t>
      </w:r>
    </w:p>
    <w:p w14:paraId="05684B7B" w14:textId="224A8C02" w:rsidR="00A129B9" w:rsidRDefault="000E3A8F" w:rsidP="00A129B9">
      <w:pPr>
        <w:keepNext/>
      </w:pPr>
      <w:r>
        <w:rPr>
          <w:noProof/>
          <w:lang w:eastAsia="en-US"/>
        </w:rPr>
        <w:drawing>
          <wp:inline distT="0" distB="0" distL="0" distR="0" wp14:anchorId="5622FAE1" wp14:editId="20EA0052">
            <wp:extent cx="5486400" cy="4114800"/>
            <wp:effectExtent l="0" t="0" r="0" b="0"/>
            <wp:docPr id="8" name="Picture 8" descr="Mac HD:Users:pontoppi:STSCI:SoftwareDevelopment:pandeia_verification:plots:benchmark_background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pontoppi:STSCI:SoftwareDevelopment:pandeia_verification:plots:benchmark_background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B3FC270" w14:textId="39805E59" w:rsidR="00A129B9" w:rsidRDefault="00A129B9" w:rsidP="00A129B9">
      <w:pPr>
        <w:pStyle w:val="Caption"/>
      </w:pPr>
      <w:bookmarkStart w:id="0" w:name="_Ref318454738"/>
      <w:bookmarkStart w:id="1" w:name="_Ref318454722"/>
      <w:r>
        <w:t xml:space="preserve">Figure </w:t>
      </w:r>
      <w:r w:rsidR="00FE0521">
        <w:fldChar w:fldCharType="begin"/>
      </w:r>
      <w:r w:rsidR="00FE0521">
        <w:instrText xml:space="preserve"> SEQ Figure \* ARABIC </w:instrText>
      </w:r>
      <w:r w:rsidR="00FE0521">
        <w:fldChar w:fldCharType="separate"/>
      </w:r>
      <w:r w:rsidR="00FE0521">
        <w:rPr>
          <w:noProof/>
        </w:rPr>
        <w:t>1</w:t>
      </w:r>
      <w:r w:rsidR="00FE0521">
        <w:rPr>
          <w:noProof/>
        </w:rPr>
        <w:fldChar w:fldCharType="end"/>
      </w:r>
      <w:bookmarkEnd w:id="0"/>
      <w:r>
        <w:t>: Background spectra assumed by the benchma</w:t>
      </w:r>
      <w:r w:rsidR="00D77DC7">
        <w:t>rk calculations</w:t>
      </w:r>
      <w:r>
        <w:t>.</w:t>
      </w:r>
      <w:r w:rsidR="00D77DC7">
        <w:t xml:space="preserve"> While there is agreement on the best thermal background component to use, there are differences in the assumed zodiacal light level, with </w:t>
      </w:r>
      <w:proofErr w:type="spellStart"/>
      <w:r w:rsidR="00D77DC7">
        <w:t>NIRSpec</w:t>
      </w:r>
      <w:proofErr w:type="spellEnd"/>
      <w:r w:rsidR="00D77DC7">
        <w:t xml:space="preserve"> being the most conservative.</w:t>
      </w:r>
      <w:bookmarkEnd w:id="1"/>
      <w:r w:rsidR="00D77DC7">
        <w:t xml:space="preserve"> </w:t>
      </w:r>
    </w:p>
    <w:p w14:paraId="77AC031E" w14:textId="77777777" w:rsidR="00A129B9" w:rsidRDefault="00A129B9" w:rsidP="002E51B7"/>
    <w:p w14:paraId="0A289E2F" w14:textId="66DAD9FE" w:rsidR="002E51B7" w:rsidRDefault="002E51B7" w:rsidP="002E51B7">
      <w:r>
        <w:t xml:space="preserve">Each instrument benchmark assumes a somewhat different total background spectrum (thermal, zodiacal and scattered light components). </w:t>
      </w:r>
      <w:r w:rsidR="00E62202">
        <w:t xml:space="preserve">For the comparison with </w:t>
      </w:r>
      <w:proofErr w:type="spellStart"/>
      <w:r w:rsidR="00E62202">
        <w:t>Pandeia</w:t>
      </w:r>
      <w:proofErr w:type="spellEnd"/>
      <w:r w:rsidR="00E62202">
        <w:t xml:space="preserve">, we use the </w:t>
      </w:r>
      <w:r w:rsidR="00D77DC7">
        <w:t>same</w:t>
      </w:r>
      <w:r w:rsidR="00E62202">
        <w:t xml:space="preserve"> background</w:t>
      </w:r>
      <w:r w:rsidR="00384090">
        <w:t>s</w:t>
      </w:r>
      <w:r w:rsidR="00E62202">
        <w:t xml:space="preserve"> a</w:t>
      </w:r>
      <w:r w:rsidR="00384090">
        <w:t xml:space="preserve">ssumed by the benchmarks. </w:t>
      </w:r>
      <w:r w:rsidR="00CB2C84">
        <w:t>The MIRI background is s</w:t>
      </w:r>
      <w:r w:rsidR="00A010E4">
        <w:t xml:space="preserve">canned from </w:t>
      </w:r>
      <w:proofErr w:type="spellStart"/>
      <w:r w:rsidR="00A010E4">
        <w:t>Glasse</w:t>
      </w:r>
      <w:proofErr w:type="spellEnd"/>
      <w:r w:rsidR="00A010E4">
        <w:t xml:space="preserve"> et al. 2015.</w:t>
      </w:r>
      <w:r w:rsidR="00CB2C84">
        <w:t xml:space="preserve"> the </w:t>
      </w:r>
      <w:proofErr w:type="spellStart"/>
      <w:r w:rsidR="00CB2C84">
        <w:t>NIRSpec</w:t>
      </w:r>
      <w:proofErr w:type="spellEnd"/>
      <w:r w:rsidR="00CB2C84">
        <w:t xml:space="preserve"> background was delivered by the </w:t>
      </w:r>
      <w:proofErr w:type="spellStart"/>
      <w:r w:rsidR="00CB2C84">
        <w:t>NIRSpec</w:t>
      </w:r>
      <w:proofErr w:type="spellEnd"/>
      <w:r w:rsidR="00CB2C84">
        <w:t xml:space="preserve"> team along with their benchmark and the </w:t>
      </w:r>
      <w:proofErr w:type="spellStart"/>
      <w:r w:rsidR="00CB2C84">
        <w:t>NIRCam</w:t>
      </w:r>
      <w:proofErr w:type="spellEnd"/>
      <w:r w:rsidR="00CB2C84">
        <w:t xml:space="preserve"> background is taken from the </w:t>
      </w:r>
      <w:proofErr w:type="spellStart"/>
      <w:r w:rsidR="00CB2C84">
        <w:t>NIRCam</w:t>
      </w:r>
      <w:proofErr w:type="spellEnd"/>
      <w:r w:rsidR="00CB2C84">
        <w:t xml:space="preserve"> sensitivity spreadsheet (</w:t>
      </w:r>
      <w:proofErr w:type="spellStart"/>
      <w:r w:rsidR="00CB2C84">
        <w:t>Rieke</w:t>
      </w:r>
      <w:proofErr w:type="spellEnd"/>
      <w:r w:rsidR="00CB2C84">
        <w:t xml:space="preserve"> 2005). </w:t>
      </w:r>
    </w:p>
    <w:p w14:paraId="3104BBD1" w14:textId="5488946D" w:rsidR="004519D5" w:rsidRDefault="007C1F76" w:rsidP="004519D5">
      <w:pPr>
        <w:keepNext/>
      </w:pPr>
      <w:r>
        <w:rPr>
          <w:noProof/>
          <w:lang w:eastAsia="en-US"/>
        </w:rPr>
        <w:drawing>
          <wp:inline distT="0" distB="0" distL="0" distR="0" wp14:anchorId="45514781" wp14:editId="21A66AFB">
            <wp:extent cx="5486400" cy="3291840"/>
            <wp:effectExtent l="0" t="0" r="0" b="10160"/>
            <wp:docPr id="17" name="Picture 17" descr="Mac HD:Users:pontoppi:STSCI:SoftwareDevelopment:pandeia_verification:plots:background_ra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pontoppi:STSCI:SoftwareDevelopment:pandeia_verification:plots:background_rates.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6986735D" w14:textId="71228A91" w:rsidR="00945765" w:rsidRDefault="004519D5" w:rsidP="004519D5">
      <w:pPr>
        <w:pStyle w:val="Caption"/>
      </w:pPr>
      <w:bookmarkStart w:id="2" w:name="_Ref318435011"/>
      <w:r>
        <w:t xml:space="preserve">Figure </w:t>
      </w:r>
      <w:r w:rsidR="00FE0521">
        <w:fldChar w:fldCharType="begin"/>
      </w:r>
      <w:r w:rsidR="00FE0521">
        <w:instrText xml:space="preserve"> SEQ Figure \* ARABIC </w:instrText>
      </w:r>
      <w:r w:rsidR="00FE0521">
        <w:fldChar w:fldCharType="separate"/>
      </w:r>
      <w:r w:rsidR="00FE0521">
        <w:rPr>
          <w:noProof/>
        </w:rPr>
        <w:t>2</w:t>
      </w:r>
      <w:r w:rsidR="00FE0521">
        <w:rPr>
          <w:noProof/>
        </w:rPr>
        <w:fldChar w:fldCharType="end"/>
      </w:r>
      <w:bookmarkEnd w:id="2"/>
      <w:r>
        <w:t>: Electron rates per pixel from the background for all JWST science modes</w:t>
      </w:r>
      <w:r w:rsidR="005E1148">
        <w:t xml:space="preserve"> and selected configurations</w:t>
      </w:r>
      <w:r w:rsidR="00B61459">
        <w:t>, assuming the benchmark background spectra</w:t>
      </w:r>
      <w:r>
        <w:t>.</w:t>
      </w:r>
    </w:p>
    <w:p w14:paraId="05F7D413" w14:textId="3DD6F815" w:rsidR="001A4C4A" w:rsidRDefault="00B049B3" w:rsidP="001A4C4A">
      <w:pPr>
        <w:pStyle w:val="Heading1"/>
      </w:pPr>
      <w:r>
        <w:t xml:space="preserve">Loss of effective integration time due to </w:t>
      </w:r>
      <w:r w:rsidR="001A4C4A">
        <w:t>cosmic rays</w:t>
      </w:r>
    </w:p>
    <w:p w14:paraId="02858401" w14:textId="71E828A8" w:rsidR="003670E7" w:rsidRDefault="00A90A20" w:rsidP="00B049B3">
      <w:r>
        <w:t xml:space="preserve">Although a simple implementation is planned, </w:t>
      </w:r>
      <w:proofErr w:type="spellStart"/>
      <w:r w:rsidR="00B049B3">
        <w:t>Pandeia</w:t>
      </w:r>
      <w:proofErr w:type="spellEnd"/>
      <w:r w:rsidR="00B049B3">
        <w:t xml:space="preserve"> currently does not include an explicit treatment of the effects of cosmic ray hits on the sensitivity. </w:t>
      </w:r>
      <w:r w:rsidR="0091459D">
        <w:t>However, f</w:t>
      </w:r>
      <w:r>
        <w:t xml:space="preserve">or the purposes of this comparison, we </w:t>
      </w:r>
      <w:r w:rsidR="0091459D">
        <w:t>adopt the same implicit</w:t>
      </w:r>
      <w:r>
        <w:t xml:space="preserve"> approach </w:t>
      </w:r>
      <w:r w:rsidR="0091459D">
        <w:t xml:space="preserve">as the benchmarks, which </w:t>
      </w:r>
      <w:r w:rsidR="002B3C48">
        <w:t>model the effect of cosmic ray hits by decreasing</w:t>
      </w:r>
      <w:r w:rsidR="0091459D">
        <w:t xml:space="preserve"> the effective exposure time to account for integrations lost due to random cosmic ray impacts. That is, we assume that if a ramp is affected by a cosmic ray, it is discarded in its entirety. Since comprehensive cosmic ray removal procedures at the ramp-level are implemented for the pipeline, this is a conservative approach. </w:t>
      </w:r>
      <w:r w:rsidR="003670E7">
        <w:t>The effective integration time, corrected for cosmic ray impacts is:</w:t>
      </w:r>
    </w:p>
    <w:p w14:paraId="5E1D5C62" w14:textId="0AFFA948" w:rsidR="003670E7" w:rsidRDefault="00FE0521" w:rsidP="00B049B3">
      <m:oMathPara>
        <m:oMath>
          <m:sSub>
            <m:sSubPr>
              <m:ctrlPr>
                <w:rPr>
                  <w:rFonts w:ascii="Cambria Math" w:hAnsi="Cambria Math"/>
                  <w:i/>
                </w:rPr>
              </m:ctrlPr>
            </m:sSubPr>
            <m:e>
              <m:r>
                <w:rPr>
                  <w:rFonts w:ascii="Cambria Math" w:hAnsi="Cambria Math"/>
                </w:rPr>
                <m:t>t</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tot</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CR</m:t>
              </m:r>
            </m:sub>
          </m:sSub>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m:rPr>
                  <m:sty m:val="p"/>
                </m:rPr>
                <w:rPr>
                  <w:rFonts w:ascii="Cambria Math" w:hAnsi="Cambria Math"/>
                </w:rPr>
                <m:t>Ω</m:t>
              </m:r>
            </m:e>
            <m:sub>
              <m:r>
                <w:rPr>
                  <w:rFonts w:ascii="Cambria Math" w:hAnsi="Cambria Math"/>
                </w:rPr>
                <m:t>pixel</m:t>
              </m:r>
            </m:sub>
          </m:sSub>
          <m:r>
            <w:rPr>
              <w:rFonts w:ascii="Cambria Math" w:hAnsi="Cambria Math"/>
            </w:rPr>
            <m:t>)</m:t>
          </m:r>
        </m:oMath>
      </m:oMathPara>
    </w:p>
    <w:p w14:paraId="0B3176D2" w14:textId="415F7770" w:rsidR="00B049B3" w:rsidRDefault="003670E7" w:rsidP="00B049B3">
      <w:r>
        <w:t xml:space="preserve">Using the cosmic ray rate assumed by the MIRI benchmark of 0.039 CR/s/sq. </w:t>
      </w:r>
      <w:proofErr w:type="spellStart"/>
      <w:r>
        <w:t>arcsec</w:t>
      </w:r>
      <w:proofErr w:type="spellEnd"/>
      <w:r>
        <w:t xml:space="preserve">, </w:t>
      </w:r>
      <w:r w:rsidR="00E20744">
        <w:t xml:space="preserve">and ramp times of 300-1000 seconds, </w:t>
      </w:r>
      <w:r w:rsidR="007E1753">
        <w:t>cosmic ray hits typically lead to a loss of ~10% of the total integration time</w:t>
      </w:r>
      <w:r w:rsidR="009C7CCC">
        <w:t xml:space="preserve"> (or 5% of the signal-to-noise ratio)</w:t>
      </w:r>
      <w:r w:rsidR="007E1753">
        <w:t>.</w:t>
      </w:r>
      <w:r w:rsidR="00AC18CE">
        <w:t xml:space="preserve"> However, note that different benchmarks make somewhat different assumptions concerning the cosmic ray rate (and the influence of bad pixels). </w:t>
      </w:r>
    </w:p>
    <w:p w14:paraId="6F6C617A" w14:textId="301ADA90" w:rsidR="009C0CBD" w:rsidRDefault="0062512C" w:rsidP="009C0CBD">
      <w:pPr>
        <w:pStyle w:val="Heading1"/>
      </w:pPr>
      <w:r>
        <w:t>Calculation of limiting sensitivities</w:t>
      </w:r>
    </w:p>
    <w:p w14:paraId="2BE4726B" w14:textId="151AAAC5" w:rsidR="009C0CBD" w:rsidRPr="009C0CBD" w:rsidRDefault="00EC2325" w:rsidP="009C0CBD">
      <w:proofErr w:type="spellStart"/>
      <w:r>
        <w:t>Pandeia</w:t>
      </w:r>
      <w:proofErr w:type="spellEnd"/>
      <w:r>
        <w:t xml:space="preserve"> is a forward model given an integration time (flux to signal-to-noise ratio), so there is no formal inversion of this procedure. We calculate the limiting flux by generating a grid of </w:t>
      </w:r>
      <w:proofErr w:type="spellStart"/>
      <w:r>
        <w:t>Pandeia</w:t>
      </w:r>
      <w:proofErr w:type="spellEnd"/>
      <w:r>
        <w:t xml:space="preserve"> calculations for a range input source fluxes. The resulting </w:t>
      </w:r>
      <w:proofErr w:type="gramStart"/>
      <m:oMath>
        <m:r>
          <w:rPr>
            <w:rFonts w:ascii="Cambria Math" w:hAnsi="Cambria Math"/>
          </w:rPr>
          <m:t>SNR(</m:t>
        </m:r>
        <w:proofErr w:type="gramEnd"/>
        <m:sSub>
          <m:sSubPr>
            <m:ctrlPr>
              <w:rPr>
                <w:rFonts w:ascii="Cambria Math" w:hAnsi="Cambria Math"/>
                <w:i/>
              </w:rPr>
            </m:ctrlPr>
          </m:sSubPr>
          <m:e>
            <m:r>
              <w:rPr>
                <w:rFonts w:ascii="Cambria Math" w:hAnsi="Cambria Math"/>
              </w:rPr>
              <m:t>F</m:t>
            </m:r>
          </m:e>
          <m:sub>
            <m:r>
              <w:rPr>
                <w:rFonts w:ascii="Cambria Math" w:hAnsi="Cambria Math"/>
              </w:rPr>
              <m:t>ν</m:t>
            </m:r>
          </m:sub>
        </m:sSub>
        <m:r>
          <w:rPr>
            <w:rFonts w:ascii="Cambria Math" w:hAnsi="Cambria Math"/>
          </w:rPr>
          <m:t>)</m:t>
        </m:r>
      </m:oMath>
      <w:r>
        <w:t xml:space="preserve"> is interpolated at </w:t>
      </w:r>
      <m:oMath>
        <m:r>
          <w:rPr>
            <w:rFonts w:ascii="Cambria Math" w:hAnsi="Cambria Math"/>
          </w:rPr>
          <m:t>SNR=10</m:t>
        </m:r>
      </m:oMath>
      <w:r>
        <w:t xml:space="preserve"> to yield the limiting sensitivity. Tests were run to ensure that the grids are sufficiently finely sampled by doubling the sampling and confirming that the difference </w:t>
      </w:r>
      <w:r w:rsidR="00B6253C">
        <w:t xml:space="preserve">in estimated sensitivity is </w:t>
      </w:r>
      <m:oMath>
        <m:r>
          <w:rPr>
            <w:rFonts w:ascii="Cambria Math" w:hAnsi="Cambria Math"/>
          </w:rPr>
          <m:t>≪10%</m:t>
        </m:r>
      </m:oMath>
      <w:r w:rsidR="00B6253C">
        <w:t xml:space="preserve">. </w:t>
      </w:r>
      <w:r w:rsidR="00D84B2B">
        <w:t>For spectroscopic modes, a different interpolation is carried out for each wavelength channel, creating sensitivity curves.</w:t>
      </w:r>
      <w:r w:rsidR="00416DBB">
        <w:t xml:space="preserve"> All spectroscopic</w:t>
      </w:r>
      <w:r w:rsidR="006F5DA0">
        <w:t xml:space="preserve"> continuum</w:t>
      </w:r>
      <w:r w:rsidR="00416DBB">
        <w:t xml:space="preserve"> sensitivities are reported per wavelength channel (i.e. per pixel sample in the wavelength direction, and not per resolution element).</w:t>
      </w:r>
      <w:r w:rsidR="00D84B2B">
        <w:t xml:space="preserve"> </w:t>
      </w:r>
      <w:r w:rsidR="009C0CBD">
        <w:t xml:space="preserve">All input source spectra are assumed to be constant in </w:t>
      </w:r>
      <m:oMath>
        <m:sSub>
          <m:sSubPr>
            <m:ctrlPr>
              <w:rPr>
                <w:rFonts w:ascii="Cambria Math" w:hAnsi="Cambria Math"/>
                <w:i/>
              </w:rPr>
            </m:ctrlPr>
          </m:sSubPr>
          <m:e>
            <m:r>
              <w:rPr>
                <w:rFonts w:ascii="Cambria Math" w:hAnsi="Cambria Math"/>
              </w:rPr>
              <m:t>F</m:t>
            </m:r>
          </m:e>
          <m:sub>
            <m:r>
              <w:rPr>
                <w:rFonts w:ascii="Cambria Math" w:hAnsi="Cambria Math"/>
              </w:rPr>
              <m:t>ν</m:t>
            </m:r>
          </m:sub>
        </m:sSub>
      </m:oMath>
      <w:r w:rsidR="0062512C">
        <w:t xml:space="preserve">. </w:t>
      </w:r>
    </w:p>
    <w:p w14:paraId="5BA78FF7" w14:textId="464AEADF" w:rsidR="00B004C6" w:rsidRDefault="00B004C6" w:rsidP="00B004C6">
      <w:pPr>
        <w:pStyle w:val="Heading1"/>
      </w:pPr>
      <w:r>
        <w:t>MIRI</w:t>
      </w:r>
    </w:p>
    <w:p w14:paraId="0E7920AF" w14:textId="66DBBE30" w:rsidR="00F019E6" w:rsidRDefault="00F019E6" w:rsidP="00F019E6">
      <w:r>
        <w:t xml:space="preserve">The MIRI sensitivity benchmark is </w:t>
      </w:r>
      <w:r w:rsidR="007B70D1">
        <w:t xml:space="preserve">provided by </w:t>
      </w:r>
      <w:proofErr w:type="spellStart"/>
      <w:r w:rsidR="007B70D1">
        <w:t>Glasse</w:t>
      </w:r>
      <w:proofErr w:type="spellEnd"/>
      <w:r w:rsidR="007B70D1">
        <w:t xml:space="preserve"> et al. (2015), who present detailed sensitivity estima</w:t>
      </w:r>
      <w:r w:rsidR="00107D23">
        <w:t>tes for the MIRI imager, medium-</w:t>
      </w:r>
      <w:r w:rsidR="007B70D1">
        <w:t>resolution spectrometer</w:t>
      </w:r>
      <w:r w:rsidR="00A36BD8">
        <w:t xml:space="preserve"> (MRS)</w:t>
      </w:r>
      <w:r w:rsidR="007B70D1">
        <w:t xml:space="preserve"> and</w:t>
      </w:r>
      <w:r w:rsidR="00A36BD8">
        <w:t xml:space="preserve"> </w:t>
      </w:r>
      <w:r w:rsidR="00107D23">
        <w:t xml:space="preserve">for </w:t>
      </w:r>
      <w:r w:rsidR="00A36BD8">
        <w:t xml:space="preserve">the </w:t>
      </w:r>
      <w:proofErr w:type="spellStart"/>
      <w:r w:rsidR="00A36BD8">
        <w:t>slitted</w:t>
      </w:r>
      <w:proofErr w:type="spellEnd"/>
      <w:r w:rsidR="00A36BD8">
        <w:t xml:space="preserve"> mode of the</w:t>
      </w:r>
      <w:r w:rsidR="00107D23">
        <w:t xml:space="preserve"> low-</w:t>
      </w:r>
      <w:r w:rsidR="007B70D1">
        <w:t>resolution spectrometer</w:t>
      </w:r>
      <w:r w:rsidR="00A36BD8">
        <w:t xml:space="preserve"> (LRS)</w:t>
      </w:r>
      <w:r w:rsidR="007B70D1">
        <w:t>.</w:t>
      </w:r>
      <w:r w:rsidR="00A36BD8">
        <w:t xml:space="preserve"> A benchmark calculation for the </w:t>
      </w:r>
      <w:proofErr w:type="spellStart"/>
      <w:r w:rsidR="00A36BD8">
        <w:t>slitless</w:t>
      </w:r>
      <w:proofErr w:type="spellEnd"/>
      <w:r w:rsidR="00A36BD8">
        <w:t xml:space="preserve"> mode of LRS is not available.</w:t>
      </w:r>
      <w:r w:rsidR="00107D23">
        <w:t xml:space="preserve"> </w:t>
      </w:r>
      <w:proofErr w:type="gramStart"/>
      <w:r w:rsidR="00107D23">
        <w:t>A</w:t>
      </w:r>
      <w:r w:rsidR="007B70D1">
        <w:t xml:space="preserve"> benchmark for the MIRI coronagraphs is provided by </w:t>
      </w:r>
      <w:proofErr w:type="spellStart"/>
      <w:r w:rsidR="007B70D1">
        <w:t>Boccaletti</w:t>
      </w:r>
      <w:proofErr w:type="spellEnd"/>
      <w:r w:rsidR="007B70D1">
        <w:t xml:space="preserve"> et al.</w:t>
      </w:r>
      <w:proofErr w:type="gramEnd"/>
      <w:r w:rsidR="007B70D1">
        <w:t xml:space="preserve"> (2015). </w:t>
      </w:r>
      <w:r w:rsidR="001A02B3">
        <w:t>We al</w:t>
      </w:r>
      <w:r w:rsidR="00461A12">
        <w:t>so used a printout of the Mathcad</w:t>
      </w:r>
      <w:r w:rsidR="00BB1BCF">
        <w:t xml:space="preserve"> worksheet</w:t>
      </w:r>
      <w:r w:rsidR="001A02B3">
        <w:t xml:space="preserve"> used to calculate the benchmark sensitivities, which contains more information than </w:t>
      </w:r>
      <w:proofErr w:type="spellStart"/>
      <w:r w:rsidR="001A02B3">
        <w:t>Glasse</w:t>
      </w:r>
      <w:proofErr w:type="spellEnd"/>
      <w:r w:rsidR="001A02B3">
        <w:t xml:space="preserve"> et al. 2015. </w:t>
      </w:r>
    </w:p>
    <w:p w14:paraId="23A8E50D" w14:textId="4814FEBA" w:rsidR="00AA0D7D" w:rsidRDefault="00AA0D7D" w:rsidP="00F019E6">
      <w:r>
        <w:t>The MIRI benchmark</w:t>
      </w:r>
      <w:r w:rsidR="002E3BD8">
        <w:t xml:space="preserve"> for the imager, MRS and LRS</w:t>
      </w:r>
      <w:r>
        <w:t xml:space="preserve"> includes a number of margin factors</w:t>
      </w:r>
      <w:r w:rsidR="00145FFC">
        <w:t xml:space="preserve"> decreasing the sensitivity below the theoretical limit</w:t>
      </w:r>
      <w:r w:rsidR="00CD750C">
        <w:t>.</w:t>
      </w:r>
    </w:p>
    <w:p w14:paraId="28AF0E80" w14:textId="5D6BD0B8" w:rsidR="003F47C6" w:rsidRDefault="00E95AAF" w:rsidP="0091499E">
      <w:pPr>
        <w:pStyle w:val="ListParagraph"/>
        <w:numPr>
          <w:ilvl w:val="0"/>
          <w:numId w:val="34"/>
        </w:numPr>
      </w:pPr>
      <w:r>
        <w:t>The read noise component of the ramp variance is increased by 23%.</w:t>
      </w:r>
    </w:p>
    <w:p w14:paraId="1B3BBA6E" w14:textId="5655D92E" w:rsidR="00E95AAF" w:rsidRDefault="00E95AAF" w:rsidP="0091499E">
      <w:pPr>
        <w:pStyle w:val="ListParagraph"/>
        <w:numPr>
          <w:ilvl w:val="0"/>
          <w:numId w:val="34"/>
        </w:numPr>
      </w:pPr>
      <w:r>
        <w:t xml:space="preserve">The total ramp variance is increased by 30%. </w:t>
      </w:r>
    </w:p>
    <w:p w14:paraId="7F215092" w14:textId="249C1A62" w:rsidR="00AA0D7D" w:rsidRDefault="00B6357A" w:rsidP="0091499E">
      <w:pPr>
        <w:pStyle w:val="ListParagraph"/>
        <w:numPr>
          <w:ilvl w:val="0"/>
          <w:numId w:val="34"/>
        </w:numPr>
      </w:pPr>
      <w:r>
        <w:t>A</w:t>
      </w:r>
      <w:r w:rsidR="00686D39">
        <w:t xml:space="preserve">ll computed signal-to-noise ratios are </w:t>
      </w:r>
      <w:r w:rsidR="0091499E">
        <w:t>decreased by 10%</w:t>
      </w:r>
      <w:r w:rsidR="001E41E0">
        <w:t xml:space="preserve"> for the imager and MRS, 20% for LRSSLIT</w:t>
      </w:r>
      <w:r w:rsidR="001A02B3">
        <w:t>, t</w:t>
      </w:r>
      <w:r w:rsidR="00461A12">
        <w:t>he latter as noted in the Mathcad</w:t>
      </w:r>
      <w:r w:rsidR="001A02B3">
        <w:t xml:space="preserve"> workbook</w:t>
      </w:r>
      <w:r w:rsidR="0091499E">
        <w:t>.</w:t>
      </w:r>
    </w:p>
    <w:p w14:paraId="639E9E0E" w14:textId="1A36D0BB" w:rsidR="002135CA" w:rsidRDefault="002135CA" w:rsidP="002135CA">
      <w:r>
        <w:t xml:space="preserve">The MIRI benchmark calculation further applies a correction to the encircled energy to account for PSF broadening due to </w:t>
      </w:r>
      <w:r w:rsidR="00E36753">
        <w:t xml:space="preserve">light </w:t>
      </w:r>
      <w:r>
        <w:t xml:space="preserve">scattering in the detector. The detector scattering is only significant at wavelengths shorter than ~10 micron. In </w:t>
      </w:r>
      <w:proofErr w:type="spellStart"/>
      <w:r>
        <w:t>Pandeia</w:t>
      </w:r>
      <w:proofErr w:type="spellEnd"/>
      <w:r>
        <w:t xml:space="preserve">, such an effect should </w:t>
      </w:r>
      <w:r w:rsidR="0010299A">
        <w:t xml:space="preserve">probably </w:t>
      </w:r>
      <w:r>
        <w:t>be taken into account in the PSF library, but the appro</w:t>
      </w:r>
      <w:r w:rsidR="0010299A">
        <w:t xml:space="preserve">priate kernel is not yet available. </w:t>
      </w:r>
    </w:p>
    <w:p w14:paraId="6A920780" w14:textId="5C855B8A" w:rsidR="00836B26" w:rsidRDefault="00836B26" w:rsidP="002135CA">
      <w:r>
        <w:t xml:space="preserve">The MIRI benchmark does not discuss how the background is subtracted. </w:t>
      </w:r>
      <w:r w:rsidR="007F2C60">
        <w:t>Consequently, f</w:t>
      </w:r>
      <w:r>
        <w:t>or the benchmark comparison we do not add additional noise due to background subtraction for MIRI. The release version of the ETC will require a strategy fo</w:t>
      </w:r>
      <w:r w:rsidR="00B12DFD">
        <w:t xml:space="preserve">r background subtraction, which </w:t>
      </w:r>
      <w:r>
        <w:t>generally increase</w:t>
      </w:r>
      <w:r w:rsidR="00B12DFD">
        <w:t>s</w:t>
      </w:r>
      <w:r>
        <w:t xml:space="preserve"> the noise and lower</w:t>
      </w:r>
      <w:r w:rsidR="00B12DFD">
        <w:t>s</w:t>
      </w:r>
      <w:r>
        <w:t xml:space="preserve"> the sensitivity for all modes. </w:t>
      </w:r>
    </w:p>
    <w:p w14:paraId="0C51DCAC" w14:textId="3B8B5E2B" w:rsidR="003C62A1" w:rsidRDefault="003C62A1" w:rsidP="003C62A1">
      <w:pPr>
        <w:pStyle w:val="Heading2"/>
      </w:pPr>
      <w:r>
        <w:t>MIRI backgrounds</w:t>
      </w:r>
    </w:p>
    <w:p w14:paraId="4C6BC563" w14:textId="50C5D884" w:rsidR="00933938" w:rsidRDefault="00933938" w:rsidP="002135CA">
      <w:r>
        <w:t xml:space="preserve">For MIRI the background level is a critical component in any sensitivity estimate. The exact background used by the benchmark is available in </w:t>
      </w:r>
      <w:proofErr w:type="spellStart"/>
      <w:r>
        <w:t>Glasse</w:t>
      </w:r>
      <w:proofErr w:type="spellEnd"/>
      <w:r>
        <w:t xml:space="preserve"> et al. 2015, and is adopted for the </w:t>
      </w:r>
      <w:proofErr w:type="spellStart"/>
      <w:r>
        <w:t>Pandeia</w:t>
      </w:r>
      <w:proofErr w:type="spellEnd"/>
      <w:r>
        <w:t xml:space="preserve"> calculations. Specifically, we use the "low" background curve from that paper for the benchmark.</w:t>
      </w:r>
      <w:r w:rsidR="003C62A1">
        <w:t xml:space="preserve"> The adopted background is compared to the other instrument assumptions in </w:t>
      </w:r>
      <w:r w:rsidR="003C62A1">
        <w:fldChar w:fldCharType="begin"/>
      </w:r>
      <w:r w:rsidR="003C62A1">
        <w:instrText xml:space="preserve"> REF _Ref318454738 \h </w:instrText>
      </w:r>
      <w:r w:rsidR="003C62A1">
        <w:fldChar w:fldCharType="separate"/>
      </w:r>
      <w:r w:rsidR="003C62A1">
        <w:t xml:space="preserve">Figure </w:t>
      </w:r>
      <w:r w:rsidR="003C62A1">
        <w:rPr>
          <w:noProof/>
        </w:rPr>
        <w:t>1</w:t>
      </w:r>
      <w:r w:rsidR="003C62A1">
        <w:fldChar w:fldCharType="end"/>
      </w:r>
      <w:r w:rsidR="003C62A1">
        <w:t xml:space="preserve">. </w:t>
      </w:r>
    </w:p>
    <w:p w14:paraId="51102D46" w14:textId="77777777" w:rsidR="003C62A1" w:rsidRPr="00F019E6" w:rsidRDefault="003C62A1" w:rsidP="002135CA"/>
    <w:p w14:paraId="66A5CD46" w14:textId="01C0DAC3" w:rsidR="005808E2" w:rsidRDefault="005808E2" w:rsidP="005808E2">
      <w:pPr>
        <w:pStyle w:val="Heading2"/>
      </w:pPr>
      <w:r>
        <w:t>System Throughput</w:t>
      </w:r>
    </w:p>
    <w:p w14:paraId="3D815481" w14:textId="62B18CCB" w:rsidR="005C3991" w:rsidRDefault="005C3991" w:rsidP="005C3991">
      <w:r>
        <w:t>The system throughput</w:t>
      </w:r>
      <w:r w:rsidR="0056255A">
        <w:t>,</w:t>
      </w:r>
      <w:r>
        <w:t xml:space="preserve"> </w:t>
      </w:r>
      <w:r w:rsidR="0056255A">
        <w:t xml:space="preserve">as </w:t>
      </w:r>
      <w:r>
        <w:t xml:space="preserve">calculated by </w:t>
      </w:r>
      <w:proofErr w:type="spellStart"/>
      <w:r>
        <w:t>Pandeia</w:t>
      </w:r>
      <w:proofErr w:type="spellEnd"/>
      <w:r w:rsidR="0056255A">
        <w:t>,</w:t>
      </w:r>
      <w:r>
        <w:t xml:space="preserve"> </w:t>
      </w:r>
      <w:r w:rsidR="0056255A">
        <w:t xml:space="preserve">is </w:t>
      </w:r>
      <w:r w:rsidR="00680B3D">
        <w:t xml:space="preserve">generally </w:t>
      </w:r>
      <w:r w:rsidR="0056255A">
        <w:t>defined following</w:t>
      </w:r>
      <w:r>
        <w:t xml:space="preserve"> the convention established for MIR</w:t>
      </w:r>
      <w:r w:rsidR="0056255A">
        <w:t xml:space="preserve">I by </w:t>
      </w:r>
      <w:proofErr w:type="spellStart"/>
      <w:r w:rsidR="0056255A">
        <w:t>Glasse</w:t>
      </w:r>
      <w:proofErr w:type="spellEnd"/>
      <w:r w:rsidR="0056255A">
        <w:t xml:space="preserve"> et al. 2015. Here, the</w:t>
      </w:r>
      <w:r>
        <w:t xml:space="preserve"> photon-to-electron conversion efficiency</w:t>
      </w:r>
      <w:r w:rsidR="004E34EE">
        <w:t xml:space="preserve"> (PCE)</w:t>
      </w:r>
      <w:r>
        <w:t xml:space="preserve"> is defined as the product of all non-spatial throughput components. These include the telescope (OTE), the internal instrument reflective and </w:t>
      </w:r>
      <w:proofErr w:type="spellStart"/>
      <w:r>
        <w:t>transmissive</w:t>
      </w:r>
      <w:proofErr w:type="spellEnd"/>
      <w:r>
        <w:t xml:space="preserve"> optics, the grating/</w:t>
      </w:r>
      <w:proofErr w:type="spellStart"/>
      <w:r>
        <w:t>grism</w:t>
      </w:r>
      <w:proofErr w:type="spellEnd"/>
      <w:r>
        <w:t xml:space="preserve">/prism efficiency, the filter throughput and the detector quantum efficiency. </w:t>
      </w:r>
      <w:r w:rsidR="004E34EE">
        <w:t>The PCE does not, by definition, include any pupil stops, slit losses or photometric aperture</w:t>
      </w:r>
      <w:r w:rsidR="002E27E0">
        <w:t xml:space="preserve"> </w:t>
      </w:r>
      <w:r w:rsidR="00970B91">
        <w:t>losses. T</w:t>
      </w:r>
      <w:r w:rsidR="002E27E0">
        <w:t>hese</w:t>
      </w:r>
      <w:r w:rsidR="0030017C">
        <w:t xml:space="preserve"> spatial losses</w:t>
      </w:r>
      <w:r w:rsidR="002E27E0">
        <w:t xml:space="preserve"> are e</w:t>
      </w:r>
      <w:r w:rsidR="00306CAA">
        <w:t xml:space="preserve">xplicitly handled, either by the PSF library, or </w:t>
      </w:r>
      <w:r w:rsidR="00AC57F3">
        <w:t>by the</w:t>
      </w:r>
      <w:r w:rsidR="002E27E0">
        <w:t xml:space="preserve"> three-dimensional </w:t>
      </w:r>
      <w:proofErr w:type="spellStart"/>
      <w:r w:rsidR="00AC57F3">
        <w:t>Pandeia</w:t>
      </w:r>
      <w:proofErr w:type="spellEnd"/>
      <w:r w:rsidR="00AC57F3">
        <w:t xml:space="preserve"> </w:t>
      </w:r>
      <w:r w:rsidR="002E27E0">
        <w:t xml:space="preserve">engine. </w:t>
      </w:r>
    </w:p>
    <w:p w14:paraId="507337EA" w14:textId="38F03269" w:rsidR="00680B3D" w:rsidRPr="005C3991" w:rsidRDefault="00FC3C97" w:rsidP="005C3991">
      <w:r>
        <w:t xml:space="preserve">The </w:t>
      </w:r>
      <w:r w:rsidR="00680B3D">
        <w:t xml:space="preserve">component transmission data from the MIRI benchmark were not available at the time of the comparison, so an approximate set of reference data were used. </w:t>
      </w:r>
      <w:r>
        <w:t xml:space="preserve">The total PCEs used by the benchmarks are available, and the approximate </w:t>
      </w:r>
      <w:proofErr w:type="spellStart"/>
      <w:r>
        <w:t>Pandeia</w:t>
      </w:r>
      <w:proofErr w:type="spellEnd"/>
      <w:r>
        <w:t xml:space="preserve"> throughputs are compared to those until the component throughputs are delivered. </w:t>
      </w:r>
    </w:p>
    <w:p w14:paraId="115E6035" w14:textId="1185B84D" w:rsidR="000616BA" w:rsidRDefault="0018164D" w:rsidP="000616BA">
      <w:pPr>
        <w:keepNext/>
      </w:pPr>
      <w:r>
        <w:rPr>
          <w:noProof/>
          <w:lang w:eastAsia="en-US"/>
        </w:rPr>
        <w:drawing>
          <wp:inline distT="0" distB="0" distL="0" distR="0" wp14:anchorId="56DB5A4A" wp14:editId="3A34AAB5">
            <wp:extent cx="5475605" cy="2144395"/>
            <wp:effectExtent l="0" t="0" r="10795" b="0"/>
            <wp:docPr id="23" name="Picture 23" descr="Macintosh HD:Users:pontoppi:STSCI:SoftwareDevelopment:pandeia_verification:plots:miri_imaging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ontoppi:STSCI:SoftwareDevelopment:pandeia_verification:plots:miri_imaging_pc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2144395"/>
                    </a:xfrm>
                    <a:prstGeom prst="rect">
                      <a:avLst/>
                    </a:prstGeom>
                    <a:noFill/>
                    <a:ln>
                      <a:noFill/>
                    </a:ln>
                  </pic:spPr>
                </pic:pic>
              </a:graphicData>
            </a:graphic>
          </wp:inline>
        </w:drawing>
      </w:r>
    </w:p>
    <w:p w14:paraId="34422857" w14:textId="50B93A3F" w:rsidR="005808E2" w:rsidRDefault="000616BA" w:rsidP="000616BA">
      <w:pPr>
        <w:pStyle w:val="Caption"/>
      </w:pPr>
      <w:r>
        <w:t xml:space="preserve">Figure </w:t>
      </w:r>
      <w:r w:rsidR="00FE0521">
        <w:fldChar w:fldCharType="begin"/>
      </w:r>
      <w:r w:rsidR="00FE0521">
        <w:instrText xml:space="preserve"> SEQ Figure \* ARABIC </w:instrText>
      </w:r>
      <w:r w:rsidR="00FE0521">
        <w:fldChar w:fldCharType="separate"/>
      </w:r>
      <w:r w:rsidR="00FE0521">
        <w:rPr>
          <w:noProof/>
        </w:rPr>
        <w:t>3</w:t>
      </w:r>
      <w:r w:rsidR="00FE0521">
        <w:rPr>
          <w:noProof/>
        </w:rPr>
        <w:fldChar w:fldCharType="end"/>
      </w:r>
      <w:r>
        <w:t xml:space="preserve">: Comparison between the </w:t>
      </w:r>
      <w:proofErr w:type="spellStart"/>
      <w:r>
        <w:t>Pande</w:t>
      </w:r>
      <w:r w:rsidR="00577047">
        <w:t>ia</w:t>
      </w:r>
      <w:proofErr w:type="spellEnd"/>
      <w:r w:rsidR="00577047">
        <w:t xml:space="preserve"> PCE for MIRI imaging</w:t>
      </w:r>
      <w:r>
        <w:t xml:space="preserve"> and that of the benchmark.</w:t>
      </w:r>
      <w:r w:rsidR="007D0553">
        <w:t xml:space="preserve"> Small differences are apparent, since the component throughputs used for the benchmark have not yet been delivered.</w:t>
      </w:r>
      <w:r w:rsidR="00933938">
        <w:t xml:space="preserve"> </w:t>
      </w:r>
      <w:proofErr w:type="spellStart"/>
      <w:r w:rsidR="00933938">
        <w:t>Pandeia</w:t>
      </w:r>
      <w:proofErr w:type="spellEnd"/>
      <w:r w:rsidR="00933938">
        <w:t xml:space="preserve"> PCEs are indicated by the solid curves, while the benchmark is represented by the dashed curves.</w:t>
      </w:r>
    </w:p>
    <w:p w14:paraId="6568A414" w14:textId="5DD87445" w:rsidR="00577047" w:rsidRDefault="0018164D" w:rsidP="00577047">
      <w:pPr>
        <w:keepNext/>
      </w:pPr>
      <w:r>
        <w:rPr>
          <w:noProof/>
          <w:lang w:eastAsia="en-US"/>
        </w:rPr>
        <w:drawing>
          <wp:inline distT="0" distB="0" distL="0" distR="0" wp14:anchorId="5696B83B" wp14:editId="20E07440">
            <wp:extent cx="5475605" cy="2144395"/>
            <wp:effectExtent l="0" t="0" r="10795" b="0"/>
            <wp:docPr id="25" name="Picture 25" descr="Macintosh HD:Users:pontoppi:STSCI:SoftwareDevelopment:pandeia_verification:plots:miri_mrs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ontoppi:STSCI:SoftwareDevelopment:pandeia_verification:plots:miri_mrs_pce.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605" cy="2144395"/>
                    </a:xfrm>
                    <a:prstGeom prst="rect">
                      <a:avLst/>
                    </a:prstGeom>
                    <a:noFill/>
                    <a:ln>
                      <a:noFill/>
                    </a:ln>
                  </pic:spPr>
                </pic:pic>
              </a:graphicData>
            </a:graphic>
          </wp:inline>
        </w:drawing>
      </w:r>
    </w:p>
    <w:p w14:paraId="0294E07D" w14:textId="77777777" w:rsidR="00762F41" w:rsidRDefault="00577047" w:rsidP="00577047">
      <w:pPr>
        <w:pStyle w:val="Caption"/>
      </w:pPr>
      <w:r>
        <w:t xml:space="preserve">Figure </w:t>
      </w:r>
      <w:r w:rsidR="00FE0521">
        <w:fldChar w:fldCharType="begin"/>
      </w:r>
      <w:r w:rsidR="00FE0521">
        <w:instrText xml:space="preserve"> SEQ Figure \* ARABIC </w:instrText>
      </w:r>
      <w:r w:rsidR="00FE0521">
        <w:fldChar w:fldCharType="separate"/>
      </w:r>
      <w:r w:rsidR="00FE0521">
        <w:rPr>
          <w:noProof/>
        </w:rPr>
        <w:t>4</w:t>
      </w:r>
      <w:r w:rsidR="00FE0521">
        <w:rPr>
          <w:noProof/>
        </w:rPr>
        <w:fldChar w:fldCharType="end"/>
      </w:r>
      <w:r>
        <w:t xml:space="preserve">: Comparison of the </w:t>
      </w:r>
      <w:proofErr w:type="spellStart"/>
      <w:r w:rsidR="00CC2133">
        <w:t>Pandeia</w:t>
      </w:r>
      <w:proofErr w:type="spellEnd"/>
      <w:r w:rsidR="00CC2133">
        <w:t xml:space="preserve"> </w:t>
      </w:r>
      <w:r>
        <w:t>PCE</w:t>
      </w:r>
      <w:r w:rsidR="00CC2133">
        <w:t xml:space="preserve"> for MIRI MRS</w:t>
      </w:r>
      <w:r>
        <w:t xml:space="preserve"> and that of the benchmark.</w:t>
      </w:r>
      <w:r w:rsidR="00FB75D7">
        <w:t xml:space="preserve"> Small differences are apparent, since the component throughputs used for the benchmark have not </w:t>
      </w:r>
      <w:r w:rsidR="00A83BA9">
        <w:t xml:space="preserve">yet </w:t>
      </w:r>
      <w:r w:rsidR="00FB75D7">
        <w:t>been delivered.</w:t>
      </w:r>
    </w:p>
    <w:p w14:paraId="5653B84F" w14:textId="77777777" w:rsidR="00762F41" w:rsidRDefault="00762F41" w:rsidP="00762F41">
      <w:pPr>
        <w:pStyle w:val="Caption"/>
        <w:keepNext/>
      </w:pPr>
      <w:r>
        <w:rPr>
          <w:noProof/>
          <w:lang w:eastAsia="en-US"/>
        </w:rPr>
        <w:drawing>
          <wp:inline distT="0" distB="0" distL="0" distR="0" wp14:anchorId="47339298" wp14:editId="436F3E68">
            <wp:extent cx="5476240" cy="2143760"/>
            <wp:effectExtent l="0" t="0" r="10160" b="0"/>
            <wp:docPr id="9" name="Picture 9" descr="Mac HD:Users:pontoppi:STSCI:SoftwareDevelopment:pandeia_verification:plots:miri_lrs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pontoppi:STSCI:SoftwareDevelopment:pandeia_verification:plots:miri_lrs_pc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240" cy="2143760"/>
                    </a:xfrm>
                    <a:prstGeom prst="rect">
                      <a:avLst/>
                    </a:prstGeom>
                    <a:noFill/>
                    <a:ln>
                      <a:noFill/>
                    </a:ln>
                  </pic:spPr>
                </pic:pic>
              </a:graphicData>
            </a:graphic>
          </wp:inline>
        </w:drawing>
      </w:r>
    </w:p>
    <w:p w14:paraId="75F2669C" w14:textId="553E7DD5" w:rsidR="00577047" w:rsidRPr="00577047" w:rsidRDefault="00762F41" w:rsidP="00762F41">
      <w:pPr>
        <w:pStyle w:val="Caption"/>
      </w:pPr>
      <w:r>
        <w:t xml:space="preserve">Figure </w:t>
      </w:r>
      <w:r w:rsidR="00FE0521">
        <w:fldChar w:fldCharType="begin"/>
      </w:r>
      <w:r w:rsidR="00FE0521">
        <w:instrText xml:space="preserve"> SEQ Figure \* ARABIC </w:instrText>
      </w:r>
      <w:r w:rsidR="00FE0521">
        <w:fldChar w:fldCharType="separate"/>
      </w:r>
      <w:r w:rsidR="00FE0521">
        <w:rPr>
          <w:noProof/>
        </w:rPr>
        <w:t>5</w:t>
      </w:r>
      <w:r w:rsidR="00FE0521">
        <w:rPr>
          <w:noProof/>
        </w:rPr>
        <w:fldChar w:fldCharType="end"/>
      </w:r>
      <w:r>
        <w:t xml:space="preserve">: Comparison of the </w:t>
      </w:r>
      <w:proofErr w:type="spellStart"/>
      <w:r>
        <w:t>enslitted</w:t>
      </w:r>
      <w:proofErr w:type="spellEnd"/>
      <w:r>
        <w:t xml:space="preserve"> PCE of the benchmark and </w:t>
      </w:r>
      <w:proofErr w:type="spellStart"/>
      <w:r>
        <w:t>Pandeia</w:t>
      </w:r>
      <w:proofErr w:type="spellEnd"/>
      <w:r>
        <w:t xml:space="preserve"> for the </w:t>
      </w:r>
      <w:proofErr w:type="spellStart"/>
      <w:r>
        <w:t>slitted</w:t>
      </w:r>
      <w:proofErr w:type="spellEnd"/>
      <w:r>
        <w:t xml:space="preserve"> mode of MIRI LRS. The dashed curve is the benchmark. </w:t>
      </w:r>
    </w:p>
    <w:p w14:paraId="4B1BBF3A" w14:textId="1ACC2F80" w:rsidR="00FB3685" w:rsidRDefault="00FB3685" w:rsidP="00933938">
      <w:pPr>
        <w:pStyle w:val="Heading2"/>
      </w:pPr>
      <w:r>
        <w:t>Detector scattering</w:t>
      </w:r>
    </w:p>
    <w:p w14:paraId="0283F149" w14:textId="64388D08" w:rsidR="00FB3685" w:rsidRDefault="00FB3685" w:rsidP="00FB3685">
      <w:r>
        <w:t xml:space="preserve">We model the losses due to detector scattering, </w:t>
      </w:r>
      <m:oMath>
        <m:sSub>
          <m:sSubPr>
            <m:ctrlPr>
              <w:rPr>
                <w:rFonts w:ascii="Cambria Math" w:hAnsi="Cambria Math"/>
                <w:i/>
              </w:rPr>
            </m:ctrlPr>
          </m:sSubPr>
          <m:e>
            <m:r>
              <w:rPr>
                <w:rFonts w:ascii="Cambria Math" w:hAnsi="Cambria Math"/>
              </w:rPr>
              <m:t>f</m:t>
            </m:r>
          </m:e>
          <m:sub>
            <m:r>
              <w:rPr>
                <w:rFonts w:ascii="Cambria Math" w:hAnsi="Cambria Math"/>
              </w:rPr>
              <m:t>det</m:t>
            </m:r>
          </m:sub>
        </m:sSub>
        <m:r>
          <w:rPr>
            <w:rFonts w:ascii="Cambria Math" w:hAnsi="Cambria Math"/>
          </w:rPr>
          <m:t>(λ)</m:t>
        </m:r>
      </m:oMath>
      <w:r>
        <w:t xml:space="preserve">, at the shortest MIRI wavelengths (&lt;10 micron) using the prescription of </w:t>
      </w:r>
      <w:proofErr w:type="spellStart"/>
      <w:r>
        <w:t>Glasse</w:t>
      </w:r>
      <w:proofErr w:type="spellEnd"/>
      <w:r>
        <w:t xml:space="preserve"> et al. 2015, Eq. (4). Since </w:t>
      </w:r>
      <w:proofErr w:type="spellStart"/>
      <w:r>
        <w:t>Pandeia</w:t>
      </w:r>
      <w:proofErr w:type="spellEnd"/>
      <w:r>
        <w:t xml:space="preserve"> is a 3D ETC, it does not explicitly operate with 1-dimensional encircled energies, as the benchmark does, so the loss of detected photons due to detector scattering is implemented by decreasing the PSFs by</w:t>
      </w:r>
      <w:r w:rsidR="0089079D">
        <w:t xml:space="preserve"> </w:t>
      </w:r>
      <m:oMath>
        <m:sSub>
          <m:sSubPr>
            <m:ctrlPr>
              <w:rPr>
                <w:rFonts w:ascii="Cambria Math" w:hAnsi="Cambria Math"/>
                <w:i/>
              </w:rPr>
            </m:ctrlPr>
          </m:sSubPr>
          <m:e>
            <m:r>
              <w:rPr>
                <w:rFonts w:ascii="Cambria Math" w:hAnsi="Cambria Math"/>
              </w:rPr>
              <m:t>f</m:t>
            </m:r>
          </m:e>
          <m:sub>
            <m:r>
              <w:rPr>
                <w:rFonts w:ascii="Cambria Math" w:hAnsi="Cambria Math"/>
              </w:rPr>
              <m:t>det</m:t>
            </m:r>
          </m:sub>
        </m:sSub>
        <m:r>
          <w:rPr>
            <w:rFonts w:ascii="Cambria Math" w:hAnsi="Cambria Math"/>
          </w:rPr>
          <m:t>(λ)</m:t>
        </m:r>
      </m:oMath>
      <w:r>
        <w:t xml:space="preserve">. </w:t>
      </w:r>
    </w:p>
    <w:p w14:paraId="0675E027" w14:textId="7324F130" w:rsidR="00AC18CE" w:rsidRDefault="00AC18CE" w:rsidP="00AC18CE">
      <w:pPr>
        <w:pStyle w:val="Heading2"/>
      </w:pPr>
      <w:r>
        <w:t>Effective exposure time</w:t>
      </w:r>
    </w:p>
    <w:p w14:paraId="4E53AC36" w14:textId="230B40D4" w:rsidR="009462AD" w:rsidRDefault="00AC18CE" w:rsidP="00AC18CE">
      <w:r>
        <w:t xml:space="preserve">We use the prescription of the Mathcad worksheet for the readout patterns for MIRI and total photon-collecting time. </w:t>
      </w:r>
      <w:r w:rsidR="004C4BDA">
        <w:t>Note that this time is intended to model a 10,000 second observation, taking into account the loss of integrations from cosmic ray impacts and bad pixels.</w:t>
      </w:r>
      <w:r w:rsidR="0024299A">
        <w:t xml:space="preserve"> The benchmark also takes into account the reset time in the 10,000 s total </w:t>
      </w:r>
      <w:proofErr w:type="gramStart"/>
      <w:r w:rsidR="0024299A">
        <w:t>time</w:t>
      </w:r>
      <w:proofErr w:type="gramEnd"/>
      <w:r w:rsidR="0024299A">
        <w:t>.</w:t>
      </w:r>
      <w:r w:rsidR="004C4BDA">
        <w:t xml:space="preserve"> </w:t>
      </w:r>
      <w:r w:rsidR="00335CA1">
        <w:t xml:space="preserve">All modes assume full frame readout and the FAST readout mode. </w:t>
      </w:r>
      <w:r>
        <w:t xml:space="preserve">The readout patterns used for </w:t>
      </w:r>
      <w:proofErr w:type="spellStart"/>
      <w:r>
        <w:t>Pandeia</w:t>
      </w:r>
      <w:proofErr w:type="spellEnd"/>
      <w:r>
        <w:t xml:space="preserve"> are summarized in</w:t>
      </w:r>
      <w:r w:rsidR="009462AD">
        <w:t xml:space="preserve"> </w:t>
      </w:r>
      <w:r w:rsidR="009462AD">
        <w:fldChar w:fldCharType="begin"/>
      </w:r>
      <w:r w:rsidR="009462AD">
        <w:instrText xml:space="preserve"> REF _Ref318449166 \h </w:instrText>
      </w:r>
      <w:r w:rsidR="009462AD">
        <w:fldChar w:fldCharType="separate"/>
      </w:r>
      <w:r w:rsidR="009462AD">
        <w:t xml:space="preserve">Table </w:t>
      </w:r>
      <w:r w:rsidR="009462AD">
        <w:rPr>
          <w:noProof/>
        </w:rPr>
        <w:t>1</w:t>
      </w:r>
      <w:r w:rsidR="009462AD">
        <w:fldChar w:fldCharType="end"/>
      </w:r>
      <w:r w:rsidR="009462AD">
        <w:t>.</w:t>
      </w:r>
    </w:p>
    <w:p w14:paraId="6B45A10A" w14:textId="7B027D1D" w:rsidR="00AC18CE" w:rsidRDefault="00AC18CE" w:rsidP="00AC18CE">
      <w:r>
        <w:t xml:space="preserve"> </w:t>
      </w:r>
    </w:p>
    <w:p w14:paraId="077C2123" w14:textId="5848CEE8" w:rsidR="009462AD" w:rsidRDefault="009462AD" w:rsidP="009462AD">
      <w:pPr>
        <w:pStyle w:val="Caption"/>
        <w:keepNext/>
      </w:pPr>
      <w:bookmarkStart w:id="3" w:name="_Ref318449166"/>
      <w:r>
        <w:t xml:space="preserve">Table </w:t>
      </w:r>
      <w:r w:rsidR="00FE0521">
        <w:fldChar w:fldCharType="begin"/>
      </w:r>
      <w:r w:rsidR="00FE0521">
        <w:instrText xml:space="preserve"> SEQ Table</w:instrText>
      </w:r>
      <w:r w:rsidR="00FE0521">
        <w:instrText xml:space="preserve"> \* ARABIC </w:instrText>
      </w:r>
      <w:r w:rsidR="00FE0521">
        <w:fldChar w:fldCharType="separate"/>
      </w:r>
      <w:r>
        <w:rPr>
          <w:noProof/>
        </w:rPr>
        <w:t>1</w:t>
      </w:r>
      <w:r w:rsidR="00FE0521">
        <w:rPr>
          <w:noProof/>
        </w:rPr>
        <w:fldChar w:fldCharType="end"/>
      </w:r>
      <w:bookmarkEnd w:id="3"/>
      <w:r>
        <w:t xml:space="preserve">: Table of MIRI exposure configurations used by the </w:t>
      </w:r>
      <w:proofErr w:type="spellStart"/>
      <w:r>
        <w:t>Pandeia</w:t>
      </w:r>
      <w:proofErr w:type="spellEnd"/>
      <w:r>
        <w:t xml:space="preserve"> calculations</w:t>
      </w:r>
    </w:p>
    <w:tbl>
      <w:tblPr>
        <w:tblStyle w:val="LightShading"/>
        <w:tblW w:w="0" w:type="auto"/>
        <w:tblLook w:val="04A0" w:firstRow="1" w:lastRow="0" w:firstColumn="1" w:lastColumn="0" w:noHBand="0" w:noVBand="1"/>
      </w:tblPr>
      <w:tblGrid>
        <w:gridCol w:w="2214"/>
        <w:gridCol w:w="2214"/>
        <w:gridCol w:w="2214"/>
        <w:gridCol w:w="2214"/>
      </w:tblGrid>
      <w:tr w:rsidR="00AC18CE" w14:paraId="6B2DE34B" w14:textId="77777777" w:rsidTr="00AC1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11CFE136" w14:textId="6CBD892B" w:rsidR="00AC18CE" w:rsidRDefault="00AC18CE" w:rsidP="00AC18CE">
            <w:r>
              <w:t>Configuration</w:t>
            </w:r>
          </w:p>
        </w:tc>
        <w:tc>
          <w:tcPr>
            <w:tcW w:w="2214" w:type="dxa"/>
          </w:tcPr>
          <w:p w14:paraId="6EFF93A1" w14:textId="3E443254" w:rsidR="00AC18CE" w:rsidRDefault="00AC18CE" w:rsidP="00AC18CE">
            <w:pPr>
              <w:cnfStyle w:val="100000000000" w:firstRow="1" w:lastRow="0" w:firstColumn="0" w:lastColumn="0" w:oddVBand="0" w:evenVBand="0" w:oddHBand="0" w:evenHBand="0" w:firstRowFirstColumn="0" w:firstRowLastColumn="0" w:lastRowFirstColumn="0" w:lastRowLastColumn="0"/>
            </w:pPr>
            <w:proofErr w:type="spellStart"/>
            <w:r>
              <w:t>Ngroup</w:t>
            </w:r>
            <w:proofErr w:type="spellEnd"/>
          </w:p>
        </w:tc>
        <w:tc>
          <w:tcPr>
            <w:tcW w:w="2214" w:type="dxa"/>
          </w:tcPr>
          <w:p w14:paraId="5DCF7E79" w14:textId="594B9628" w:rsidR="00AC18CE" w:rsidRDefault="00AC18CE" w:rsidP="00AC18CE">
            <w:pPr>
              <w:cnfStyle w:val="100000000000" w:firstRow="1" w:lastRow="0" w:firstColumn="0" w:lastColumn="0" w:oddVBand="0" w:evenVBand="0" w:oddHBand="0" w:evenHBand="0" w:firstRowFirstColumn="0" w:firstRowLastColumn="0" w:lastRowFirstColumn="0" w:lastRowLastColumn="0"/>
            </w:pPr>
            <w:proofErr w:type="spellStart"/>
            <w:r>
              <w:t>Nint</w:t>
            </w:r>
            <w:proofErr w:type="spellEnd"/>
          </w:p>
        </w:tc>
        <w:tc>
          <w:tcPr>
            <w:tcW w:w="2214" w:type="dxa"/>
          </w:tcPr>
          <w:p w14:paraId="7C33D2E0" w14:textId="43CC6DF9" w:rsidR="00AC18CE" w:rsidRDefault="00AC18CE" w:rsidP="00AC18CE">
            <w:pPr>
              <w:cnfStyle w:val="100000000000" w:firstRow="1" w:lastRow="0" w:firstColumn="0" w:lastColumn="0" w:oddVBand="0" w:evenVBand="0" w:oddHBand="0" w:evenHBand="0" w:firstRowFirstColumn="0" w:firstRowLastColumn="0" w:lastRowFirstColumn="0" w:lastRowLastColumn="0"/>
            </w:pPr>
            <w:r>
              <w:t xml:space="preserve">Photon coll. </w:t>
            </w:r>
            <w:proofErr w:type="spellStart"/>
            <w:r>
              <w:t>dur</w:t>
            </w:r>
            <w:proofErr w:type="spellEnd"/>
            <w:r>
              <w:t>.</w:t>
            </w:r>
          </w:p>
        </w:tc>
      </w:tr>
      <w:tr w:rsidR="00AC18CE" w14:paraId="48619711" w14:textId="77777777" w:rsidTr="00AC1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5A75A144" w14:textId="14A3C373" w:rsidR="00AC18CE" w:rsidRDefault="00AC18CE" w:rsidP="00AC18CE">
            <w:r>
              <w:t>F560W</w:t>
            </w:r>
          </w:p>
        </w:tc>
        <w:tc>
          <w:tcPr>
            <w:tcW w:w="2214" w:type="dxa"/>
          </w:tcPr>
          <w:p w14:paraId="6DB892A1" w14:textId="349E2BA7" w:rsidR="00AC18CE" w:rsidRDefault="00AC18CE" w:rsidP="00AC18CE">
            <w:pPr>
              <w:cnfStyle w:val="000000100000" w:firstRow="0" w:lastRow="0" w:firstColumn="0" w:lastColumn="0" w:oddVBand="0" w:evenVBand="0" w:oddHBand="1" w:evenHBand="0" w:firstRowFirstColumn="0" w:firstRowLastColumn="0" w:lastRowFirstColumn="0" w:lastRowLastColumn="0"/>
            </w:pPr>
            <w:r>
              <w:t>107</w:t>
            </w:r>
          </w:p>
        </w:tc>
        <w:tc>
          <w:tcPr>
            <w:tcW w:w="2214" w:type="dxa"/>
          </w:tcPr>
          <w:p w14:paraId="5CDE1E07" w14:textId="32FD7BE9" w:rsidR="00AC18CE" w:rsidRDefault="00AC18CE" w:rsidP="00AC18CE">
            <w:pPr>
              <w:cnfStyle w:val="000000100000" w:firstRow="0" w:lastRow="0" w:firstColumn="0" w:lastColumn="0" w:oddVBand="0" w:evenVBand="0" w:oddHBand="1" w:evenHBand="0" w:firstRowFirstColumn="0" w:firstRowLastColumn="0" w:lastRowFirstColumn="0" w:lastRowLastColumn="0"/>
            </w:pPr>
            <w:r>
              <w:t>24</w:t>
            </w:r>
          </w:p>
        </w:tc>
        <w:tc>
          <w:tcPr>
            <w:tcW w:w="2214" w:type="dxa"/>
          </w:tcPr>
          <w:p w14:paraId="5032CFFA" w14:textId="0AA6969A" w:rsidR="00AC18CE" w:rsidRDefault="009462AD" w:rsidP="00AC18CE">
            <w:pPr>
              <w:cnfStyle w:val="000000100000" w:firstRow="0" w:lastRow="0" w:firstColumn="0" w:lastColumn="0" w:oddVBand="0" w:evenVBand="0" w:oddHBand="1" w:evenHBand="0" w:firstRowFirstColumn="0" w:firstRowLastColumn="0" w:lastRowFirstColumn="0" w:lastRowLastColumn="0"/>
            </w:pPr>
            <w:r>
              <w:t>7126.2 s</w:t>
            </w:r>
          </w:p>
        </w:tc>
      </w:tr>
      <w:tr w:rsidR="00AC18CE" w14:paraId="21A6A53B" w14:textId="77777777" w:rsidTr="00AC18CE">
        <w:tc>
          <w:tcPr>
            <w:cnfStyle w:val="001000000000" w:firstRow="0" w:lastRow="0" w:firstColumn="1" w:lastColumn="0" w:oddVBand="0" w:evenVBand="0" w:oddHBand="0" w:evenHBand="0" w:firstRowFirstColumn="0" w:firstRowLastColumn="0" w:lastRowFirstColumn="0" w:lastRowLastColumn="0"/>
            <w:tcW w:w="2214" w:type="dxa"/>
          </w:tcPr>
          <w:p w14:paraId="62ED3A92" w14:textId="698DCC05" w:rsidR="00AC18CE" w:rsidRDefault="00AC18CE" w:rsidP="00AC18CE">
            <w:r>
              <w:t>F770W</w:t>
            </w:r>
          </w:p>
        </w:tc>
        <w:tc>
          <w:tcPr>
            <w:tcW w:w="2214" w:type="dxa"/>
          </w:tcPr>
          <w:p w14:paraId="41ECD33F" w14:textId="4187761B" w:rsidR="00AC18CE" w:rsidRDefault="00AC18CE" w:rsidP="00AC18CE">
            <w:pPr>
              <w:cnfStyle w:val="000000000000" w:firstRow="0" w:lastRow="0" w:firstColumn="0" w:lastColumn="0" w:oddVBand="0" w:evenVBand="0" w:oddHBand="0" w:evenHBand="0" w:firstRowFirstColumn="0" w:firstRowLastColumn="0" w:lastRowFirstColumn="0" w:lastRowLastColumn="0"/>
            </w:pPr>
            <w:r>
              <w:t>43</w:t>
            </w:r>
          </w:p>
        </w:tc>
        <w:tc>
          <w:tcPr>
            <w:tcW w:w="2214" w:type="dxa"/>
          </w:tcPr>
          <w:p w14:paraId="3570FA6B" w14:textId="04CAC932" w:rsidR="00AC18CE" w:rsidRDefault="00AC18CE" w:rsidP="00AC18CE">
            <w:pPr>
              <w:cnfStyle w:val="000000000000" w:firstRow="0" w:lastRow="0" w:firstColumn="0" w:lastColumn="0" w:oddVBand="0" w:evenVBand="0" w:oddHBand="0" w:evenHBand="0" w:firstRowFirstColumn="0" w:firstRowLastColumn="0" w:lastRowFirstColumn="0" w:lastRowLastColumn="0"/>
            </w:pPr>
            <w:r>
              <w:t>73</w:t>
            </w:r>
          </w:p>
        </w:tc>
        <w:tc>
          <w:tcPr>
            <w:tcW w:w="2214" w:type="dxa"/>
          </w:tcPr>
          <w:p w14:paraId="4A43AF3D" w14:textId="33EC5335" w:rsidR="00AC18CE" w:rsidRDefault="009462AD" w:rsidP="00AC18CE">
            <w:pPr>
              <w:cnfStyle w:val="000000000000" w:firstRow="0" w:lastRow="0" w:firstColumn="0" w:lastColumn="0" w:oddVBand="0" w:evenVBand="0" w:oddHBand="0" w:evenHBand="0" w:firstRowFirstColumn="0" w:firstRowLastColumn="0" w:lastRowFirstColumn="0" w:lastRowLastColumn="0"/>
            </w:pPr>
            <w:r>
              <w:t>8710.7 s</w:t>
            </w:r>
          </w:p>
        </w:tc>
      </w:tr>
      <w:tr w:rsidR="00AC18CE" w14:paraId="40E6C2BE" w14:textId="77777777" w:rsidTr="00AC1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111D9BC2" w14:textId="3C300C7E" w:rsidR="00AC18CE" w:rsidRDefault="00AC18CE" w:rsidP="00AC18CE">
            <w:r>
              <w:t>F1000W</w:t>
            </w:r>
          </w:p>
        </w:tc>
        <w:tc>
          <w:tcPr>
            <w:tcW w:w="2214" w:type="dxa"/>
          </w:tcPr>
          <w:p w14:paraId="37ED145B" w14:textId="54DDECEC" w:rsidR="00AC18CE" w:rsidRDefault="009462AD" w:rsidP="00AC18CE">
            <w:pPr>
              <w:cnfStyle w:val="000000100000" w:firstRow="0" w:lastRow="0" w:firstColumn="0" w:lastColumn="0" w:oddVBand="0" w:evenVBand="0" w:oddHBand="1" w:evenHBand="0" w:firstRowFirstColumn="0" w:firstRowLastColumn="0" w:lastRowFirstColumn="0" w:lastRowLastColumn="0"/>
            </w:pPr>
            <w:r>
              <w:t>43</w:t>
            </w:r>
          </w:p>
        </w:tc>
        <w:tc>
          <w:tcPr>
            <w:tcW w:w="2214" w:type="dxa"/>
          </w:tcPr>
          <w:p w14:paraId="1D32A759" w14:textId="60D6F465" w:rsidR="00AC18CE" w:rsidRDefault="009462AD" w:rsidP="00AC18CE">
            <w:pPr>
              <w:cnfStyle w:val="000000100000" w:firstRow="0" w:lastRow="0" w:firstColumn="0" w:lastColumn="0" w:oddVBand="0" w:evenVBand="0" w:oddHBand="1" w:evenHBand="0" w:firstRowFirstColumn="0" w:firstRowLastColumn="0" w:lastRowFirstColumn="0" w:lastRowLastColumn="0"/>
            </w:pPr>
            <w:r>
              <w:t>73</w:t>
            </w:r>
          </w:p>
        </w:tc>
        <w:tc>
          <w:tcPr>
            <w:tcW w:w="2214" w:type="dxa"/>
          </w:tcPr>
          <w:p w14:paraId="3B4AD554" w14:textId="7056F424" w:rsidR="00AC18CE" w:rsidRDefault="009462AD" w:rsidP="00AC18CE">
            <w:pPr>
              <w:cnfStyle w:val="000000100000" w:firstRow="0" w:lastRow="0" w:firstColumn="0" w:lastColumn="0" w:oddVBand="0" w:evenVBand="0" w:oddHBand="1" w:evenHBand="0" w:firstRowFirstColumn="0" w:firstRowLastColumn="0" w:lastRowFirstColumn="0" w:lastRowLastColumn="0"/>
            </w:pPr>
            <w:r>
              <w:t>8710.2 s</w:t>
            </w:r>
          </w:p>
        </w:tc>
      </w:tr>
      <w:tr w:rsidR="00AC18CE" w14:paraId="124C7747" w14:textId="77777777" w:rsidTr="00AC18CE">
        <w:tc>
          <w:tcPr>
            <w:cnfStyle w:val="001000000000" w:firstRow="0" w:lastRow="0" w:firstColumn="1" w:lastColumn="0" w:oddVBand="0" w:evenVBand="0" w:oddHBand="0" w:evenHBand="0" w:firstRowFirstColumn="0" w:firstRowLastColumn="0" w:lastRowFirstColumn="0" w:lastRowLastColumn="0"/>
            <w:tcW w:w="2214" w:type="dxa"/>
          </w:tcPr>
          <w:p w14:paraId="6FC9DAF2" w14:textId="035BA0E5" w:rsidR="00AC18CE" w:rsidRDefault="00AC18CE" w:rsidP="00AC18CE">
            <w:r>
              <w:t>F1130W</w:t>
            </w:r>
          </w:p>
        </w:tc>
        <w:tc>
          <w:tcPr>
            <w:tcW w:w="2214" w:type="dxa"/>
          </w:tcPr>
          <w:p w14:paraId="2DE173A5" w14:textId="316ABEA7" w:rsidR="00AC18CE" w:rsidRDefault="009462AD" w:rsidP="00AC18CE">
            <w:pPr>
              <w:cnfStyle w:val="000000000000" w:firstRow="0" w:lastRow="0" w:firstColumn="0" w:lastColumn="0" w:oddVBand="0" w:evenVBand="0" w:oddHBand="0" w:evenHBand="0" w:firstRowFirstColumn="0" w:firstRowLastColumn="0" w:lastRowFirstColumn="0" w:lastRowLastColumn="0"/>
            </w:pPr>
            <w:r>
              <w:t>43</w:t>
            </w:r>
          </w:p>
        </w:tc>
        <w:tc>
          <w:tcPr>
            <w:tcW w:w="2214" w:type="dxa"/>
          </w:tcPr>
          <w:p w14:paraId="3D1E52FD" w14:textId="6720DF16" w:rsidR="00AC18CE" w:rsidRDefault="009462AD" w:rsidP="00AC18CE">
            <w:pPr>
              <w:cnfStyle w:val="000000000000" w:firstRow="0" w:lastRow="0" w:firstColumn="0" w:lastColumn="0" w:oddVBand="0" w:evenVBand="0" w:oddHBand="0" w:evenHBand="0" w:firstRowFirstColumn="0" w:firstRowLastColumn="0" w:lastRowFirstColumn="0" w:lastRowLastColumn="0"/>
            </w:pPr>
            <w:r>
              <w:t>73</w:t>
            </w:r>
          </w:p>
        </w:tc>
        <w:tc>
          <w:tcPr>
            <w:tcW w:w="2214" w:type="dxa"/>
          </w:tcPr>
          <w:p w14:paraId="4F6289C7" w14:textId="52E10190" w:rsidR="00AC18CE" w:rsidRDefault="009462AD" w:rsidP="00AC18CE">
            <w:pPr>
              <w:cnfStyle w:val="000000000000" w:firstRow="0" w:lastRow="0" w:firstColumn="0" w:lastColumn="0" w:oddVBand="0" w:evenVBand="0" w:oddHBand="0" w:evenHBand="0" w:firstRowFirstColumn="0" w:firstRowLastColumn="0" w:lastRowFirstColumn="0" w:lastRowLastColumn="0"/>
            </w:pPr>
            <w:r>
              <w:t>8710.2 s</w:t>
            </w:r>
          </w:p>
        </w:tc>
      </w:tr>
      <w:tr w:rsidR="00AC18CE" w14:paraId="291317D0" w14:textId="77777777" w:rsidTr="00AC1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1A88AC6C" w14:textId="6D38318D" w:rsidR="00AC18CE" w:rsidRDefault="00AC18CE" w:rsidP="00AC18CE">
            <w:r>
              <w:t>F1280W</w:t>
            </w:r>
          </w:p>
        </w:tc>
        <w:tc>
          <w:tcPr>
            <w:tcW w:w="2214" w:type="dxa"/>
          </w:tcPr>
          <w:p w14:paraId="084B659B" w14:textId="731B47B3" w:rsidR="00AC18CE" w:rsidRDefault="009462AD" w:rsidP="00AC18CE">
            <w:pPr>
              <w:cnfStyle w:val="000000100000" w:firstRow="0" w:lastRow="0" w:firstColumn="0" w:lastColumn="0" w:oddVBand="0" w:evenVBand="0" w:oddHBand="1" w:evenHBand="0" w:firstRowFirstColumn="0" w:firstRowLastColumn="0" w:lastRowFirstColumn="0" w:lastRowLastColumn="0"/>
            </w:pPr>
            <w:r>
              <w:t>43</w:t>
            </w:r>
          </w:p>
        </w:tc>
        <w:tc>
          <w:tcPr>
            <w:tcW w:w="2214" w:type="dxa"/>
          </w:tcPr>
          <w:p w14:paraId="4F85B1E4" w14:textId="789A8FC4" w:rsidR="00AC18CE" w:rsidRDefault="009462AD" w:rsidP="00AC18CE">
            <w:pPr>
              <w:cnfStyle w:val="000000100000" w:firstRow="0" w:lastRow="0" w:firstColumn="0" w:lastColumn="0" w:oddVBand="0" w:evenVBand="0" w:oddHBand="1" w:evenHBand="0" w:firstRowFirstColumn="0" w:firstRowLastColumn="0" w:lastRowFirstColumn="0" w:lastRowLastColumn="0"/>
            </w:pPr>
            <w:r>
              <w:t>73</w:t>
            </w:r>
          </w:p>
        </w:tc>
        <w:tc>
          <w:tcPr>
            <w:tcW w:w="2214" w:type="dxa"/>
          </w:tcPr>
          <w:p w14:paraId="570655B6" w14:textId="1D05CE27" w:rsidR="00AC18CE" w:rsidRDefault="009462AD" w:rsidP="00AC18CE">
            <w:pPr>
              <w:cnfStyle w:val="000000100000" w:firstRow="0" w:lastRow="0" w:firstColumn="0" w:lastColumn="0" w:oddVBand="0" w:evenVBand="0" w:oddHBand="1" w:evenHBand="0" w:firstRowFirstColumn="0" w:firstRowLastColumn="0" w:lastRowFirstColumn="0" w:lastRowLastColumn="0"/>
            </w:pPr>
            <w:r>
              <w:t>8710.2 s</w:t>
            </w:r>
          </w:p>
        </w:tc>
      </w:tr>
      <w:tr w:rsidR="00AC18CE" w14:paraId="76065A27" w14:textId="77777777" w:rsidTr="00AC18CE">
        <w:tc>
          <w:tcPr>
            <w:cnfStyle w:val="001000000000" w:firstRow="0" w:lastRow="0" w:firstColumn="1" w:lastColumn="0" w:oddVBand="0" w:evenVBand="0" w:oddHBand="0" w:evenHBand="0" w:firstRowFirstColumn="0" w:firstRowLastColumn="0" w:lastRowFirstColumn="0" w:lastRowLastColumn="0"/>
            <w:tcW w:w="2214" w:type="dxa"/>
          </w:tcPr>
          <w:p w14:paraId="5C85413B" w14:textId="49282D8F" w:rsidR="00AC18CE" w:rsidRDefault="00AC18CE" w:rsidP="00AC18CE">
            <w:r>
              <w:t>F1500W</w:t>
            </w:r>
          </w:p>
        </w:tc>
        <w:tc>
          <w:tcPr>
            <w:tcW w:w="2214" w:type="dxa"/>
          </w:tcPr>
          <w:p w14:paraId="7F2456E3" w14:textId="5C8A4837" w:rsidR="00AC18CE" w:rsidRDefault="009462AD" w:rsidP="00AC18CE">
            <w:pPr>
              <w:cnfStyle w:val="000000000000" w:firstRow="0" w:lastRow="0" w:firstColumn="0" w:lastColumn="0" w:oddVBand="0" w:evenVBand="0" w:oddHBand="0" w:evenHBand="0" w:firstRowFirstColumn="0" w:firstRowLastColumn="0" w:lastRowFirstColumn="0" w:lastRowLastColumn="0"/>
            </w:pPr>
            <w:r>
              <w:t>22</w:t>
            </w:r>
          </w:p>
        </w:tc>
        <w:tc>
          <w:tcPr>
            <w:tcW w:w="2214" w:type="dxa"/>
          </w:tcPr>
          <w:p w14:paraId="3026363B" w14:textId="4001431E" w:rsidR="00AC18CE" w:rsidRDefault="009462AD" w:rsidP="00AC18CE">
            <w:pPr>
              <w:cnfStyle w:val="000000000000" w:firstRow="0" w:lastRow="0" w:firstColumn="0" w:lastColumn="0" w:oddVBand="0" w:evenVBand="0" w:oddHBand="0" w:evenHBand="0" w:firstRowFirstColumn="0" w:firstRowLastColumn="0" w:lastRowFirstColumn="0" w:lastRowLastColumn="0"/>
            </w:pPr>
            <w:r>
              <w:t>140</w:t>
            </w:r>
          </w:p>
        </w:tc>
        <w:tc>
          <w:tcPr>
            <w:tcW w:w="2214" w:type="dxa"/>
          </w:tcPr>
          <w:p w14:paraId="44FB4156" w14:textId="130255BF" w:rsidR="00AC18CE" w:rsidRDefault="009335BB" w:rsidP="00AC18CE">
            <w:pPr>
              <w:cnfStyle w:val="000000000000" w:firstRow="0" w:lastRow="0" w:firstColumn="0" w:lastColumn="0" w:oddVBand="0" w:evenVBand="0" w:oddHBand="0" w:evenHBand="0" w:firstRowFirstColumn="0" w:firstRowLastColumn="0" w:lastRowFirstColumn="0" w:lastRowLastColumn="0"/>
            </w:pPr>
            <w:r>
              <w:t>8669.1 s</w:t>
            </w:r>
          </w:p>
        </w:tc>
      </w:tr>
      <w:tr w:rsidR="00AC18CE" w14:paraId="03C9C608" w14:textId="77777777" w:rsidTr="00AC1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6510181" w14:textId="0D53104F" w:rsidR="00AC18CE" w:rsidRDefault="00AC18CE" w:rsidP="00AC18CE">
            <w:r>
              <w:t>F1800W</w:t>
            </w:r>
          </w:p>
        </w:tc>
        <w:tc>
          <w:tcPr>
            <w:tcW w:w="2214" w:type="dxa"/>
          </w:tcPr>
          <w:p w14:paraId="2CB37FCA" w14:textId="0B78A746" w:rsidR="00AC18CE" w:rsidRDefault="009462AD" w:rsidP="00AC18CE">
            <w:pPr>
              <w:cnfStyle w:val="000000100000" w:firstRow="0" w:lastRow="0" w:firstColumn="0" w:lastColumn="0" w:oddVBand="0" w:evenVBand="0" w:oddHBand="1" w:evenHBand="0" w:firstRowFirstColumn="0" w:firstRowLastColumn="0" w:lastRowFirstColumn="0" w:lastRowLastColumn="0"/>
            </w:pPr>
            <w:r>
              <w:t>11</w:t>
            </w:r>
          </w:p>
        </w:tc>
        <w:tc>
          <w:tcPr>
            <w:tcW w:w="2214" w:type="dxa"/>
          </w:tcPr>
          <w:p w14:paraId="7D3A3E9F" w14:textId="2EB5E5F2" w:rsidR="00AC18CE" w:rsidRDefault="009462AD" w:rsidP="00AC18CE">
            <w:pPr>
              <w:cnfStyle w:val="000000100000" w:firstRow="0" w:lastRow="0" w:firstColumn="0" w:lastColumn="0" w:oddVBand="0" w:evenVBand="0" w:oddHBand="1" w:evenHBand="0" w:firstRowFirstColumn="0" w:firstRowLastColumn="0" w:lastRowFirstColumn="0" w:lastRowLastColumn="0"/>
            </w:pPr>
            <w:r>
              <w:t>270</w:t>
            </w:r>
          </w:p>
        </w:tc>
        <w:tc>
          <w:tcPr>
            <w:tcW w:w="2214" w:type="dxa"/>
          </w:tcPr>
          <w:p w14:paraId="3E815C96" w14:textId="5BA04B2A" w:rsidR="00AC18CE" w:rsidRDefault="009335BB" w:rsidP="00AC18CE">
            <w:pPr>
              <w:cnfStyle w:val="000000100000" w:firstRow="0" w:lastRow="0" w:firstColumn="0" w:lastColumn="0" w:oddVBand="0" w:evenVBand="0" w:oddHBand="1" w:evenHBand="0" w:firstRowFirstColumn="0" w:firstRowLastColumn="0" w:lastRowFirstColumn="0" w:lastRowLastColumn="0"/>
            </w:pPr>
            <w:r>
              <w:t>8302.8 s</w:t>
            </w:r>
          </w:p>
        </w:tc>
      </w:tr>
      <w:tr w:rsidR="00AC18CE" w14:paraId="62902A77" w14:textId="77777777" w:rsidTr="00AC18CE">
        <w:tc>
          <w:tcPr>
            <w:cnfStyle w:val="001000000000" w:firstRow="0" w:lastRow="0" w:firstColumn="1" w:lastColumn="0" w:oddVBand="0" w:evenVBand="0" w:oddHBand="0" w:evenHBand="0" w:firstRowFirstColumn="0" w:firstRowLastColumn="0" w:lastRowFirstColumn="0" w:lastRowLastColumn="0"/>
            <w:tcW w:w="2214" w:type="dxa"/>
          </w:tcPr>
          <w:p w14:paraId="43C9B67A" w14:textId="46A571B4" w:rsidR="00AC18CE" w:rsidRDefault="00AC18CE" w:rsidP="00AC18CE">
            <w:r>
              <w:t>F2100W</w:t>
            </w:r>
          </w:p>
        </w:tc>
        <w:tc>
          <w:tcPr>
            <w:tcW w:w="2214" w:type="dxa"/>
          </w:tcPr>
          <w:p w14:paraId="2C6A3C7D" w14:textId="134353A0" w:rsidR="00AC18CE" w:rsidRDefault="009462AD" w:rsidP="00AC18CE">
            <w:pPr>
              <w:cnfStyle w:val="000000000000" w:firstRow="0" w:lastRow="0" w:firstColumn="0" w:lastColumn="0" w:oddVBand="0" w:evenVBand="0" w:oddHBand="0" w:evenHBand="0" w:firstRowFirstColumn="0" w:firstRowLastColumn="0" w:lastRowFirstColumn="0" w:lastRowLastColumn="0"/>
            </w:pPr>
            <w:r>
              <w:t>6</w:t>
            </w:r>
          </w:p>
        </w:tc>
        <w:tc>
          <w:tcPr>
            <w:tcW w:w="2214" w:type="dxa"/>
          </w:tcPr>
          <w:p w14:paraId="029F5CE8" w14:textId="18EBEB62" w:rsidR="00AC18CE" w:rsidRDefault="009462AD" w:rsidP="00AC18CE">
            <w:pPr>
              <w:cnfStyle w:val="000000000000" w:firstRow="0" w:lastRow="0" w:firstColumn="0" w:lastColumn="0" w:oddVBand="0" w:evenVBand="0" w:oddHBand="0" w:evenHBand="0" w:firstRowFirstColumn="0" w:firstRowLastColumn="0" w:lastRowFirstColumn="0" w:lastRowLastColumn="0"/>
            </w:pPr>
            <w:r>
              <w:t>460</w:t>
            </w:r>
          </w:p>
        </w:tc>
        <w:tc>
          <w:tcPr>
            <w:tcW w:w="2214" w:type="dxa"/>
          </w:tcPr>
          <w:p w14:paraId="36BBED6C" w14:textId="2F706EBD" w:rsidR="00AC18CE" w:rsidRDefault="009335BB" w:rsidP="00AC18CE">
            <w:pPr>
              <w:cnfStyle w:val="000000000000" w:firstRow="0" w:lastRow="0" w:firstColumn="0" w:lastColumn="0" w:oddVBand="0" w:evenVBand="0" w:oddHBand="0" w:evenHBand="0" w:firstRowFirstColumn="0" w:firstRowLastColumn="0" w:lastRowFirstColumn="0" w:lastRowLastColumn="0"/>
            </w:pPr>
            <w:r>
              <w:t>7326.0 s</w:t>
            </w:r>
          </w:p>
        </w:tc>
      </w:tr>
      <w:tr w:rsidR="00AC18CE" w14:paraId="0A5F2915" w14:textId="77777777" w:rsidTr="00AC1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115B0067" w14:textId="5407D969" w:rsidR="00AC18CE" w:rsidRDefault="00AC18CE" w:rsidP="00AC18CE">
            <w:r>
              <w:t>F2550W</w:t>
            </w:r>
          </w:p>
        </w:tc>
        <w:tc>
          <w:tcPr>
            <w:tcW w:w="2214" w:type="dxa"/>
          </w:tcPr>
          <w:p w14:paraId="6B2B19AD" w14:textId="2DB1C24E" w:rsidR="00AC18CE" w:rsidRDefault="009462AD" w:rsidP="00AC18CE">
            <w:pPr>
              <w:cnfStyle w:val="000000100000" w:firstRow="0" w:lastRow="0" w:firstColumn="0" w:lastColumn="0" w:oddVBand="0" w:evenVBand="0" w:oddHBand="1" w:evenHBand="0" w:firstRowFirstColumn="0" w:firstRowLastColumn="0" w:lastRowFirstColumn="0" w:lastRowLastColumn="0"/>
            </w:pPr>
            <w:r>
              <w:t>6</w:t>
            </w:r>
          </w:p>
        </w:tc>
        <w:tc>
          <w:tcPr>
            <w:tcW w:w="2214" w:type="dxa"/>
          </w:tcPr>
          <w:p w14:paraId="6F84ECC5" w14:textId="1777EA8D" w:rsidR="00AC18CE" w:rsidRDefault="009462AD" w:rsidP="00AC18CE">
            <w:pPr>
              <w:cnfStyle w:val="000000100000" w:firstRow="0" w:lastRow="0" w:firstColumn="0" w:lastColumn="0" w:oddVBand="0" w:evenVBand="0" w:oddHBand="1" w:evenHBand="0" w:firstRowFirstColumn="0" w:firstRowLastColumn="0" w:lastRowFirstColumn="0" w:lastRowLastColumn="0"/>
            </w:pPr>
            <w:r>
              <w:t>460</w:t>
            </w:r>
          </w:p>
        </w:tc>
        <w:tc>
          <w:tcPr>
            <w:tcW w:w="2214" w:type="dxa"/>
          </w:tcPr>
          <w:p w14:paraId="597C2332" w14:textId="07551265" w:rsidR="00AC18CE" w:rsidRDefault="009335BB" w:rsidP="00AC18CE">
            <w:pPr>
              <w:cnfStyle w:val="000000100000" w:firstRow="0" w:lastRow="0" w:firstColumn="0" w:lastColumn="0" w:oddVBand="0" w:evenVBand="0" w:oddHBand="1" w:evenHBand="0" w:firstRowFirstColumn="0" w:firstRowLastColumn="0" w:lastRowFirstColumn="0" w:lastRowLastColumn="0"/>
            </w:pPr>
            <w:r>
              <w:t>7326.0 s</w:t>
            </w:r>
          </w:p>
        </w:tc>
      </w:tr>
      <w:tr w:rsidR="00AC18CE" w14:paraId="081AF5C4" w14:textId="77777777" w:rsidTr="00AC18CE">
        <w:tc>
          <w:tcPr>
            <w:cnfStyle w:val="001000000000" w:firstRow="0" w:lastRow="0" w:firstColumn="1" w:lastColumn="0" w:oddVBand="0" w:evenVBand="0" w:oddHBand="0" w:evenHBand="0" w:firstRowFirstColumn="0" w:firstRowLastColumn="0" w:lastRowFirstColumn="0" w:lastRowLastColumn="0"/>
            <w:tcW w:w="2214" w:type="dxa"/>
          </w:tcPr>
          <w:p w14:paraId="1358F244" w14:textId="4C2C74E0" w:rsidR="00AC18CE" w:rsidRDefault="00AC18CE" w:rsidP="00AC18CE">
            <w:r>
              <w:t>LRS</w:t>
            </w:r>
          </w:p>
        </w:tc>
        <w:tc>
          <w:tcPr>
            <w:tcW w:w="2214" w:type="dxa"/>
          </w:tcPr>
          <w:p w14:paraId="5652D54C" w14:textId="1D3E058A" w:rsidR="00AC18CE" w:rsidRDefault="00335CA1" w:rsidP="00AC18CE">
            <w:pPr>
              <w:cnfStyle w:val="000000000000" w:firstRow="0" w:lastRow="0" w:firstColumn="0" w:lastColumn="0" w:oddVBand="0" w:evenVBand="0" w:oddHBand="0" w:evenHBand="0" w:firstRowFirstColumn="0" w:firstRowLastColumn="0" w:lastRowFirstColumn="0" w:lastRowLastColumn="0"/>
            </w:pPr>
            <w:r>
              <w:t>173</w:t>
            </w:r>
          </w:p>
        </w:tc>
        <w:tc>
          <w:tcPr>
            <w:tcW w:w="2214" w:type="dxa"/>
          </w:tcPr>
          <w:p w14:paraId="42CDA019" w14:textId="682C7864" w:rsidR="00AC18CE" w:rsidRDefault="00335CA1" w:rsidP="00AC18CE">
            <w:pPr>
              <w:cnfStyle w:val="000000000000" w:firstRow="0" w:lastRow="0" w:firstColumn="0" w:lastColumn="0" w:oddVBand="0" w:evenVBand="0" w:oddHBand="0" w:evenHBand="0" w:firstRowFirstColumn="0" w:firstRowLastColumn="0" w:lastRowFirstColumn="0" w:lastRowLastColumn="0"/>
            </w:pPr>
            <w:r>
              <w:t>14</w:t>
            </w:r>
          </w:p>
        </w:tc>
        <w:tc>
          <w:tcPr>
            <w:tcW w:w="2214" w:type="dxa"/>
          </w:tcPr>
          <w:p w14:paraId="6583B09A" w14:textId="0D1372F7" w:rsidR="00AC18CE" w:rsidRDefault="00335CA1" w:rsidP="00AC18CE">
            <w:pPr>
              <w:cnfStyle w:val="000000000000" w:firstRow="0" w:lastRow="0" w:firstColumn="0" w:lastColumn="0" w:oddVBand="0" w:evenVBand="0" w:oddHBand="0" w:evenHBand="0" w:firstRowFirstColumn="0" w:firstRowLastColumn="0" w:lastRowFirstColumn="0" w:lastRowLastColumn="0"/>
            </w:pPr>
            <w:r>
              <w:t>6721.0 s</w:t>
            </w:r>
          </w:p>
        </w:tc>
      </w:tr>
      <w:tr w:rsidR="00AC18CE" w14:paraId="2E7DA07A" w14:textId="77777777" w:rsidTr="00AC1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090E8FF5" w14:textId="24824502" w:rsidR="00AC18CE" w:rsidRDefault="00AC18CE" w:rsidP="00AC18CE">
            <w:r>
              <w:t>MRS</w:t>
            </w:r>
          </w:p>
        </w:tc>
        <w:tc>
          <w:tcPr>
            <w:tcW w:w="2214" w:type="dxa"/>
          </w:tcPr>
          <w:p w14:paraId="0EB54F3F" w14:textId="0B438ACB" w:rsidR="00AC18CE" w:rsidRDefault="005B0CA7" w:rsidP="00AC18CE">
            <w:pPr>
              <w:cnfStyle w:val="000000100000" w:firstRow="0" w:lastRow="0" w:firstColumn="0" w:lastColumn="0" w:oddVBand="0" w:evenVBand="0" w:oddHBand="1" w:evenHBand="0" w:firstRowFirstColumn="0" w:firstRowLastColumn="0" w:lastRowFirstColumn="0" w:lastRowLastColumn="0"/>
            </w:pPr>
            <w:r>
              <w:t>110</w:t>
            </w:r>
          </w:p>
        </w:tc>
        <w:tc>
          <w:tcPr>
            <w:tcW w:w="2214" w:type="dxa"/>
          </w:tcPr>
          <w:p w14:paraId="5CADE1ED" w14:textId="393046C4" w:rsidR="00AC18CE" w:rsidRDefault="005B0CA7" w:rsidP="00AC18CE">
            <w:pPr>
              <w:cnfStyle w:val="000000100000" w:firstRow="0" w:lastRow="0" w:firstColumn="0" w:lastColumn="0" w:oddVBand="0" w:evenVBand="0" w:oddHBand="1" w:evenHBand="0" w:firstRowFirstColumn="0" w:firstRowLastColumn="0" w:lastRowFirstColumn="0" w:lastRowLastColumn="0"/>
            </w:pPr>
            <w:r>
              <w:t>30</w:t>
            </w:r>
          </w:p>
        </w:tc>
        <w:tc>
          <w:tcPr>
            <w:tcW w:w="2214" w:type="dxa"/>
          </w:tcPr>
          <w:p w14:paraId="15C12A3A" w14:textId="4286C470" w:rsidR="00AC18CE" w:rsidRDefault="005B0CA7" w:rsidP="00AC18CE">
            <w:pPr>
              <w:cnfStyle w:val="000000100000" w:firstRow="0" w:lastRow="0" w:firstColumn="0" w:lastColumn="0" w:oddVBand="0" w:evenVBand="0" w:oddHBand="1" w:evenHBand="0" w:firstRowFirstColumn="0" w:firstRowLastColumn="0" w:lastRowFirstColumn="0" w:lastRowLastColumn="0"/>
            </w:pPr>
            <w:r>
              <w:t>9157.5 s</w:t>
            </w:r>
            <w:r w:rsidR="00235F0D">
              <w:rPr>
                <w:rStyle w:val="FootnoteReference"/>
              </w:rPr>
              <w:footnoteReference w:id="1"/>
            </w:r>
          </w:p>
        </w:tc>
      </w:tr>
    </w:tbl>
    <w:p w14:paraId="69E8F6FD" w14:textId="77777777" w:rsidR="00AC18CE" w:rsidRPr="00AC18CE" w:rsidRDefault="00AC18CE" w:rsidP="00AC18CE"/>
    <w:p w14:paraId="4EB8E02F" w14:textId="2684DC1D" w:rsidR="00933938" w:rsidRDefault="006D541A" w:rsidP="00933938">
      <w:pPr>
        <w:pStyle w:val="Heading2"/>
      </w:pPr>
      <w:r>
        <w:t>Imaging</w:t>
      </w:r>
    </w:p>
    <w:p w14:paraId="76B9C8FC" w14:textId="64E90F0E" w:rsidR="00933938" w:rsidRDefault="00933938" w:rsidP="00933938">
      <w:r>
        <w:t xml:space="preserve">As seen in the PCE comparison, the available </w:t>
      </w:r>
      <w:proofErr w:type="spellStart"/>
      <w:r>
        <w:t>Pandeia</w:t>
      </w:r>
      <w:proofErr w:type="spellEnd"/>
      <w:r>
        <w:t xml:space="preserve"> throughput data </w:t>
      </w:r>
      <w:r w:rsidR="004C4BDA">
        <w:t>tends to</w:t>
      </w:r>
      <w:r>
        <w:t xml:space="preserve"> under</w:t>
      </w:r>
      <w:r w:rsidR="000268D3">
        <w:t>estimate the throughput</w:t>
      </w:r>
      <w:r w:rsidR="000D28D3">
        <w:t xml:space="preserve"> by 2-10%</w:t>
      </w:r>
      <w:r w:rsidR="000268D3">
        <w:t xml:space="preserve">, which leads to a comparatively conservative sensitivity estimate. </w:t>
      </w:r>
      <w:r w:rsidR="00636B7C">
        <w:t xml:space="preserve">For imaging, we use the benchmark prescription for defining the size of the </w:t>
      </w:r>
      <w:r w:rsidR="00BD43FE">
        <w:t xml:space="preserve">circular </w:t>
      </w:r>
      <w:r w:rsidR="00636B7C">
        <w:t>extraction aperture radius</w:t>
      </w:r>
      <w:r w:rsidR="00142799">
        <w:t xml:space="preserve"> as a function of filter central wavelength</w:t>
      </w:r>
      <w:r w:rsidR="00636B7C">
        <w:t xml:space="preserve">: </w:t>
      </w:r>
      <m:oMath>
        <m:sSub>
          <m:sSubPr>
            <m:ctrlPr>
              <w:rPr>
                <w:rFonts w:ascii="Cambria Math" w:hAnsi="Cambria Math"/>
                <w:i/>
              </w:rPr>
            </m:ctrlPr>
          </m:sSubPr>
          <m:e>
            <m:r>
              <w:rPr>
                <w:rFonts w:ascii="Cambria Math" w:hAnsi="Cambria Math"/>
              </w:rPr>
              <m:t>R</m:t>
            </m:r>
          </m:e>
          <m:sub>
            <m:r>
              <w:rPr>
                <w:rFonts w:ascii="Cambria Math" w:hAnsi="Cambria Math"/>
              </w:rPr>
              <m:t>aperture</m:t>
            </m:r>
          </m:sub>
        </m:sSub>
        <m:r>
          <w:rPr>
            <w:rFonts w:ascii="Cambria Math" w:hAnsi="Cambria Math"/>
          </w:rPr>
          <m:t>=0.42"×(</m:t>
        </m:r>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/10μm)</m:t>
        </m:r>
      </m:oMath>
      <w:r w:rsidR="00636B7C">
        <w:t xml:space="preserve">. </w:t>
      </w:r>
      <w:r w:rsidR="00631DCD">
        <w:t xml:space="preserve">The limiting sensitivity comparison is shown in </w:t>
      </w:r>
      <w:r w:rsidR="00631DCD">
        <w:fldChar w:fldCharType="begin"/>
      </w:r>
      <w:r w:rsidR="00631DCD">
        <w:instrText xml:space="preserve"> REF _Ref317863429 \h </w:instrText>
      </w:r>
      <w:r w:rsidR="00631DCD">
        <w:fldChar w:fldCharType="separate"/>
      </w:r>
      <w:r w:rsidR="00631DCD">
        <w:t xml:space="preserve">Figure </w:t>
      </w:r>
      <w:r w:rsidR="00631DCD">
        <w:rPr>
          <w:noProof/>
        </w:rPr>
        <w:t>6</w:t>
      </w:r>
      <w:r w:rsidR="00631DCD">
        <w:fldChar w:fldCharType="end"/>
      </w:r>
      <w:r w:rsidR="00631DCD">
        <w:t xml:space="preserve">. </w:t>
      </w:r>
      <w:r w:rsidR="00EA200D">
        <w:t xml:space="preserve">Using assumptions, margins and reference data as close as possible to the benchmark, </w:t>
      </w:r>
      <w:proofErr w:type="spellStart"/>
      <w:r w:rsidR="00EA200D">
        <w:t>Pandeia</w:t>
      </w:r>
      <w:proofErr w:type="spellEnd"/>
      <w:r w:rsidR="00EA200D">
        <w:t xml:space="preserve"> obtains imaging sensitivities that are about 10% higher, on average, than those of benchmark. There are some remaining differences, which could influence the derived sensitivities at the level of a few %. As opposed to the benchmark, </w:t>
      </w:r>
      <w:proofErr w:type="spellStart"/>
      <w:r w:rsidR="00EA200D">
        <w:t>Pandeia</w:t>
      </w:r>
      <w:proofErr w:type="spellEnd"/>
      <w:r w:rsidR="00EA200D">
        <w:t xml:space="preserve"> uses model PSFs. The benchmark also deploys a large number of margins and inline correction factors, some of which are not fully documented, so it is possible that one or more has been neglected by the </w:t>
      </w:r>
      <w:proofErr w:type="spellStart"/>
      <w:r w:rsidR="00EA200D">
        <w:t>Pandeia</w:t>
      </w:r>
      <w:proofErr w:type="spellEnd"/>
      <w:r w:rsidR="00EA200D">
        <w:t xml:space="preserve"> comparison. One noise component that generally does not appear to have been included in the benchmark is that of background subtraction, which in default </w:t>
      </w:r>
      <w:proofErr w:type="spellStart"/>
      <w:r w:rsidR="00EA200D">
        <w:t>Pandeia</w:t>
      </w:r>
      <w:proofErr w:type="spellEnd"/>
      <w:r w:rsidR="00EA200D">
        <w:t xml:space="preserve"> calculations will generally lead to lower sensitivities. </w:t>
      </w:r>
    </w:p>
    <w:p w14:paraId="36883CF1" w14:textId="33AC0A62" w:rsidR="000616BA" w:rsidRDefault="00630010" w:rsidP="000616BA">
      <w:pPr>
        <w:keepNext/>
      </w:pPr>
      <w:r>
        <w:rPr>
          <w:noProof/>
          <w:lang w:eastAsia="en-US"/>
        </w:rPr>
        <w:drawing>
          <wp:inline distT="0" distB="0" distL="0" distR="0" wp14:anchorId="4F4F914E" wp14:editId="6A171303">
            <wp:extent cx="5486400" cy="3291840"/>
            <wp:effectExtent l="0" t="0" r="0" b="10160"/>
            <wp:docPr id="5" name="Picture 5" descr="Mac HD:Users:pontoppi:STSCI:SoftwareDevelopment:pandeia_verification:plots:miri_imaging_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pontoppi:STSCI:SoftwareDevelopment:pandeia_verification:plots:miri_imaging_sensitivity.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383D3130" w14:textId="11CCBEAA" w:rsidR="00F019E6" w:rsidRPr="00F019E6" w:rsidRDefault="000616BA" w:rsidP="000616BA">
      <w:pPr>
        <w:pStyle w:val="Caption"/>
      </w:pPr>
      <w:bookmarkStart w:id="4" w:name="_Ref317863429"/>
      <w:r>
        <w:t xml:space="preserve">Figure </w:t>
      </w:r>
      <w:r w:rsidR="00FE0521">
        <w:fldChar w:fldCharType="begin"/>
      </w:r>
      <w:r w:rsidR="00FE0521">
        <w:instrText xml:space="preserve"> SEQ Figure \* ARABIC </w:instrText>
      </w:r>
      <w:r w:rsidR="00FE0521">
        <w:fldChar w:fldCharType="separate"/>
      </w:r>
      <w:r w:rsidR="00FE0521">
        <w:rPr>
          <w:noProof/>
        </w:rPr>
        <w:t>6</w:t>
      </w:r>
      <w:r w:rsidR="00FE0521">
        <w:rPr>
          <w:noProof/>
        </w:rPr>
        <w:fldChar w:fldCharType="end"/>
      </w:r>
      <w:bookmarkEnd w:id="4"/>
      <w:r>
        <w:t xml:space="preserve">: Comparison of the </w:t>
      </w:r>
      <w:proofErr w:type="spellStart"/>
      <w:r>
        <w:t>Pandeia</w:t>
      </w:r>
      <w:proofErr w:type="spellEnd"/>
      <w:r>
        <w:t xml:space="preserve"> limiting </w:t>
      </w:r>
      <w:r w:rsidR="00A9364D">
        <w:t>sensitivity (circles)</w:t>
      </w:r>
      <w:r>
        <w:t xml:space="preserve"> for MIRI imaging and the benchmark</w:t>
      </w:r>
      <w:r w:rsidR="00A9364D">
        <w:t xml:space="preserve"> (stars)</w:t>
      </w:r>
      <w:r>
        <w:t>.</w:t>
      </w:r>
      <w:r w:rsidR="00456151">
        <w:t xml:space="preserve"> The size of the symbols correspond</w:t>
      </w:r>
      <w:r w:rsidR="00D605A3">
        <w:t>s</w:t>
      </w:r>
      <w:r w:rsidR="00456151">
        <w:t xml:space="preserve"> to a +/-10% range.</w:t>
      </w:r>
    </w:p>
    <w:p w14:paraId="06DA4FA7" w14:textId="45846A68" w:rsidR="006D541A" w:rsidRDefault="00F10AD9" w:rsidP="006D541A">
      <w:pPr>
        <w:pStyle w:val="Heading2"/>
      </w:pPr>
      <w:r>
        <w:t>Medium Resolution Spectrometer</w:t>
      </w:r>
    </w:p>
    <w:p w14:paraId="2519C58B" w14:textId="2F3A5C0A" w:rsidR="00EA200D" w:rsidRPr="002135CA" w:rsidRDefault="00FE577D" w:rsidP="002135CA">
      <w:r>
        <w:t>The MIRI Medium Resolution Spectrometer MRS covers a wide range of background levels, is a set of four different IFUs</w:t>
      </w:r>
      <w:r w:rsidR="003C456A">
        <w:t xml:space="preserve"> and includes a relatively wide range of spectral resolving powers. This makes it a good test of </w:t>
      </w:r>
      <w:proofErr w:type="spellStart"/>
      <w:r w:rsidR="003C456A">
        <w:t>Pandeia</w:t>
      </w:r>
      <w:proofErr w:type="spellEnd"/>
      <w:r w:rsidR="003C456A">
        <w:t xml:space="preserve"> across a wide range of conditions. As with other MIRI modes, the benchmark comparison is not done with exactly the same reference data. While the </w:t>
      </w:r>
      <w:proofErr w:type="gramStart"/>
      <w:r w:rsidR="003C456A">
        <w:t>spectral dispersion data were delivered by the MIRI team</w:t>
      </w:r>
      <w:proofErr w:type="gramEnd"/>
      <w:r w:rsidR="003C456A">
        <w:t>, the component throughputs were not. This leads to some differences in assumed PCE</w:t>
      </w:r>
      <w:r w:rsidR="00EA200D">
        <w:t>.</w:t>
      </w:r>
      <w:r w:rsidR="00596657">
        <w:t xml:space="preserve"> </w:t>
      </w:r>
      <w:r w:rsidR="00CA125A">
        <w:t>T</w:t>
      </w:r>
      <w:r w:rsidR="00596657">
        <w:t>he MRS sensitivities</w:t>
      </w:r>
      <w:r w:rsidR="00D26CD3">
        <w:t xml:space="preserve"> are compared to the benchmark in </w:t>
      </w:r>
      <w:r w:rsidR="00D26CD3">
        <w:fldChar w:fldCharType="begin"/>
      </w:r>
      <w:r w:rsidR="00D26CD3">
        <w:instrText xml:space="preserve"> REF _Ref313280911 \h </w:instrText>
      </w:r>
      <w:r w:rsidR="00D26CD3">
        <w:fldChar w:fldCharType="separate"/>
      </w:r>
      <w:r w:rsidR="00D26CD3">
        <w:t xml:space="preserve">Figure </w:t>
      </w:r>
      <w:r w:rsidR="00D26CD3">
        <w:rPr>
          <w:noProof/>
        </w:rPr>
        <w:t>8</w:t>
      </w:r>
      <w:r w:rsidR="00D26CD3">
        <w:fldChar w:fldCharType="end"/>
      </w:r>
      <w:r w:rsidR="00D26CD3">
        <w:t>. The</w:t>
      </w:r>
      <w:r w:rsidR="00596657">
        <w:t xml:space="preserve"> </w:t>
      </w:r>
      <w:proofErr w:type="spellStart"/>
      <w:r w:rsidR="00596657">
        <w:t>Pandeia</w:t>
      </w:r>
      <w:proofErr w:type="spellEnd"/>
      <w:r w:rsidR="00D26CD3">
        <w:t xml:space="preserve"> sensitivities</w:t>
      </w:r>
      <w:r w:rsidR="00596657">
        <w:t xml:space="preserve"> match</w:t>
      </w:r>
      <w:r w:rsidR="00D26CD3">
        <w:t xml:space="preserve"> those of</w:t>
      </w:r>
      <w:r w:rsidR="00596657">
        <w:t xml:space="preserve"> the benchmark </w:t>
      </w:r>
      <w:r w:rsidR="006A6D5D">
        <w:t xml:space="preserve">to </w:t>
      </w:r>
      <w:r w:rsidR="00596657">
        <w:t>within the 10% to</w:t>
      </w:r>
      <w:r w:rsidR="009F2A6F">
        <w:t xml:space="preserve">lerance, except for channel 3A, which differs by ~20% over much of its range. Once a final delivery of reference data is made, this discrepancy should be re-evaluated. </w:t>
      </w:r>
    </w:p>
    <w:p w14:paraId="6A17D419" w14:textId="770228CF" w:rsidR="00B85063" w:rsidRDefault="003E479F" w:rsidP="00B85063">
      <w:pPr>
        <w:keepNext/>
      </w:pPr>
      <w:r>
        <w:rPr>
          <w:noProof/>
          <w:lang w:eastAsia="en-US"/>
        </w:rPr>
        <w:drawing>
          <wp:inline distT="0" distB="0" distL="0" distR="0" wp14:anchorId="3BDB0D73" wp14:editId="28E47E91">
            <wp:extent cx="5486400" cy="3291840"/>
            <wp:effectExtent l="0" t="0" r="0" b="10160"/>
            <wp:docPr id="18" name="Picture 18" descr="Mac HD:Users:pontoppi:STSCI:SoftwareDevelopment:pandeia_verification:plots:miri_mrs_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pontoppi:STSCI:SoftwareDevelopment:pandeia_verification:plots:miri_mrs_sensitivity.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1B270854" w14:textId="30BBDD42" w:rsidR="00F75E30" w:rsidRPr="00F75E30" w:rsidRDefault="00B85063" w:rsidP="00B85063">
      <w:pPr>
        <w:pStyle w:val="Caption"/>
      </w:pPr>
      <w:bookmarkStart w:id="5" w:name="_Ref313280911"/>
      <w:r>
        <w:t xml:space="preserve">Figure </w:t>
      </w:r>
      <w:r w:rsidR="00FE0521">
        <w:fldChar w:fldCharType="begin"/>
      </w:r>
      <w:r w:rsidR="00FE0521">
        <w:instrText xml:space="preserve"> SEQ Figure \* ARABIC </w:instrText>
      </w:r>
      <w:r w:rsidR="00FE0521">
        <w:fldChar w:fldCharType="separate"/>
      </w:r>
      <w:r w:rsidR="00FE0521">
        <w:rPr>
          <w:noProof/>
        </w:rPr>
        <w:t>7</w:t>
      </w:r>
      <w:r w:rsidR="00FE0521">
        <w:rPr>
          <w:noProof/>
        </w:rPr>
        <w:fldChar w:fldCharType="end"/>
      </w:r>
      <w:bookmarkEnd w:id="5"/>
      <w:r w:rsidR="002135CA">
        <w:t>: Comparison between</w:t>
      </w:r>
      <w:r>
        <w:t xml:space="preserve"> the </w:t>
      </w:r>
      <w:proofErr w:type="spellStart"/>
      <w:r w:rsidR="002135CA">
        <w:t>Pandeia</w:t>
      </w:r>
      <w:proofErr w:type="spellEnd"/>
      <w:r w:rsidR="002135CA">
        <w:t xml:space="preserve"> </w:t>
      </w:r>
      <w:r>
        <w:t>MIRI</w:t>
      </w:r>
      <w:r w:rsidR="00597E95">
        <w:t xml:space="preserve"> MRS limiting sensitivities (solid curves) and those</w:t>
      </w:r>
      <w:r>
        <w:t xml:space="preserve"> of the benchmark</w:t>
      </w:r>
      <w:r w:rsidR="00597E95">
        <w:t xml:space="preserve"> (dashed curves)</w:t>
      </w:r>
      <w:r>
        <w:t>.</w:t>
      </w:r>
      <w:r w:rsidR="0006065F">
        <w:t xml:space="preserve"> The dashed lines show the benchmark values and a +/-10% range. </w:t>
      </w:r>
    </w:p>
    <w:p w14:paraId="57DC8F4B" w14:textId="040BBF1E" w:rsidR="00F75E30" w:rsidRDefault="00F10AD9" w:rsidP="006D541A">
      <w:pPr>
        <w:pStyle w:val="Heading2"/>
      </w:pPr>
      <w:r>
        <w:t xml:space="preserve">Low Resolution </w:t>
      </w:r>
      <w:r w:rsidR="004519D5">
        <w:t>Spectrometer</w:t>
      </w:r>
    </w:p>
    <w:p w14:paraId="68463FF5" w14:textId="3DBA0992" w:rsidR="00461A12" w:rsidRDefault="005A0B8D" w:rsidP="00384CC3">
      <w:proofErr w:type="spellStart"/>
      <w:r>
        <w:t>Glasse</w:t>
      </w:r>
      <w:proofErr w:type="spellEnd"/>
      <w:r>
        <w:t xml:space="preserve"> et al. 2015 provides a</w:t>
      </w:r>
      <w:r w:rsidR="00384CC3">
        <w:t xml:space="preserve"> benchmark for</w:t>
      </w:r>
      <w:r w:rsidR="004519D5">
        <w:t xml:space="preserve"> the</w:t>
      </w:r>
      <w:r w:rsidR="00384CC3">
        <w:t xml:space="preserve"> MIRI Low Resolution </w:t>
      </w:r>
      <w:r w:rsidR="004519D5">
        <w:t>Spectrometer</w:t>
      </w:r>
      <w:r w:rsidR="00384CC3">
        <w:t xml:space="preserve"> (LRS) </w:t>
      </w:r>
      <w:proofErr w:type="spellStart"/>
      <w:r w:rsidR="00384CC3">
        <w:t>slitted</w:t>
      </w:r>
      <w:proofErr w:type="spellEnd"/>
      <w:r w:rsidR="00384CC3">
        <w:t xml:space="preserve"> mode</w:t>
      </w:r>
      <w:r>
        <w:t xml:space="preserve">, but not for the </w:t>
      </w:r>
      <w:proofErr w:type="spellStart"/>
      <w:r>
        <w:t>slitless</w:t>
      </w:r>
      <w:proofErr w:type="spellEnd"/>
      <w:r>
        <w:t xml:space="preserve"> mode</w:t>
      </w:r>
      <w:r w:rsidR="009E784D">
        <w:t xml:space="preserve">. </w:t>
      </w:r>
      <w:r w:rsidR="009E784D">
        <w:fldChar w:fldCharType="begin"/>
      </w:r>
      <w:r w:rsidR="009E784D">
        <w:instrText xml:space="preserve"> REF _Ref317762250 \h </w:instrText>
      </w:r>
      <w:r w:rsidR="009E784D">
        <w:fldChar w:fldCharType="separate"/>
      </w:r>
      <w:r w:rsidR="009E784D">
        <w:t xml:space="preserve">Figure </w:t>
      </w:r>
      <w:r w:rsidR="009E784D">
        <w:rPr>
          <w:noProof/>
        </w:rPr>
        <w:t>8</w:t>
      </w:r>
      <w:r w:rsidR="009E784D">
        <w:fldChar w:fldCharType="end"/>
      </w:r>
      <w:r w:rsidR="009E784D">
        <w:t xml:space="preserve"> shows a comparison between the LRS slit benchmark sensitivity and the </w:t>
      </w:r>
      <w:proofErr w:type="spellStart"/>
      <w:r w:rsidR="009E784D">
        <w:t>Pandeia</w:t>
      </w:r>
      <w:proofErr w:type="spellEnd"/>
      <w:r w:rsidR="009E784D">
        <w:t xml:space="preserve"> sensitivities using both the </w:t>
      </w:r>
      <w:proofErr w:type="spellStart"/>
      <w:r w:rsidR="009E784D">
        <w:t>slitted</w:t>
      </w:r>
      <w:proofErr w:type="spellEnd"/>
      <w:r w:rsidR="009E784D">
        <w:t xml:space="preserve"> and </w:t>
      </w:r>
      <w:proofErr w:type="spellStart"/>
      <w:r w:rsidR="009E784D">
        <w:t>slitless</w:t>
      </w:r>
      <w:proofErr w:type="spellEnd"/>
      <w:r w:rsidR="009E784D">
        <w:t xml:space="preserve"> configurations. It is seen that </w:t>
      </w:r>
      <w:r w:rsidR="004106C7">
        <w:t xml:space="preserve">there is a </w:t>
      </w:r>
      <w:r w:rsidR="00241347">
        <w:t>large</w:t>
      </w:r>
      <w:r w:rsidR="008A1219">
        <w:t xml:space="preserve"> discrepancy </w:t>
      </w:r>
      <w:r w:rsidR="004106C7">
        <w:t xml:space="preserve">between the </w:t>
      </w:r>
      <w:proofErr w:type="spellStart"/>
      <w:r w:rsidR="004106C7">
        <w:t>Pandeia</w:t>
      </w:r>
      <w:proofErr w:type="spellEnd"/>
      <w:r w:rsidR="004106C7">
        <w:t xml:space="preserve"> sensitivities and</w:t>
      </w:r>
      <w:r w:rsidR="008A1219">
        <w:t xml:space="preserve"> the benchmark calculations. </w:t>
      </w:r>
      <w:r w:rsidR="005302F7">
        <w:t>Specifically, t</w:t>
      </w:r>
      <w:r w:rsidR="008A1219">
        <w:t>he bench</w:t>
      </w:r>
      <w:r w:rsidR="000E3A8F">
        <w:t>mark for the LRS slit predicts</w:t>
      </w:r>
      <w:r w:rsidR="00D124D4">
        <w:t xml:space="preserve"> 2-3</w:t>
      </w:r>
      <w:r w:rsidR="000E3A8F">
        <w:t xml:space="preserve"> times less sensitivity</w:t>
      </w:r>
      <w:r w:rsidR="005302F7">
        <w:t xml:space="preserve"> than the </w:t>
      </w:r>
      <w:proofErr w:type="spellStart"/>
      <w:r w:rsidR="005302F7">
        <w:t>Pandeia</w:t>
      </w:r>
      <w:proofErr w:type="spellEnd"/>
      <w:r w:rsidR="005302F7">
        <w:t xml:space="preserve"> esti</w:t>
      </w:r>
      <w:r w:rsidR="008A1219">
        <w:t>mate</w:t>
      </w:r>
      <w:r w:rsidR="00D124D4">
        <w:t>, depending on wavelength</w:t>
      </w:r>
      <w:r w:rsidR="008A1219">
        <w:t>. Unlike the minor differences at the &lt;10% level in other modes, the LRS discrepancies cannot be ascribed to small differences in effective reference data</w:t>
      </w:r>
      <w:r w:rsidR="00C701D4">
        <w:t xml:space="preserve">, and the explanation is likely a sign of a significant, but as yet unidentified, difference between the </w:t>
      </w:r>
      <w:proofErr w:type="spellStart"/>
      <w:r w:rsidR="00C701D4">
        <w:t>Pandeia</w:t>
      </w:r>
      <w:proofErr w:type="spellEnd"/>
      <w:r w:rsidR="00C701D4">
        <w:t xml:space="preserve"> and benchmark reference data or algorithm</w:t>
      </w:r>
      <w:r w:rsidR="008A1219">
        <w:t>.</w:t>
      </w:r>
      <w:r w:rsidR="00C701D4">
        <w:t xml:space="preserve"> However, we note that </w:t>
      </w:r>
      <w:proofErr w:type="spellStart"/>
      <w:r w:rsidR="00C701D4">
        <w:t>Pandeia</w:t>
      </w:r>
      <w:proofErr w:type="spellEnd"/>
      <w:r w:rsidR="00C701D4">
        <w:t xml:space="preserve"> does not exhibit a similar difference for other spectroscopic modes that have been benchmarked, in particular those of </w:t>
      </w:r>
      <w:proofErr w:type="spellStart"/>
      <w:r w:rsidR="00C701D4">
        <w:t>NIRSpec</w:t>
      </w:r>
      <w:proofErr w:type="spellEnd"/>
      <w:r w:rsidR="00C701D4">
        <w:t xml:space="preserve">. </w:t>
      </w:r>
      <w:r w:rsidR="008A1219">
        <w:t xml:space="preserve"> </w:t>
      </w:r>
    </w:p>
    <w:p w14:paraId="5C7E0251" w14:textId="25D06465" w:rsidR="00C701D4" w:rsidRDefault="00C701D4" w:rsidP="00384CC3">
      <w:r>
        <w:t xml:space="preserve">There are a number of possible reasons for the discrepancy. </w:t>
      </w:r>
    </w:p>
    <w:p w14:paraId="129BA38B" w14:textId="77777777" w:rsidR="00C701D4" w:rsidRDefault="00C701D4" w:rsidP="00384CC3">
      <w:r>
        <w:t xml:space="preserve">- The assumed reference data are different. It is already determined that the throughputs are somewhat different, but only by 10-20%, which is not sufficient to create the observed difference. </w:t>
      </w:r>
    </w:p>
    <w:p w14:paraId="250E0487" w14:textId="2FF9B9C9" w:rsidR="00C701D4" w:rsidRDefault="00C701D4" w:rsidP="00384CC3">
      <w:r>
        <w:t xml:space="preserve">- It is possible that the dispersion function is different. </w:t>
      </w:r>
      <w:proofErr w:type="spellStart"/>
      <w:r>
        <w:t>Pandeia</w:t>
      </w:r>
      <w:proofErr w:type="spellEnd"/>
      <w:r>
        <w:t xml:space="preserve"> currently uses the</w:t>
      </w:r>
      <w:r w:rsidR="00B076D7">
        <w:t xml:space="preserve"> measured</w:t>
      </w:r>
      <w:r>
        <w:t xml:space="preserve"> curve in Kendrew et al. 2015 </w:t>
      </w:r>
      <w:r w:rsidR="00B076D7">
        <w:t xml:space="preserve">(their Figure 5). </w:t>
      </w:r>
    </w:p>
    <w:p w14:paraId="17395ACD" w14:textId="7E73942D" w:rsidR="00384CC3" w:rsidRPr="00384CC3" w:rsidRDefault="00B076D7" w:rsidP="00384CC3">
      <w:r>
        <w:t xml:space="preserve">- It is possible that </w:t>
      </w:r>
      <w:proofErr w:type="gramStart"/>
      <w:r>
        <w:t xml:space="preserve">the backgrounds are handled differently by </w:t>
      </w:r>
      <w:proofErr w:type="spellStart"/>
      <w:r>
        <w:t>Pandeia</w:t>
      </w:r>
      <w:proofErr w:type="spellEnd"/>
      <w:proofErr w:type="gramEnd"/>
      <w:r>
        <w:t xml:space="preserve"> relative to the benchmark.</w:t>
      </w:r>
      <w:r w:rsidR="004F7F26">
        <w:t xml:space="preserve"> We note that the </w:t>
      </w:r>
      <w:proofErr w:type="spellStart"/>
      <w:r w:rsidR="004F7F26">
        <w:t>Pandeia</w:t>
      </w:r>
      <w:proofErr w:type="spellEnd"/>
      <w:r w:rsidR="004F7F26">
        <w:t xml:space="preserve"> background matches that of </w:t>
      </w:r>
      <w:r w:rsidR="00EF24E3">
        <w:t>the</w:t>
      </w:r>
      <w:r w:rsidR="004F7F26">
        <w:t xml:space="preserve"> other benchmarks</w:t>
      </w:r>
      <w:r w:rsidR="00EF24E3">
        <w:t xml:space="preserve"> for other instruments</w:t>
      </w:r>
      <w:r w:rsidR="004F7F26">
        <w:t>.</w:t>
      </w:r>
      <w:r>
        <w:t xml:space="preserve"> </w:t>
      </w:r>
      <w:r w:rsidR="00461A12">
        <w:t xml:space="preserve">The background rate per pixel in the LRS modes is shown in the overview plot in </w:t>
      </w:r>
      <w:r w:rsidR="00461A12">
        <w:fldChar w:fldCharType="begin"/>
      </w:r>
      <w:r w:rsidR="00461A12">
        <w:instrText xml:space="preserve"> REF _Ref318435011 \h </w:instrText>
      </w:r>
      <w:r w:rsidR="00461A12">
        <w:fldChar w:fldCharType="separate"/>
      </w:r>
      <w:r w:rsidR="00461A12">
        <w:t xml:space="preserve">Figure </w:t>
      </w:r>
      <w:r w:rsidR="00461A12">
        <w:rPr>
          <w:noProof/>
        </w:rPr>
        <w:t>2</w:t>
      </w:r>
      <w:r w:rsidR="00461A12">
        <w:fldChar w:fldCharType="end"/>
      </w:r>
      <w:r w:rsidR="00461A12">
        <w:t xml:space="preserve">. </w:t>
      </w:r>
      <w:r>
        <w:t xml:space="preserve">For reference, </w:t>
      </w:r>
      <w:proofErr w:type="spellStart"/>
      <w:r>
        <w:t>Pandeia</w:t>
      </w:r>
      <w:proofErr w:type="spellEnd"/>
      <w:r>
        <w:t xml:space="preserve"> predicts</w:t>
      </w:r>
      <w:r w:rsidR="00461A12">
        <w:t xml:space="preserve"> a peak rate of </w:t>
      </w:r>
      <w:proofErr w:type="gramStart"/>
      <w:r w:rsidR="00B23EB4">
        <w:t>4.0</w:t>
      </w:r>
      <w:r w:rsidR="00EA200D">
        <w:t xml:space="preserve"> e-/s/pixel for the </w:t>
      </w:r>
      <w:proofErr w:type="spellStart"/>
      <w:r w:rsidR="00EA200D">
        <w:t>slit</w:t>
      </w:r>
      <w:r w:rsidR="007E1DFE">
        <w:t>ted</w:t>
      </w:r>
      <w:proofErr w:type="spellEnd"/>
      <w:r w:rsidR="007E1DFE">
        <w:t xml:space="preserve"> mode</w:t>
      </w:r>
      <w:proofErr w:type="gramEnd"/>
      <w:r w:rsidR="00A010E4">
        <w:t xml:space="preserve"> (through the 0.51" wide slit)</w:t>
      </w:r>
      <w:r w:rsidR="00B23EB4">
        <w:t xml:space="preserve"> and 170</w:t>
      </w:r>
      <w:r w:rsidR="00EA200D">
        <w:t xml:space="preserve"> e</w:t>
      </w:r>
      <w:r>
        <w:t xml:space="preserve">-/s/pixel for the </w:t>
      </w:r>
      <w:proofErr w:type="spellStart"/>
      <w:r>
        <w:t>slitless</w:t>
      </w:r>
      <w:proofErr w:type="spellEnd"/>
      <w:r>
        <w:t xml:space="preserve"> mode, using the benchmark background spectrum. </w:t>
      </w:r>
      <w:r w:rsidR="00CC3E86">
        <w:t>Matching the benchmark requires a ten-fold inc</w:t>
      </w:r>
      <w:r w:rsidR="007D689A">
        <w:t>rease of this</w:t>
      </w:r>
      <w:r w:rsidR="00CC3E86">
        <w:t xml:space="preserve"> assumed background</w:t>
      </w:r>
      <w:r w:rsidR="00FB07EF">
        <w:t xml:space="preserve"> level</w:t>
      </w:r>
      <w:r w:rsidR="00CC3E86">
        <w:t xml:space="preserve">. </w:t>
      </w:r>
    </w:p>
    <w:p w14:paraId="0784FFDB" w14:textId="1A2D0506" w:rsidR="00A8529A" w:rsidRDefault="00D605A3" w:rsidP="00A8529A">
      <w:pPr>
        <w:pStyle w:val="Heading2"/>
        <w:numPr>
          <w:ilvl w:val="0"/>
          <w:numId w:val="0"/>
        </w:numPr>
        <w:ind w:left="576"/>
      </w:pPr>
      <w:r>
        <w:rPr>
          <w:noProof/>
          <w:lang w:eastAsia="en-US"/>
        </w:rPr>
        <w:drawing>
          <wp:inline distT="0" distB="0" distL="0" distR="0" wp14:anchorId="263E6172" wp14:editId="1FCDC81C">
            <wp:extent cx="3226650" cy="3226650"/>
            <wp:effectExtent l="0" t="0" r="0" b="0"/>
            <wp:docPr id="6" name="Picture 6" descr="Mac HD:Users:pontoppi:STSCI:SoftwareDevelopment:pandeia_verification:plots:miri_lrs_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pontoppi:STSCI:SoftwareDevelopment:pandeia_verification:plots:miri_lrs_sensitivity.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6650" cy="3226650"/>
                    </a:xfrm>
                    <a:prstGeom prst="rect">
                      <a:avLst/>
                    </a:prstGeom>
                    <a:noFill/>
                    <a:ln>
                      <a:noFill/>
                    </a:ln>
                  </pic:spPr>
                </pic:pic>
              </a:graphicData>
            </a:graphic>
          </wp:inline>
        </w:drawing>
      </w:r>
    </w:p>
    <w:p w14:paraId="0ED0851E" w14:textId="7D4F575D" w:rsidR="006D541A" w:rsidRDefault="00A8529A" w:rsidP="00A8529A">
      <w:pPr>
        <w:pStyle w:val="Caption"/>
        <w:jc w:val="both"/>
      </w:pPr>
      <w:bookmarkStart w:id="6" w:name="_Ref317762250"/>
      <w:r>
        <w:t xml:space="preserve">Figure </w:t>
      </w:r>
      <w:r w:rsidR="00FE0521">
        <w:fldChar w:fldCharType="begin"/>
      </w:r>
      <w:r w:rsidR="00FE0521">
        <w:instrText xml:space="preserve"> SEQ Figure \* ARABIC </w:instrText>
      </w:r>
      <w:r w:rsidR="00FE0521">
        <w:fldChar w:fldCharType="separate"/>
      </w:r>
      <w:r w:rsidR="00FE0521">
        <w:rPr>
          <w:noProof/>
        </w:rPr>
        <w:t>8</w:t>
      </w:r>
      <w:r w:rsidR="00FE0521">
        <w:rPr>
          <w:noProof/>
        </w:rPr>
        <w:fldChar w:fldCharType="end"/>
      </w:r>
      <w:bookmarkEnd w:id="6"/>
      <w:r>
        <w:t xml:space="preserve">: Comparison between the benchmark for MIRI LRS </w:t>
      </w:r>
      <w:proofErr w:type="spellStart"/>
      <w:r>
        <w:t>slitted</w:t>
      </w:r>
      <w:proofErr w:type="spellEnd"/>
      <w:r>
        <w:t xml:space="preserve"> spectroscopy and </w:t>
      </w:r>
      <w:proofErr w:type="spellStart"/>
      <w:r>
        <w:t>slitted</w:t>
      </w:r>
      <w:proofErr w:type="spellEnd"/>
      <w:r>
        <w:t xml:space="preserve"> and </w:t>
      </w:r>
      <w:proofErr w:type="spellStart"/>
      <w:r>
        <w:t>slitless</w:t>
      </w:r>
      <w:proofErr w:type="spellEnd"/>
      <w:r>
        <w:t xml:space="preserve"> calculations from </w:t>
      </w:r>
      <w:proofErr w:type="spellStart"/>
      <w:r>
        <w:t>Pandeia</w:t>
      </w:r>
      <w:proofErr w:type="spellEnd"/>
      <w:r>
        <w:t>. The star symbol indicates the requirement value.</w:t>
      </w:r>
    </w:p>
    <w:p w14:paraId="4F44FC2B" w14:textId="248AE566" w:rsidR="006D541A" w:rsidRPr="006D541A" w:rsidRDefault="006D541A" w:rsidP="006D541A">
      <w:pPr>
        <w:pStyle w:val="Heading2"/>
      </w:pPr>
      <w:proofErr w:type="spellStart"/>
      <w:r>
        <w:t>Coronagraphy</w:t>
      </w:r>
      <w:proofErr w:type="spellEnd"/>
    </w:p>
    <w:p w14:paraId="43213551" w14:textId="6C074921" w:rsidR="00B004C6" w:rsidRDefault="00B004C6" w:rsidP="00B004C6">
      <w:pPr>
        <w:pStyle w:val="Heading1"/>
      </w:pPr>
      <w:proofErr w:type="spellStart"/>
      <w:r>
        <w:t>NIRCam</w:t>
      </w:r>
      <w:proofErr w:type="spellEnd"/>
    </w:p>
    <w:p w14:paraId="3EDFE356" w14:textId="3155704C" w:rsidR="006F32EF" w:rsidRDefault="004F636E" w:rsidP="00124C14">
      <w:pPr>
        <w:keepNext/>
      </w:pPr>
      <w:r>
        <w:t xml:space="preserve">For </w:t>
      </w:r>
      <w:proofErr w:type="spellStart"/>
      <w:r>
        <w:t>NIRCam</w:t>
      </w:r>
      <w:proofErr w:type="spellEnd"/>
      <w:r>
        <w:t xml:space="preserve"> imaging we use the sensitivity calculation presented in </w:t>
      </w:r>
      <w:proofErr w:type="spellStart"/>
      <w:r>
        <w:t>Rieke</w:t>
      </w:r>
      <w:proofErr w:type="spellEnd"/>
      <w:r>
        <w:t xml:space="preserve"> 2005, JWST-CALC-003894 and associated Excel spreadsheet. </w:t>
      </w:r>
      <w:r w:rsidR="0080231E">
        <w:t>This benchmark is a basic one-dimensional sensitivity calculation using idealized box filter throughput curves. Some of the assumed filter properties differ significantly from the delivered filter curves, in particular in ter</w:t>
      </w:r>
      <w:r w:rsidR="00D7021C">
        <w:t xml:space="preserve">ms of relative </w:t>
      </w:r>
      <w:proofErr w:type="spellStart"/>
      <w:r w:rsidR="00D7021C">
        <w:t>bandpass</w:t>
      </w:r>
      <w:proofErr w:type="spellEnd"/>
      <w:r w:rsidR="00D7021C">
        <w:t xml:space="preserve"> widths, which decreases the fidelity of the benchmark somewhat. </w:t>
      </w:r>
      <w:r w:rsidR="00C32679">
        <w:t xml:space="preserve">A benchmark for the </w:t>
      </w:r>
      <w:proofErr w:type="spellStart"/>
      <w:r w:rsidR="00C32679">
        <w:t>slitless</w:t>
      </w:r>
      <w:proofErr w:type="spellEnd"/>
      <w:r w:rsidR="00C32679">
        <w:t xml:space="preserve"> </w:t>
      </w:r>
      <w:proofErr w:type="spellStart"/>
      <w:r w:rsidR="00C32679">
        <w:t>NIRCam</w:t>
      </w:r>
      <w:proofErr w:type="spellEnd"/>
      <w:r w:rsidR="00C32679">
        <w:t xml:space="preserve"> </w:t>
      </w:r>
      <w:proofErr w:type="spellStart"/>
      <w:r w:rsidR="00C32679">
        <w:t>grism</w:t>
      </w:r>
      <w:proofErr w:type="spellEnd"/>
      <w:r w:rsidR="00C32679">
        <w:t xml:space="preserve"> mode is not available.</w:t>
      </w:r>
    </w:p>
    <w:p w14:paraId="51812908" w14:textId="631009B8" w:rsidR="00517005" w:rsidRDefault="00517005" w:rsidP="00517005">
      <w:pPr>
        <w:pStyle w:val="Heading2"/>
      </w:pPr>
      <w:proofErr w:type="spellStart"/>
      <w:r>
        <w:t>NIRCam</w:t>
      </w:r>
      <w:proofErr w:type="spellEnd"/>
      <w:r>
        <w:t xml:space="preserve"> throughputs</w:t>
      </w:r>
    </w:p>
    <w:p w14:paraId="50267708" w14:textId="6FA6DEAC" w:rsidR="00952BE6" w:rsidRPr="00952BE6" w:rsidRDefault="00952BE6" w:rsidP="00952BE6">
      <w:r>
        <w:t xml:space="preserve">The </w:t>
      </w:r>
      <w:proofErr w:type="spellStart"/>
      <w:r>
        <w:t>Pandeia</w:t>
      </w:r>
      <w:proofErr w:type="spellEnd"/>
      <w:r>
        <w:t xml:space="preserve"> </w:t>
      </w:r>
      <w:proofErr w:type="spellStart"/>
      <w:r>
        <w:t>NIRCam</w:t>
      </w:r>
      <w:proofErr w:type="spellEnd"/>
      <w:r>
        <w:t xml:space="preserve"> pre-flight throughputs, as delivered by the instrument team, are of significantly newer pedigree than the </w:t>
      </w:r>
      <w:r w:rsidR="00250123">
        <w:t xml:space="preserve">benchmark throughputs, which are generally notional. Nevertheless, the benchmark provides a comparison between previous expectations, and up-to-date estimates. </w:t>
      </w:r>
    </w:p>
    <w:p w14:paraId="2C30AD3A" w14:textId="77777777" w:rsidR="00337D7A" w:rsidRDefault="002B330C" w:rsidP="00337D7A">
      <w:pPr>
        <w:keepNext/>
      </w:pPr>
      <w:r>
        <w:rPr>
          <w:noProof/>
          <w:lang w:eastAsia="en-US"/>
        </w:rPr>
        <w:drawing>
          <wp:inline distT="0" distB="0" distL="0" distR="0" wp14:anchorId="3691F1D6" wp14:editId="405125A0">
            <wp:extent cx="5476240" cy="2143760"/>
            <wp:effectExtent l="0" t="0" r="10160" b="0"/>
            <wp:docPr id="13" name="Picture 13" descr="Macintosh HD:Users:pontoppi:STSCI:SoftwareDevelopment:pandeia_verification:tests:nircam:nircam_w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ontoppi:STSCI:SoftwareDevelopment:pandeia_verification:tests:nircam:nircam_w_pce.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240" cy="2143760"/>
                    </a:xfrm>
                    <a:prstGeom prst="rect">
                      <a:avLst/>
                    </a:prstGeom>
                    <a:noFill/>
                    <a:ln>
                      <a:noFill/>
                    </a:ln>
                  </pic:spPr>
                </pic:pic>
              </a:graphicData>
            </a:graphic>
          </wp:inline>
        </w:drawing>
      </w:r>
      <w:r>
        <w:rPr>
          <w:noProof/>
          <w:lang w:eastAsia="en-US"/>
        </w:rPr>
        <w:drawing>
          <wp:inline distT="0" distB="0" distL="0" distR="0" wp14:anchorId="5ED906E4" wp14:editId="11620874">
            <wp:extent cx="5476240" cy="2143760"/>
            <wp:effectExtent l="0" t="0" r="10160" b="0"/>
            <wp:docPr id="14" name="Picture 14" descr="Macintosh HD:Users:pontoppi:STSCI:SoftwareDevelopment:pandeia_verification:tests:nircam:nircam_m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ontoppi:STSCI:SoftwareDevelopment:pandeia_verification:tests:nircam:nircam_m_pce.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240" cy="2143760"/>
                    </a:xfrm>
                    <a:prstGeom prst="rect">
                      <a:avLst/>
                    </a:prstGeom>
                    <a:noFill/>
                    <a:ln>
                      <a:noFill/>
                    </a:ln>
                  </pic:spPr>
                </pic:pic>
              </a:graphicData>
            </a:graphic>
          </wp:inline>
        </w:drawing>
      </w:r>
      <w:r>
        <w:rPr>
          <w:noProof/>
          <w:lang w:eastAsia="en-US"/>
        </w:rPr>
        <w:drawing>
          <wp:inline distT="0" distB="0" distL="0" distR="0" wp14:anchorId="67669774" wp14:editId="0A381D81">
            <wp:extent cx="5476240" cy="2143760"/>
            <wp:effectExtent l="0" t="0" r="10160" b="0"/>
            <wp:docPr id="15" name="Picture 15" descr="Macintosh HD:Users:pontoppi:STSCI:SoftwareDevelopment:pandeia_verification:tests:nircam:nircam_n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ontoppi:STSCI:SoftwareDevelopment:pandeia_verification:tests:nircam:nircam_n_pce.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240" cy="2143760"/>
                    </a:xfrm>
                    <a:prstGeom prst="rect">
                      <a:avLst/>
                    </a:prstGeom>
                    <a:noFill/>
                    <a:ln>
                      <a:noFill/>
                    </a:ln>
                  </pic:spPr>
                </pic:pic>
              </a:graphicData>
            </a:graphic>
          </wp:inline>
        </w:drawing>
      </w:r>
    </w:p>
    <w:p w14:paraId="627263D5" w14:textId="7D7972F6" w:rsidR="00337D7A" w:rsidRDefault="00337D7A" w:rsidP="00337D7A">
      <w:pPr>
        <w:pStyle w:val="Caption"/>
      </w:pPr>
      <w:r>
        <w:t xml:space="preserve">Figure </w:t>
      </w:r>
      <w:r w:rsidR="00FE0521">
        <w:fldChar w:fldCharType="begin"/>
      </w:r>
      <w:r w:rsidR="00FE0521">
        <w:instrText xml:space="preserve"> SEQ Figure \* ARABIC </w:instrText>
      </w:r>
      <w:r w:rsidR="00FE0521">
        <w:fldChar w:fldCharType="separate"/>
      </w:r>
      <w:r w:rsidR="00FE0521">
        <w:rPr>
          <w:noProof/>
        </w:rPr>
        <w:t>9</w:t>
      </w:r>
      <w:r w:rsidR="00FE0521">
        <w:rPr>
          <w:noProof/>
        </w:rPr>
        <w:fldChar w:fldCharType="end"/>
      </w:r>
      <w:r>
        <w:t xml:space="preserve">: Comparison of the </w:t>
      </w:r>
      <w:proofErr w:type="spellStart"/>
      <w:r>
        <w:t>Pandeia</w:t>
      </w:r>
      <w:proofErr w:type="spellEnd"/>
      <w:r>
        <w:t xml:space="preserve"> PCEs compared to those of the </w:t>
      </w:r>
      <w:proofErr w:type="spellStart"/>
      <w:r>
        <w:t>NIRCam</w:t>
      </w:r>
      <w:proofErr w:type="spellEnd"/>
      <w:r>
        <w:t xml:space="preserve"> SW benchmark.</w:t>
      </w:r>
      <w:r w:rsidR="005C60CD">
        <w:t xml:space="preserve"> Note that </w:t>
      </w:r>
      <w:proofErr w:type="spellStart"/>
      <w:r w:rsidR="005C60CD">
        <w:t>Pandeia</w:t>
      </w:r>
      <w:proofErr w:type="spellEnd"/>
      <w:r w:rsidR="005C60CD">
        <w:t xml:space="preserve"> uses newer</w:t>
      </w:r>
      <w:r w:rsidR="00BC1D4F">
        <w:t>, measured throughputs, while</w:t>
      </w:r>
      <w:r w:rsidR="005C60CD">
        <w:t xml:space="preserve"> those used in the benchmark</w:t>
      </w:r>
      <w:r w:rsidR="00BC1D4F">
        <w:t xml:space="preserve"> are notional</w:t>
      </w:r>
      <w:r w:rsidR="005C60CD">
        <w:t>, so differences are expected.</w:t>
      </w:r>
      <w:r>
        <w:t xml:space="preserve"> </w:t>
      </w:r>
      <w:r w:rsidR="005355A3">
        <w:t xml:space="preserve">The biggest differences are seen in the narrow-band filters, which have significantly better throughputs than what was anticipated in the benchmark comparison.  </w:t>
      </w:r>
    </w:p>
    <w:p w14:paraId="7531A621" w14:textId="77777777" w:rsidR="00CB1AA3" w:rsidRDefault="00A369A5" w:rsidP="00CB1AA3">
      <w:pPr>
        <w:keepNext/>
      </w:pPr>
      <w:r>
        <w:rPr>
          <w:noProof/>
          <w:lang w:eastAsia="en-US"/>
        </w:rPr>
        <w:drawing>
          <wp:inline distT="0" distB="0" distL="0" distR="0" wp14:anchorId="475D9177" wp14:editId="789935B3">
            <wp:extent cx="5476240" cy="2143760"/>
            <wp:effectExtent l="0" t="0" r="10160" b="0"/>
            <wp:docPr id="20" name="Picture 20" descr="Macintosh HD:Users:pontoppi:STSCI:SoftwareDevelopment:pandeia_verification:tests:nircam:nircam_lw_w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ontoppi:STSCI:SoftwareDevelopment:pandeia_verification:tests:nircam:nircam_lw_w_pce.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240" cy="2143760"/>
                    </a:xfrm>
                    <a:prstGeom prst="rect">
                      <a:avLst/>
                    </a:prstGeom>
                    <a:noFill/>
                    <a:ln>
                      <a:noFill/>
                    </a:ln>
                  </pic:spPr>
                </pic:pic>
              </a:graphicData>
            </a:graphic>
          </wp:inline>
        </w:drawing>
      </w:r>
      <w:r>
        <w:rPr>
          <w:noProof/>
          <w:lang w:eastAsia="en-US"/>
        </w:rPr>
        <w:drawing>
          <wp:inline distT="0" distB="0" distL="0" distR="0" wp14:anchorId="06AC15F2" wp14:editId="03095103">
            <wp:extent cx="5476240" cy="2143760"/>
            <wp:effectExtent l="0" t="0" r="10160" b="0"/>
            <wp:docPr id="21" name="Picture 21" descr="Macintosh HD:Users:pontoppi:STSCI:SoftwareDevelopment:pandeia_verification:tests:nircam:nircam_lw_m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ontoppi:STSCI:SoftwareDevelopment:pandeia_verification:tests:nircam:nircam_lw_m_pce.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240" cy="2143760"/>
                    </a:xfrm>
                    <a:prstGeom prst="rect">
                      <a:avLst/>
                    </a:prstGeom>
                    <a:noFill/>
                    <a:ln>
                      <a:noFill/>
                    </a:ln>
                  </pic:spPr>
                </pic:pic>
              </a:graphicData>
            </a:graphic>
          </wp:inline>
        </w:drawing>
      </w:r>
      <w:r>
        <w:rPr>
          <w:noProof/>
          <w:lang w:eastAsia="en-US"/>
        </w:rPr>
        <w:drawing>
          <wp:inline distT="0" distB="0" distL="0" distR="0" wp14:anchorId="06C9020C" wp14:editId="7B1BEDA4">
            <wp:extent cx="5476240" cy="2143760"/>
            <wp:effectExtent l="0" t="0" r="10160" b="0"/>
            <wp:docPr id="22" name="Picture 22" descr="Macintosh HD:Users:pontoppi:STSCI:SoftwareDevelopment:pandeia_verification:tests:nircam:nircam_lw_n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ontoppi:STSCI:SoftwareDevelopment:pandeia_verification:tests:nircam:nircam_lw_n_pce.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240" cy="2143760"/>
                    </a:xfrm>
                    <a:prstGeom prst="rect">
                      <a:avLst/>
                    </a:prstGeom>
                    <a:noFill/>
                    <a:ln>
                      <a:noFill/>
                    </a:ln>
                  </pic:spPr>
                </pic:pic>
              </a:graphicData>
            </a:graphic>
          </wp:inline>
        </w:drawing>
      </w:r>
    </w:p>
    <w:p w14:paraId="059312C9" w14:textId="2CC0B223" w:rsidR="002B330C" w:rsidRPr="002B330C" w:rsidRDefault="00CB1AA3" w:rsidP="00CB1AA3">
      <w:pPr>
        <w:pStyle w:val="Caption"/>
      </w:pPr>
      <w:r>
        <w:t xml:space="preserve">Figure </w:t>
      </w:r>
      <w:r w:rsidR="00FE0521">
        <w:fldChar w:fldCharType="begin"/>
      </w:r>
      <w:r w:rsidR="00FE0521">
        <w:instrText xml:space="preserve"> SEQ Figure \* ARABIC </w:instrText>
      </w:r>
      <w:r w:rsidR="00FE0521">
        <w:fldChar w:fldCharType="separate"/>
      </w:r>
      <w:r w:rsidR="00FE0521">
        <w:rPr>
          <w:noProof/>
        </w:rPr>
        <w:t>10</w:t>
      </w:r>
      <w:r w:rsidR="00FE0521">
        <w:rPr>
          <w:noProof/>
        </w:rPr>
        <w:fldChar w:fldCharType="end"/>
      </w:r>
      <w:r>
        <w:t xml:space="preserve">: Comparison between the </w:t>
      </w:r>
      <w:proofErr w:type="spellStart"/>
      <w:r>
        <w:t>Pandeia</w:t>
      </w:r>
      <w:proofErr w:type="spellEnd"/>
      <w:r>
        <w:t xml:space="preserve"> PCEs (solids) and those of the benchmark (dashed curves) for </w:t>
      </w:r>
      <w:proofErr w:type="spellStart"/>
      <w:r>
        <w:t>NIRCam</w:t>
      </w:r>
      <w:proofErr w:type="spellEnd"/>
      <w:r>
        <w:t xml:space="preserve"> LW imaging. There is relatively good agreement, except for the F460M and F480M filters, which are significantly narrower than what was anticipated in the notional benchmark filters. </w:t>
      </w:r>
    </w:p>
    <w:p w14:paraId="4CFCE299" w14:textId="1C8DF37B" w:rsidR="006F32EF" w:rsidRDefault="006F32EF" w:rsidP="006F32EF">
      <w:pPr>
        <w:pStyle w:val="Heading2"/>
      </w:pPr>
      <w:r>
        <w:t>Matching the benchmark read noise</w:t>
      </w:r>
    </w:p>
    <w:p w14:paraId="0CC27EBE" w14:textId="362AE40C" w:rsidR="006F32EF" w:rsidRDefault="00C549ED" w:rsidP="006F32EF">
      <w:r>
        <w:t xml:space="preserve">The </w:t>
      </w:r>
      <w:proofErr w:type="spellStart"/>
      <w:r>
        <w:t>NIRCam</w:t>
      </w:r>
      <w:proofErr w:type="spellEnd"/>
      <w:r>
        <w:t xml:space="preserve"> benchmark does not use a MULTIACCUM noise model, but provides the effective read noise of 7.3 electrons for a ~1000 second ramp integration. We use the formula of </w:t>
      </w:r>
      <w:proofErr w:type="spellStart"/>
      <w:r>
        <w:t>Robberto</w:t>
      </w:r>
      <w:proofErr w:type="spellEnd"/>
      <w:r>
        <w:t xml:space="preserve"> et al. 2009 to estimate that a per-read read noise of 22 electrons corresponds to the </w:t>
      </w:r>
      <w:proofErr w:type="spellStart"/>
      <w:r>
        <w:t>NIRCam</w:t>
      </w:r>
      <w:proofErr w:type="spellEnd"/>
      <w:r>
        <w:t xml:space="preserve"> benchmark. The delivered </w:t>
      </w:r>
      <w:proofErr w:type="spellStart"/>
      <w:r>
        <w:t>NIRCam</w:t>
      </w:r>
      <w:proofErr w:type="spellEnd"/>
      <w:r>
        <w:t xml:space="preserve"> read noise per read is significantly lower, but we use the high value for the benchmark comparison. </w:t>
      </w:r>
    </w:p>
    <w:p w14:paraId="61728AA5" w14:textId="023DCA9E" w:rsidR="00020069" w:rsidRDefault="00020069" w:rsidP="00020069">
      <w:pPr>
        <w:pStyle w:val="Heading2"/>
      </w:pPr>
      <w:proofErr w:type="spellStart"/>
      <w:r>
        <w:t>NIRCam</w:t>
      </w:r>
      <w:proofErr w:type="spellEnd"/>
      <w:r>
        <w:t xml:space="preserve"> imaging</w:t>
      </w:r>
    </w:p>
    <w:p w14:paraId="423D11DC" w14:textId="76072796" w:rsidR="004167CF" w:rsidRDefault="004167CF" w:rsidP="004167CF">
      <w:r>
        <w:t xml:space="preserve">While the </w:t>
      </w:r>
      <w:proofErr w:type="spellStart"/>
      <w:r>
        <w:t>Pandeia</w:t>
      </w:r>
      <w:proofErr w:type="spellEnd"/>
      <w:r>
        <w:t xml:space="preserve"> calculations generally compare well to the </w:t>
      </w:r>
      <w:proofErr w:type="spellStart"/>
      <w:r>
        <w:t>NIRCam</w:t>
      </w:r>
      <w:proofErr w:type="spellEnd"/>
      <w:r>
        <w:t xml:space="preserve"> imaging benchmark, there are multiple differences in how the</w:t>
      </w:r>
      <w:r w:rsidR="00A82E44">
        <w:t xml:space="preserve"> benchmark</w:t>
      </w:r>
      <w:r>
        <w:t xml:space="preserve"> sensitivities are calculated that are difficult to </w:t>
      </w:r>
      <w:r w:rsidR="005D1B04">
        <w:t>reproduce</w:t>
      </w:r>
      <w:r w:rsidR="00A82E44">
        <w:t xml:space="preserve"> exactly</w:t>
      </w:r>
      <w:r w:rsidR="005D1B04">
        <w:t xml:space="preserve">. The </w:t>
      </w:r>
      <w:proofErr w:type="spellStart"/>
      <w:r w:rsidR="005D1B04">
        <w:t>NIRCam</w:t>
      </w:r>
      <w:proofErr w:type="spellEnd"/>
      <w:r w:rsidR="005D1B04">
        <w:t xml:space="preserve"> benchmark is based on obsolete through</w:t>
      </w:r>
      <w:r w:rsidR="00992985">
        <w:t xml:space="preserve">put estimates, and it employs an </w:t>
      </w:r>
      <w:r w:rsidR="005D1B04">
        <w:t>unusual formulation in which the source count rates are estimated from the noise, even if part of the noise is coming from non-</w:t>
      </w:r>
      <w:proofErr w:type="spellStart"/>
      <w:r w:rsidR="005D1B04">
        <w:t>Poissonian</w:t>
      </w:r>
      <w:proofErr w:type="spellEnd"/>
      <w:r w:rsidR="005D1B04">
        <w:t xml:space="preserve"> sources (for instance, the source count rates depend on the residual flat field noise). This makes exact comparisons diffi</w:t>
      </w:r>
      <w:r w:rsidR="00C26916">
        <w:t>cult</w:t>
      </w:r>
      <w:r w:rsidR="005D1B04">
        <w:t>.</w:t>
      </w:r>
      <w:r w:rsidR="00BA3537">
        <w:t xml:space="preserve"> Consequently, we take the approach of calculating the </w:t>
      </w:r>
      <w:proofErr w:type="spellStart"/>
      <w:r w:rsidR="00BA3537">
        <w:t>Pandeia</w:t>
      </w:r>
      <w:proofErr w:type="spellEnd"/>
      <w:r w:rsidR="00BA3537">
        <w:t xml:space="preserve"> sensitivities by harmonizing as many parameters as possible, but where not possible, we use delivered reference files and nominal </w:t>
      </w:r>
      <w:proofErr w:type="spellStart"/>
      <w:r w:rsidR="00BA3537">
        <w:t>Pandeia</w:t>
      </w:r>
      <w:proofErr w:type="spellEnd"/>
      <w:r w:rsidR="00BA3537">
        <w:t xml:space="preserve"> parameters. We find that this generally leads to sensitivity estimates within the</w:t>
      </w:r>
      <w:r w:rsidR="001B5974">
        <w:t xml:space="preserve"> 10% boundary for most filters, although </w:t>
      </w:r>
      <w:proofErr w:type="spellStart"/>
      <w:r w:rsidR="001B5974">
        <w:t>Pandeia</w:t>
      </w:r>
      <w:proofErr w:type="spellEnd"/>
      <w:r w:rsidR="001B5974">
        <w:t xml:space="preserve">, combined with the delivered throughputs, tends toward slightly better sensitivities than the benchmarks. </w:t>
      </w:r>
    </w:p>
    <w:p w14:paraId="10ACE466" w14:textId="61940FA7" w:rsidR="001B5974" w:rsidRPr="004167CF" w:rsidRDefault="001B5974" w:rsidP="004167CF">
      <w:r>
        <w:t>We use the same 2.5 pixel extraction aperture as the benchmark, as well as the benchmark background spectrum. The benchmark does not apply a background subtraction.</w:t>
      </w:r>
    </w:p>
    <w:p w14:paraId="51F136D9" w14:textId="1B33EFC5" w:rsidR="00124C14" w:rsidRDefault="004167CF" w:rsidP="00124C14">
      <w:pPr>
        <w:keepNext/>
      </w:pPr>
      <w:r>
        <w:rPr>
          <w:noProof/>
          <w:lang w:eastAsia="en-US"/>
        </w:rPr>
        <w:drawing>
          <wp:inline distT="0" distB="0" distL="0" distR="0" wp14:anchorId="4C832C26" wp14:editId="32820D18">
            <wp:extent cx="5486400" cy="3291840"/>
            <wp:effectExtent l="0" t="0" r="0" b="10160"/>
            <wp:docPr id="10" name="Picture 10" descr="Macintosh HD:Users:pontoppi:STSCI:SoftwareDevelopment:pandeia_verification:plots:nircam_sw_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ntoppi:STSCI:SoftwareDevelopment:pandeia_verification:plots:nircam_sw_sensitivity.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r>
        <w:rPr>
          <w:noProof/>
          <w:lang w:eastAsia="en-US"/>
        </w:rPr>
        <w:drawing>
          <wp:inline distT="0" distB="0" distL="0" distR="0" wp14:anchorId="5CC1B283" wp14:editId="7A7871D8">
            <wp:extent cx="5486400" cy="3291840"/>
            <wp:effectExtent l="0" t="0" r="0" b="10160"/>
            <wp:docPr id="11" name="Picture 11" descr="Macintosh HD:Users:pontoppi:STSCI:SoftwareDevelopment:pandeia_verification:plots:nircam_lw_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ntoppi:STSCI:SoftwareDevelopment:pandeia_verification:plots:nircam_lw_sensitivity.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74F68FCF" w14:textId="1C6B2BC5" w:rsidR="00FD5AC8" w:rsidRDefault="00124C14" w:rsidP="00124C14">
      <w:pPr>
        <w:pStyle w:val="Caption"/>
      </w:pPr>
      <w:r>
        <w:t xml:space="preserve">Figure </w:t>
      </w:r>
      <w:r w:rsidR="00FE0521">
        <w:fldChar w:fldCharType="begin"/>
      </w:r>
      <w:r w:rsidR="00FE0521">
        <w:instrText xml:space="preserve"> SEQ Figure \* ARABIC </w:instrText>
      </w:r>
      <w:r w:rsidR="00FE0521">
        <w:fldChar w:fldCharType="separate"/>
      </w:r>
      <w:r w:rsidR="00FE0521">
        <w:rPr>
          <w:noProof/>
        </w:rPr>
        <w:t>11</w:t>
      </w:r>
      <w:r w:rsidR="00FE0521">
        <w:rPr>
          <w:noProof/>
        </w:rPr>
        <w:fldChar w:fldCharType="end"/>
      </w:r>
      <w:r>
        <w:t xml:space="preserve">: Comparison between </w:t>
      </w:r>
      <w:proofErr w:type="spellStart"/>
      <w:r>
        <w:t>Pandeia</w:t>
      </w:r>
      <w:proofErr w:type="spellEnd"/>
      <w:r>
        <w:t xml:space="preserve"> </w:t>
      </w:r>
      <w:proofErr w:type="spellStart"/>
      <w:r>
        <w:t>NIRCam</w:t>
      </w:r>
      <w:proofErr w:type="spellEnd"/>
      <w:r>
        <w:t xml:space="preserve"> imaging sensitivities and benchmark values.</w:t>
      </w:r>
      <w:r w:rsidR="00B23B08">
        <w:t xml:space="preserve"> </w:t>
      </w:r>
      <w:proofErr w:type="gramStart"/>
      <w:r w:rsidR="00B23B08">
        <w:t xml:space="preserve">The </w:t>
      </w:r>
      <w:proofErr w:type="spellStart"/>
      <w:r w:rsidR="00B23B08">
        <w:t>Pandeia</w:t>
      </w:r>
      <w:proofErr w:type="spellEnd"/>
      <w:r w:rsidR="00B23B08">
        <w:t xml:space="preserve"> sensitivity is marked </w:t>
      </w:r>
      <w:r w:rsidR="00704DB1">
        <w:t>by circles</w:t>
      </w:r>
      <w:proofErr w:type="gramEnd"/>
      <w:r w:rsidR="00704DB1">
        <w:t>, while the benchmark values</w:t>
      </w:r>
      <w:r w:rsidR="00B23B08">
        <w:t xml:space="preserve"> are marked by stars.</w:t>
      </w:r>
      <w:r w:rsidR="003012C1">
        <w:t xml:space="preserve"> Note that the discrepancies seen</w:t>
      </w:r>
      <w:r w:rsidR="005F4E58">
        <w:t>,</w:t>
      </w:r>
      <w:r w:rsidR="003012C1">
        <w:t xml:space="preserve"> for instance for the narrow-band filters in the SW channel</w:t>
      </w:r>
      <w:r w:rsidR="005F4E58">
        <w:t>, match</w:t>
      </w:r>
      <w:r w:rsidR="003012C1">
        <w:t xml:space="preserve"> the differences in the system throughputs between the benchmark and instrument team delivery.</w:t>
      </w:r>
    </w:p>
    <w:p w14:paraId="1792B5C4" w14:textId="7253D3AE" w:rsidR="00020069" w:rsidRDefault="00020069" w:rsidP="00020069">
      <w:pPr>
        <w:pStyle w:val="Heading2"/>
      </w:pPr>
      <w:proofErr w:type="spellStart"/>
      <w:r>
        <w:t>NIRCam</w:t>
      </w:r>
      <w:proofErr w:type="spellEnd"/>
      <w:r>
        <w:t xml:space="preserve"> wide-field </w:t>
      </w:r>
      <w:proofErr w:type="spellStart"/>
      <w:r>
        <w:t>slitless</w:t>
      </w:r>
      <w:proofErr w:type="spellEnd"/>
      <w:r>
        <w:t xml:space="preserve"> spectroscopy</w:t>
      </w:r>
    </w:p>
    <w:p w14:paraId="0256EAC3" w14:textId="5B78FE59" w:rsidR="009D37F2" w:rsidRPr="009D37F2" w:rsidRDefault="009D37F2" w:rsidP="009D37F2">
      <w:proofErr w:type="gramStart"/>
      <w:r>
        <w:t>In progress.</w:t>
      </w:r>
      <w:proofErr w:type="gramEnd"/>
    </w:p>
    <w:p w14:paraId="14ECA2E4" w14:textId="5531AEDD" w:rsidR="00020069" w:rsidRDefault="00020069" w:rsidP="00020069">
      <w:pPr>
        <w:pStyle w:val="Heading2"/>
      </w:pPr>
      <w:proofErr w:type="spellStart"/>
      <w:r>
        <w:t>NIRCam</w:t>
      </w:r>
      <w:proofErr w:type="spellEnd"/>
      <w:r>
        <w:t xml:space="preserve"> </w:t>
      </w:r>
      <w:proofErr w:type="spellStart"/>
      <w:r>
        <w:t>coronagraphy</w:t>
      </w:r>
      <w:proofErr w:type="spellEnd"/>
    </w:p>
    <w:p w14:paraId="4BC28F6D" w14:textId="02051315" w:rsidR="009D37F2" w:rsidRPr="009D37F2" w:rsidRDefault="009D37F2" w:rsidP="009D37F2">
      <w:proofErr w:type="gramStart"/>
      <w:r>
        <w:t>In progress.</w:t>
      </w:r>
      <w:proofErr w:type="gramEnd"/>
    </w:p>
    <w:p w14:paraId="6E8D559F" w14:textId="3F1A9E7C" w:rsidR="00B004C6" w:rsidRDefault="00B004C6" w:rsidP="00B004C6">
      <w:pPr>
        <w:pStyle w:val="Heading1"/>
      </w:pPr>
      <w:proofErr w:type="spellStart"/>
      <w:r>
        <w:t>NIRSpec</w:t>
      </w:r>
      <w:proofErr w:type="spellEnd"/>
    </w:p>
    <w:p w14:paraId="4466EEC6" w14:textId="140AF5A9" w:rsidR="00E32AF2" w:rsidRDefault="008922D2" w:rsidP="008922D2">
      <w:proofErr w:type="gramStart"/>
      <w:r>
        <w:t xml:space="preserve">The </w:t>
      </w:r>
      <w:proofErr w:type="spellStart"/>
      <w:r>
        <w:t>NIRSpec</w:t>
      </w:r>
      <w:proofErr w:type="spellEnd"/>
      <w:r>
        <w:t xml:space="preserve"> benchm</w:t>
      </w:r>
      <w:r w:rsidR="00DF68E6">
        <w:t xml:space="preserve">ark was supplied by P. </w:t>
      </w:r>
      <w:proofErr w:type="spellStart"/>
      <w:r w:rsidR="00DF68E6">
        <w:t>Ferruit</w:t>
      </w:r>
      <w:proofErr w:type="spellEnd"/>
      <w:r w:rsidR="00633F10">
        <w:t>, NTN-2015-020</w:t>
      </w:r>
      <w:proofErr w:type="gramEnd"/>
      <w:r w:rsidR="00633F10">
        <w:t xml:space="preserve"> (version 12/18/2015)</w:t>
      </w:r>
      <w:r w:rsidR="00DF68E6">
        <w:t xml:space="preserve">. </w:t>
      </w:r>
      <w:r w:rsidR="00426B92">
        <w:t>The benchmark includes example calculations</w:t>
      </w:r>
      <w:r w:rsidR="007246DD">
        <w:t xml:space="preserve"> for point and extended sources, as well as continuum and line sensitivities</w:t>
      </w:r>
      <w:r w:rsidR="00426B92">
        <w:t>, usi</w:t>
      </w:r>
      <w:r w:rsidR="00B05680">
        <w:t>ng a selected set of instrument configurations</w:t>
      </w:r>
      <w:r w:rsidR="007246DD">
        <w:t xml:space="preserve">. For this benchmark, we compare the point source and continuum sensitivities. </w:t>
      </w:r>
      <w:r w:rsidR="00F96752">
        <w:t xml:space="preserve">We generally find </w:t>
      </w:r>
      <w:r w:rsidR="00356E25">
        <w:t>good</w:t>
      </w:r>
      <w:r w:rsidR="00F96752">
        <w:t xml:space="preserve"> agreement between </w:t>
      </w:r>
      <w:proofErr w:type="spellStart"/>
      <w:r w:rsidR="00F96752">
        <w:t>Pandeia</w:t>
      </w:r>
      <w:proofErr w:type="spellEnd"/>
      <w:r w:rsidR="00F96752">
        <w:t xml:space="preserve"> and the </w:t>
      </w:r>
      <w:proofErr w:type="spellStart"/>
      <w:r w:rsidR="00F96752">
        <w:t>NIRSpec</w:t>
      </w:r>
      <w:proofErr w:type="spellEnd"/>
      <w:r w:rsidR="00F96752">
        <w:t xml:space="preserve"> benchmark calculations, both in terms of system throughput (PCE) and limiting sensitivities, within the allowed 10% tolerance over most of the wavelength range. </w:t>
      </w:r>
    </w:p>
    <w:p w14:paraId="15783980" w14:textId="0F79B3E1" w:rsidR="008922D2" w:rsidRPr="008922D2" w:rsidRDefault="00F96752" w:rsidP="008922D2">
      <w:r>
        <w:t xml:space="preserve">We identify one discrepancy when duplicating the provided benchmark input parameters, namely the s1600a fixed slit, which is predicted by </w:t>
      </w:r>
      <w:proofErr w:type="spellStart"/>
      <w:r>
        <w:t>Pandeia</w:t>
      </w:r>
      <w:proofErr w:type="spellEnd"/>
      <w:r>
        <w:t xml:space="preserve"> to be significantly less sensitive than the benchmark. Based on </w:t>
      </w:r>
      <w:r w:rsidR="00E32AF2">
        <w:t xml:space="preserve">simple </w:t>
      </w:r>
      <w:r>
        <w:t>estimates of th</w:t>
      </w:r>
      <w:r w:rsidR="00E32AF2">
        <w:t xml:space="preserve">e differences in background between the s1600a and s200a1 slits, we suggest that the benchmark may have reported an incorrect extraction aperture size. </w:t>
      </w:r>
    </w:p>
    <w:p w14:paraId="5805D4CC" w14:textId="3AA714CA" w:rsidR="001C669D" w:rsidRDefault="00571B49" w:rsidP="001C669D">
      <w:pPr>
        <w:pStyle w:val="Heading2"/>
        <w:rPr>
          <w:noProof/>
          <w:lang w:eastAsia="en-US"/>
        </w:rPr>
      </w:pPr>
      <w:r>
        <w:t>System Throughp</w:t>
      </w:r>
      <w:r>
        <w:rPr>
          <w:noProof/>
          <w:lang w:eastAsia="en-US"/>
        </w:rPr>
        <w:t>ut</w:t>
      </w:r>
    </w:p>
    <w:p w14:paraId="3653EEC7" w14:textId="6F086DD9" w:rsidR="00240E7E" w:rsidRDefault="001E64D2" w:rsidP="00240E7E">
      <w:proofErr w:type="spellStart"/>
      <w:r>
        <w:t>NIRSpec</w:t>
      </w:r>
      <w:proofErr w:type="spellEnd"/>
      <w:r>
        <w:t xml:space="preserve"> delivered throughput curves for all dispersers and filters. Two different internal optics throughputs; one for the IFU and one for the MSA/fixed slits were also delivered, as well as a single representative quantum efficiency for the two </w:t>
      </w:r>
      <w:proofErr w:type="spellStart"/>
      <w:r>
        <w:t>NIRSpec</w:t>
      </w:r>
      <w:proofErr w:type="spellEnd"/>
      <w:r>
        <w:t xml:space="preserve"> detectors. </w:t>
      </w:r>
      <w:r w:rsidR="00240E7E">
        <w:t xml:space="preserve">The </w:t>
      </w:r>
      <w:proofErr w:type="spellStart"/>
      <w:r w:rsidR="00240E7E">
        <w:t>NIRSpec</w:t>
      </w:r>
      <w:proofErr w:type="spellEnd"/>
      <w:r w:rsidR="00240E7E">
        <w:t xml:space="preserve"> benchmark throughput closely matches the delivered throughput</w:t>
      </w:r>
      <w:r>
        <w:t xml:space="preserve"> values, as shown in</w:t>
      </w:r>
      <w:r w:rsidR="00240E7E">
        <w:t xml:space="preserve"> </w:t>
      </w:r>
      <w:r w:rsidR="005C77A1">
        <w:fldChar w:fldCharType="begin"/>
      </w:r>
      <w:r w:rsidR="005C77A1">
        <w:instrText xml:space="preserve"> REF _Ref314718558 \h </w:instrText>
      </w:r>
      <w:r w:rsidR="005C77A1">
        <w:fldChar w:fldCharType="separate"/>
      </w:r>
      <w:r w:rsidR="005C77A1">
        <w:t xml:space="preserve">Figure </w:t>
      </w:r>
      <w:r w:rsidR="005C77A1">
        <w:rPr>
          <w:noProof/>
        </w:rPr>
        <w:t>7</w:t>
      </w:r>
      <w:r w:rsidR="005C77A1">
        <w:fldChar w:fldCharType="end"/>
      </w:r>
      <w:r w:rsidR="00D61BB0">
        <w:t xml:space="preserve">. Any remaining differences at the ~1% level may be due to </w:t>
      </w:r>
      <w:r w:rsidR="00307B6C">
        <w:t>corresponding</w:t>
      </w:r>
      <w:r w:rsidR="00D61BB0">
        <w:t xml:space="preserve"> differences in the assumed OTE throughput. </w:t>
      </w:r>
    </w:p>
    <w:p w14:paraId="34F546D6" w14:textId="40AB59A8" w:rsidR="00881B8C" w:rsidRDefault="00881B8C" w:rsidP="00881B8C">
      <w:pPr>
        <w:pStyle w:val="Heading2"/>
      </w:pPr>
      <w:r>
        <w:t>Other reference data</w:t>
      </w:r>
    </w:p>
    <w:p w14:paraId="29105610" w14:textId="784A6F39" w:rsidR="00447026" w:rsidRDefault="00881B8C" w:rsidP="00881B8C">
      <w:r>
        <w:t xml:space="preserve">Delivered values for </w:t>
      </w:r>
      <w:r w:rsidR="009D5903">
        <w:t xml:space="preserve">slit sizes were implemented, as well as a representative value for the </w:t>
      </w:r>
      <w:proofErr w:type="spellStart"/>
      <w:r w:rsidR="009D5903">
        <w:t>NIRSpec</w:t>
      </w:r>
      <w:proofErr w:type="spellEnd"/>
      <w:r w:rsidR="009D5903">
        <w:t xml:space="preserve"> pixel size. The </w:t>
      </w:r>
      <w:proofErr w:type="spellStart"/>
      <w:r w:rsidR="009D5903">
        <w:t>NIRSpec</w:t>
      </w:r>
      <w:proofErr w:type="spellEnd"/>
      <w:r w:rsidR="009D5903">
        <w:t xml:space="preserve"> team delivered an IPC kernel, which is used for the benchmark. The read noise includes correlated noise, but the read noise correlation</w:t>
      </w:r>
      <w:r w:rsidR="001035AB">
        <w:t xml:space="preserve"> modeling</w:t>
      </w:r>
      <w:r w:rsidR="009D5903">
        <w:t xml:space="preserve"> is turned off for the comparison, which means that correlated noise is not decreased by background subtraction. This may lead to a slight overestimate of the noise.</w:t>
      </w:r>
    </w:p>
    <w:p w14:paraId="36A9B987" w14:textId="283F2E89" w:rsidR="003759FB" w:rsidRDefault="00447026" w:rsidP="00881B8C">
      <w:r>
        <w:t xml:space="preserve">The </w:t>
      </w:r>
      <w:proofErr w:type="spellStart"/>
      <w:r>
        <w:t>NIRSpec</w:t>
      </w:r>
      <w:proofErr w:type="spellEnd"/>
      <w:r>
        <w:t xml:space="preserve"> benchmark includes a detailed presc</w:t>
      </w:r>
      <w:r w:rsidR="00E45B1C">
        <w:t>r</w:t>
      </w:r>
      <w:r>
        <w:t xml:space="preserve">iption for the </w:t>
      </w:r>
      <w:r w:rsidR="00E45B1C">
        <w:t>number</w:t>
      </w:r>
      <w:r>
        <w:t xml:space="preserve"> of </w:t>
      </w:r>
      <w:r w:rsidR="00E45B1C">
        <w:t xml:space="preserve">pixels used for </w:t>
      </w:r>
      <w:r>
        <w:t xml:space="preserve">background </w:t>
      </w:r>
      <w:r w:rsidR="00E45B1C">
        <w:t xml:space="preserve">estimation in each sensitivity calculation. </w:t>
      </w:r>
      <w:r w:rsidR="001035AB">
        <w:t xml:space="preserve">We are generally able to match the type of background subtraction employed by the benchmark. </w:t>
      </w:r>
    </w:p>
    <w:p w14:paraId="5A99E301" w14:textId="5CA67C99" w:rsidR="003759FB" w:rsidRDefault="003759FB" w:rsidP="00881B8C">
      <w:r>
        <w:t xml:space="preserve">The </w:t>
      </w:r>
      <w:proofErr w:type="spellStart"/>
      <w:r>
        <w:t>NIRSpec</w:t>
      </w:r>
      <w:proofErr w:type="spellEnd"/>
      <w:r>
        <w:t xml:space="preserve"> benchmark does not appear to include a model of the effects of cosmic ray impacts, and we do not include that either for the </w:t>
      </w:r>
      <w:proofErr w:type="spellStart"/>
      <w:r>
        <w:t>NIRSpec</w:t>
      </w:r>
      <w:proofErr w:type="spellEnd"/>
      <w:r>
        <w:t xml:space="preserve"> comparison. </w:t>
      </w:r>
    </w:p>
    <w:p w14:paraId="3E5DB016" w14:textId="7FEAACC5" w:rsidR="00895AB6" w:rsidRDefault="00895AB6" w:rsidP="00881B8C">
      <w:r>
        <w:t xml:space="preserve">Finally, the benchmarks do not include </w:t>
      </w:r>
      <w:r w:rsidR="008C0454">
        <w:t>the</w:t>
      </w:r>
      <w:r>
        <w:t xml:space="preserve"> flat field residual error, which is also turned off in </w:t>
      </w:r>
      <w:proofErr w:type="spellStart"/>
      <w:r>
        <w:t>Pandeia</w:t>
      </w:r>
      <w:proofErr w:type="spellEnd"/>
      <w:r>
        <w:t xml:space="preserve"> for comparison. This leads to a potential overestimate of the sensitivit</w:t>
      </w:r>
      <w:r w:rsidR="00C8065A">
        <w:t>y, especially in the background-</w:t>
      </w:r>
      <w:r>
        <w:t xml:space="preserve">limited cases. </w:t>
      </w:r>
    </w:p>
    <w:p w14:paraId="1AE903FB" w14:textId="77777777" w:rsidR="003759FB" w:rsidRPr="00881B8C" w:rsidRDefault="003759FB" w:rsidP="00881B8C"/>
    <w:p w14:paraId="1405B96C" w14:textId="0F2B340F" w:rsidR="00571B49" w:rsidRPr="00571B49" w:rsidRDefault="00F0530E" w:rsidP="00B85063">
      <w:pPr>
        <w:keepNext/>
      </w:pPr>
      <w:r>
        <w:rPr>
          <w:noProof/>
          <w:lang w:eastAsia="en-US"/>
        </w:rPr>
        <w:drawing>
          <wp:inline distT="0" distB="0" distL="0" distR="0" wp14:anchorId="349F3ABB" wp14:editId="2DEEA092">
            <wp:extent cx="5475605" cy="2144395"/>
            <wp:effectExtent l="0" t="0" r="10795" b="0"/>
            <wp:docPr id="28" name="Picture 28" descr="Macintosh HD:Users:pontoppi:STSCI:SoftwareDevelopment:pandeia_verification:plots:NIRSpec_high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ontoppi:STSCI:SoftwareDevelopment:pandeia_verification:plots:NIRSpec_highres.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5605" cy="2144395"/>
                    </a:xfrm>
                    <a:prstGeom prst="rect">
                      <a:avLst/>
                    </a:prstGeom>
                    <a:noFill/>
                    <a:ln>
                      <a:noFill/>
                    </a:ln>
                  </pic:spPr>
                </pic:pic>
              </a:graphicData>
            </a:graphic>
          </wp:inline>
        </w:drawing>
      </w:r>
      <w:r>
        <w:rPr>
          <w:noProof/>
          <w:lang w:eastAsia="en-US"/>
        </w:rPr>
        <w:drawing>
          <wp:inline distT="0" distB="0" distL="0" distR="0" wp14:anchorId="4D998489" wp14:editId="004D43EF">
            <wp:extent cx="5475605" cy="2144395"/>
            <wp:effectExtent l="0" t="0" r="10795" b="0"/>
            <wp:docPr id="29" name="Picture 29" descr="Macintosh HD:Users:pontoppi:STSCI:SoftwareDevelopment:pandeia_verification:plots:NIRSpec_medium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ontoppi:STSCI:SoftwareDevelopment:pandeia_verification:plots:NIRSpec_mediumres.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5605" cy="2144395"/>
                    </a:xfrm>
                    <a:prstGeom prst="rect">
                      <a:avLst/>
                    </a:prstGeom>
                    <a:noFill/>
                    <a:ln>
                      <a:noFill/>
                    </a:ln>
                  </pic:spPr>
                </pic:pic>
              </a:graphicData>
            </a:graphic>
          </wp:inline>
        </w:drawing>
      </w:r>
      <w:r>
        <w:rPr>
          <w:noProof/>
          <w:lang w:eastAsia="en-US"/>
        </w:rPr>
        <w:drawing>
          <wp:inline distT="0" distB="0" distL="0" distR="0" wp14:anchorId="71B72741" wp14:editId="0629DDB6">
            <wp:extent cx="5475605" cy="2144395"/>
            <wp:effectExtent l="0" t="0" r="10795" b="0"/>
            <wp:docPr id="30" name="Picture 30" descr="Macintosh HD:Users:pontoppi:STSCI:SoftwareDevelopment:pandeia_verification:plots:NIRSpec_pris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ontoppi:STSCI:SoftwareDevelopment:pandeia_verification:plots:NIRSpec_prism.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5605" cy="2144395"/>
                    </a:xfrm>
                    <a:prstGeom prst="rect">
                      <a:avLst/>
                    </a:prstGeom>
                    <a:noFill/>
                    <a:ln>
                      <a:noFill/>
                    </a:ln>
                  </pic:spPr>
                </pic:pic>
              </a:graphicData>
            </a:graphic>
          </wp:inline>
        </w:drawing>
      </w:r>
    </w:p>
    <w:p w14:paraId="5749C28F" w14:textId="3FA2FC9D" w:rsidR="00B85063" w:rsidRDefault="00B85063" w:rsidP="00B85063">
      <w:pPr>
        <w:pStyle w:val="Caption"/>
      </w:pPr>
      <w:bookmarkStart w:id="7" w:name="_Ref314718558"/>
      <w:r>
        <w:t xml:space="preserve">Figure </w:t>
      </w:r>
      <w:r w:rsidR="00FE0521">
        <w:fldChar w:fldCharType="begin"/>
      </w:r>
      <w:r w:rsidR="00FE0521">
        <w:instrText xml:space="preserve"> SEQ Figure \* ARABIC </w:instrText>
      </w:r>
      <w:r w:rsidR="00FE0521">
        <w:fldChar w:fldCharType="separate"/>
      </w:r>
      <w:r w:rsidR="00FE0521">
        <w:rPr>
          <w:noProof/>
        </w:rPr>
        <w:t>12</w:t>
      </w:r>
      <w:r w:rsidR="00FE0521">
        <w:rPr>
          <w:noProof/>
        </w:rPr>
        <w:fldChar w:fldCharType="end"/>
      </w:r>
      <w:bookmarkEnd w:id="7"/>
      <w:r>
        <w:t xml:space="preserve">: Comparison of the </w:t>
      </w:r>
      <w:proofErr w:type="spellStart"/>
      <w:r>
        <w:t>Pandeia</w:t>
      </w:r>
      <w:proofErr w:type="spellEnd"/>
      <w:r w:rsidR="00C12EF9">
        <w:t xml:space="preserve"> (filled curves)</w:t>
      </w:r>
      <w:r>
        <w:t xml:space="preserve"> </w:t>
      </w:r>
      <w:r w:rsidR="003C26C4">
        <w:t xml:space="preserve">and benchmark </w:t>
      </w:r>
      <w:r>
        <w:t>PCEs</w:t>
      </w:r>
      <w:r w:rsidR="00C12EF9">
        <w:t xml:space="preserve"> (dashed curves)</w:t>
      </w:r>
      <w:r>
        <w:t xml:space="preserve"> for the </w:t>
      </w:r>
      <w:proofErr w:type="spellStart"/>
      <w:r>
        <w:t>NIRSpec</w:t>
      </w:r>
      <w:proofErr w:type="spellEnd"/>
      <w:r>
        <w:t xml:space="preserve"> fixed slit modes to the benchmark. The benchmark includes slit losses in the PCE, so the comparison is made for the S1600A slit</w:t>
      </w:r>
      <w:r w:rsidR="00222C34">
        <w:t>, which has negligible slit losses</w:t>
      </w:r>
      <w:r>
        <w:t>.</w:t>
      </w:r>
      <w:r w:rsidR="003C26C4">
        <w:t xml:space="preserve"> </w:t>
      </w:r>
      <w:r w:rsidR="00D605A3">
        <w:t xml:space="preserve">Note that the </w:t>
      </w:r>
      <w:proofErr w:type="spellStart"/>
      <w:r w:rsidR="00D605A3">
        <w:t>Pandeia</w:t>
      </w:r>
      <w:proofErr w:type="spellEnd"/>
      <w:r w:rsidR="00D605A3">
        <w:t xml:space="preserve"> throughputs have been truncated to only contain the scientifically useful range</w:t>
      </w:r>
      <w:r w:rsidR="00372EEC">
        <w:t>, as delivered by the instrument team,</w:t>
      </w:r>
      <w:r w:rsidR="00D605A3">
        <w:t xml:space="preserve"> for each setup. </w:t>
      </w:r>
    </w:p>
    <w:p w14:paraId="6EC0CBCF" w14:textId="7557C047" w:rsidR="00F244CB" w:rsidRDefault="00F244CB" w:rsidP="00F244CB">
      <w:pPr>
        <w:pStyle w:val="Heading2"/>
      </w:pPr>
      <w:r>
        <w:t>Fixed Slits</w:t>
      </w:r>
    </w:p>
    <w:p w14:paraId="4DA75F78" w14:textId="36F7EB8D" w:rsidR="001C4DD7" w:rsidRDefault="007805DD" w:rsidP="007805DD">
      <w:r>
        <w:t xml:space="preserve">The </w:t>
      </w:r>
      <w:proofErr w:type="spellStart"/>
      <w:r>
        <w:t>Pandeia</w:t>
      </w:r>
      <w:proofErr w:type="spellEnd"/>
      <w:r>
        <w:t xml:space="preserve"> calculation for the fixed slits uses a 10 ramp integrations of 22 groups each</w:t>
      </w:r>
      <w:r w:rsidR="00DB3A90">
        <w:t xml:space="preserve"> using the NRS readout pattern (4 frames per group)</w:t>
      </w:r>
      <w:r w:rsidR="0085688F">
        <w:t>, for a total integration time of 9354.4 seconds</w:t>
      </w:r>
      <w:r>
        <w:t>.</w:t>
      </w:r>
      <w:r w:rsidR="0085688F">
        <w:t xml:space="preserve"> </w:t>
      </w:r>
      <w:r>
        <w:t xml:space="preserve"> </w:t>
      </w:r>
      <w:r w:rsidR="00565DE3">
        <w:t xml:space="preserve">The continuum sensitivity is compared for the PRISM for two different slits: s200a1 and s1600a1, which differ by a factor 8 in slit width. This leads to a factor 8 </w:t>
      </w:r>
      <w:proofErr w:type="gramStart"/>
      <w:r w:rsidR="00565DE3">
        <w:t>difference</w:t>
      </w:r>
      <w:proofErr w:type="gramEnd"/>
      <w:r w:rsidR="00565DE3">
        <w:t xml:space="preserve"> in the background rate for the two slits. Following the benchmark, the</w:t>
      </w:r>
      <w:r w:rsidR="0085688F">
        <w:t xml:space="preserve"> two calculations use two different regions for background subtraction. For the s200a1 slit, the signal is ex</w:t>
      </w:r>
      <w:r w:rsidR="002D75FA">
        <w:t>tracted in a 4-pixel aperture</w:t>
      </w:r>
      <w:r w:rsidR="0085688F">
        <w:t>,</w:t>
      </w:r>
      <w:r w:rsidR="002D75FA">
        <w:t xml:space="preserve"> and</w:t>
      </w:r>
      <w:r w:rsidR="0085688F">
        <w:t xml:space="preserve"> each extracted pixel is matched by two background pixels</w:t>
      </w:r>
      <w:r w:rsidR="002D75FA">
        <w:t xml:space="preserve"> (i.e., 8 background pixels)</w:t>
      </w:r>
      <w:r w:rsidR="0085688F">
        <w:t xml:space="preserve">. </w:t>
      </w:r>
      <w:r w:rsidR="002D75FA">
        <w:t xml:space="preserve">Since </w:t>
      </w:r>
      <w:proofErr w:type="spellStart"/>
      <w:r w:rsidR="002D75FA">
        <w:t>Pandeia</w:t>
      </w:r>
      <w:proofErr w:type="spellEnd"/>
      <w:r w:rsidR="002D75FA">
        <w:t xml:space="preserve"> does not yet support dithers for the fixed slits, t</w:t>
      </w:r>
      <w:r w:rsidR="0085688F">
        <w:t>h</w:t>
      </w:r>
      <w:r w:rsidR="002D75FA">
        <w:t>is is implemented using two adjacent background regions in the same exposure (easily accommodated within the slit length)</w:t>
      </w:r>
      <w:r w:rsidR="001C4DD7">
        <w:t>, while the benchmark assumes</w:t>
      </w:r>
      <w:r w:rsidR="002D75FA">
        <w:t xml:space="preserve"> two off-source dithers. Therefore, the benchmark would be a ~30 </w:t>
      </w:r>
      <w:proofErr w:type="spellStart"/>
      <w:r w:rsidR="002D75FA">
        <w:t>ks</w:t>
      </w:r>
      <w:proofErr w:type="spellEnd"/>
      <w:r w:rsidR="002D75FA">
        <w:t xml:space="preserve"> observation, while the </w:t>
      </w:r>
      <w:proofErr w:type="spellStart"/>
      <w:r w:rsidR="002D75FA">
        <w:t>Pandeia</w:t>
      </w:r>
      <w:proofErr w:type="spellEnd"/>
      <w:r w:rsidR="002D75FA">
        <w:t xml:space="preserve"> comparison is a single ~10 </w:t>
      </w:r>
      <w:proofErr w:type="spellStart"/>
      <w:r w:rsidR="002D75FA">
        <w:t>ks</w:t>
      </w:r>
      <w:proofErr w:type="spellEnd"/>
      <w:r w:rsidR="002D75FA">
        <w:t xml:space="preserve"> exposure. Since correlated noise is s</w:t>
      </w:r>
      <w:r w:rsidR="001C4DD7">
        <w:t xml:space="preserve">witched off, there should be little </w:t>
      </w:r>
      <w:r w:rsidR="002D75FA">
        <w:t xml:space="preserve">difference in sensitivity for these two background strategies. </w:t>
      </w:r>
      <w:r w:rsidR="001C4DD7">
        <w:t xml:space="preserve">Indeed, as seen in </w:t>
      </w:r>
      <w:r w:rsidR="001C4DD7">
        <w:fldChar w:fldCharType="begin"/>
      </w:r>
      <w:r w:rsidR="001C4DD7">
        <w:instrText xml:space="preserve"> REF _Ref316818851 \h </w:instrText>
      </w:r>
      <w:r w:rsidR="001C4DD7">
        <w:fldChar w:fldCharType="separate"/>
      </w:r>
      <w:r w:rsidR="001C4DD7">
        <w:t xml:space="preserve">Figure </w:t>
      </w:r>
      <w:r w:rsidR="001C4DD7">
        <w:rPr>
          <w:noProof/>
        </w:rPr>
        <w:t>11</w:t>
      </w:r>
      <w:r w:rsidR="001C4DD7">
        <w:fldChar w:fldCharType="end"/>
      </w:r>
      <w:r w:rsidR="001C4DD7">
        <w:t xml:space="preserve">, the s200a1 </w:t>
      </w:r>
      <w:proofErr w:type="spellStart"/>
      <w:r w:rsidR="001C4DD7">
        <w:t>Pandeia</w:t>
      </w:r>
      <w:proofErr w:type="spellEnd"/>
      <w:r w:rsidR="001C4DD7">
        <w:t xml:space="preserve"> calculation matches the benchmark well within the 10% tolerance within most of the wavelength range, although </w:t>
      </w:r>
      <w:proofErr w:type="spellStart"/>
      <w:r w:rsidR="001C4DD7">
        <w:t>Pandeia</w:t>
      </w:r>
      <w:proofErr w:type="spellEnd"/>
      <w:r w:rsidR="001C4DD7">
        <w:t xml:space="preserve"> predicts slightly lower </w:t>
      </w:r>
      <w:proofErr w:type="spellStart"/>
      <w:r w:rsidR="001C4DD7">
        <w:t>sensivitity</w:t>
      </w:r>
      <w:proofErr w:type="spellEnd"/>
      <w:r w:rsidR="001C4DD7">
        <w:t xml:space="preserve"> around 1 micron. </w:t>
      </w:r>
    </w:p>
    <w:p w14:paraId="15F6C533" w14:textId="66B6CAB4" w:rsidR="001C4DD7" w:rsidRPr="007805DD" w:rsidRDefault="001C4DD7" w:rsidP="007805DD">
      <w:r>
        <w:t xml:space="preserve">The comparison for the wide s1600a1 slit is more complex. The benchmark states that the source is extracted from the full slit height (16 pixels), and that only a single background dither is used. </w:t>
      </w:r>
      <w:r w:rsidR="00FE15F7">
        <w:t>Because the background noise is increased by the wider slit, the larger aperture and the fewer background measurements, t</w:t>
      </w:r>
      <w:r>
        <w:t>his leads to a total increase of the extracted background rate of (1.6</w:t>
      </w:r>
      <w:r w:rsidR="00FE15F7">
        <w:t>"</w:t>
      </w:r>
      <w:r>
        <w:t>/0.2</w:t>
      </w:r>
      <w:r w:rsidR="00FE15F7">
        <w:t>"</w:t>
      </w:r>
      <w:r>
        <w:t xml:space="preserve">)*(16 pixels/4 pixels) * </w:t>
      </w:r>
      <w:r w:rsidR="00FE15F7">
        <w:t>(</w:t>
      </w:r>
      <w:r>
        <w:t>2</w:t>
      </w:r>
      <w:r w:rsidR="00E07BF0">
        <w:t xml:space="preserve"> dithers/1 dither</w:t>
      </w:r>
      <w:r w:rsidR="00FE15F7">
        <w:t>)</w:t>
      </w:r>
      <w:r>
        <w:t xml:space="preserve"> = 64, which corresponds to </w:t>
      </w:r>
      <m:oMath>
        <m:r>
          <w:rPr>
            <w:rFonts w:ascii="Cambria Math" w:hAnsi="Cambria Math"/>
          </w:rPr>
          <m:t>√64 = 8</m:t>
        </m:r>
      </m:oMath>
      <w:r>
        <w:t xml:space="preserve"> times the background noise for the same extracted signal. Pandeia recovers this difference, but the benchmark only finds a difference of as little as 50% between the two calculations. That is, the benchmark does not seem to behave as expected, given that the s1600a1 observation is well within the background limit for source as faint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mJy</w:t>
      </w:r>
      <w:r w:rsidR="00FE15F7">
        <w:t xml:space="preserve"> (for the s200a1 slit, the source is slightly brighter than the background over most of the wavelength range)</w:t>
      </w:r>
      <w:r>
        <w:t>. The benchmark, however, is matched perfectly if we use the same 4-pixel extraction aperture for the s1600a1 slit as was done for the s200a1 slit</w:t>
      </w:r>
      <w:r w:rsidR="00FE15F7">
        <w:t>, and the sensitivity difference matches that expected for the difference in slit width</w:t>
      </w:r>
      <w:r>
        <w:t>.</w:t>
      </w:r>
      <w:r w:rsidR="00FE15F7">
        <w:t xml:space="preserve"> </w:t>
      </w:r>
    </w:p>
    <w:p w14:paraId="6D6AC821" w14:textId="31F30222" w:rsidR="00C565A2" w:rsidRDefault="00FE15F7" w:rsidP="00C565A2">
      <w:pPr>
        <w:keepNext/>
      </w:pPr>
      <w:r>
        <w:rPr>
          <w:noProof/>
          <w:lang w:eastAsia="en-US"/>
        </w:rPr>
        <w:drawing>
          <wp:inline distT="0" distB="0" distL="0" distR="0" wp14:anchorId="1706BAA3" wp14:editId="239F91AE">
            <wp:extent cx="3362260" cy="3362260"/>
            <wp:effectExtent l="0" t="0" r="0" b="0"/>
            <wp:docPr id="7" name="Picture 7" descr="Mac HD:Users:pontoppi:STSCI:SoftwareDevelopment:pandeia_verification:plots:nirspec_fs_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Users:pontoppi:STSCI:SoftwareDevelopment:pandeia_verification:plots:nirspec_fs_sensitivity.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2260" cy="3362260"/>
                    </a:xfrm>
                    <a:prstGeom prst="rect">
                      <a:avLst/>
                    </a:prstGeom>
                    <a:noFill/>
                    <a:ln>
                      <a:noFill/>
                    </a:ln>
                  </pic:spPr>
                </pic:pic>
              </a:graphicData>
            </a:graphic>
          </wp:inline>
        </w:drawing>
      </w:r>
    </w:p>
    <w:p w14:paraId="72BE443B" w14:textId="3BA473E9" w:rsidR="00743045" w:rsidRPr="00743045" w:rsidRDefault="00C565A2" w:rsidP="00C565A2">
      <w:pPr>
        <w:pStyle w:val="Caption"/>
      </w:pPr>
      <w:bookmarkStart w:id="8" w:name="_Ref316818851"/>
      <w:r>
        <w:t xml:space="preserve">Figure </w:t>
      </w:r>
      <w:r w:rsidR="00FE0521">
        <w:fldChar w:fldCharType="begin"/>
      </w:r>
      <w:r w:rsidR="00FE0521">
        <w:instrText xml:space="preserve"> SEQ Figure \* ARABIC </w:instrText>
      </w:r>
      <w:r w:rsidR="00FE0521">
        <w:fldChar w:fldCharType="separate"/>
      </w:r>
      <w:r w:rsidR="00FE0521">
        <w:rPr>
          <w:noProof/>
        </w:rPr>
        <w:t>13</w:t>
      </w:r>
      <w:r w:rsidR="00FE0521">
        <w:rPr>
          <w:noProof/>
        </w:rPr>
        <w:fldChar w:fldCharType="end"/>
      </w:r>
      <w:bookmarkEnd w:id="8"/>
      <w:r>
        <w:t>: Benchmark comparison for</w:t>
      </w:r>
      <w:r w:rsidR="00314F3A">
        <w:t xml:space="preserve"> the continuum sensitivity of</w:t>
      </w:r>
      <w:r>
        <w:t xml:space="preserve"> the </w:t>
      </w:r>
      <w:proofErr w:type="spellStart"/>
      <w:r>
        <w:t>NIRSpec</w:t>
      </w:r>
      <w:proofErr w:type="spellEnd"/>
      <w:r>
        <w:t xml:space="preserve"> fixed slits</w:t>
      </w:r>
      <w:r w:rsidR="00BE1F5B">
        <w:t>, extracted in a 1x3 pixel aperture</w:t>
      </w:r>
      <w:r>
        <w:t>. We compare both a narrow slit (s200a1) and the widest available slit (a1600a1)</w:t>
      </w:r>
      <w:r w:rsidR="00FE15F7">
        <w:t>, the latter for 4-pixel and 16-pixel extraction apertures</w:t>
      </w:r>
      <w:r>
        <w:t>.</w:t>
      </w:r>
      <w:r w:rsidR="00E45B1C">
        <w:t xml:space="preserve"> The grey range indicates the +/-10% tolerance. </w:t>
      </w:r>
    </w:p>
    <w:p w14:paraId="42785C34" w14:textId="1E760CD6" w:rsidR="00F244CB" w:rsidRDefault="00F244CB" w:rsidP="00F244CB">
      <w:pPr>
        <w:pStyle w:val="Heading2"/>
      </w:pPr>
      <w:r>
        <w:t>Multi-Object Spectroscopy</w:t>
      </w:r>
    </w:p>
    <w:p w14:paraId="65F26AC0" w14:textId="5820092A" w:rsidR="00A4194E" w:rsidRPr="00A4194E" w:rsidRDefault="00A4194E" w:rsidP="00A4194E">
      <w:r>
        <w:t>For multi-object (MSA) spectroscopy, two dispersing elements are compared:</w:t>
      </w:r>
      <w:r w:rsidR="00D90938">
        <w:t xml:space="preserve"> PRISM and G395M. The </w:t>
      </w:r>
      <w:r>
        <w:t>sensitivity</w:t>
      </w:r>
      <w:r w:rsidR="00D90938">
        <w:t xml:space="preserve"> of MSA spectroscopy, as estimated by </w:t>
      </w:r>
      <w:proofErr w:type="spellStart"/>
      <w:r w:rsidR="00D90938">
        <w:t>Pandeia</w:t>
      </w:r>
      <w:proofErr w:type="spellEnd"/>
      <w:r w:rsidR="00D90938">
        <w:t xml:space="preserve"> is nearly identical to that of the s200a1 fixed slit since the slit and shutter widths are essentially the same. The source extraction over 5 pixels leads to slightly higher noise, while the background estimation using 10, rather than 8 pixels leads to slightly lower added noise. However, the benchmark sensitivity for the MSA is between 10-20% </w:t>
      </w:r>
      <w:r w:rsidR="000B42D3">
        <w:t>higher</w:t>
      </w:r>
      <w:r w:rsidR="00D90938">
        <w:t xml:space="preserve"> than </w:t>
      </w:r>
      <w:r w:rsidR="000B42D3">
        <w:t xml:space="preserve">that of </w:t>
      </w:r>
      <w:r w:rsidR="00D90938">
        <w:t xml:space="preserve">the benchmark for the s200 fixed slits. </w:t>
      </w:r>
      <w:r w:rsidR="009771F8">
        <w:t>T</w:t>
      </w:r>
      <w:r w:rsidR="00744E38">
        <w:t xml:space="preserve">he </w:t>
      </w:r>
      <w:proofErr w:type="spellStart"/>
      <w:r w:rsidR="00744E38">
        <w:t>Pandeia</w:t>
      </w:r>
      <w:proofErr w:type="spellEnd"/>
      <w:r w:rsidR="00744E38">
        <w:t xml:space="preserve"> calculation </w:t>
      </w:r>
      <w:r w:rsidR="009771F8">
        <w:t xml:space="preserve">does not reproduce this difference, and is not expected to, given that the throughputs and slit widths for the two modes are essentially identical. That is, </w:t>
      </w:r>
      <w:proofErr w:type="spellStart"/>
      <w:r w:rsidR="009771F8">
        <w:t>Pandeia</w:t>
      </w:r>
      <w:proofErr w:type="spellEnd"/>
      <w:r w:rsidR="009771F8">
        <w:t xml:space="preserve"> is about 10% more conservative than the benchmark for the MSA, which is within the tolerance</w:t>
      </w:r>
      <w:r w:rsidR="00FD5017">
        <w:t xml:space="preserve"> boundary</w:t>
      </w:r>
      <w:r w:rsidR="009771F8">
        <w:t xml:space="preserve">.  </w:t>
      </w:r>
    </w:p>
    <w:p w14:paraId="6646B008" w14:textId="6B767808" w:rsidR="00F63311" w:rsidRDefault="00A4194E" w:rsidP="00F63311">
      <w:pPr>
        <w:keepNext/>
      </w:pPr>
      <w:r>
        <w:rPr>
          <w:noProof/>
          <w:lang w:eastAsia="en-US"/>
        </w:rPr>
        <w:drawing>
          <wp:inline distT="0" distB="0" distL="0" distR="0" wp14:anchorId="1BACC048" wp14:editId="3AE7B408">
            <wp:extent cx="3019360" cy="3019360"/>
            <wp:effectExtent l="0" t="0" r="3810" b="3810"/>
            <wp:docPr id="4" name="Picture 4" descr="Macintosh HD:Users:pontoppi:STSCI:SoftwareDevelopment:pandeia_verification:plots:nirspec_msa_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ntoppi:STSCI:SoftwareDevelopment:pandeia_verification:plots:nirspec_msa_sensitivity.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360" cy="3019360"/>
                    </a:xfrm>
                    <a:prstGeom prst="rect">
                      <a:avLst/>
                    </a:prstGeom>
                    <a:noFill/>
                    <a:ln>
                      <a:noFill/>
                    </a:ln>
                  </pic:spPr>
                </pic:pic>
              </a:graphicData>
            </a:graphic>
          </wp:inline>
        </w:drawing>
      </w:r>
    </w:p>
    <w:p w14:paraId="43369027" w14:textId="58F8AF05" w:rsidR="00743045" w:rsidRPr="00743045" w:rsidRDefault="00F63311" w:rsidP="00F63311">
      <w:pPr>
        <w:pStyle w:val="Caption"/>
      </w:pPr>
      <w:r>
        <w:t xml:space="preserve">Figure </w:t>
      </w:r>
      <w:r w:rsidR="00FE0521">
        <w:fldChar w:fldCharType="begin"/>
      </w:r>
      <w:r w:rsidR="00FE0521">
        <w:instrText xml:space="preserve"> SEQ Figure \* ARABIC </w:instrText>
      </w:r>
      <w:r w:rsidR="00FE0521">
        <w:fldChar w:fldCharType="separate"/>
      </w:r>
      <w:r w:rsidR="00FE0521">
        <w:rPr>
          <w:noProof/>
        </w:rPr>
        <w:t>14</w:t>
      </w:r>
      <w:r w:rsidR="00FE0521">
        <w:rPr>
          <w:noProof/>
        </w:rPr>
        <w:fldChar w:fldCharType="end"/>
      </w:r>
      <w:r>
        <w:t xml:space="preserve">: Benchmark comparison for the continuum sensitivity of the </w:t>
      </w:r>
      <w:proofErr w:type="spellStart"/>
      <w:r>
        <w:t>NIRSpec</w:t>
      </w:r>
      <w:proofErr w:type="spellEnd"/>
      <w:r>
        <w:t xml:space="preserve"> MSA.</w:t>
      </w:r>
      <w:r w:rsidR="00A46A32">
        <w:t xml:space="preserve"> Shown are two selected dispersing elements; the prism and the G395M </w:t>
      </w:r>
      <w:proofErr w:type="gramStart"/>
      <w:r w:rsidR="00A46A32">
        <w:t>grating.</w:t>
      </w:r>
      <w:proofErr w:type="gramEnd"/>
    </w:p>
    <w:p w14:paraId="31D72E55" w14:textId="27193C63" w:rsidR="00F244CB" w:rsidRDefault="00F244CB" w:rsidP="00F244CB">
      <w:pPr>
        <w:pStyle w:val="Heading2"/>
      </w:pPr>
      <w:r>
        <w:t>Integral Field Unit</w:t>
      </w:r>
    </w:p>
    <w:p w14:paraId="4A3EB70A" w14:textId="3CEF2B53" w:rsidR="004F035A" w:rsidRPr="004F035A" w:rsidRDefault="004F035A" w:rsidP="004F035A">
      <w:r>
        <w:t xml:space="preserve">The benchmark for the </w:t>
      </w:r>
      <w:proofErr w:type="spellStart"/>
      <w:r>
        <w:t>NIRSpec</w:t>
      </w:r>
      <w:proofErr w:type="spellEnd"/>
      <w:r>
        <w:t xml:space="preserve"> IFU compares three different dispersers: PRISM, G140H and G235M. </w:t>
      </w:r>
      <w:r w:rsidR="001A0171">
        <w:t xml:space="preserve">The ratio of </w:t>
      </w:r>
      <w:r w:rsidR="00FC01EA">
        <w:t xml:space="preserve">number of </w:t>
      </w:r>
      <w:r w:rsidR="001A0171">
        <w:t>ba</w:t>
      </w:r>
      <w:r w:rsidR="00FC01EA">
        <w:t xml:space="preserve">ckground </w:t>
      </w:r>
      <w:r w:rsidR="00E454F1">
        <w:t xml:space="preserve">to signal </w:t>
      </w:r>
      <w:proofErr w:type="gramStart"/>
      <w:r w:rsidR="00E454F1">
        <w:t>pixels is</w:t>
      </w:r>
      <w:proofErr w:type="gramEnd"/>
      <w:r w:rsidR="00E454F1">
        <w:t xml:space="preserve"> 1</w:t>
      </w:r>
      <w:r w:rsidR="00FC01EA">
        <w:t>, which</w:t>
      </w:r>
      <w:r w:rsidR="00E454F1">
        <w:t xml:space="preserve"> is accomplished with an off-source nod in both </w:t>
      </w:r>
      <w:proofErr w:type="spellStart"/>
      <w:r w:rsidR="00E454F1">
        <w:t>Pandeia</w:t>
      </w:r>
      <w:proofErr w:type="spellEnd"/>
      <w:r w:rsidR="00E454F1">
        <w:t xml:space="preserve"> and the benchmark. The benchmark extracts the source signal from a rectangular </w:t>
      </w:r>
      <w:r w:rsidR="00FC01EA">
        <w:t xml:space="preserve">region of 3 pixels by 3 slices, whereas </w:t>
      </w:r>
      <w:proofErr w:type="spellStart"/>
      <w:r w:rsidR="00FC01EA">
        <w:t>Pandeia</w:t>
      </w:r>
      <w:proofErr w:type="spellEnd"/>
      <w:r w:rsidR="00FC01EA">
        <w:t xml:space="preserve"> use</w:t>
      </w:r>
      <w:r w:rsidR="003F7A58">
        <w:t>s a</w:t>
      </w:r>
      <w:r w:rsidR="00534112">
        <w:t xml:space="preserve"> </w:t>
      </w:r>
      <w:r w:rsidR="008572D4">
        <w:t>circular</w:t>
      </w:r>
      <w:r w:rsidR="00534112">
        <w:t xml:space="preserve"> aperture with the same</w:t>
      </w:r>
      <w:r w:rsidR="00FC01EA">
        <w:t xml:space="preserve"> area of 9 spaxels^2. </w:t>
      </w:r>
      <w:r w:rsidR="002D6F92">
        <w:t xml:space="preserve">The </w:t>
      </w:r>
      <w:proofErr w:type="spellStart"/>
      <w:r w:rsidR="002D6F92">
        <w:t>Pandeia</w:t>
      </w:r>
      <w:proofErr w:type="spellEnd"/>
      <w:r w:rsidR="002D6F92">
        <w:t xml:space="preserve"> calculation is centered in the field-of-view, which means that most of the source signal is split between two slices (because there is an ev</w:t>
      </w:r>
      <w:r w:rsidR="00513E80">
        <w:t>en number of IFU slices), while the source is assumed to be centered on a pixel row</w:t>
      </w:r>
      <w:r w:rsidR="002D6F92">
        <w:t xml:space="preserve">. </w:t>
      </w:r>
      <w:r w:rsidR="00625100">
        <w:t xml:space="preserve">Note that there is no distortion in the </w:t>
      </w:r>
      <w:proofErr w:type="spellStart"/>
      <w:r w:rsidR="00625100">
        <w:t>NIRSpec</w:t>
      </w:r>
      <w:proofErr w:type="spellEnd"/>
      <w:r w:rsidR="00625100">
        <w:t xml:space="preserve"> ETC model, so we do not model effects of the spectral traces crossing pixel rows. </w:t>
      </w:r>
    </w:p>
    <w:p w14:paraId="28384E93" w14:textId="1B6FE571" w:rsidR="007E03E6" w:rsidRDefault="00BB2FFE" w:rsidP="007E03E6">
      <w:pPr>
        <w:keepNext/>
      </w:pPr>
      <w:r>
        <w:rPr>
          <w:noProof/>
          <w:lang w:eastAsia="en-US"/>
        </w:rPr>
        <w:drawing>
          <wp:inline distT="0" distB="0" distL="0" distR="0" wp14:anchorId="6F4211B9" wp14:editId="2EC1D028">
            <wp:extent cx="3083560" cy="3083560"/>
            <wp:effectExtent l="0" t="0" r="0" b="0"/>
            <wp:docPr id="12" name="Picture 12" descr="Mac HD:Users:pontoppi:STSCI:SoftwareDevelopment:pandeia_verification:plots:nirspec_ifu_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Users:pontoppi:STSCI:SoftwareDevelopment:pandeia_verification:plots:nirspec_ifu_sensitivity.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3560" cy="3083560"/>
                    </a:xfrm>
                    <a:prstGeom prst="rect">
                      <a:avLst/>
                    </a:prstGeom>
                    <a:noFill/>
                    <a:ln>
                      <a:noFill/>
                    </a:ln>
                  </pic:spPr>
                </pic:pic>
              </a:graphicData>
            </a:graphic>
          </wp:inline>
        </w:drawing>
      </w:r>
    </w:p>
    <w:p w14:paraId="55D4D008" w14:textId="370B733D" w:rsidR="00743045" w:rsidRPr="00743045" w:rsidRDefault="007E03E6" w:rsidP="007E03E6">
      <w:pPr>
        <w:pStyle w:val="Caption"/>
      </w:pPr>
      <w:r>
        <w:t xml:space="preserve">Figure </w:t>
      </w:r>
      <w:r w:rsidR="00FE0521">
        <w:fldChar w:fldCharType="begin"/>
      </w:r>
      <w:r w:rsidR="00FE0521">
        <w:instrText xml:space="preserve"> SEQ Figure \* ARABIC </w:instrText>
      </w:r>
      <w:r w:rsidR="00FE0521">
        <w:fldChar w:fldCharType="separate"/>
      </w:r>
      <w:r w:rsidR="00FE0521">
        <w:rPr>
          <w:noProof/>
        </w:rPr>
        <w:t>15</w:t>
      </w:r>
      <w:r w:rsidR="00FE0521">
        <w:rPr>
          <w:noProof/>
        </w:rPr>
        <w:fldChar w:fldCharType="end"/>
      </w:r>
      <w:r>
        <w:t xml:space="preserve">: Benchmark comparison for the continuum sensitivity of the </w:t>
      </w:r>
      <w:proofErr w:type="spellStart"/>
      <w:r>
        <w:t>NIRSpec</w:t>
      </w:r>
      <w:proofErr w:type="spellEnd"/>
      <w:r>
        <w:t xml:space="preserve"> IFU. Shown are three selected dispersing elements as indicated in the </w:t>
      </w:r>
      <w:proofErr w:type="gramStart"/>
      <w:r>
        <w:t>legend.</w:t>
      </w:r>
      <w:proofErr w:type="gramEnd"/>
      <w:r w:rsidR="00FC01EA">
        <w:t xml:space="preserve"> Note that the G140H grating crosses the detector gap, which leads to a gap in wavelength coverage in the </w:t>
      </w:r>
      <w:proofErr w:type="spellStart"/>
      <w:r w:rsidR="00FC01EA">
        <w:t>Pandeia</w:t>
      </w:r>
      <w:proofErr w:type="spellEnd"/>
      <w:r w:rsidR="00FC01EA">
        <w:t xml:space="preserve"> calculation.</w:t>
      </w:r>
    </w:p>
    <w:p w14:paraId="7B3EE046" w14:textId="362EC67B" w:rsidR="00B004C6" w:rsidRDefault="00B004C6" w:rsidP="00B004C6">
      <w:pPr>
        <w:pStyle w:val="Heading1"/>
      </w:pPr>
      <w:r>
        <w:t>NIRISS</w:t>
      </w:r>
    </w:p>
    <w:p w14:paraId="3C577F4A" w14:textId="03BB20D7" w:rsidR="00296E72" w:rsidRDefault="00296E72" w:rsidP="00296E72">
      <w:pPr>
        <w:pStyle w:val="Heading2"/>
      </w:pPr>
      <w:r>
        <w:t>NIRISS throughputs</w:t>
      </w:r>
    </w:p>
    <w:p w14:paraId="304E28A9" w14:textId="77777777" w:rsidR="00160591" w:rsidRDefault="00160591" w:rsidP="00160591">
      <w:pPr>
        <w:keepNext/>
      </w:pPr>
      <w:r>
        <w:rPr>
          <w:noProof/>
          <w:lang w:eastAsia="en-US"/>
        </w:rPr>
        <w:drawing>
          <wp:inline distT="0" distB="0" distL="0" distR="0" wp14:anchorId="38BEF16F" wp14:editId="2D3D3FDD">
            <wp:extent cx="5476240" cy="2143760"/>
            <wp:effectExtent l="0" t="0" r="10160" b="0"/>
            <wp:docPr id="16" name="Picture 16" descr="Mac HD:Users:pontoppi:STSCI:SoftwareDevelopment:pandeia_verification:tests:niriss:niriss_imaging_p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pontoppi:STSCI:SoftwareDevelopment:pandeia_verification:tests:niriss:niriss_imaging_pce.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240" cy="2143760"/>
                    </a:xfrm>
                    <a:prstGeom prst="rect">
                      <a:avLst/>
                    </a:prstGeom>
                    <a:noFill/>
                    <a:ln>
                      <a:noFill/>
                    </a:ln>
                  </pic:spPr>
                </pic:pic>
              </a:graphicData>
            </a:graphic>
          </wp:inline>
        </w:drawing>
      </w:r>
    </w:p>
    <w:p w14:paraId="3CE79240" w14:textId="388A6A9A" w:rsidR="00296E72" w:rsidRPr="00296E72" w:rsidRDefault="00160591" w:rsidP="00160591">
      <w:pPr>
        <w:pStyle w:val="Caption"/>
      </w:pPr>
      <w:r>
        <w:t xml:space="preserve">Figure </w:t>
      </w:r>
      <w:fldSimple w:instr=" SEQ Figure \* ARABIC ">
        <w:r w:rsidR="00FE0521">
          <w:rPr>
            <w:noProof/>
          </w:rPr>
          <w:t>16</w:t>
        </w:r>
      </w:fldSimple>
      <w:r>
        <w:t xml:space="preserve">: </w:t>
      </w:r>
      <w:proofErr w:type="spellStart"/>
      <w:r>
        <w:t>Pandeia</w:t>
      </w:r>
      <w:proofErr w:type="spellEnd"/>
      <w:r>
        <w:t xml:space="preserve"> PCEs for NIRISS imaging.</w:t>
      </w:r>
      <w:r w:rsidR="00D06830">
        <w:t xml:space="preserve"> Note that the NIRISS throughputs are generally significantly better than those of </w:t>
      </w:r>
      <w:proofErr w:type="spellStart"/>
      <w:r w:rsidR="00D06830">
        <w:t>NIRCam</w:t>
      </w:r>
      <w:proofErr w:type="spellEnd"/>
      <w:r w:rsidR="00D06830">
        <w:t>, but in particular for wavelengths shorter than 2 micron.</w:t>
      </w:r>
    </w:p>
    <w:p w14:paraId="6EC0B955" w14:textId="77777777" w:rsidR="00FE0521" w:rsidRDefault="001314E1" w:rsidP="001314E1">
      <w:pPr>
        <w:pStyle w:val="Heading2"/>
      </w:pPr>
      <w:r>
        <w:t>NIRISS imaging</w:t>
      </w:r>
    </w:p>
    <w:p w14:paraId="3ECF21A8" w14:textId="2CB74958" w:rsidR="001314E1" w:rsidRDefault="00FE0521" w:rsidP="001314E1">
      <w:pPr>
        <w:pStyle w:val="Heading2"/>
      </w:pPr>
      <w:r>
        <w:t>NIRISS WFSS</w:t>
      </w:r>
      <w:r>
        <w:rPr>
          <w:noProof/>
          <w:lang w:eastAsia="en-US"/>
        </w:rPr>
        <mc:AlternateContent>
          <mc:Choice Requires="wps">
            <w:drawing>
              <wp:anchor distT="0" distB="0" distL="114300" distR="114300" simplePos="0" relativeHeight="251662336" behindDoc="0" locked="0" layoutInCell="1" allowOverlap="1" wp14:anchorId="0E858DB0" wp14:editId="34994ED0">
                <wp:simplePos x="0" y="0"/>
                <wp:positionH relativeFrom="column">
                  <wp:posOffset>370840</wp:posOffset>
                </wp:positionH>
                <wp:positionV relativeFrom="paragraph">
                  <wp:posOffset>3348990</wp:posOffset>
                </wp:positionV>
                <wp:extent cx="5486400" cy="27305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486400" cy="2730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8B1161" w14:textId="10AE9D2A" w:rsidR="00FE0521" w:rsidRPr="00C43689" w:rsidRDefault="00FE0521" w:rsidP="00FE0521">
                            <w:pPr>
                              <w:pStyle w:val="Caption"/>
                              <w:rPr>
                                <w:bCs w:val="0"/>
                                <w:sz w:val="24"/>
                              </w:rPr>
                            </w:pPr>
                            <w:r>
                              <w:t xml:space="preserve">Figure </w:t>
                            </w:r>
                            <w:fldSimple w:instr=" SEQ Figure \* ARABIC ">
                              <w:r>
                                <w:rPr>
                                  <w:noProof/>
                                </w:rPr>
                                <w:t>17</w:t>
                              </w:r>
                            </w:fldSimple>
                            <w:r>
                              <w:t xml:space="preserve">: NIRISS imaging sensitivity. </w:t>
                            </w:r>
                            <w:proofErr w:type="spellStart"/>
                            <w:proofErr w:type="gramStart"/>
                            <w:r>
                              <w:t>Pandeia</w:t>
                            </w:r>
                            <w:proofErr w:type="spellEnd"/>
                            <w:r>
                              <w:t xml:space="preserve"> estimates are indicated by circles</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4" o:spid="_x0000_s1026" type="#_x0000_t202" style="position:absolute;left:0;text-align:left;margin-left:29.2pt;margin-top:263.7pt;width:6in;height:2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" stroked="f">
                <v:textbox style="mso-fit-shape-to-text:t" inset="0,0,0,0">
                  <w:txbxContent>
                    <w:p w14:paraId="598B1161" w14:textId="10AE9D2A" w:rsidR="00FE0521" w:rsidRPr="00C43689" w:rsidRDefault="00FE0521" w:rsidP="00FE0521">
                      <w:pPr>
                        <w:pStyle w:val="Caption"/>
                        <w:rPr>
                          <w:bCs w:val="0"/>
                          <w:sz w:val="24"/>
                        </w:rPr>
                      </w:pPr>
                      <w:r>
                        <w:t xml:space="preserve">Figure </w:t>
                      </w:r>
                      <w:fldSimple w:instr=" SEQ Figure \* ARABIC ">
                        <w:r>
                          <w:rPr>
                            <w:noProof/>
                          </w:rPr>
                          <w:t>17</w:t>
                        </w:r>
                      </w:fldSimple>
                      <w:r>
                        <w:t xml:space="preserve">: NIRISS imaging sensitivity. </w:t>
                      </w:r>
                      <w:proofErr w:type="spellStart"/>
                      <w:proofErr w:type="gramStart"/>
                      <w:r>
                        <w:t>Pandeia</w:t>
                      </w:r>
                      <w:proofErr w:type="spellEnd"/>
                      <w:r>
                        <w:t xml:space="preserve"> estimates are indicated by circles</w:t>
                      </w:r>
                      <w:proofErr w:type="gramEnd"/>
                      <w:r>
                        <w:t>.</w:t>
                      </w:r>
                    </w:p>
                  </w:txbxContent>
                </v:textbox>
                <w10:wrap type="through"/>
              </v:shape>
            </w:pict>
          </mc:Fallback>
        </mc:AlternateContent>
      </w:r>
      <w:r>
        <w:rPr>
          <w:noProof/>
          <w:lang w:eastAsia="en-US"/>
        </w:rPr>
        <w:drawing>
          <wp:anchor distT="0" distB="0" distL="114300" distR="114300" simplePos="0" relativeHeight="251660288" behindDoc="0" locked="0" layoutInCell="1" allowOverlap="1" wp14:anchorId="4CC2E882" wp14:editId="24A3ADEC">
            <wp:simplePos x="0" y="0"/>
            <wp:positionH relativeFrom="column">
              <wp:posOffset>370840</wp:posOffset>
            </wp:positionH>
            <wp:positionV relativeFrom="paragraph">
              <wp:posOffset>0</wp:posOffset>
            </wp:positionV>
            <wp:extent cx="5486400" cy="3291840"/>
            <wp:effectExtent l="0" t="0" r="0" b="10160"/>
            <wp:wrapTopAndBottom/>
            <wp:docPr id="19" name="Picture 19" descr="Mac HD:Users:pontoppi:STSCI:SoftwareDevelopment:pandeia_verification:plots:niriss_imaging_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pontoppi:STSCI:SoftwareDevelopment:pandeia_verification:plots:niriss_imaging_sensitivity.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D09BB" w14:textId="77777777" w:rsidR="00FE0521" w:rsidRPr="00FE0521" w:rsidRDefault="00FE0521" w:rsidP="00FE0521">
      <w:bookmarkStart w:id="9" w:name="_GoBack"/>
      <w:bookmarkEnd w:id="9"/>
    </w:p>
    <w:p w14:paraId="2B4AF064" w14:textId="14F61250" w:rsidR="001314E1" w:rsidRDefault="001314E1" w:rsidP="001314E1">
      <w:pPr>
        <w:pStyle w:val="Heading2"/>
      </w:pPr>
      <w:r>
        <w:t>NIRISS AMI</w:t>
      </w:r>
    </w:p>
    <w:p w14:paraId="7473AE63" w14:textId="3F2954C3" w:rsidR="001314E1" w:rsidRPr="001314E1" w:rsidRDefault="001314E1" w:rsidP="001314E1">
      <w:pPr>
        <w:pStyle w:val="Heading2"/>
      </w:pPr>
      <w:r>
        <w:t>NIRISS SOSS</w:t>
      </w:r>
    </w:p>
    <w:p w14:paraId="17B9AEE0" w14:textId="49767B3A" w:rsidR="009D37F2" w:rsidRPr="009D37F2" w:rsidRDefault="009D37F2" w:rsidP="009D37F2">
      <w:proofErr w:type="gramStart"/>
      <w:r>
        <w:t>In progress.</w:t>
      </w:r>
      <w:proofErr w:type="gramEnd"/>
    </w:p>
    <w:p w14:paraId="67AD8CC8" w14:textId="77777777" w:rsidR="00FA03D6" w:rsidRDefault="00FA03D6" w:rsidP="00FA03D6"/>
    <w:p w14:paraId="1119C4DD" w14:textId="4B0AF04F" w:rsidR="00A63668" w:rsidRDefault="00A63668" w:rsidP="00A63668">
      <w:pPr>
        <w:pStyle w:val="Heading1"/>
      </w:pPr>
      <w:r>
        <w:t xml:space="preserve">Sensitivities predicted by </w:t>
      </w:r>
      <w:proofErr w:type="spellStart"/>
      <w:r>
        <w:t>Pandeia</w:t>
      </w:r>
      <w:proofErr w:type="spellEnd"/>
      <w:r>
        <w:t xml:space="preserve"> in general use</w:t>
      </w:r>
    </w:p>
    <w:p w14:paraId="12275EA0" w14:textId="77777777" w:rsidR="00A63668" w:rsidRDefault="00A63668" w:rsidP="00A63668">
      <w:pPr>
        <w:keepNext/>
      </w:pPr>
      <w:r>
        <w:rPr>
          <w:noProof/>
          <w:lang w:eastAsia="en-US"/>
        </w:rPr>
        <w:drawing>
          <wp:inline distT="0" distB="0" distL="0" distR="0" wp14:anchorId="6187F436" wp14:editId="37B0B4ED">
            <wp:extent cx="5486400" cy="2286000"/>
            <wp:effectExtent l="0" t="0" r="0" b="0"/>
            <wp:docPr id="3" name="Picture 3" descr="Macintosh HD:Users:pontoppi:STSCI:SoftwareDevelopment:pandeia_verification:plots:miri_apertu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ntoppi:STSCI:SoftwareDevelopment:pandeia_verification:plots:miri_apertures.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0B65DC39" w14:textId="77777777" w:rsidR="00A63668" w:rsidRDefault="00A63668" w:rsidP="00A63668">
      <w:pPr>
        <w:pStyle w:val="Caption"/>
      </w:pPr>
      <w:bookmarkStart w:id="10" w:name="_Ref313280927"/>
      <w:r>
        <w:t xml:space="preserve">Figure </w:t>
      </w:r>
      <w:r w:rsidR="00FE0521">
        <w:fldChar w:fldCharType="begin"/>
      </w:r>
      <w:r w:rsidR="00FE0521">
        <w:instrText xml:space="preserve"> SEQ Figure \* ARABIC </w:instrText>
      </w:r>
      <w:r w:rsidR="00FE0521">
        <w:fldChar w:fldCharType="separate"/>
      </w:r>
      <w:r w:rsidR="00FE0521">
        <w:rPr>
          <w:noProof/>
        </w:rPr>
        <w:t>18</w:t>
      </w:r>
      <w:r w:rsidR="00FE0521">
        <w:rPr>
          <w:noProof/>
        </w:rPr>
        <w:fldChar w:fldCharType="end"/>
      </w:r>
      <w:bookmarkEnd w:id="10"/>
      <w:r>
        <w:t xml:space="preserve">: Curves-of-growth for MIRI aperture photometry. The curves indicate the extracted signal-to-noise ratio as a function of photometric aperture radius. The circles show the benchmark values taken at the appropriate aperture radius. The optimal extraction apertures are significantly smaller than those used for the benchmark. </w:t>
      </w:r>
    </w:p>
    <w:p w14:paraId="5DBE1DBE" w14:textId="2DB38FF2" w:rsidR="00A63668" w:rsidRPr="00CB06F0" w:rsidRDefault="00A63668" w:rsidP="00A63668">
      <w:r>
        <w:t>The MIRI benchmark</w:t>
      </w:r>
      <w:r w:rsidR="003B0F3C">
        <w:t xml:space="preserve"> makes many assumptions that tend to lead to conservative sensitivity estimates. For instance, it</w:t>
      </w:r>
      <w:r>
        <w:t xml:space="preserve"> assumes that the photometric aperture coincides with the theoretical location of the first airy ring (for a circular aperture), resulting in an enclosed energy fraction of ~70%. However, this is not an optimal size of the photometric aperture for MIRI, and a smaller aperture leads to significantly higher sensitivities of as much as 50%. This is illustrated in </w:t>
      </w:r>
      <w:r>
        <w:fldChar w:fldCharType="begin"/>
      </w:r>
      <w:r>
        <w:instrText xml:space="preserve"> REF _Ref313280927 \h </w:instrText>
      </w:r>
      <w:r>
        <w:fldChar w:fldCharType="separate"/>
      </w:r>
      <w:r>
        <w:t xml:space="preserve">Figure </w:t>
      </w:r>
      <w:r>
        <w:rPr>
          <w:noProof/>
        </w:rPr>
        <w:t>16</w:t>
      </w:r>
      <w:r>
        <w:fldChar w:fldCharType="end"/>
      </w:r>
      <w:r>
        <w:t>.</w:t>
      </w:r>
    </w:p>
    <w:p w14:paraId="317C8C84" w14:textId="77777777" w:rsidR="00A63668" w:rsidRDefault="00A63668" w:rsidP="00FA03D6"/>
    <w:p w14:paraId="647F4153" w14:textId="77777777" w:rsidR="00F10BA6" w:rsidRDefault="00F10BA6" w:rsidP="00014AD1">
      <w:pPr>
        <w:pStyle w:val="Heading1"/>
      </w:pPr>
      <w:r w:rsidRPr="00F76276">
        <w:t>Conclusions</w:t>
      </w:r>
    </w:p>
    <w:p w14:paraId="00F9E798" w14:textId="77777777" w:rsidR="00F10BA6" w:rsidRDefault="00F10BA6" w:rsidP="00014AD1">
      <w:pPr>
        <w:pStyle w:val="Heading1"/>
        <w:numPr>
          <w:ilvl w:val="0"/>
          <w:numId w:val="0"/>
        </w:numPr>
        <w:ind w:left="432"/>
      </w:pPr>
    </w:p>
    <w:p w14:paraId="0E366EEA" w14:textId="77777777" w:rsidR="00F10BA6" w:rsidRDefault="00F10BA6" w:rsidP="00014AD1">
      <w:pPr>
        <w:pStyle w:val="Heading1"/>
      </w:pPr>
      <w:r>
        <w:t>References</w:t>
      </w:r>
    </w:p>
    <w:p w14:paraId="0033BAF8" w14:textId="28275F2B" w:rsidR="00CA5DB0" w:rsidRDefault="00CA5DB0" w:rsidP="00F10BA6">
      <w:pPr>
        <w:pStyle w:val="Reference"/>
      </w:pPr>
      <w:proofErr w:type="spellStart"/>
      <w:r>
        <w:t>Glasse</w:t>
      </w:r>
      <w:proofErr w:type="spellEnd"/>
      <w:r>
        <w:t xml:space="preserve"> et al. 2015, PASP</w:t>
      </w:r>
      <w:r w:rsidR="00C8363D">
        <w:t>, 127, 686</w:t>
      </w:r>
    </w:p>
    <w:p w14:paraId="120A7CE5" w14:textId="476095C3" w:rsidR="00CA5DB0" w:rsidRDefault="00CA5DB0" w:rsidP="00F10BA6">
      <w:pPr>
        <w:pStyle w:val="Reference"/>
      </w:pPr>
      <w:r>
        <w:t>Kendrew et al. 2015, PASP</w:t>
      </w:r>
      <w:r w:rsidR="00C8363D">
        <w:t>, 127, 623</w:t>
      </w:r>
    </w:p>
    <w:p w14:paraId="3DEB551F" w14:textId="0DE37450" w:rsidR="00C8363D" w:rsidRDefault="00CA5DB0" w:rsidP="00F10BA6">
      <w:pPr>
        <w:pStyle w:val="Reference"/>
      </w:pPr>
      <w:r>
        <w:t>Pontoppidan et al. 201</w:t>
      </w:r>
      <w:r w:rsidR="00C8363D">
        <w:t>4</w:t>
      </w:r>
      <w:r>
        <w:t xml:space="preserve">, </w:t>
      </w:r>
      <w:r w:rsidR="00AD0E63">
        <w:t>JWST-STScI-004009</w:t>
      </w:r>
    </w:p>
    <w:p w14:paraId="7D41BBAE" w14:textId="1C5E8BFA" w:rsidR="001E601D" w:rsidRDefault="00C8363D" w:rsidP="00542097">
      <w:pPr>
        <w:pStyle w:val="Reference"/>
      </w:pPr>
      <w:proofErr w:type="spellStart"/>
      <w:r>
        <w:t>Ferruit</w:t>
      </w:r>
      <w:proofErr w:type="spellEnd"/>
      <w:r>
        <w:t xml:space="preserve"> 2015, NTN-2015-020</w:t>
      </w:r>
    </w:p>
    <w:sectPr w:rsidR="001E601D" w:rsidSect="00DF6C55">
      <w:headerReference w:type="default" r:id="rId36"/>
      <w:footerReference w:type="default" r:id="rId37"/>
      <w:footerReference w:type="first" r:id="rId38"/>
      <w:pgSz w:w="12240" w:h="15840"/>
      <w:pgMar w:top="1440" w:right="1800" w:bottom="720" w:left="1800" w:header="720" w:footer="43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FD7007" w14:textId="77777777" w:rsidR="00C8363D" w:rsidRDefault="00C8363D">
      <w:r>
        <w:separator/>
      </w:r>
    </w:p>
  </w:endnote>
  <w:endnote w:type="continuationSeparator" w:id="0">
    <w:p w14:paraId="78D9E339" w14:textId="77777777" w:rsidR="00C8363D" w:rsidRDefault="00C83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AD031" w14:textId="6C82F7AC" w:rsidR="00C8363D" w:rsidRPr="004153B2" w:rsidRDefault="00C8363D" w:rsidP="00DF6C55">
    <w:pPr>
      <w:pStyle w:val="Footer"/>
      <w:jc w:val="center"/>
      <w:rPr>
        <w:sz w:val="20"/>
      </w:rPr>
    </w:pPr>
  </w:p>
  <w:p w14:paraId="0E01BF2C" w14:textId="77777777" w:rsidR="00C8363D" w:rsidRDefault="00C8363D" w:rsidP="00CE29BB">
    <w:pPr>
      <w:pStyle w:val="Footer"/>
      <w:jc w:val="center"/>
      <w:rPr>
        <w:sz w:val="20"/>
      </w:rPr>
    </w:pPr>
    <w:r w:rsidRPr="004153B2">
      <w:rPr>
        <w:sz w:val="20"/>
      </w:rPr>
      <w:t xml:space="preserve">Check with the JWST SOCCER Database at: </w:t>
    </w:r>
    <w:hyperlink r:id="rId1" w:history="1">
      <w:r w:rsidRPr="00963594">
        <w:rPr>
          <w:rStyle w:val="Hyperlink"/>
          <w:sz w:val="20"/>
        </w:rPr>
        <w:t>https://soccer.stsci.edu</w:t>
      </w:r>
    </w:hyperlink>
  </w:p>
  <w:p w14:paraId="740FA684" w14:textId="77777777" w:rsidR="00C8363D" w:rsidRPr="004153B2" w:rsidRDefault="00C8363D" w:rsidP="00CE29BB">
    <w:pPr>
      <w:pStyle w:val="Footer"/>
      <w:jc w:val="center"/>
      <w:rPr>
        <w:sz w:val="20"/>
      </w:rPr>
    </w:pPr>
    <w:r w:rsidRPr="004153B2">
      <w:rPr>
        <w:sz w:val="20"/>
      </w:rPr>
      <w:t>To verify that this is the current version.</w:t>
    </w:r>
  </w:p>
  <w:p w14:paraId="17740440" w14:textId="77777777" w:rsidR="00C8363D" w:rsidRDefault="00C8363D" w:rsidP="00DF6C55">
    <w:pPr>
      <w:pStyle w:val="Footer"/>
      <w:jc w:val="center"/>
    </w:pPr>
  </w:p>
  <w:p w14:paraId="58D3CD1C" w14:textId="77777777" w:rsidR="00C8363D" w:rsidRDefault="00C8363D">
    <w:pPr>
      <w:pStyle w:val="Footer"/>
    </w:pPr>
    <w:r>
      <w:tab/>
      <w:t xml:space="preserve">- </w:t>
    </w:r>
    <w:r>
      <w:fldChar w:fldCharType="begin"/>
    </w:r>
    <w:r>
      <w:instrText xml:space="preserve"> PAGE </w:instrText>
    </w:r>
    <w:r>
      <w:fldChar w:fldCharType="separate"/>
    </w:r>
    <w:r w:rsidR="00FE0521">
      <w:rPr>
        <w:noProof/>
      </w:rPr>
      <w:t>23</w:t>
    </w:r>
    <w:r>
      <w:fldChar w:fldCharType="end"/>
    </w:r>
    <w: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A09EC" w14:textId="77777777" w:rsidR="00C8363D" w:rsidRPr="004153F9" w:rsidRDefault="00C8363D">
    <w:pPr>
      <w:jc w:val="center"/>
      <w:rPr>
        <w:b/>
        <w:sz w:val="20"/>
      </w:rPr>
    </w:pPr>
    <w:r w:rsidRPr="004153F9">
      <w:rPr>
        <w:b/>
        <w:sz w:val="20"/>
      </w:rPr>
      <w:t>Operated by the Association of Universities for Research in Astronomy, Inc., for the National Aeronautics and Space Administration under Contract NAS5-03127</w:t>
    </w:r>
  </w:p>
  <w:p w14:paraId="63DB6C2A" w14:textId="77777777" w:rsidR="00C8363D" w:rsidRPr="003A6053" w:rsidRDefault="00C8363D" w:rsidP="00DF6C55">
    <w:pPr>
      <w:autoSpaceDE w:val="0"/>
      <w:autoSpaceDN w:val="0"/>
      <w:adjustRightInd w:val="0"/>
      <w:jc w:val="center"/>
      <w:rPr>
        <w:sz w:val="20"/>
      </w:rPr>
    </w:pPr>
  </w:p>
  <w:p w14:paraId="6DF1A9A3" w14:textId="77777777" w:rsidR="00C8363D" w:rsidRDefault="00C8363D" w:rsidP="00DF6C55">
    <w:pPr>
      <w:pStyle w:val="Footer"/>
      <w:jc w:val="center"/>
      <w:rPr>
        <w:sz w:val="20"/>
      </w:rPr>
    </w:pPr>
    <w:r w:rsidRPr="004153B2">
      <w:rPr>
        <w:sz w:val="20"/>
      </w:rPr>
      <w:t xml:space="preserve">Check with the JWST SOCCER Database at: </w:t>
    </w:r>
    <w:hyperlink r:id="rId1" w:history="1">
      <w:r w:rsidRPr="00963594">
        <w:rPr>
          <w:rStyle w:val="Hyperlink"/>
          <w:sz w:val="20"/>
        </w:rPr>
        <w:t>https://soccer.stsci.edu</w:t>
      </w:r>
    </w:hyperlink>
  </w:p>
  <w:p w14:paraId="6B05D45D" w14:textId="77777777" w:rsidR="00C8363D" w:rsidRPr="004153B2" w:rsidRDefault="00C8363D" w:rsidP="00DF6C55">
    <w:pPr>
      <w:pStyle w:val="Footer"/>
      <w:jc w:val="center"/>
      <w:rPr>
        <w:sz w:val="20"/>
      </w:rPr>
    </w:pPr>
    <w:r w:rsidRPr="004153B2">
      <w:rPr>
        <w:sz w:val="20"/>
      </w:rPr>
      <w:t>To verify that this is the current version.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E9DB69" w14:textId="77777777" w:rsidR="00C8363D" w:rsidRDefault="00C8363D">
      <w:r>
        <w:separator/>
      </w:r>
    </w:p>
  </w:footnote>
  <w:footnote w:type="continuationSeparator" w:id="0">
    <w:p w14:paraId="00F94080" w14:textId="77777777" w:rsidR="00C8363D" w:rsidRDefault="00C8363D">
      <w:r>
        <w:continuationSeparator/>
      </w:r>
    </w:p>
  </w:footnote>
  <w:footnote w:id="1">
    <w:p w14:paraId="472AC60B" w14:textId="2F342999" w:rsidR="00C8363D" w:rsidRDefault="00C8363D">
      <w:pPr>
        <w:pStyle w:val="FootnoteText"/>
      </w:pPr>
      <w:r>
        <w:rPr>
          <w:rStyle w:val="FootnoteReference"/>
        </w:rPr>
        <w:footnoteRef/>
      </w:r>
      <w:r>
        <w:t xml:space="preserve"> The full MRS readout pattern and effective integration time used in the benchmark is unclear from the Mathcad worksheet, so we use the </w:t>
      </w:r>
      <w:proofErr w:type="spellStart"/>
      <w:r>
        <w:t>Pandeia</w:t>
      </w:r>
      <w:proofErr w:type="spellEnd"/>
      <w:r>
        <w:t xml:space="preserve"> value.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EA338" w14:textId="77777777" w:rsidR="00C8363D" w:rsidRDefault="00C8363D">
    <w:pPr>
      <w:pStyle w:val="Header"/>
      <w:jc w:val="right"/>
    </w:pPr>
    <w:r>
      <w:t>JWST-STScI-000NNN</w:t>
    </w:r>
  </w:p>
  <w:p w14:paraId="23D881FF" w14:textId="77777777" w:rsidR="00C8363D" w:rsidRDefault="00C8363D">
    <w:pPr>
      <w:pStyle w:val="Header"/>
      <w:jc w:val="right"/>
    </w:pPr>
    <w:r>
      <w:t>SM-12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E1DEBA4C"/>
    <w:lvl w:ilvl="0">
      <w:start w:val="1"/>
      <w:numFmt w:val="decimal"/>
      <w:lvlText w:val="%1."/>
      <w:lvlJc w:val="left"/>
      <w:pPr>
        <w:tabs>
          <w:tab w:val="num" w:pos="720"/>
        </w:tabs>
        <w:ind w:left="720" w:hanging="360"/>
      </w:pPr>
    </w:lvl>
  </w:abstractNum>
  <w:abstractNum w:abstractNumId="1">
    <w:nsid w:val="FFFFFF88"/>
    <w:multiLevelType w:val="singleLevel"/>
    <w:tmpl w:val="4EAEC834"/>
    <w:lvl w:ilvl="0">
      <w:start w:val="1"/>
      <w:numFmt w:val="decimal"/>
      <w:lvlText w:val="%1."/>
      <w:lvlJc w:val="left"/>
      <w:pPr>
        <w:tabs>
          <w:tab w:val="num" w:pos="360"/>
        </w:tabs>
        <w:ind w:left="360" w:hanging="360"/>
      </w:pPr>
    </w:lvl>
  </w:abstractNum>
  <w:abstractNum w:abstractNumId="2">
    <w:nsid w:val="024D6423"/>
    <w:multiLevelType w:val="hybridMultilevel"/>
    <w:tmpl w:val="DB5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7D4038"/>
    <w:multiLevelType w:val="multilevel"/>
    <w:tmpl w:val="E05841E0"/>
    <w:lvl w:ilvl="0">
      <w:start w:val="1"/>
      <w:numFmt w:val="decimal"/>
      <w:lvlText w:val="%1."/>
      <w:lvlJc w:val="left"/>
      <w:pPr>
        <w:tabs>
          <w:tab w:val="num" w:pos="720"/>
        </w:tabs>
        <w:ind w:left="432" w:hanging="432"/>
      </w:pPr>
      <w:rPr>
        <w:rFonts w:hint="default"/>
      </w:rPr>
    </w:lvl>
    <w:lvl w:ilvl="1">
      <w:start w:val="1"/>
      <w:numFmt w:val="decimal"/>
      <w:lvlText w:val="%1.%2"/>
      <w:lvlJc w:val="left"/>
      <w:pPr>
        <w:tabs>
          <w:tab w:val="num" w:pos="576"/>
        </w:tabs>
        <w:ind w:left="1080" w:hanging="1080"/>
      </w:pPr>
      <w:rPr>
        <w:rFonts w:hint="default"/>
      </w:rPr>
    </w:lvl>
    <w:lvl w:ilvl="2">
      <w:start w:val="1"/>
      <w:numFmt w:val="decimal"/>
      <w:lvlText w:val="%1.%2.%3"/>
      <w:lvlJc w:val="left"/>
      <w:pPr>
        <w:tabs>
          <w:tab w:val="num" w:pos="720"/>
        </w:tabs>
        <w:ind w:left="1512" w:hanging="1512"/>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23AF2E71"/>
    <w:multiLevelType w:val="multilevel"/>
    <w:tmpl w:val="C8EEEB6C"/>
    <w:lvl w:ilvl="0">
      <w:start w:val="1"/>
      <w:numFmt w:val="decimal"/>
      <w:lvlText w:val="%1.0"/>
      <w:lvlJc w:val="left"/>
      <w:pPr>
        <w:tabs>
          <w:tab w:val="num" w:pos="720"/>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BAE6B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9B76288"/>
    <w:multiLevelType w:val="hybridMultilevel"/>
    <w:tmpl w:val="A78E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55A00"/>
    <w:multiLevelType w:val="multilevel"/>
    <w:tmpl w:val="FCC821BC"/>
    <w:lvl w:ilvl="0">
      <w:start w:val="1"/>
      <w:numFmt w:val="decimal"/>
      <w:lvlText w:val="%1.0"/>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sz w:val="24"/>
      </w:rPr>
    </w:lvl>
    <w:lvl w:ilvl="4">
      <w:start w:val="1"/>
      <w:numFmt w:val="decimal"/>
      <w:lvlText w:val="%1.%2.%3.%4.%5"/>
      <w:lvlJc w:val="left"/>
      <w:pPr>
        <w:tabs>
          <w:tab w:val="num" w:pos="1080"/>
        </w:tabs>
        <w:ind w:left="1080" w:hanging="1080"/>
      </w:pPr>
      <w:rPr>
        <w:rFonts w:ascii="Times New Roman" w:hAnsi="Times New Roman" w:hint="default"/>
        <w:sz w:val="24"/>
      </w:rPr>
    </w:lvl>
    <w:lvl w:ilvl="5">
      <w:start w:val="1"/>
      <w:numFmt w:val="decimal"/>
      <w:lvlText w:val="%1.%2.%3.%4.%5.%6"/>
      <w:lvlJc w:val="left"/>
      <w:pPr>
        <w:tabs>
          <w:tab w:val="num" w:pos="1440"/>
        </w:tabs>
        <w:ind w:left="1440" w:hanging="1440"/>
      </w:pPr>
      <w:rPr>
        <w:rFonts w:hint="default"/>
      </w:rPr>
    </w:lvl>
    <w:lvl w:ilvl="6">
      <w:start w:val="1"/>
      <w:numFmt w:val="upperLetter"/>
      <w:lvlText w:val="APPENDIX %7."/>
      <w:lvlJc w:val="left"/>
      <w:pPr>
        <w:tabs>
          <w:tab w:val="num" w:pos="180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3C891982"/>
    <w:multiLevelType w:val="hybridMultilevel"/>
    <w:tmpl w:val="72A6ABBE"/>
    <w:lvl w:ilvl="0" w:tplc="336403D4">
      <w:start w:val="1"/>
      <w:numFmt w:val="upperLetter"/>
      <w:pStyle w:val="Heading9"/>
      <w:lvlText w:val="Appendix %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
    <w:nsid w:val="478A3422"/>
    <w:multiLevelType w:val="multilevel"/>
    <w:tmpl w:val="11F6497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49824613"/>
    <w:multiLevelType w:val="multilevel"/>
    <w:tmpl w:val="66F2DC64"/>
    <w:lvl w:ilvl="0">
      <w:start w:val="1"/>
      <w:numFmt w:val="decimal"/>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4690FF8"/>
    <w:multiLevelType w:val="multilevel"/>
    <w:tmpl w:val="3A86B5E6"/>
    <w:lvl w:ilvl="0">
      <w:start w:val="1"/>
      <w:numFmt w:val="decimal"/>
      <w:pStyle w:val="ListParagraph"/>
      <w:lvlText w:val="%1."/>
      <w:lvlJc w:val="left"/>
      <w:pPr>
        <w:ind w:left="1440" w:hanging="360"/>
      </w:pPr>
      <w:rPr>
        <w:rFonts w:hint="default"/>
        <w:color w:val="auto"/>
      </w:rPr>
    </w:lvl>
    <w:lvl w:ilvl="1">
      <w:start w:val="1"/>
      <w:numFmt w:val="lowerLetter"/>
      <w:lvlText w:val="%2."/>
      <w:lvlJc w:val="left"/>
      <w:pPr>
        <w:ind w:left="2160" w:hanging="360"/>
      </w:pPr>
      <w:rPr>
        <w:rFonts w:ascii="Times New Roman" w:eastAsia="Times New Roman" w:hAnsi="Times New Roman" w:cs="Times New Roman"/>
      </w:rPr>
    </w:lvl>
    <w:lvl w:ilvl="2">
      <w:start w:val="1"/>
      <w:numFmt w:val="lowerRoman"/>
      <w:lvlText w:val="%3."/>
      <w:lvlJc w:val="right"/>
      <w:pPr>
        <w:ind w:left="2880" w:hanging="180"/>
      </w:pPr>
    </w:lvl>
    <w:lvl w:ilvl="3">
      <w:start w:val="1"/>
      <w:numFmt w:val="decimal"/>
      <w:lvlText w:val="%4."/>
      <w:lvlJc w:val="left"/>
      <w:pPr>
        <w:ind w:left="3600" w:hanging="360"/>
      </w:pPr>
      <w:rPr>
        <w:i w:val="0"/>
      </w:rPr>
    </w:lvl>
    <w:lvl w:ilvl="4">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2">
    <w:nsid w:val="7C6C051A"/>
    <w:multiLevelType w:val="multilevel"/>
    <w:tmpl w:val="37763384"/>
    <w:lvl w:ilvl="0">
      <w:start w:val="1"/>
      <w:numFmt w:val="decimal"/>
      <w:pStyle w:val="ListNumber2"/>
      <w:lvlText w:val="%1."/>
      <w:lvlJc w:val="left"/>
      <w:pPr>
        <w:ind w:left="1080" w:hanging="720"/>
      </w:pPr>
      <w:rPr>
        <w:rFonts w:hint="default"/>
        <w:color w:val="auto"/>
      </w:rPr>
    </w:lvl>
    <w:lvl w:ilvl="1">
      <w:start w:val="1"/>
      <w:numFmt w:val="lowerLetter"/>
      <w:lvlText w:val="%2."/>
      <w:lvlJc w:val="left"/>
      <w:pPr>
        <w:tabs>
          <w:tab w:val="num" w:pos="1440"/>
        </w:tabs>
        <w:ind w:left="1800" w:hanging="360"/>
      </w:pPr>
      <w:rPr>
        <w:rFonts w:ascii="Times New Roman" w:eastAsia="Times New Roman" w:hAnsi="Times New Roman" w:cs="Times New Roman"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i w:val="0"/>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nsid w:val="7F262B92"/>
    <w:multiLevelType w:val="multilevel"/>
    <w:tmpl w:val="00000000"/>
    <w:lvl w:ilvl="0">
      <w:start w:val="1"/>
      <w:numFmt w:val="decimal"/>
      <w:pStyle w:val="Normal"/>
      <w:suff w:val="space"/>
      <w:lvlText w:val="Test Case %1"/>
      <w:lvlJc w:val="left"/>
      <w:pPr>
        <w:ind w:left="432" w:hanging="432"/>
      </w:pPr>
      <w:rPr>
        <w:rFonts w:hint="default"/>
      </w:rPr>
    </w:lvl>
    <w:lvl w:ilvl="1">
      <w:start w:val="1"/>
      <w:numFmt w:val="decimal"/>
      <w:pStyle w:val="Normal"/>
      <w:lvlText w:val="%1.%2"/>
      <w:lvlJc w:val="left"/>
      <w:pPr>
        <w:tabs>
          <w:tab w:val="num" w:pos="576"/>
        </w:tabs>
        <w:ind w:left="576" w:hanging="576"/>
      </w:pPr>
      <w:rPr>
        <w:rFonts w:hint="default"/>
      </w:rPr>
    </w:lvl>
    <w:lvl w:ilvl="2">
      <w:start w:val="1"/>
      <w:numFmt w:val="decimal"/>
      <w:pStyle w:val="Normal"/>
      <w:lvlText w:val="%1.%2.%3"/>
      <w:lvlJc w:val="left"/>
      <w:pPr>
        <w:tabs>
          <w:tab w:val="num" w:pos="720"/>
        </w:tabs>
        <w:ind w:left="720" w:hanging="720"/>
      </w:pPr>
      <w:rPr>
        <w:rFonts w:hint="default"/>
      </w:rPr>
    </w:lvl>
    <w:lvl w:ilvl="3">
      <w:start w:val="1"/>
      <w:numFmt w:val="decimal"/>
      <w:pStyle w:val="Normal"/>
      <w:lvlText w:val="%1.%2.%3.%4"/>
      <w:lvlJc w:val="left"/>
      <w:pPr>
        <w:tabs>
          <w:tab w:val="num" w:pos="864"/>
        </w:tabs>
        <w:ind w:left="864" w:hanging="864"/>
      </w:pPr>
      <w:rPr>
        <w:rFonts w:hint="default"/>
      </w:rPr>
    </w:lvl>
    <w:lvl w:ilvl="4">
      <w:start w:val="1"/>
      <w:numFmt w:val="decimal"/>
      <w:pStyle w:val="Normal"/>
      <w:lvlText w:val="%1.%2.%3.%4.%5"/>
      <w:lvlJc w:val="left"/>
      <w:pPr>
        <w:tabs>
          <w:tab w:val="num" w:pos="1008"/>
        </w:tabs>
        <w:ind w:left="1008" w:hanging="1008"/>
      </w:pPr>
      <w:rPr>
        <w:rFonts w:hint="default"/>
      </w:rPr>
    </w:lvl>
    <w:lvl w:ilvl="5">
      <w:start w:val="1"/>
      <w:numFmt w:val="decimal"/>
      <w:pStyle w:val="Normal"/>
      <w:lvlText w:val="%1.%2.%3.%4.%5.%6"/>
      <w:lvlJc w:val="left"/>
      <w:pPr>
        <w:tabs>
          <w:tab w:val="num" w:pos="1152"/>
        </w:tabs>
        <w:ind w:left="1152" w:hanging="1152"/>
      </w:pPr>
      <w:rPr>
        <w:rFonts w:hint="default"/>
      </w:rPr>
    </w:lvl>
    <w:lvl w:ilvl="6">
      <w:start w:val="1"/>
      <w:numFmt w:val="decimal"/>
      <w:pStyle w:val="Normal"/>
      <w:lvlText w:val="%1.%2.%3.%4.%5.%6.%7"/>
      <w:lvlJc w:val="left"/>
      <w:pPr>
        <w:tabs>
          <w:tab w:val="num" w:pos="1296"/>
        </w:tabs>
        <w:ind w:left="1296" w:hanging="1296"/>
      </w:pPr>
      <w:rPr>
        <w:rFonts w:hint="default"/>
      </w:rPr>
    </w:lvl>
    <w:lvl w:ilvl="7">
      <w:start w:val="1"/>
      <w:numFmt w:val="decimal"/>
      <w:pStyle w:val="Nor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4"/>
  </w:num>
  <w:num w:numId="3">
    <w:abstractNumId w:val="4"/>
  </w:num>
  <w:num w:numId="4">
    <w:abstractNumId w:val="4"/>
  </w:num>
  <w:num w:numId="5">
    <w:abstractNumId w:val="8"/>
  </w:num>
  <w:num w:numId="6">
    <w:abstractNumId w:val="3"/>
  </w:num>
  <w:num w:numId="7">
    <w:abstractNumId w:val="9"/>
  </w:num>
  <w:num w:numId="8">
    <w:abstractNumId w:val="1"/>
  </w:num>
  <w:num w:numId="9">
    <w:abstractNumId w:val="10"/>
  </w:num>
  <w:num w:numId="10">
    <w:abstractNumId w:val="7"/>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8"/>
  </w:num>
  <w:num w:numId="20">
    <w:abstractNumId w:val="5"/>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8"/>
  </w:num>
  <w:num w:numId="30">
    <w:abstractNumId w:val="0"/>
  </w:num>
  <w:num w:numId="31">
    <w:abstractNumId w:val="12"/>
  </w:num>
  <w:num w:numId="32">
    <w:abstractNumId w:val="11"/>
  </w:num>
  <w:num w:numId="33">
    <w:abstractNumId w:val="6"/>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BA6"/>
    <w:rsid w:val="000000FE"/>
    <w:rsid w:val="00014AD1"/>
    <w:rsid w:val="00020069"/>
    <w:rsid w:val="00025973"/>
    <w:rsid w:val="000268D3"/>
    <w:rsid w:val="00032A2C"/>
    <w:rsid w:val="00040BA4"/>
    <w:rsid w:val="0004115C"/>
    <w:rsid w:val="000509A7"/>
    <w:rsid w:val="00051C1E"/>
    <w:rsid w:val="0006065F"/>
    <w:rsid w:val="000616BA"/>
    <w:rsid w:val="00063CEF"/>
    <w:rsid w:val="000A2F36"/>
    <w:rsid w:val="000B2414"/>
    <w:rsid w:val="000B42D3"/>
    <w:rsid w:val="000D28D3"/>
    <w:rsid w:val="000D705B"/>
    <w:rsid w:val="000E3A8F"/>
    <w:rsid w:val="000E3FF2"/>
    <w:rsid w:val="0010299A"/>
    <w:rsid w:val="001035AB"/>
    <w:rsid w:val="00107D23"/>
    <w:rsid w:val="00110F63"/>
    <w:rsid w:val="00124C14"/>
    <w:rsid w:val="001314E1"/>
    <w:rsid w:val="00141364"/>
    <w:rsid w:val="00142799"/>
    <w:rsid w:val="00145FFC"/>
    <w:rsid w:val="00160591"/>
    <w:rsid w:val="00175751"/>
    <w:rsid w:val="001812C5"/>
    <w:rsid w:val="0018164D"/>
    <w:rsid w:val="001933C2"/>
    <w:rsid w:val="001A0171"/>
    <w:rsid w:val="001A02B3"/>
    <w:rsid w:val="001A35D2"/>
    <w:rsid w:val="001A48F6"/>
    <w:rsid w:val="001A4C4A"/>
    <w:rsid w:val="001A6049"/>
    <w:rsid w:val="001A6CBF"/>
    <w:rsid w:val="001B5974"/>
    <w:rsid w:val="001C4DD7"/>
    <w:rsid w:val="001C669D"/>
    <w:rsid w:val="001D543D"/>
    <w:rsid w:val="001D5B15"/>
    <w:rsid w:val="001E41E0"/>
    <w:rsid w:val="001E601D"/>
    <w:rsid w:val="001E64D2"/>
    <w:rsid w:val="001F00BE"/>
    <w:rsid w:val="001F07DF"/>
    <w:rsid w:val="001F0F23"/>
    <w:rsid w:val="001F5E0E"/>
    <w:rsid w:val="002135CA"/>
    <w:rsid w:val="00214810"/>
    <w:rsid w:val="00222C34"/>
    <w:rsid w:val="00235F0D"/>
    <w:rsid w:val="00240E7E"/>
    <w:rsid w:val="00241347"/>
    <w:rsid w:val="0024299A"/>
    <w:rsid w:val="00250123"/>
    <w:rsid w:val="00251DFE"/>
    <w:rsid w:val="00264986"/>
    <w:rsid w:val="00276C67"/>
    <w:rsid w:val="00282B32"/>
    <w:rsid w:val="002835B6"/>
    <w:rsid w:val="00296891"/>
    <w:rsid w:val="00296E72"/>
    <w:rsid w:val="002A492B"/>
    <w:rsid w:val="002B330C"/>
    <w:rsid w:val="002B3C48"/>
    <w:rsid w:val="002B6519"/>
    <w:rsid w:val="002C2E5A"/>
    <w:rsid w:val="002D6F92"/>
    <w:rsid w:val="002D75FA"/>
    <w:rsid w:val="002E27E0"/>
    <w:rsid w:val="002E3BD8"/>
    <w:rsid w:val="002E51B7"/>
    <w:rsid w:val="0030017C"/>
    <w:rsid w:val="003012C1"/>
    <w:rsid w:val="003017DA"/>
    <w:rsid w:val="003054D6"/>
    <w:rsid w:val="00306CAA"/>
    <w:rsid w:val="00307B6C"/>
    <w:rsid w:val="00314F3A"/>
    <w:rsid w:val="003238A0"/>
    <w:rsid w:val="00326B97"/>
    <w:rsid w:val="00335CA1"/>
    <w:rsid w:val="00337D7A"/>
    <w:rsid w:val="00341003"/>
    <w:rsid w:val="00356E25"/>
    <w:rsid w:val="003670E7"/>
    <w:rsid w:val="00372EEC"/>
    <w:rsid w:val="003759FB"/>
    <w:rsid w:val="00376326"/>
    <w:rsid w:val="00377660"/>
    <w:rsid w:val="00384070"/>
    <w:rsid w:val="00384090"/>
    <w:rsid w:val="00384CC3"/>
    <w:rsid w:val="00387460"/>
    <w:rsid w:val="003A2027"/>
    <w:rsid w:val="003B0F3C"/>
    <w:rsid w:val="003C26C4"/>
    <w:rsid w:val="003C456A"/>
    <w:rsid w:val="003C62A1"/>
    <w:rsid w:val="003D5C00"/>
    <w:rsid w:val="003E3057"/>
    <w:rsid w:val="003E479F"/>
    <w:rsid w:val="003F0DB0"/>
    <w:rsid w:val="003F47C6"/>
    <w:rsid w:val="003F7A58"/>
    <w:rsid w:val="00400682"/>
    <w:rsid w:val="004106C7"/>
    <w:rsid w:val="00413FD2"/>
    <w:rsid w:val="00414221"/>
    <w:rsid w:val="004167CF"/>
    <w:rsid w:val="00416DBB"/>
    <w:rsid w:val="00421D0F"/>
    <w:rsid w:val="00426B92"/>
    <w:rsid w:val="00434B28"/>
    <w:rsid w:val="00447026"/>
    <w:rsid w:val="004519D5"/>
    <w:rsid w:val="00456151"/>
    <w:rsid w:val="00461A12"/>
    <w:rsid w:val="004647E2"/>
    <w:rsid w:val="004827D8"/>
    <w:rsid w:val="00482DB4"/>
    <w:rsid w:val="004A1F2D"/>
    <w:rsid w:val="004C4BDA"/>
    <w:rsid w:val="004E2F71"/>
    <w:rsid w:val="004E309B"/>
    <w:rsid w:val="004E34EE"/>
    <w:rsid w:val="004E4CB1"/>
    <w:rsid w:val="004F035A"/>
    <w:rsid w:val="004F636E"/>
    <w:rsid w:val="004F6AB5"/>
    <w:rsid w:val="004F7F26"/>
    <w:rsid w:val="00500B1A"/>
    <w:rsid w:val="00502D8C"/>
    <w:rsid w:val="00511650"/>
    <w:rsid w:val="00511AA5"/>
    <w:rsid w:val="00512B83"/>
    <w:rsid w:val="00513E80"/>
    <w:rsid w:val="00517005"/>
    <w:rsid w:val="005302F7"/>
    <w:rsid w:val="00534112"/>
    <w:rsid w:val="005355A3"/>
    <w:rsid w:val="00542097"/>
    <w:rsid w:val="0056255A"/>
    <w:rsid w:val="00565DE3"/>
    <w:rsid w:val="00571B49"/>
    <w:rsid w:val="00577047"/>
    <w:rsid w:val="005808E2"/>
    <w:rsid w:val="005855F5"/>
    <w:rsid w:val="00596657"/>
    <w:rsid w:val="00597E95"/>
    <w:rsid w:val="005A0B8D"/>
    <w:rsid w:val="005B0CA7"/>
    <w:rsid w:val="005C3991"/>
    <w:rsid w:val="005C60CD"/>
    <w:rsid w:val="005C68B8"/>
    <w:rsid w:val="005C77A1"/>
    <w:rsid w:val="005D1B04"/>
    <w:rsid w:val="005E1148"/>
    <w:rsid w:val="005E58C7"/>
    <w:rsid w:val="005F4E58"/>
    <w:rsid w:val="00602F5E"/>
    <w:rsid w:val="00604884"/>
    <w:rsid w:val="00605429"/>
    <w:rsid w:val="00625100"/>
    <w:rsid w:val="0062512C"/>
    <w:rsid w:val="00626272"/>
    <w:rsid w:val="00630010"/>
    <w:rsid w:val="00631DCD"/>
    <w:rsid w:val="00633F10"/>
    <w:rsid w:val="00636B7C"/>
    <w:rsid w:val="00636CC9"/>
    <w:rsid w:val="00637B07"/>
    <w:rsid w:val="00662359"/>
    <w:rsid w:val="00664BB4"/>
    <w:rsid w:val="0067332E"/>
    <w:rsid w:val="00680B3D"/>
    <w:rsid w:val="00686D39"/>
    <w:rsid w:val="006A6D5D"/>
    <w:rsid w:val="006B013E"/>
    <w:rsid w:val="006D541A"/>
    <w:rsid w:val="006D7E8F"/>
    <w:rsid w:val="006E4606"/>
    <w:rsid w:val="006E59E0"/>
    <w:rsid w:val="006F32EF"/>
    <w:rsid w:val="006F5DA0"/>
    <w:rsid w:val="00704DB1"/>
    <w:rsid w:val="0071711F"/>
    <w:rsid w:val="007246DD"/>
    <w:rsid w:val="00743045"/>
    <w:rsid w:val="0074357D"/>
    <w:rsid w:val="00744E38"/>
    <w:rsid w:val="00754CF9"/>
    <w:rsid w:val="00762F41"/>
    <w:rsid w:val="00764A65"/>
    <w:rsid w:val="007713B4"/>
    <w:rsid w:val="007805DD"/>
    <w:rsid w:val="00783B20"/>
    <w:rsid w:val="0078619F"/>
    <w:rsid w:val="00786DCD"/>
    <w:rsid w:val="00787F52"/>
    <w:rsid w:val="007B70D1"/>
    <w:rsid w:val="007C1F76"/>
    <w:rsid w:val="007D0553"/>
    <w:rsid w:val="007D10D7"/>
    <w:rsid w:val="007D4402"/>
    <w:rsid w:val="007D4528"/>
    <w:rsid w:val="007D689A"/>
    <w:rsid w:val="007E03E6"/>
    <w:rsid w:val="007E1753"/>
    <w:rsid w:val="007E19EE"/>
    <w:rsid w:val="007E1DFE"/>
    <w:rsid w:val="007E438D"/>
    <w:rsid w:val="007F2C60"/>
    <w:rsid w:val="0080231E"/>
    <w:rsid w:val="00802688"/>
    <w:rsid w:val="0080521F"/>
    <w:rsid w:val="0083276D"/>
    <w:rsid w:val="00836B26"/>
    <w:rsid w:val="0085688F"/>
    <w:rsid w:val="008572D4"/>
    <w:rsid w:val="0087140A"/>
    <w:rsid w:val="00881B8C"/>
    <w:rsid w:val="0089079D"/>
    <w:rsid w:val="008922D2"/>
    <w:rsid w:val="00893425"/>
    <w:rsid w:val="00895AB6"/>
    <w:rsid w:val="008A1219"/>
    <w:rsid w:val="008B04DA"/>
    <w:rsid w:val="008B12D7"/>
    <w:rsid w:val="008C0454"/>
    <w:rsid w:val="008D28F5"/>
    <w:rsid w:val="009053B8"/>
    <w:rsid w:val="0091459D"/>
    <w:rsid w:val="0091499E"/>
    <w:rsid w:val="00930CDB"/>
    <w:rsid w:val="009335BB"/>
    <w:rsid w:val="00933938"/>
    <w:rsid w:val="00934B2B"/>
    <w:rsid w:val="00945765"/>
    <w:rsid w:val="009462AD"/>
    <w:rsid w:val="00952BE6"/>
    <w:rsid w:val="0095566C"/>
    <w:rsid w:val="00970B91"/>
    <w:rsid w:val="00970FF3"/>
    <w:rsid w:val="009771F8"/>
    <w:rsid w:val="0098168C"/>
    <w:rsid w:val="00992985"/>
    <w:rsid w:val="009B4D09"/>
    <w:rsid w:val="009C0CBD"/>
    <w:rsid w:val="009C5CD7"/>
    <w:rsid w:val="009C7CCC"/>
    <w:rsid w:val="009D37F2"/>
    <w:rsid w:val="009D5903"/>
    <w:rsid w:val="009E784D"/>
    <w:rsid w:val="009F1FEB"/>
    <w:rsid w:val="009F2A6F"/>
    <w:rsid w:val="00A010E4"/>
    <w:rsid w:val="00A129B9"/>
    <w:rsid w:val="00A369A5"/>
    <w:rsid w:val="00A36BD8"/>
    <w:rsid w:val="00A4194E"/>
    <w:rsid w:val="00A46A32"/>
    <w:rsid w:val="00A61B46"/>
    <w:rsid w:val="00A63668"/>
    <w:rsid w:val="00A676C9"/>
    <w:rsid w:val="00A82E44"/>
    <w:rsid w:val="00A83BA9"/>
    <w:rsid w:val="00A8529A"/>
    <w:rsid w:val="00A90A20"/>
    <w:rsid w:val="00A9364D"/>
    <w:rsid w:val="00A94F28"/>
    <w:rsid w:val="00A966E0"/>
    <w:rsid w:val="00AA0D7D"/>
    <w:rsid w:val="00AB1E8E"/>
    <w:rsid w:val="00AC18CE"/>
    <w:rsid w:val="00AC57F3"/>
    <w:rsid w:val="00AD0E63"/>
    <w:rsid w:val="00AE2469"/>
    <w:rsid w:val="00B004C6"/>
    <w:rsid w:val="00B049B3"/>
    <w:rsid w:val="00B05680"/>
    <w:rsid w:val="00B076D7"/>
    <w:rsid w:val="00B12DFD"/>
    <w:rsid w:val="00B14B51"/>
    <w:rsid w:val="00B20A59"/>
    <w:rsid w:val="00B20DCB"/>
    <w:rsid w:val="00B23B08"/>
    <w:rsid w:val="00B23EB4"/>
    <w:rsid w:val="00B24479"/>
    <w:rsid w:val="00B26BD8"/>
    <w:rsid w:val="00B61459"/>
    <w:rsid w:val="00B6253C"/>
    <w:rsid w:val="00B6357A"/>
    <w:rsid w:val="00B85063"/>
    <w:rsid w:val="00B90614"/>
    <w:rsid w:val="00B95E04"/>
    <w:rsid w:val="00BA3537"/>
    <w:rsid w:val="00BB1BCF"/>
    <w:rsid w:val="00BB2FFE"/>
    <w:rsid w:val="00BB71FC"/>
    <w:rsid w:val="00BC1D4F"/>
    <w:rsid w:val="00BD38CB"/>
    <w:rsid w:val="00BD43FE"/>
    <w:rsid w:val="00BD6AA2"/>
    <w:rsid w:val="00BE1F5B"/>
    <w:rsid w:val="00BE340A"/>
    <w:rsid w:val="00BE3B30"/>
    <w:rsid w:val="00BF3ADA"/>
    <w:rsid w:val="00C006B5"/>
    <w:rsid w:val="00C00B7A"/>
    <w:rsid w:val="00C12EF9"/>
    <w:rsid w:val="00C1788D"/>
    <w:rsid w:val="00C26916"/>
    <w:rsid w:val="00C32679"/>
    <w:rsid w:val="00C41C31"/>
    <w:rsid w:val="00C47DB0"/>
    <w:rsid w:val="00C549ED"/>
    <w:rsid w:val="00C565A2"/>
    <w:rsid w:val="00C63107"/>
    <w:rsid w:val="00C63322"/>
    <w:rsid w:val="00C701D4"/>
    <w:rsid w:val="00C8065A"/>
    <w:rsid w:val="00C810FC"/>
    <w:rsid w:val="00C81A98"/>
    <w:rsid w:val="00C8363D"/>
    <w:rsid w:val="00C8592B"/>
    <w:rsid w:val="00C956B4"/>
    <w:rsid w:val="00CA125A"/>
    <w:rsid w:val="00CA5DB0"/>
    <w:rsid w:val="00CA79F4"/>
    <w:rsid w:val="00CB06F0"/>
    <w:rsid w:val="00CB1AA3"/>
    <w:rsid w:val="00CB2C84"/>
    <w:rsid w:val="00CC2133"/>
    <w:rsid w:val="00CC246E"/>
    <w:rsid w:val="00CC3E86"/>
    <w:rsid w:val="00CD750C"/>
    <w:rsid w:val="00CE29BB"/>
    <w:rsid w:val="00D06830"/>
    <w:rsid w:val="00D10DB4"/>
    <w:rsid w:val="00D124D4"/>
    <w:rsid w:val="00D26CD3"/>
    <w:rsid w:val="00D459EF"/>
    <w:rsid w:val="00D605A3"/>
    <w:rsid w:val="00D61BB0"/>
    <w:rsid w:val="00D67819"/>
    <w:rsid w:val="00D7021C"/>
    <w:rsid w:val="00D76611"/>
    <w:rsid w:val="00D77DC7"/>
    <w:rsid w:val="00D830ED"/>
    <w:rsid w:val="00D84B2B"/>
    <w:rsid w:val="00D86163"/>
    <w:rsid w:val="00D90938"/>
    <w:rsid w:val="00DA342F"/>
    <w:rsid w:val="00DA7B88"/>
    <w:rsid w:val="00DB3A90"/>
    <w:rsid w:val="00DB5158"/>
    <w:rsid w:val="00DC1FF1"/>
    <w:rsid w:val="00DC6CAB"/>
    <w:rsid w:val="00DD01F3"/>
    <w:rsid w:val="00DD0E9E"/>
    <w:rsid w:val="00DF12B8"/>
    <w:rsid w:val="00DF68E6"/>
    <w:rsid w:val="00DF6C55"/>
    <w:rsid w:val="00DF7D8D"/>
    <w:rsid w:val="00E07BF0"/>
    <w:rsid w:val="00E133B5"/>
    <w:rsid w:val="00E15B60"/>
    <w:rsid w:val="00E20744"/>
    <w:rsid w:val="00E32AF2"/>
    <w:rsid w:val="00E36753"/>
    <w:rsid w:val="00E443C4"/>
    <w:rsid w:val="00E454F1"/>
    <w:rsid w:val="00E45B1C"/>
    <w:rsid w:val="00E62202"/>
    <w:rsid w:val="00E95AAF"/>
    <w:rsid w:val="00E966BF"/>
    <w:rsid w:val="00EA200D"/>
    <w:rsid w:val="00EB295C"/>
    <w:rsid w:val="00EB5CFD"/>
    <w:rsid w:val="00EC2325"/>
    <w:rsid w:val="00EC5E05"/>
    <w:rsid w:val="00ED36E4"/>
    <w:rsid w:val="00EF24E3"/>
    <w:rsid w:val="00F019E6"/>
    <w:rsid w:val="00F0530E"/>
    <w:rsid w:val="00F10AD9"/>
    <w:rsid w:val="00F10BA6"/>
    <w:rsid w:val="00F14B53"/>
    <w:rsid w:val="00F244CB"/>
    <w:rsid w:val="00F3208E"/>
    <w:rsid w:val="00F56A27"/>
    <w:rsid w:val="00F63311"/>
    <w:rsid w:val="00F75E30"/>
    <w:rsid w:val="00F77CC7"/>
    <w:rsid w:val="00F96752"/>
    <w:rsid w:val="00FA03D6"/>
    <w:rsid w:val="00FB07EF"/>
    <w:rsid w:val="00FB3685"/>
    <w:rsid w:val="00FB75D7"/>
    <w:rsid w:val="00FC01EA"/>
    <w:rsid w:val="00FC3C97"/>
    <w:rsid w:val="00FD5017"/>
    <w:rsid w:val="00FD5AC8"/>
    <w:rsid w:val="00FE0521"/>
    <w:rsid w:val="00FE15F7"/>
    <w:rsid w:val="00FE577D"/>
    <w:rsid w:val="00FF0763"/>
    <w:rsid w:val="00FF5C3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C6EF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Number" w:uiPriority="0"/>
    <w:lsdException w:name="List Number 2" w:qFormat="1"/>
    <w:lsdException w:name="Title" w:semiHidden="0" w:uiPriority="10" w:unhideWhenUsed="0"/>
    <w:lsdException w:name="Default Paragraph Font" w:uiPriority="1"/>
    <w:lsdException w:name="Body Text" w:uiPriority="0"/>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54CF9"/>
    <w:pPr>
      <w:spacing w:after="60"/>
    </w:pPr>
    <w:rPr>
      <w:rFonts w:ascii="Times New Roman" w:eastAsia="Times New Roman" w:hAnsi="Times New Roman" w:cs="Times New Roman"/>
      <w:szCs w:val="20"/>
    </w:rPr>
  </w:style>
  <w:style w:type="paragraph" w:styleId="Heading1">
    <w:name w:val="heading 1"/>
    <w:basedOn w:val="Normal"/>
    <w:next w:val="Normal"/>
    <w:link w:val="Heading1Char"/>
    <w:autoRedefine/>
    <w:qFormat/>
    <w:rsid w:val="00754CF9"/>
    <w:pPr>
      <w:keepNext/>
      <w:widowControl w:val="0"/>
      <w:numPr>
        <w:numId w:val="28"/>
      </w:numPr>
      <w:autoSpaceDE w:val="0"/>
      <w:autoSpaceDN w:val="0"/>
      <w:adjustRightInd w:val="0"/>
      <w:spacing w:line="336" w:lineRule="atLeast"/>
      <w:outlineLvl w:val="0"/>
    </w:pPr>
    <w:rPr>
      <w:b/>
    </w:rPr>
  </w:style>
  <w:style w:type="paragraph" w:styleId="Heading2">
    <w:name w:val="heading 2"/>
    <w:basedOn w:val="Normal"/>
    <w:next w:val="Normal"/>
    <w:link w:val="Heading2Char"/>
    <w:autoRedefine/>
    <w:qFormat/>
    <w:rsid w:val="00754CF9"/>
    <w:pPr>
      <w:keepNext/>
      <w:widowControl w:val="0"/>
      <w:numPr>
        <w:ilvl w:val="1"/>
        <w:numId w:val="28"/>
      </w:numPr>
      <w:autoSpaceDE w:val="0"/>
      <w:autoSpaceDN w:val="0"/>
      <w:adjustRightInd w:val="0"/>
      <w:spacing w:line="384" w:lineRule="atLeast"/>
      <w:jc w:val="both"/>
      <w:outlineLvl w:val="1"/>
    </w:pPr>
    <w:rPr>
      <w:b/>
    </w:rPr>
  </w:style>
  <w:style w:type="paragraph" w:styleId="Heading3">
    <w:name w:val="heading 3"/>
    <w:basedOn w:val="Normal"/>
    <w:next w:val="Normal"/>
    <w:link w:val="Heading3Char"/>
    <w:autoRedefine/>
    <w:qFormat/>
    <w:rsid w:val="00754CF9"/>
    <w:pPr>
      <w:keepNext/>
      <w:numPr>
        <w:ilvl w:val="2"/>
        <w:numId w:val="28"/>
      </w:numPr>
      <w:spacing w:before="240"/>
      <w:jc w:val="both"/>
      <w:outlineLvl w:val="2"/>
    </w:pPr>
    <w:rPr>
      <w:b/>
    </w:rPr>
  </w:style>
  <w:style w:type="paragraph" w:styleId="Heading4">
    <w:name w:val="heading 4"/>
    <w:basedOn w:val="Normal"/>
    <w:next w:val="Normal"/>
    <w:link w:val="Heading4Char"/>
    <w:autoRedefine/>
    <w:qFormat/>
    <w:rsid w:val="00754CF9"/>
    <w:pPr>
      <w:keepNext/>
      <w:numPr>
        <w:ilvl w:val="3"/>
        <w:numId w:val="28"/>
      </w:numPr>
      <w:spacing w:before="240"/>
      <w:outlineLvl w:val="3"/>
    </w:pPr>
    <w:rPr>
      <w:b/>
    </w:rPr>
  </w:style>
  <w:style w:type="paragraph" w:styleId="Heading5">
    <w:name w:val="heading 5"/>
    <w:basedOn w:val="Normal"/>
    <w:next w:val="Normal"/>
    <w:link w:val="Heading5Char"/>
    <w:autoRedefine/>
    <w:qFormat/>
    <w:rsid w:val="00754CF9"/>
    <w:pPr>
      <w:numPr>
        <w:ilvl w:val="4"/>
        <w:numId w:val="28"/>
      </w:numPr>
      <w:spacing w:before="240"/>
      <w:outlineLvl w:val="4"/>
    </w:pPr>
    <w:rPr>
      <w:b/>
    </w:rPr>
  </w:style>
  <w:style w:type="paragraph" w:styleId="Heading6">
    <w:name w:val="heading 6"/>
    <w:basedOn w:val="Normal"/>
    <w:next w:val="Normal"/>
    <w:link w:val="Heading6Char"/>
    <w:autoRedefine/>
    <w:qFormat/>
    <w:rsid w:val="00754CF9"/>
    <w:pPr>
      <w:numPr>
        <w:ilvl w:val="5"/>
        <w:numId w:val="28"/>
      </w:numPr>
      <w:spacing w:before="240"/>
      <w:outlineLvl w:val="5"/>
    </w:pPr>
    <w:rPr>
      <w:b/>
    </w:rPr>
  </w:style>
  <w:style w:type="paragraph" w:styleId="Heading7">
    <w:name w:val="heading 7"/>
    <w:basedOn w:val="Normal"/>
    <w:next w:val="Normal"/>
    <w:link w:val="Heading7Char"/>
    <w:autoRedefine/>
    <w:qFormat/>
    <w:rsid w:val="00754CF9"/>
    <w:pPr>
      <w:numPr>
        <w:ilvl w:val="6"/>
        <w:numId w:val="28"/>
      </w:numPr>
      <w:spacing w:before="240"/>
      <w:outlineLvl w:val="6"/>
    </w:pPr>
    <w:rPr>
      <w:b/>
    </w:rPr>
  </w:style>
  <w:style w:type="paragraph" w:styleId="Heading8">
    <w:name w:val="heading 8"/>
    <w:basedOn w:val="Normal"/>
    <w:next w:val="Normal"/>
    <w:link w:val="Heading8Char"/>
    <w:autoRedefine/>
    <w:qFormat/>
    <w:rsid w:val="00754CF9"/>
    <w:pPr>
      <w:numPr>
        <w:ilvl w:val="7"/>
        <w:numId w:val="28"/>
      </w:numPr>
      <w:spacing w:before="240"/>
      <w:outlineLvl w:val="7"/>
    </w:pPr>
    <w:rPr>
      <w:b/>
    </w:rPr>
  </w:style>
  <w:style w:type="paragraph" w:styleId="Heading9">
    <w:name w:val="heading 9"/>
    <w:basedOn w:val="Normal"/>
    <w:next w:val="Normal"/>
    <w:link w:val="Heading9Char"/>
    <w:autoRedefine/>
    <w:qFormat/>
    <w:rsid w:val="00754CF9"/>
    <w:pPr>
      <w:numPr>
        <w:numId w:val="29"/>
      </w:num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Heading1"/>
    <w:rsid w:val="006C5889"/>
    <w:rPr>
      <w:b/>
    </w:rPr>
  </w:style>
  <w:style w:type="paragraph" w:styleId="BalloonText">
    <w:name w:val="Balloon Text"/>
    <w:basedOn w:val="Normal"/>
    <w:semiHidden/>
    <w:rsid w:val="00741E52"/>
    <w:rPr>
      <w:rFonts w:ascii="Lucida Grande" w:hAnsi="Lucida Grande"/>
      <w:sz w:val="18"/>
      <w:szCs w:val="18"/>
    </w:rPr>
  </w:style>
  <w:style w:type="paragraph" w:customStyle="1" w:styleId="CaptionExplanation">
    <w:name w:val="Caption Explanation"/>
    <w:basedOn w:val="Normal"/>
    <w:rsid w:val="00754CF9"/>
    <w:rPr>
      <w:b/>
      <w:sz w:val="20"/>
    </w:rPr>
  </w:style>
  <w:style w:type="paragraph" w:styleId="BodyText">
    <w:name w:val="Body Text"/>
    <w:basedOn w:val="Normal"/>
    <w:rsid w:val="000509A7"/>
    <w:pPr>
      <w:autoSpaceDE w:val="0"/>
      <w:autoSpaceDN w:val="0"/>
      <w:adjustRightInd w:val="0"/>
      <w:jc w:val="both"/>
    </w:pPr>
  </w:style>
  <w:style w:type="character" w:customStyle="1" w:styleId="Heading8Char">
    <w:name w:val="Heading 8 Char"/>
    <w:basedOn w:val="DefaultParagraphFont"/>
    <w:link w:val="Heading8"/>
    <w:rsid w:val="00754CF9"/>
    <w:rPr>
      <w:rFonts w:ascii="Times New Roman" w:eastAsia="Times New Roman" w:hAnsi="Times New Roman" w:cs="Times New Roman"/>
      <w:b/>
      <w:szCs w:val="20"/>
    </w:rPr>
  </w:style>
  <w:style w:type="paragraph" w:styleId="ListNumber">
    <w:name w:val="List Number"/>
    <w:basedOn w:val="Normal"/>
    <w:autoRedefine/>
    <w:rsid w:val="00400682"/>
    <w:pPr>
      <w:numPr>
        <w:numId w:val="9"/>
      </w:numPr>
      <w:contextualSpacing/>
    </w:pPr>
  </w:style>
  <w:style w:type="table" w:styleId="TableGrid">
    <w:name w:val="Table Grid"/>
    <w:basedOn w:val="TableNormal"/>
    <w:uiPriority w:val="59"/>
    <w:rsid w:val="00930CDB"/>
    <w:rPr>
      <w:rFonts w:ascii="Times New Roman" w:eastAsiaTheme="minorHAnsi"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vAlign w:val="bottom"/>
    </w:tcPr>
  </w:style>
  <w:style w:type="character" w:customStyle="1" w:styleId="Heading4Char">
    <w:name w:val="Heading 4 Char"/>
    <w:basedOn w:val="DefaultParagraphFont"/>
    <w:link w:val="Heading4"/>
    <w:rsid w:val="00754CF9"/>
    <w:rPr>
      <w:rFonts w:ascii="Times New Roman" w:eastAsia="Times New Roman" w:hAnsi="Times New Roman" w:cs="Times New Roman"/>
      <w:b/>
      <w:szCs w:val="20"/>
    </w:rPr>
  </w:style>
  <w:style w:type="character" w:customStyle="1" w:styleId="Heading5Char">
    <w:name w:val="Heading 5 Char"/>
    <w:basedOn w:val="DefaultParagraphFont"/>
    <w:link w:val="Heading5"/>
    <w:rsid w:val="00754CF9"/>
    <w:rPr>
      <w:rFonts w:ascii="Times New Roman" w:eastAsia="Times New Roman" w:hAnsi="Times New Roman" w:cs="Times New Roman"/>
      <w:b/>
      <w:szCs w:val="20"/>
    </w:rPr>
  </w:style>
  <w:style w:type="character" w:customStyle="1" w:styleId="Heading6Char">
    <w:name w:val="Heading 6 Char"/>
    <w:basedOn w:val="DefaultParagraphFont"/>
    <w:link w:val="Heading6"/>
    <w:rsid w:val="00754CF9"/>
    <w:rPr>
      <w:rFonts w:ascii="Times New Roman" w:eastAsia="Times New Roman" w:hAnsi="Times New Roman" w:cs="Times New Roman"/>
      <w:b/>
      <w:szCs w:val="20"/>
    </w:rPr>
  </w:style>
  <w:style w:type="character" w:customStyle="1" w:styleId="Heading7Char">
    <w:name w:val="Heading 7 Char"/>
    <w:basedOn w:val="DefaultParagraphFont"/>
    <w:link w:val="Heading7"/>
    <w:rsid w:val="00754CF9"/>
    <w:rPr>
      <w:rFonts w:ascii="Times New Roman" w:eastAsia="Times New Roman" w:hAnsi="Times New Roman" w:cs="Times New Roman"/>
      <w:b/>
      <w:szCs w:val="20"/>
    </w:rPr>
  </w:style>
  <w:style w:type="paragraph" w:customStyle="1" w:styleId="Reference">
    <w:name w:val="Reference"/>
    <w:basedOn w:val="Normal"/>
    <w:qFormat/>
    <w:rsid w:val="00754CF9"/>
    <w:pPr>
      <w:ind w:left="720" w:hanging="720"/>
      <w:jc w:val="both"/>
    </w:pPr>
  </w:style>
  <w:style w:type="character" w:styleId="PlaceholderText">
    <w:name w:val="Placeholder Text"/>
    <w:basedOn w:val="DefaultParagraphFont"/>
    <w:uiPriority w:val="99"/>
    <w:semiHidden/>
    <w:rsid w:val="00F10BA6"/>
    <w:rPr>
      <w:color w:val="808080"/>
    </w:rPr>
  </w:style>
  <w:style w:type="paragraph" w:styleId="Header">
    <w:name w:val="header"/>
    <w:basedOn w:val="Normal"/>
    <w:link w:val="HeaderChar"/>
    <w:rsid w:val="00F10BA6"/>
    <w:pPr>
      <w:tabs>
        <w:tab w:val="center" w:pos="4320"/>
        <w:tab w:val="right" w:pos="8640"/>
      </w:tabs>
    </w:pPr>
  </w:style>
  <w:style w:type="character" w:customStyle="1" w:styleId="HeaderChar">
    <w:name w:val="Header Char"/>
    <w:basedOn w:val="DefaultParagraphFont"/>
    <w:link w:val="Header"/>
    <w:rsid w:val="00F10BA6"/>
    <w:rPr>
      <w:rFonts w:ascii="Times New Roman" w:eastAsia="Times New Roman" w:hAnsi="Times New Roman" w:cs="Times New Roman"/>
      <w:szCs w:val="20"/>
      <w:lang w:eastAsia="en-US"/>
    </w:rPr>
  </w:style>
  <w:style w:type="paragraph" w:styleId="Footer">
    <w:name w:val="footer"/>
    <w:basedOn w:val="Normal"/>
    <w:link w:val="FooterChar"/>
    <w:rsid w:val="00F10BA6"/>
    <w:pPr>
      <w:tabs>
        <w:tab w:val="center" w:pos="4320"/>
        <w:tab w:val="right" w:pos="8640"/>
      </w:tabs>
    </w:pPr>
  </w:style>
  <w:style w:type="character" w:customStyle="1" w:styleId="FooterChar">
    <w:name w:val="Footer Char"/>
    <w:basedOn w:val="DefaultParagraphFont"/>
    <w:link w:val="Footer"/>
    <w:rsid w:val="00F10BA6"/>
    <w:rPr>
      <w:rFonts w:ascii="Times New Roman" w:eastAsia="Times New Roman" w:hAnsi="Times New Roman" w:cs="Times New Roman"/>
      <w:szCs w:val="20"/>
      <w:lang w:eastAsia="en-US"/>
    </w:rPr>
  </w:style>
  <w:style w:type="character" w:styleId="Hyperlink">
    <w:name w:val="Hyperlink"/>
    <w:basedOn w:val="DefaultParagraphFont"/>
    <w:rsid w:val="00F10BA6"/>
    <w:rPr>
      <w:color w:val="0000FF"/>
      <w:u w:val="single"/>
    </w:rPr>
  </w:style>
  <w:style w:type="paragraph" w:styleId="Caption">
    <w:name w:val="caption"/>
    <w:basedOn w:val="Normal"/>
    <w:next w:val="Normal"/>
    <w:uiPriority w:val="35"/>
    <w:unhideWhenUsed/>
    <w:qFormat/>
    <w:rsid w:val="00934B2B"/>
    <w:pPr>
      <w:spacing w:after="200"/>
    </w:pPr>
    <w:rPr>
      <w:b/>
      <w:bCs/>
      <w:sz w:val="20"/>
    </w:rPr>
  </w:style>
  <w:style w:type="character" w:customStyle="1" w:styleId="Heading1Char">
    <w:name w:val="Heading 1 Char"/>
    <w:basedOn w:val="DefaultParagraphFont"/>
    <w:link w:val="Heading1"/>
    <w:rsid w:val="00754CF9"/>
    <w:rPr>
      <w:rFonts w:ascii="Times New Roman" w:eastAsia="Times New Roman" w:hAnsi="Times New Roman" w:cs="Times New Roman"/>
      <w:b/>
      <w:szCs w:val="20"/>
    </w:rPr>
  </w:style>
  <w:style w:type="character" w:customStyle="1" w:styleId="Heading2Char">
    <w:name w:val="Heading 2 Char"/>
    <w:basedOn w:val="DefaultParagraphFont"/>
    <w:link w:val="Heading2"/>
    <w:rsid w:val="00754CF9"/>
    <w:rPr>
      <w:rFonts w:ascii="Times New Roman" w:eastAsia="Times New Roman" w:hAnsi="Times New Roman" w:cs="Times New Roman"/>
      <w:b/>
      <w:szCs w:val="20"/>
    </w:rPr>
  </w:style>
  <w:style w:type="character" w:customStyle="1" w:styleId="Heading3Char">
    <w:name w:val="Heading 3 Char"/>
    <w:basedOn w:val="DefaultParagraphFont"/>
    <w:link w:val="Heading3"/>
    <w:rsid w:val="00754CF9"/>
    <w:rPr>
      <w:rFonts w:ascii="Times New Roman" w:eastAsia="Times New Roman" w:hAnsi="Times New Roman" w:cs="Times New Roman"/>
      <w:b/>
      <w:szCs w:val="20"/>
    </w:rPr>
  </w:style>
  <w:style w:type="character" w:customStyle="1" w:styleId="Heading9Char">
    <w:name w:val="Heading 9 Char"/>
    <w:basedOn w:val="DefaultParagraphFont"/>
    <w:link w:val="Heading9"/>
    <w:rsid w:val="00754CF9"/>
    <w:rPr>
      <w:rFonts w:ascii="Times New Roman" w:eastAsia="Times New Roman" w:hAnsi="Times New Roman" w:cs="Times New Roman"/>
      <w:b/>
      <w:szCs w:val="20"/>
    </w:rPr>
  </w:style>
  <w:style w:type="paragraph" w:styleId="ListNumber2">
    <w:name w:val="List Number 2"/>
    <w:basedOn w:val="Normal"/>
    <w:uiPriority w:val="99"/>
    <w:unhideWhenUsed/>
    <w:qFormat/>
    <w:rsid w:val="00754CF9"/>
    <w:pPr>
      <w:numPr>
        <w:numId w:val="31"/>
      </w:numPr>
      <w:contextualSpacing/>
    </w:pPr>
  </w:style>
  <w:style w:type="paragraph" w:styleId="ListParagraph">
    <w:name w:val="List Paragraph"/>
    <w:basedOn w:val="Normal"/>
    <w:uiPriority w:val="34"/>
    <w:qFormat/>
    <w:rsid w:val="00754CF9"/>
    <w:pPr>
      <w:numPr>
        <w:numId w:val="32"/>
      </w:numPr>
      <w:contextualSpacing/>
    </w:pPr>
  </w:style>
  <w:style w:type="table" w:styleId="LightShading">
    <w:name w:val="Light Shading"/>
    <w:basedOn w:val="TableNormal"/>
    <w:uiPriority w:val="60"/>
    <w:rsid w:val="00AC18C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unhideWhenUsed/>
    <w:rsid w:val="00235F0D"/>
    <w:pPr>
      <w:spacing w:after="0"/>
    </w:pPr>
    <w:rPr>
      <w:szCs w:val="24"/>
    </w:rPr>
  </w:style>
  <w:style w:type="character" w:customStyle="1" w:styleId="FootnoteTextChar">
    <w:name w:val="Footnote Text Char"/>
    <w:basedOn w:val="DefaultParagraphFont"/>
    <w:link w:val="FootnoteText"/>
    <w:uiPriority w:val="99"/>
    <w:rsid w:val="00235F0D"/>
    <w:rPr>
      <w:rFonts w:ascii="Times New Roman" w:eastAsia="Times New Roman" w:hAnsi="Times New Roman" w:cs="Times New Roman"/>
    </w:rPr>
  </w:style>
  <w:style w:type="character" w:styleId="FootnoteReference">
    <w:name w:val="footnote reference"/>
    <w:basedOn w:val="DefaultParagraphFont"/>
    <w:uiPriority w:val="99"/>
    <w:unhideWhenUsed/>
    <w:rsid w:val="00235F0D"/>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Number" w:uiPriority="0"/>
    <w:lsdException w:name="List Number 2" w:qFormat="1"/>
    <w:lsdException w:name="Title" w:semiHidden="0" w:uiPriority="10" w:unhideWhenUsed="0"/>
    <w:lsdException w:name="Default Paragraph Font" w:uiPriority="1"/>
    <w:lsdException w:name="Body Text" w:uiPriority="0"/>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54CF9"/>
    <w:pPr>
      <w:spacing w:after="60"/>
    </w:pPr>
    <w:rPr>
      <w:rFonts w:ascii="Times New Roman" w:eastAsia="Times New Roman" w:hAnsi="Times New Roman" w:cs="Times New Roman"/>
      <w:szCs w:val="20"/>
    </w:rPr>
  </w:style>
  <w:style w:type="paragraph" w:styleId="Heading1">
    <w:name w:val="heading 1"/>
    <w:basedOn w:val="Normal"/>
    <w:next w:val="Normal"/>
    <w:link w:val="Heading1Char"/>
    <w:autoRedefine/>
    <w:qFormat/>
    <w:rsid w:val="00754CF9"/>
    <w:pPr>
      <w:keepNext/>
      <w:widowControl w:val="0"/>
      <w:numPr>
        <w:numId w:val="28"/>
      </w:numPr>
      <w:autoSpaceDE w:val="0"/>
      <w:autoSpaceDN w:val="0"/>
      <w:adjustRightInd w:val="0"/>
      <w:spacing w:line="336" w:lineRule="atLeast"/>
      <w:outlineLvl w:val="0"/>
    </w:pPr>
    <w:rPr>
      <w:b/>
    </w:rPr>
  </w:style>
  <w:style w:type="paragraph" w:styleId="Heading2">
    <w:name w:val="heading 2"/>
    <w:basedOn w:val="Normal"/>
    <w:next w:val="Normal"/>
    <w:link w:val="Heading2Char"/>
    <w:autoRedefine/>
    <w:qFormat/>
    <w:rsid w:val="00754CF9"/>
    <w:pPr>
      <w:keepNext/>
      <w:widowControl w:val="0"/>
      <w:numPr>
        <w:ilvl w:val="1"/>
        <w:numId w:val="28"/>
      </w:numPr>
      <w:autoSpaceDE w:val="0"/>
      <w:autoSpaceDN w:val="0"/>
      <w:adjustRightInd w:val="0"/>
      <w:spacing w:line="384" w:lineRule="atLeast"/>
      <w:jc w:val="both"/>
      <w:outlineLvl w:val="1"/>
    </w:pPr>
    <w:rPr>
      <w:b/>
    </w:rPr>
  </w:style>
  <w:style w:type="paragraph" w:styleId="Heading3">
    <w:name w:val="heading 3"/>
    <w:basedOn w:val="Normal"/>
    <w:next w:val="Normal"/>
    <w:link w:val="Heading3Char"/>
    <w:autoRedefine/>
    <w:qFormat/>
    <w:rsid w:val="00754CF9"/>
    <w:pPr>
      <w:keepNext/>
      <w:numPr>
        <w:ilvl w:val="2"/>
        <w:numId w:val="28"/>
      </w:numPr>
      <w:spacing w:before="240"/>
      <w:jc w:val="both"/>
      <w:outlineLvl w:val="2"/>
    </w:pPr>
    <w:rPr>
      <w:b/>
    </w:rPr>
  </w:style>
  <w:style w:type="paragraph" w:styleId="Heading4">
    <w:name w:val="heading 4"/>
    <w:basedOn w:val="Normal"/>
    <w:next w:val="Normal"/>
    <w:link w:val="Heading4Char"/>
    <w:autoRedefine/>
    <w:qFormat/>
    <w:rsid w:val="00754CF9"/>
    <w:pPr>
      <w:keepNext/>
      <w:numPr>
        <w:ilvl w:val="3"/>
        <w:numId w:val="28"/>
      </w:numPr>
      <w:spacing w:before="240"/>
      <w:outlineLvl w:val="3"/>
    </w:pPr>
    <w:rPr>
      <w:b/>
    </w:rPr>
  </w:style>
  <w:style w:type="paragraph" w:styleId="Heading5">
    <w:name w:val="heading 5"/>
    <w:basedOn w:val="Normal"/>
    <w:next w:val="Normal"/>
    <w:link w:val="Heading5Char"/>
    <w:autoRedefine/>
    <w:qFormat/>
    <w:rsid w:val="00754CF9"/>
    <w:pPr>
      <w:numPr>
        <w:ilvl w:val="4"/>
        <w:numId w:val="28"/>
      </w:numPr>
      <w:spacing w:before="240"/>
      <w:outlineLvl w:val="4"/>
    </w:pPr>
    <w:rPr>
      <w:b/>
    </w:rPr>
  </w:style>
  <w:style w:type="paragraph" w:styleId="Heading6">
    <w:name w:val="heading 6"/>
    <w:basedOn w:val="Normal"/>
    <w:next w:val="Normal"/>
    <w:link w:val="Heading6Char"/>
    <w:autoRedefine/>
    <w:qFormat/>
    <w:rsid w:val="00754CF9"/>
    <w:pPr>
      <w:numPr>
        <w:ilvl w:val="5"/>
        <w:numId w:val="28"/>
      </w:numPr>
      <w:spacing w:before="240"/>
      <w:outlineLvl w:val="5"/>
    </w:pPr>
    <w:rPr>
      <w:b/>
    </w:rPr>
  </w:style>
  <w:style w:type="paragraph" w:styleId="Heading7">
    <w:name w:val="heading 7"/>
    <w:basedOn w:val="Normal"/>
    <w:next w:val="Normal"/>
    <w:link w:val="Heading7Char"/>
    <w:autoRedefine/>
    <w:qFormat/>
    <w:rsid w:val="00754CF9"/>
    <w:pPr>
      <w:numPr>
        <w:ilvl w:val="6"/>
        <w:numId w:val="28"/>
      </w:numPr>
      <w:spacing w:before="240"/>
      <w:outlineLvl w:val="6"/>
    </w:pPr>
    <w:rPr>
      <w:b/>
    </w:rPr>
  </w:style>
  <w:style w:type="paragraph" w:styleId="Heading8">
    <w:name w:val="heading 8"/>
    <w:basedOn w:val="Normal"/>
    <w:next w:val="Normal"/>
    <w:link w:val="Heading8Char"/>
    <w:autoRedefine/>
    <w:qFormat/>
    <w:rsid w:val="00754CF9"/>
    <w:pPr>
      <w:numPr>
        <w:ilvl w:val="7"/>
        <w:numId w:val="28"/>
      </w:numPr>
      <w:spacing w:before="240"/>
      <w:outlineLvl w:val="7"/>
    </w:pPr>
    <w:rPr>
      <w:b/>
    </w:rPr>
  </w:style>
  <w:style w:type="paragraph" w:styleId="Heading9">
    <w:name w:val="heading 9"/>
    <w:basedOn w:val="Normal"/>
    <w:next w:val="Normal"/>
    <w:link w:val="Heading9Char"/>
    <w:autoRedefine/>
    <w:qFormat/>
    <w:rsid w:val="00754CF9"/>
    <w:pPr>
      <w:numPr>
        <w:numId w:val="29"/>
      </w:num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Heading1"/>
    <w:rsid w:val="006C5889"/>
    <w:rPr>
      <w:b/>
    </w:rPr>
  </w:style>
  <w:style w:type="paragraph" w:styleId="BalloonText">
    <w:name w:val="Balloon Text"/>
    <w:basedOn w:val="Normal"/>
    <w:semiHidden/>
    <w:rsid w:val="00741E52"/>
    <w:rPr>
      <w:rFonts w:ascii="Lucida Grande" w:hAnsi="Lucida Grande"/>
      <w:sz w:val="18"/>
      <w:szCs w:val="18"/>
    </w:rPr>
  </w:style>
  <w:style w:type="paragraph" w:customStyle="1" w:styleId="CaptionExplanation">
    <w:name w:val="Caption Explanation"/>
    <w:basedOn w:val="Normal"/>
    <w:rsid w:val="00754CF9"/>
    <w:rPr>
      <w:b/>
      <w:sz w:val="20"/>
    </w:rPr>
  </w:style>
  <w:style w:type="paragraph" w:styleId="BodyText">
    <w:name w:val="Body Text"/>
    <w:basedOn w:val="Normal"/>
    <w:rsid w:val="000509A7"/>
    <w:pPr>
      <w:autoSpaceDE w:val="0"/>
      <w:autoSpaceDN w:val="0"/>
      <w:adjustRightInd w:val="0"/>
      <w:jc w:val="both"/>
    </w:pPr>
  </w:style>
  <w:style w:type="character" w:customStyle="1" w:styleId="Heading8Char">
    <w:name w:val="Heading 8 Char"/>
    <w:basedOn w:val="DefaultParagraphFont"/>
    <w:link w:val="Heading8"/>
    <w:rsid w:val="00754CF9"/>
    <w:rPr>
      <w:rFonts w:ascii="Times New Roman" w:eastAsia="Times New Roman" w:hAnsi="Times New Roman" w:cs="Times New Roman"/>
      <w:b/>
      <w:szCs w:val="20"/>
    </w:rPr>
  </w:style>
  <w:style w:type="paragraph" w:styleId="ListNumber">
    <w:name w:val="List Number"/>
    <w:basedOn w:val="Normal"/>
    <w:autoRedefine/>
    <w:rsid w:val="00400682"/>
    <w:pPr>
      <w:numPr>
        <w:numId w:val="9"/>
      </w:numPr>
      <w:contextualSpacing/>
    </w:pPr>
  </w:style>
  <w:style w:type="table" w:styleId="TableGrid">
    <w:name w:val="Table Grid"/>
    <w:basedOn w:val="TableNormal"/>
    <w:uiPriority w:val="59"/>
    <w:rsid w:val="00930CDB"/>
    <w:rPr>
      <w:rFonts w:ascii="Times New Roman" w:eastAsiaTheme="minorHAnsi"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vAlign w:val="bottom"/>
    </w:tcPr>
  </w:style>
  <w:style w:type="character" w:customStyle="1" w:styleId="Heading4Char">
    <w:name w:val="Heading 4 Char"/>
    <w:basedOn w:val="DefaultParagraphFont"/>
    <w:link w:val="Heading4"/>
    <w:rsid w:val="00754CF9"/>
    <w:rPr>
      <w:rFonts w:ascii="Times New Roman" w:eastAsia="Times New Roman" w:hAnsi="Times New Roman" w:cs="Times New Roman"/>
      <w:b/>
      <w:szCs w:val="20"/>
    </w:rPr>
  </w:style>
  <w:style w:type="character" w:customStyle="1" w:styleId="Heading5Char">
    <w:name w:val="Heading 5 Char"/>
    <w:basedOn w:val="DefaultParagraphFont"/>
    <w:link w:val="Heading5"/>
    <w:rsid w:val="00754CF9"/>
    <w:rPr>
      <w:rFonts w:ascii="Times New Roman" w:eastAsia="Times New Roman" w:hAnsi="Times New Roman" w:cs="Times New Roman"/>
      <w:b/>
      <w:szCs w:val="20"/>
    </w:rPr>
  </w:style>
  <w:style w:type="character" w:customStyle="1" w:styleId="Heading6Char">
    <w:name w:val="Heading 6 Char"/>
    <w:basedOn w:val="DefaultParagraphFont"/>
    <w:link w:val="Heading6"/>
    <w:rsid w:val="00754CF9"/>
    <w:rPr>
      <w:rFonts w:ascii="Times New Roman" w:eastAsia="Times New Roman" w:hAnsi="Times New Roman" w:cs="Times New Roman"/>
      <w:b/>
      <w:szCs w:val="20"/>
    </w:rPr>
  </w:style>
  <w:style w:type="character" w:customStyle="1" w:styleId="Heading7Char">
    <w:name w:val="Heading 7 Char"/>
    <w:basedOn w:val="DefaultParagraphFont"/>
    <w:link w:val="Heading7"/>
    <w:rsid w:val="00754CF9"/>
    <w:rPr>
      <w:rFonts w:ascii="Times New Roman" w:eastAsia="Times New Roman" w:hAnsi="Times New Roman" w:cs="Times New Roman"/>
      <w:b/>
      <w:szCs w:val="20"/>
    </w:rPr>
  </w:style>
  <w:style w:type="paragraph" w:customStyle="1" w:styleId="Reference">
    <w:name w:val="Reference"/>
    <w:basedOn w:val="Normal"/>
    <w:qFormat/>
    <w:rsid w:val="00754CF9"/>
    <w:pPr>
      <w:ind w:left="720" w:hanging="720"/>
      <w:jc w:val="both"/>
    </w:pPr>
  </w:style>
  <w:style w:type="character" w:styleId="PlaceholderText">
    <w:name w:val="Placeholder Text"/>
    <w:basedOn w:val="DefaultParagraphFont"/>
    <w:uiPriority w:val="99"/>
    <w:semiHidden/>
    <w:rsid w:val="00F10BA6"/>
    <w:rPr>
      <w:color w:val="808080"/>
    </w:rPr>
  </w:style>
  <w:style w:type="paragraph" w:styleId="Header">
    <w:name w:val="header"/>
    <w:basedOn w:val="Normal"/>
    <w:link w:val="HeaderChar"/>
    <w:rsid w:val="00F10BA6"/>
    <w:pPr>
      <w:tabs>
        <w:tab w:val="center" w:pos="4320"/>
        <w:tab w:val="right" w:pos="8640"/>
      </w:tabs>
    </w:pPr>
  </w:style>
  <w:style w:type="character" w:customStyle="1" w:styleId="HeaderChar">
    <w:name w:val="Header Char"/>
    <w:basedOn w:val="DefaultParagraphFont"/>
    <w:link w:val="Header"/>
    <w:rsid w:val="00F10BA6"/>
    <w:rPr>
      <w:rFonts w:ascii="Times New Roman" w:eastAsia="Times New Roman" w:hAnsi="Times New Roman" w:cs="Times New Roman"/>
      <w:szCs w:val="20"/>
      <w:lang w:eastAsia="en-US"/>
    </w:rPr>
  </w:style>
  <w:style w:type="paragraph" w:styleId="Footer">
    <w:name w:val="footer"/>
    <w:basedOn w:val="Normal"/>
    <w:link w:val="FooterChar"/>
    <w:rsid w:val="00F10BA6"/>
    <w:pPr>
      <w:tabs>
        <w:tab w:val="center" w:pos="4320"/>
        <w:tab w:val="right" w:pos="8640"/>
      </w:tabs>
    </w:pPr>
  </w:style>
  <w:style w:type="character" w:customStyle="1" w:styleId="FooterChar">
    <w:name w:val="Footer Char"/>
    <w:basedOn w:val="DefaultParagraphFont"/>
    <w:link w:val="Footer"/>
    <w:rsid w:val="00F10BA6"/>
    <w:rPr>
      <w:rFonts w:ascii="Times New Roman" w:eastAsia="Times New Roman" w:hAnsi="Times New Roman" w:cs="Times New Roman"/>
      <w:szCs w:val="20"/>
      <w:lang w:eastAsia="en-US"/>
    </w:rPr>
  </w:style>
  <w:style w:type="character" w:styleId="Hyperlink">
    <w:name w:val="Hyperlink"/>
    <w:basedOn w:val="DefaultParagraphFont"/>
    <w:rsid w:val="00F10BA6"/>
    <w:rPr>
      <w:color w:val="0000FF"/>
      <w:u w:val="single"/>
    </w:rPr>
  </w:style>
  <w:style w:type="paragraph" w:styleId="Caption">
    <w:name w:val="caption"/>
    <w:basedOn w:val="Normal"/>
    <w:next w:val="Normal"/>
    <w:uiPriority w:val="35"/>
    <w:unhideWhenUsed/>
    <w:qFormat/>
    <w:rsid w:val="00934B2B"/>
    <w:pPr>
      <w:spacing w:after="200"/>
    </w:pPr>
    <w:rPr>
      <w:b/>
      <w:bCs/>
      <w:sz w:val="20"/>
    </w:rPr>
  </w:style>
  <w:style w:type="character" w:customStyle="1" w:styleId="Heading1Char">
    <w:name w:val="Heading 1 Char"/>
    <w:basedOn w:val="DefaultParagraphFont"/>
    <w:link w:val="Heading1"/>
    <w:rsid w:val="00754CF9"/>
    <w:rPr>
      <w:rFonts w:ascii="Times New Roman" w:eastAsia="Times New Roman" w:hAnsi="Times New Roman" w:cs="Times New Roman"/>
      <w:b/>
      <w:szCs w:val="20"/>
    </w:rPr>
  </w:style>
  <w:style w:type="character" w:customStyle="1" w:styleId="Heading2Char">
    <w:name w:val="Heading 2 Char"/>
    <w:basedOn w:val="DefaultParagraphFont"/>
    <w:link w:val="Heading2"/>
    <w:rsid w:val="00754CF9"/>
    <w:rPr>
      <w:rFonts w:ascii="Times New Roman" w:eastAsia="Times New Roman" w:hAnsi="Times New Roman" w:cs="Times New Roman"/>
      <w:b/>
      <w:szCs w:val="20"/>
    </w:rPr>
  </w:style>
  <w:style w:type="character" w:customStyle="1" w:styleId="Heading3Char">
    <w:name w:val="Heading 3 Char"/>
    <w:basedOn w:val="DefaultParagraphFont"/>
    <w:link w:val="Heading3"/>
    <w:rsid w:val="00754CF9"/>
    <w:rPr>
      <w:rFonts w:ascii="Times New Roman" w:eastAsia="Times New Roman" w:hAnsi="Times New Roman" w:cs="Times New Roman"/>
      <w:b/>
      <w:szCs w:val="20"/>
    </w:rPr>
  </w:style>
  <w:style w:type="character" w:customStyle="1" w:styleId="Heading9Char">
    <w:name w:val="Heading 9 Char"/>
    <w:basedOn w:val="DefaultParagraphFont"/>
    <w:link w:val="Heading9"/>
    <w:rsid w:val="00754CF9"/>
    <w:rPr>
      <w:rFonts w:ascii="Times New Roman" w:eastAsia="Times New Roman" w:hAnsi="Times New Roman" w:cs="Times New Roman"/>
      <w:b/>
      <w:szCs w:val="20"/>
    </w:rPr>
  </w:style>
  <w:style w:type="paragraph" w:styleId="ListNumber2">
    <w:name w:val="List Number 2"/>
    <w:basedOn w:val="Normal"/>
    <w:uiPriority w:val="99"/>
    <w:unhideWhenUsed/>
    <w:qFormat/>
    <w:rsid w:val="00754CF9"/>
    <w:pPr>
      <w:numPr>
        <w:numId w:val="31"/>
      </w:numPr>
      <w:contextualSpacing/>
    </w:pPr>
  </w:style>
  <w:style w:type="paragraph" w:styleId="ListParagraph">
    <w:name w:val="List Paragraph"/>
    <w:basedOn w:val="Normal"/>
    <w:uiPriority w:val="34"/>
    <w:qFormat/>
    <w:rsid w:val="00754CF9"/>
    <w:pPr>
      <w:numPr>
        <w:numId w:val="32"/>
      </w:numPr>
      <w:contextualSpacing/>
    </w:pPr>
  </w:style>
  <w:style w:type="table" w:styleId="LightShading">
    <w:name w:val="Light Shading"/>
    <w:basedOn w:val="TableNormal"/>
    <w:uiPriority w:val="60"/>
    <w:rsid w:val="00AC18C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unhideWhenUsed/>
    <w:rsid w:val="00235F0D"/>
    <w:pPr>
      <w:spacing w:after="0"/>
    </w:pPr>
    <w:rPr>
      <w:szCs w:val="24"/>
    </w:rPr>
  </w:style>
  <w:style w:type="character" w:customStyle="1" w:styleId="FootnoteTextChar">
    <w:name w:val="Footnote Text Char"/>
    <w:basedOn w:val="DefaultParagraphFont"/>
    <w:link w:val="FootnoteText"/>
    <w:uiPriority w:val="99"/>
    <w:rsid w:val="00235F0D"/>
    <w:rPr>
      <w:rFonts w:ascii="Times New Roman" w:eastAsia="Times New Roman" w:hAnsi="Times New Roman" w:cs="Times New Roman"/>
    </w:rPr>
  </w:style>
  <w:style w:type="character" w:styleId="FootnoteReference">
    <w:name w:val="footnote reference"/>
    <w:basedOn w:val="DefaultParagraphFont"/>
    <w:uiPriority w:val="99"/>
    <w:unhideWhenUsed/>
    <w:rsid w:val="00235F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emf"/><Relationship Id="rId31" Type="http://schemas.openxmlformats.org/officeDocument/2006/relationships/image" Target="media/image23.emf"/><Relationship Id="rId32" Type="http://schemas.openxmlformats.org/officeDocument/2006/relationships/image" Target="media/image24.emf"/><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soccer.stsci.ed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soccer.stsci.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38715-98F4-C940-AB65-227117A46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23</Pages>
  <Words>4399</Words>
  <Characters>25080</Characters>
  <Application>Microsoft Macintosh Word</Application>
  <DocSecurity>0</DocSecurity>
  <Lines>209</Lines>
  <Paragraphs>58</Paragraphs>
  <ScaleCrop>false</ScaleCrop>
  <Company/>
  <LinksUpToDate>false</LinksUpToDate>
  <CharactersWithSpaces>29421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Pelham</dc:creator>
  <cp:keywords/>
  <dc:description/>
  <cp:lastModifiedBy>Klaus Pontoppidan</cp:lastModifiedBy>
  <cp:revision>140</cp:revision>
  <dcterms:created xsi:type="dcterms:W3CDTF">2016-02-12T20:35:00Z</dcterms:created>
  <dcterms:modified xsi:type="dcterms:W3CDTF">2016-03-17T17:48:00Z</dcterms:modified>
</cp:coreProperties>
</file>