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Programación General Anual del curso 2025-2026. </w:t>
      </w:r>
      <w:r>
        <w:rPr>
          <w:rFonts w:ascii="Arial" w:cs="Arial" w:eastAsia="Arial" w:hAnsi="Arial"/>
          <w:b/>
          <w:bCs/>
          <w:color w:val="C00000"/>
          <w:sz w:val="22"/>
          <w:szCs w:val="22"/>
        </w:rPr>
        <w:t xml:space="preserve">El número de docentes del departamento de Servicios Socioculturales y a la Comunidad en este centro (especialidades de Intervención Sociocomunitaria y de Servicios a la Comunidad), así como el porcentaje de profesorado con destino definitivo frente a interino, no ha podido confirmarse todavía con una fuente fiable;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sz w:val="22"/>
          <w:szCs w:val="22"/>
        </w:rPr>
        <w:t xml:space="preserve">Conforme al artículo 7 del Real Decreto 659/2023, de 18 de julio, los módulos profesionales se desarrollan combinando la formación en el centro educativo con la formación en la empresa, lo que exige al centro mantener una relación activa con su entorno productivo. En este sentido, la Programación General Anual del IES Villa de Abarán recoge, entre sus líneas de actuación para Formación Profesional, el objetivo de «potenciar las relaciones con las empresas de la localidad», sin que se concreten entidades específicas vinculadas al ciclo de Integración Social.</w:t>
      </w:r>
    </w:p>
    <w:p>
      <w:pPr>
        <w:spacing w:after="240" w:line="240"/>
      </w:pPr>
      <w:r>
        <w:rPr>
          <w:rFonts w:ascii="Arial" w:cs="Arial" w:eastAsia="Arial" w:hAnsi="Arial"/>
          <w:sz w:val="22"/>
          <w:szCs w:val="22"/>
        </w:rPr>
        <w:t xml:space="preserve">A nivel de comunidad, el municipio de Abarán cuenta con una red de servicios y entidades sociales reales y documentadas que constituyen un entorno productivo y asociativo especialmente pertinente para el perfil profesional del Técnico Superior en Integración Social, aunque no se trate de colaboradores confirmados del propio centro educativo, sino de recursos del territorio en los que dicho perfil tiene cabida.</w:t>
      </w:r>
    </w:p>
    <w:p>
      <w:pPr>
        <w:spacing w:after="240" w:line="240"/>
      </w:pPr>
      <w:r>
        <w:rPr>
          <w:rFonts w:ascii="Arial" w:cs="Arial" w:eastAsia="Arial" w:hAnsi="Arial"/>
          <w:b/>
          <w:bCs/>
          <w:sz w:val="22"/>
          <w:szCs w:val="22"/>
        </w:rPr>
        <w:t xml:space="preserve">Servicios de responsabilidad pública ya confirmados: </w:t>
      </w:r>
      <w:r>
        <w:rPr>
          <w:rFonts w:ascii="Arial" w:cs="Arial" w:eastAsia="Arial" w:hAnsi="Arial"/>
          <w:sz w:val="22"/>
          <w:szCs w:val="22"/>
        </w:rPr>
        <w:t xml:space="preserve">el Ayuntamiento de Abarán mantiene, mediante convenio con el Instituto Murciano de Acción Social (IMAS), el Servicio de Ayuda a Domicilio y un Centro de Día municipal para personas con discapacidad intelectual en situación de dependencia. Ambos recursos encajan de forma directa con el perfil profesional del título, en especial con módulos como Apoyo domiciliario o Atención y apoyo psicosocial.</w:t>
      </w:r>
    </w:p>
    <w:p>
      <w:pPr>
        <w:spacing w:after="240" w:line="240"/>
      </w:pPr>
      <w:r>
        <w:rPr>
          <w:rFonts w:ascii="Arial" w:cs="Arial" w:eastAsia="Arial" w:hAnsi="Arial"/>
          <w:b/>
          <w:bCs/>
          <w:sz w:val="22"/>
          <w:szCs w:val="22"/>
        </w:rPr>
        <w:t xml:space="preserve">Entidades del tercer sector presentes en el municipio: </w:t>
      </w:r>
      <w:r>
        <w:rPr>
          <w:rFonts w:ascii="Arial" w:cs="Arial" w:eastAsia="Arial" w:hAnsi="Arial"/>
          <w:sz w:val="22"/>
          <w:szCs w:val="22"/>
        </w:rPr>
        <w:t xml:space="preserve">Según la ficha oficial del proyecto municipal «Atención Integral a Personas Mayores en Situación de Vulnerabilidad» (Concejalía de Política Social del Ayuntamiento de Abarán, financiado por fondos del Plan de Recuperación, Transformación y Resiliencia), el municipio cuenta con Cáritas, Cruz Roja y la Asociación de Disminuidos Físicos de Abarán (ADFA) como entidades de iniciativa social activas en la atención a colectivos vulnerables. A estas se suma, ya en la vecina localidad de Cieza —de donde procede parte del alumnado de los ciclos de Grado Superior del centro—, AFEMCE (Asociación de Familiares y Personas con Enfermedad Mental de Cieza y Comarca), entidad federada en Salud Mental Región de Murcia y activa desde 1998 en la defensa de los derechos de las personas con problemas de salud mental y sus familias. De entre ellas, ADFA y AFEMCE —centradas respectivamente en discapacidad física y en salud mental— resultan las de mayor afinidad directa con las competencias del Técnico en Integración Social; ADFA consta además como centro de prácticas real de otras titulaciones universitarias del ámbito sociosanitario, lo que confirma su disposición habitual a acoger alumnado en formación.</w:t>
      </w:r>
    </w:p>
    <w:p>
      <w:pPr>
        <w:spacing w:after="240" w:line="240"/>
      </w:pPr>
      <w:r>
        <w:rPr>
          <w:rFonts w:ascii="Arial" w:cs="Arial" w:eastAsia="Arial" w:hAnsi="Arial"/>
          <w:sz w:val="22"/>
          <w:szCs w:val="22"/>
        </w:rPr>
        <w:t xml:space="preserve">No obstante, </w:t>
      </w:r>
      <w:r>
        <w:rPr>
          <w:rFonts w:ascii="Arial" w:cs="Arial" w:eastAsia="Arial" w:hAnsi="Arial"/>
          <w:b/>
          <w:bCs/>
          <w:color w:val="C00000"/>
          <w:sz w:val="22"/>
          <w:szCs w:val="22"/>
        </w:rPr>
        <w:t xml:space="preserve">no se ha podido confirmar que el IES Villa de Abarán mantenga en la actualidad un convenio o colaboración directa con ninguna de estas entidades para la realización de FCT o proyectos de aprendizaje-servicio del ciclo de Integración Social; se trata de recursos reales del territorio, no de colaboradores confirmados del centro</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El perfil demográfico del municipio refuerza, en todo caso, la pertinencia de este entorno: Abarán cuenta con 13.504 habitantes (Padrón municipal, octubre de 2021), de los que aproximadamente uno de cada cinco es mayor de 65 años, un perfil demográfico envejecido que justifica la necesidad real de profesionales de la intervención social en el municipio y abre la puerta al diseño de proyectos de aprendizaje-servicio del módulo vinculados a estos colectivos y entidades.</w:t>
      </w:r>
    </w:p>
    <w:p>
      <w:pPr>
        <w:spacing w:after="240" w:line="240"/>
      </w:pPr>
      <w:r>
        <w:rPr>
          <w:rFonts w:ascii="Arial" w:cs="Arial" w:eastAsia="Arial" w:hAnsi="Arial"/>
          <w:sz w:val="22"/>
          <w:szCs w:val="22"/>
        </w:rPr>
        <w:t xml:space="preserve">En este sentido, y dado que la colaboración con estas entidades a través de la Formación Profesional dualizada implica que el alumnado entre en contacto directo con las personas vulnerables atendidas por ellas, esta programación didáctica debe elaborarse de forma minuciosa y concienzuda, garantizando que la atención que dichas entidades prestan a sus propios usuarios no se vea comprometida por la incorporación del alumnado en prácticas.</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sz w:val="22"/>
          <w:szCs w:val="22"/>
        </w:rPr>
        <w:t xml:space="preserve">La competencia general describe las funciones profesionales más significativas del perfil profesional del título. Constituye el referente último y común a todos los módulos que integran el ciclo, y se encuentra siempre en el Real Decreto que fija las enseñanzas mínimas del título —nunca en el decreto u orden que lo desarrolla en cada comunidad autónoma—, conforme a lo establecido en el artículo 83.b) del Real Decreto 659/2023, de 18 de julio, que incluye la competencia general dentro de los elementos mínimos del «perfil profesional» de todo título de Formación Profesional.</w:t>
      </w:r>
    </w:p>
    <w:p>
      <w:pPr>
        <w:ind w:left="567" w:right="567"/>
        <w:spacing w:after="240" w:line="240"/>
      </w:pPr>
      <w:r>
        <w:rPr>
          <w:rFonts w:ascii="Arial" w:cs="Arial" w:eastAsia="Arial" w:hAnsi="Arial"/>
          <w:i/>
          <w:iCs/>
          <w:sz w:val="22"/>
          <w:szCs w:val="22"/>
        </w:rPr>
        <w:t xml:space="preserve">«La competencia general de este título consiste en programar, organizar y evaluar las intervenciones de integración social aplicando estrategias y técnicas específicas, promoviendo la equidad, igualdad de oportunidades e inclusión, actuando en todo momento con una actitud de respeto hacia las personas destinatarias y garantizando la creación de entornos seguros tanto para las personas destinatarias como para el profesional, con el fin de mejorar su situación personal, familiar y/o social» (art. 4 del Real Decreto 1074/2012, de 13 de julio, en su redacción dada por el artículo segundo, apartado Dos, del Real Decreto 289/2023, de 18 de abril).</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sz w:val="22"/>
          <w:szCs w:val="22"/>
        </w:rPr>
        <w:t xml:space="preserve">Las competencias profesionales y para la empleabilidad —denominación que, desde el Real Decreto 659/2023, sustituye a la anterior «competencias profesionales, personales y sociales»— forman, junto con la competencia general, el «perfil profesional» del título (art. 83.b) del Real Decreto 659/2023). Al igual que la competencia general, esta relación completa de competencias se recoge siempre en el Real Decreto que fija las enseñanzas mínimas del título, en este caso en el artículo 5 del Real Decreto 1074/2012 —no modificado por el Real Decreto 289/2023—, que relaciona un total de veintitrés competencias (letras a a la w).</w:t>
      </w:r>
    </w:p>
    <w:p>
      <w:pPr>
        <w:spacing w:after="240" w:line="240"/>
      </w:pPr>
      <w:r>
        <w:rPr>
          <w:rFonts w:ascii="Arial" w:cs="Arial" w:eastAsia="Arial" w:hAnsi="Arial"/>
          <w:sz w:val="22"/>
          <w:szCs w:val="22"/>
        </w:rPr>
        <w:t xml:space="preserve">De estas veintitrés, el propio Real Decreto 1074/2012 —en la redacción del módulo profesional 0017. Habilidades sociales dada por el Real Decreto 289/2023, dentro de sus orientaciones pedagógicas— indica expresamente que este módulo contribuye a alcanzar las competencias profesionales y para la empleabilidad m), o), q), r), s) y u) del título, que se relacionan a continuación:</w:t>
      </w:r>
    </w:p>
    <w:p>
      <w:pPr>
        <w:ind w:left="284"/>
        <w:spacing w:after="240" w:line="240"/>
      </w:pPr>
      <w:r>
        <w:rPr>
          <w:rFonts w:ascii="Arial" w:cs="Arial" w:eastAsia="Arial" w:hAnsi="Arial"/>
          <w:b/>
          <w:bCs/>
          <w:sz w:val="22"/>
          <w:szCs w:val="22"/>
        </w:rPr>
        <w:t xml:space="preserve">m) </w:t>
      </w:r>
      <w:r>
        <w:rPr>
          <w:rFonts w:ascii="Arial" w:cs="Arial" w:eastAsia="Arial" w:hAnsi="Arial"/>
          <w:sz w:val="22"/>
          <w:szCs w:val="22"/>
        </w:rPr>
        <w:t xml:space="preserve">Realizar tareas de mediación entre personas y grupos, aplicando técnicas participativas y de gestión de conflictos de forma eficiente.</w:t>
      </w:r>
    </w:p>
    <w:p>
      <w:pPr>
        <w:ind w:left="284"/>
        <w:spacing w:after="240" w:line="240"/>
      </w:pPr>
      <w:r>
        <w:rPr>
          <w:rFonts w:ascii="Arial" w:cs="Arial" w:eastAsia="Arial" w:hAnsi="Arial"/>
          <w:b/>
          <w:bCs/>
          <w:sz w:val="22"/>
          <w:szCs w:val="22"/>
        </w:rPr>
        <w:t xml:space="preserve">o) </w:t>
      </w:r>
      <w:r>
        <w:rPr>
          <w:rFonts w:ascii="Arial" w:cs="Arial" w:eastAsia="Arial" w:hAnsi="Arial"/>
          <w:sz w:val="22"/>
          <w:szCs w:val="22"/>
        </w:rPr>
        <w:t xml:space="preserve">Mantener relaciones fluidas con las personas usuarias y sus familias, miembros del grupo de trabajo y otros profesionales, mostrando habilidades sociales y aportando soluciones a los conflictos que surjan.</w:t>
      </w:r>
    </w:p>
    <w:p>
      <w:pPr>
        <w:ind w:left="284"/>
        <w:spacing w:after="240" w:line="240"/>
      </w:pPr>
      <w:r>
        <w:rPr>
          <w:rFonts w:ascii="Arial" w:cs="Arial" w:eastAsia="Arial" w:hAnsi="Arial"/>
          <w:b/>
          <w:bCs/>
          <w:sz w:val="22"/>
          <w:szCs w:val="22"/>
        </w:rPr>
        <w:t xml:space="preserve">q) </w:t>
      </w:r>
      <w:r>
        <w:rPr>
          <w:rFonts w:ascii="Arial" w:cs="Arial" w:eastAsia="Arial" w:hAnsi="Arial"/>
          <w:sz w:val="22"/>
          <w:szCs w:val="22"/>
        </w:rPr>
        <w:t xml:space="preserve">Resolver situaciones, problemas o contingencias con iniciativa y autonomía en el ámbito de su competencia, con creatividad, innovación y espíritu de mejora en el trabajo personal y en el de los miembros del equipo.</w:t>
      </w:r>
    </w:p>
    <w:p>
      <w:pPr>
        <w:ind w:left="284"/>
        <w:spacing w:after="240" w:line="240"/>
      </w:pPr>
      <w:r>
        <w:rPr>
          <w:rFonts w:ascii="Arial" w:cs="Arial" w:eastAsia="Arial" w:hAnsi="Arial"/>
          <w:b/>
          <w:bCs/>
          <w:sz w:val="22"/>
          <w:szCs w:val="22"/>
        </w:rPr>
        <w:t xml:space="preserve">r) </w:t>
      </w:r>
      <w:r>
        <w:rPr>
          <w:rFonts w:ascii="Arial" w:cs="Arial" w:eastAsia="Arial" w:hAnsi="Arial"/>
          <w:sz w:val="22"/>
          <w:szCs w:val="22"/>
        </w:rPr>
        <w:t xml:space="preserve">Organizar y coordinar equipos de trabajo con responsabilidad, supervisando el desarrollo del mismo, manteniendo relaciones fluidas y asumiendo el liderazgo, así como aportando soluciones a los conflictos grupales que se presenten.</w:t>
      </w:r>
    </w:p>
    <w:p>
      <w:pPr>
        <w:ind w:left="284"/>
        <w:spacing w:after="240" w:line="240"/>
      </w:pPr>
      <w:r>
        <w:rPr>
          <w:rFonts w:ascii="Arial" w:cs="Arial" w:eastAsia="Arial" w:hAnsi="Arial"/>
          <w:b/>
          <w:bCs/>
          <w:sz w:val="22"/>
          <w:szCs w:val="22"/>
        </w:rPr>
        <w:t xml:space="preserve">s) </w:t>
      </w:r>
      <w:r>
        <w:rPr>
          <w:rFonts w:ascii="Arial" w:cs="Arial" w:eastAsia="Arial" w:hAnsi="Arial"/>
          <w:sz w:val="22"/>
          <w:szCs w:val="22"/>
        </w:rPr>
        <w:t xml:space="preserve">Comunicarse con sus iguales, superiores, clientes y personas bajo su responsabilidad, utilizando vías eficaces de comunicación, transmitiendo la información o conocimientos adecuados y respetando la autonomía y competencia de las personas que intervienen en el ámbito de su trabajo.</w:t>
      </w:r>
    </w:p>
    <w:p>
      <w:pPr>
        <w:ind w:left="284"/>
        <w:spacing w:after="240" w:line="240"/>
      </w:pPr>
      <w:r>
        <w:rPr>
          <w:rFonts w:ascii="Arial" w:cs="Arial" w:eastAsia="Arial" w:hAnsi="Arial"/>
          <w:b/>
          <w:bCs/>
          <w:sz w:val="22"/>
          <w:szCs w:val="22"/>
        </w:rPr>
        <w:t xml:space="preserve">u) </w:t>
      </w:r>
      <w:r>
        <w:rPr>
          <w:rFonts w:ascii="Arial" w:cs="Arial" w:eastAsia="Arial" w:hAnsi="Arial"/>
          <w:sz w:val="22"/>
          <w:szCs w:val="22"/>
        </w:rPr>
        <w:t xml:space="preserve">Supervisar y aplicar procedimientos de gestión de calidad, de accesibilidad universal y de «diseño para todos», en las actividades profesionales incluidas en los procesos de producción o prestación de servicios.</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sz w:val="22"/>
          <w:szCs w:val="22"/>
        </w:rPr>
        <w:t xml:space="preserve">Las cualificaciones profesionales y las unidades de competencia son dos elementos asociados a las competencias de cada título, referidos a la titulación y acreditación de los profesionales, no directamente al currículo de las enseñanzas. Ambas quedan establecidas por el Catálogo Nacional de Cualificaciones Profesionales y se recogen, al igual que en los dos apartados anteriores, en el Real Decreto que fija las enseñanzas mínimas del título —en este caso, en el artículo 6 del Real Decreto 1074/2012, en su redacción dada por el artículo segundo, apartado Tres, del Real Decreto 289/2023, de 18 de abril.</w:t>
      </w:r>
    </w:p>
    <w:p>
      <w:pPr>
        <w:spacing w:after="120" w:before="120" w:line="240"/>
      </w:pPr>
      <w:r>
        <w:rPr>
          <w:rFonts w:ascii="Arial" w:cs="Arial" w:eastAsia="Arial" w:hAnsi="Arial"/>
          <w:b/>
          <w:bCs/>
          <w:i/>
          <w:iCs/>
          <w:sz w:val="22"/>
          <w:szCs w:val="22"/>
        </w:rPr>
        <w:t xml:space="preserve">Cualificaciones profesionales completas</w:t>
      </w:r>
    </w:p>
    <w:p>
      <w:pPr>
        <w:ind w:left="284"/>
        <w:spacing w:after="240" w:line="240"/>
      </w:pPr>
      <w:r>
        <w:rPr>
          <w:rFonts w:ascii="Arial" w:cs="Arial" w:eastAsia="Arial" w:hAnsi="Arial"/>
          <w:b/>
          <w:bCs/>
          <w:sz w:val="22"/>
          <w:szCs w:val="22"/>
        </w:rPr>
        <w:t xml:space="preserve">a) Educación de habilidades de autonomía personal y social SSC090_3 </w:t>
      </w:r>
      <w:r>
        <w:rPr>
          <w:rFonts w:ascii="Arial" w:cs="Arial" w:eastAsia="Arial" w:hAnsi="Arial"/>
          <w:i/>
          <w:iCs/>
          <w:sz w:val="22"/>
          <w:szCs w:val="22"/>
        </w:rPr>
        <w:t xml:space="preserve">(Real Decreto 295/2004, de 20 de febrero).</w:t>
      </w:r>
    </w:p>
    <w:p>
      <w:pPr>
        <w:ind w:left="568"/>
        <w:spacing w:after="240" w:line="240"/>
      </w:pPr>
      <w:r>
        <w:rPr>
          <w:rFonts w:ascii="Arial" w:cs="Arial" w:eastAsia="Arial" w:hAnsi="Arial"/>
          <w:sz w:val="22"/>
          <w:szCs w:val="22"/>
        </w:rPr>
        <w:t xml:space="preserve">UC0252_3: Programar, organizar y evaluar las intervenciones de integración social.</w:t>
      </w:r>
    </w:p>
    <w:p>
      <w:pPr>
        <w:ind w:left="568"/>
        <w:spacing w:after="240" w:line="240"/>
      </w:pPr>
      <w:r>
        <w:rPr>
          <w:rFonts w:ascii="Arial" w:cs="Arial" w:eastAsia="Arial" w:hAnsi="Arial"/>
          <w:sz w:val="22"/>
          <w:szCs w:val="22"/>
        </w:rPr>
        <w:t xml:space="preserve">UC0253_3: Desarrollar las intervenciones dirigidas al entrenamiento y a la adquisición de habilidades de autonomía personal y social.</w:t>
      </w:r>
    </w:p>
    <w:p>
      <w:pPr>
        <w:ind w:left="568"/>
        <w:spacing w:after="240" w:line="240"/>
      </w:pPr>
      <w:r>
        <w:rPr>
          <w:rFonts w:ascii="Arial" w:cs="Arial" w:eastAsia="Arial" w:hAnsi="Arial"/>
          <w:sz w:val="22"/>
          <w:szCs w:val="22"/>
        </w:rPr>
        <w:t xml:space="preserve">UC0254_3: Establecer, adaptar y aplicar sistemas alternativos de comunicación.</w:t>
      </w:r>
    </w:p>
    <w:p>
      <w:pPr>
        <w:ind w:left="284"/>
        <w:spacing w:after="240" w:line="240"/>
      </w:pPr>
      <w:r>
        <w:rPr>
          <w:rFonts w:ascii="Arial" w:cs="Arial" w:eastAsia="Arial" w:hAnsi="Arial"/>
          <w:b/>
          <w:bCs/>
          <w:sz w:val="22"/>
          <w:szCs w:val="22"/>
        </w:rPr>
        <w:t xml:space="preserve">b) Mediación comunitaria SSC324_3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UC1038_3: Identificar y concretar las características y necesidades del contexto social de la intervención.</w:t>
      </w:r>
    </w:p>
    <w:p>
      <w:pPr>
        <w:ind w:left="568"/>
        <w:spacing w:after="240" w:line="240"/>
      </w:pPr>
      <w:r>
        <w:rPr>
          <w:rFonts w:ascii="Arial" w:cs="Arial" w:eastAsia="Arial" w:hAnsi="Arial"/>
          <w:sz w:val="22"/>
          <w:szCs w:val="22"/>
        </w:rPr>
        <w:t xml:space="preserve">UC1039_3: Prevenir conflictos entre distintas personas, actores y colectivos sociales.</w:t>
      </w:r>
    </w:p>
    <w:p>
      <w:pPr>
        <w:ind w:left="568"/>
        <w:spacing w:after="240" w:line="240"/>
      </w:pPr>
      <w:r>
        <w:rPr>
          <w:rFonts w:ascii="Arial" w:cs="Arial" w:eastAsia="Arial" w:hAnsi="Arial"/>
          <w:sz w:val="22"/>
          <w:szCs w:val="22"/>
        </w:rPr>
        <w:t xml:space="preserve">UC1040_3: Organizar e implementar el proceso de gestión de conflictos.</w:t>
      </w:r>
    </w:p>
    <w:p>
      <w:pPr>
        <w:ind w:left="568"/>
        <w:spacing w:after="240" w:line="240"/>
      </w:pPr>
      <w:r>
        <w:rPr>
          <w:rFonts w:ascii="Arial" w:cs="Arial" w:eastAsia="Arial" w:hAnsi="Arial"/>
          <w:sz w:val="22"/>
          <w:szCs w:val="22"/>
        </w:rPr>
        <w:t xml:space="preserve">UC1041_3: Realizar la valoración, el seguimiento y la difusión de la mediación como una vía de gestión de conflictos.</w:t>
      </w:r>
    </w:p>
    <w:p>
      <w:pPr>
        <w:ind w:left="568"/>
        <w:spacing w:after="240" w:line="240"/>
      </w:pPr>
      <w:r>
        <w:rPr>
          <w:rFonts w:ascii="Arial" w:cs="Arial" w:eastAsia="Arial" w:hAnsi="Arial"/>
          <w:sz w:val="22"/>
          <w:szCs w:val="22"/>
        </w:rPr>
        <w:t xml:space="preserve">UC1026_3: Incorporar la perspectiva de género en los proyectos de intervención social.</w:t>
      </w:r>
    </w:p>
    <w:p>
      <w:pPr>
        <w:ind w:left="284"/>
        <w:spacing w:after="240" w:line="240"/>
      </w:pPr>
      <w:r>
        <w:rPr>
          <w:rFonts w:ascii="Arial" w:cs="Arial" w:eastAsia="Arial" w:hAnsi="Arial"/>
          <w:b/>
          <w:bCs/>
          <w:sz w:val="22"/>
          <w:szCs w:val="22"/>
        </w:rPr>
        <w:t xml:space="preserve">c) Inserción laboral de personas con discapacidad SSC323_3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UC1034_3: Gestionar la información sobre los recursos sociolaborales y formativos y colaborar en el análisis de puestos de trabajo para la inserción sociolaboral de personas con discapacidad.</w:t>
      </w:r>
    </w:p>
    <w:p>
      <w:pPr>
        <w:ind w:left="568"/>
        <w:spacing w:after="240" w:line="240"/>
      </w:pPr>
      <w:r>
        <w:rPr>
          <w:rFonts w:ascii="Arial" w:cs="Arial" w:eastAsia="Arial" w:hAnsi="Arial"/>
          <w:sz w:val="22"/>
          <w:szCs w:val="22"/>
        </w:rPr>
        <w:t xml:space="preserve">UC1035_3: Realizar las intervenciones dirigidas al entrenamiento para la adquisición y desarrollo de habilidades sociolaborales en las personas con discapacidad.</w:t>
      </w:r>
    </w:p>
    <w:p>
      <w:pPr>
        <w:ind w:left="568"/>
        <w:spacing w:after="240" w:line="240"/>
      </w:pPr>
      <w:r>
        <w:rPr>
          <w:rFonts w:ascii="Arial" w:cs="Arial" w:eastAsia="Arial" w:hAnsi="Arial"/>
          <w:sz w:val="22"/>
          <w:szCs w:val="22"/>
        </w:rPr>
        <w:t xml:space="preserve">UC1036_3: Apoyar en el proceso de inserción sociolaboral de personas con discapacidad.</w:t>
      </w:r>
    </w:p>
    <w:p>
      <w:pPr>
        <w:ind w:left="568"/>
        <w:spacing w:after="240" w:line="240"/>
      </w:pPr>
      <w:r>
        <w:rPr>
          <w:rFonts w:ascii="Arial" w:cs="Arial" w:eastAsia="Arial" w:hAnsi="Arial"/>
          <w:sz w:val="22"/>
          <w:szCs w:val="22"/>
        </w:rPr>
        <w:t xml:space="preserve">UC1037_3: Efectuar el seguimiento de la inserción sociolaboral con la empresa, el usuario y su entorno personal.</w:t>
      </w:r>
    </w:p>
    <w:p>
      <w:pPr>
        <w:ind w:left="284"/>
        <w:spacing w:after="240" w:line="240"/>
      </w:pPr>
      <w:r>
        <w:rPr>
          <w:rFonts w:ascii="Arial" w:cs="Arial" w:eastAsia="Arial" w:hAnsi="Arial"/>
          <w:b/>
          <w:bCs/>
          <w:sz w:val="22"/>
          <w:szCs w:val="22"/>
        </w:rPr>
        <w:t xml:space="preserve">d) Promoción e intervención socioeducativa con personas con discapacidad SSC450_3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UC1448_3: Detectar, generar y utilizar recursos sociales y comunitarios para la realización de intervenciones socioeducativas con personas con discapacidad.</w:t>
      </w:r>
    </w:p>
    <w:p>
      <w:pPr>
        <w:ind w:left="568"/>
        <w:spacing w:after="240" w:line="240"/>
      </w:pPr>
      <w:r>
        <w:rPr>
          <w:rFonts w:ascii="Arial" w:cs="Arial" w:eastAsia="Arial" w:hAnsi="Arial"/>
          <w:sz w:val="22"/>
          <w:szCs w:val="22"/>
        </w:rPr>
        <w:t xml:space="preserve">UC1449_3: Organizar y realizar el acompañamiento de personas con discapacidad en la realización de actividades programadas.</w:t>
      </w:r>
    </w:p>
    <w:p>
      <w:pPr>
        <w:ind w:left="568"/>
        <w:spacing w:after="240" w:line="240"/>
      </w:pPr>
      <w:r>
        <w:rPr>
          <w:rFonts w:ascii="Arial" w:cs="Arial" w:eastAsia="Arial" w:hAnsi="Arial"/>
          <w:sz w:val="22"/>
          <w:szCs w:val="22"/>
        </w:rPr>
        <w:t xml:space="preserve">UC1450_3: Organizar, desarrollar y evaluar procesos de inclusión de personas con discapacidad en espacios de ocio y tiempo libre.</w:t>
      </w:r>
    </w:p>
    <w:p>
      <w:pPr>
        <w:ind w:left="568"/>
        <w:spacing w:after="240" w:line="240"/>
      </w:pPr>
      <w:r>
        <w:rPr>
          <w:rFonts w:ascii="Arial" w:cs="Arial" w:eastAsia="Arial" w:hAnsi="Arial"/>
          <w:sz w:val="22"/>
          <w:szCs w:val="22"/>
        </w:rPr>
        <w:t xml:space="preserve">UC1451_3: Organizar y desarrollar el entrenamiento en estrategias cognitivas básicas y alfabetización tecnológica para personas con discapacidad, en colaboración con profesionales de nivel superior.</w:t>
      </w:r>
    </w:p>
    <w:p>
      <w:pPr>
        <w:ind w:left="568"/>
        <w:spacing w:after="240" w:line="240"/>
      </w:pPr>
      <w:r>
        <w:rPr>
          <w:rFonts w:ascii="Arial" w:cs="Arial" w:eastAsia="Arial" w:hAnsi="Arial"/>
          <w:sz w:val="22"/>
          <w:szCs w:val="22"/>
        </w:rPr>
        <w:t xml:space="preserve">UC1452_3: Actuar, orientar y apoyar a las familias de personas con discapacidad, en colaboración con profesionales de nivel superior.</w:t>
      </w:r>
    </w:p>
    <w:p>
      <w:pPr>
        <w:spacing w:after="120" w:before="120" w:line="240"/>
      </w:pPr>
      <w:r>
        <w:rPr>
          <w:rFonts w:ascii="Arial" w:cs="Arial" w:eastAsia="Arial" w:hAnsi="Arial"/>
          <w:b/>
          <w:bCs/>
          <w:i/>
          <w:iCs/>
          <w:sz w:val="22"/>
          <w:szCs w:val="22"/>
        </w:rPr>
        <w:t xml:space="preserve">Cualificaciones profesionales incompletas</w:t>
      </w:r>
    </w:p>
    <w:p>
      <w:pPr>
        <w:ind w:left="284"/>
        <w:spacing w:after="240" w:line="240"/>
      </w:pPr>
      <w:r>
        <w:rPr>
          <w:rFonts w:ascii="Arial" w:cs="Arial" w:eastAsia="Arial" w:hAnsi="Arial"/>
          <w:b/>
          <w:bCs/>
          <w:sz w:val="22"/>
          <w:szCs w:val="22"/>
        </w:rPr>
        <w:t xml:space="preserve">a) Atención al alumnado con necesidades educativas especiales (ACNEE) en centros educativos SSC444_3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UC1427_3: Ejecutar, en colaboración con el tutor/a y/o con el equipo interdisciplinar del centro educativo, los programas educativos del alumnado con necesidades educativas especiales (ACNEE) en su aula de referencia.</w:t>
      </w:r>
    </w:p>
    <w:p>
      <w:pPr>
        <w:ind w:left="568"/>
        <w:spacing w:after="240" w:line="240"/>
      </w:pPr>
      <w:r>
        <w:rPr>
          <w:rFonts w:ascii="Arial" w:cs="Arial" w:eastAsia="Arial" w:hAnsi="Arial"/>
          <w:sz w:val="22"/>
          <w:szCs w:val="22"/>
        </w:rPr>
        <w:t xml:space="preserve">UC1428_3: Implementar los programas de autonomía e higiene personal en el aseo del alumnado con necesidades educativas especiales (ACNEE), participando con el equipo interdisciplinar del centro educativo.</w:t>
      </w:r>
    </w:p>
    <w:p>
      <w:pPr>
        <w:ind w:left="284"/>
        <w:spacing w:after="240" w:line="240"/>
      </w:pPr>
      <w:r>
        <w:rPr>
          <w:rFonts w:ascii="Arial" w:cs="Arial" w:eastAsia="Arial" w:hAnsi="Arial"/>
          <w:b/>
          <w:bCs/>
          <w:sz w:val="22"/>
          <w:szCs w:val="22"/>
        </w:rPr>
        <w:t xml:space="preserve">b) Dinamización comunitaria SSC321_3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UC1022_3: Dinamizar la planificación, desarrollo y evaluación de intervenciones y proyectos comunitarios y de participación ciudadana que se desarrollen entre los diferentes agentes que configuran una comunidad o una zona territorial.</w:t>
      </w:r>
    </w:p>
    <w:p>
      <w:pPr>
        <w:ind w:left="568"/>
        <w:spacing w:after="240" w:line="240"/>
      </w:pPr>
      <w:r>
        <w:rPr>
          <w:rFonts w:ascii="Arial" w:cs="Arial" w:eastAsia="Arial" w:hAnsi="Arial"/>
          <w:sz w:val="22"/>
          <w:szCs w:val="22"/>
        </w:rPr>
        <w:t xml:space="preserve">UC1024_3: Establecer estrategias de comunicación y difusión de los diferentes proyectos y actuaciones comunitarias.</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