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Programación General Anual del curso 2025-2026. </w:t>
      </w:r>
      <w:r>
        <w:rPr>
          <w:rFonts w:ascii="Arial" w:cs="Arial" w:eastAsia="Arial" w:hAnsi="Arial"/>
          <w:b/>
          <w:bCs/>
          <w:color w:val="C00000"/>
          <w:sz w:val="22"/>
          <w:szCs w:val="22"/>
        </w:rPr>
        <w:t xml:space="preserve">El número de docentes del departamento de Servicios Socioculturales y a la Comunidad en este centro (especialidades de Intervención Sociocomunitaria y de Servicios a la Comunidad), así como el porcentaje de profesorado con destino definitivo frente a interino, no ha podido confirmarse todavía con una fuente fiable;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