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line="240"/>
        <w:jc w:val="center"/>
      </w:pPr>
      <w:r>
        <w:rPr>
          <w:rFonts w:ascii="Arial" w:cs="Arial" w:eastAsia="Arial" w:hAnsi="Arial"/>
          <w:b/>
          <w:bCs/>
          <w:sz w:val="30"/>
          <w:szCs w:val="30"/>
        </w:rPr>
        <w:t xml:space="preserve">PROGRAMACIÓN DIDÁCTICA — Módulo 0017. Habilidades sociales</w:t>
      </w:r>
    </w:p>
    <w:p>
      <w:pPr>
        <w:spacing w:after="400" w:line="240"/>
        <w:jc w:val="center"/>
      </w:pPr>
      <w:r>
        <w:rPr>
          <w:rFonts w:ascii="Arial" w:cs="Arial" w:eastAsia="Arial" w:hAnsi="Arial"/>
          <w:i/>
          <w:iCs/>
          <w:sz w:val="22"/>
          <w:szCs w:val="22"/>
        </w:rPr>
        <w:t xml:space="preserve">Técnico Superior en Integración Social — 2.º curso</w:t>
      </w:r>
    </w:p>
    <w:p>
      <w:pPr>
        <w:pStyle w:val="Heading1"/>
        <w:spacing w:after="160" w:before="280" w:line="240"/>
      </w:pPr>
      <w:r>
        <w:rPr>
          <w:rFonts w:ascii="Arial" w:cs="Arial" w:eastAsia="Arial" w:hAnsi="Arial"/>
          <w:b/>
          <w:bCs/>
          <w:sz w:val="28"/>
          <w:szCs w:val="28"/>
        </w:rPr>
        <w:t xml:space="preserve">1. INTRODUCCIÓN Y JUSTIFICACIÓN</w:t>
      </w:r>
    </w:p>
    <w:p>
      <w:pPr>
        <w:pStyle w:val="Heading2"/>
        <w:spacing w:after="120" w:before="200" w:line="240"/>
      </w:pPr>
      <w:r>
        <w:rPr>
          <w:rFonts w:ascii="Arial" w:cs="Arial" w:eastAsia="Arial" w:hAnsi="Arial"/>
          <w:b/>
          <w:bCs/>
          <w:sz w:val="24"/>
          <w:szCs w:val="24"/>
        </w:rPr>
        <w:t xml:space="preserve">1.1 Identificación del título</w:t>
      </w:r>
    </w:p>
    <w:p>
      <w:pPr>
        <w:spacing w:after="160" w:line="240"/>
      </w:pPr>
      <w:r>
        <w:rPr>
          <w:rFonts w:ascii="Arial" w:cs="Arial" w:eastAsia="Arial" w:hAnsi="Arial"/>
          <w:b w:val="false"/>
          <w:bCs w:val="false"/>
          <w:i w:val="false"/>
          <w:iCs w:val="false"/>
          <w:sz w:val="22"/>
          <w:szCs w:val="22"/>
        </w:rPr>
        <w:t xml:space="preserve">La presente programación didáctica se centra en el desarrollo del currículo correspondiente al módulo profesional 0017. Habilidades sociales, perteneciente al segundo curso del ciclo formativo de grado superior de Técnico Superior en Integración Social, con una equivalencia de 6 créditos ECTS y una duración de 155 horas (5 horas semanales), a lo largo de un curso académico completo.</w:t>
      </w:r>
    </w:p>
    <w:p>
      <w:pPr>
        <w:spacing w:after="160" w:line="240"/>
      </w:pPr>
      <w:r>
        <w:rPr>
          <w:rFonts w:ascii="Arial" w:cs="Arial" w:eastAsia="Arial" w:hAnsi="Arial"/>
          <w:b w:val="false"/>
          <w:bCs w:val="false"/>
          <w:i w:val="false"/>
          <w:iCs w:val="false"/>
          <w:sz w:val="22"/>
          <w:szCs w:val="22"/>
        </w:rPr>
        <w:t xml:space="preserve">Su tratamiento curricular viene detallado en el Real Decreto 1074/2012, de 13 de julio, modificado por el Real Decreto 289/2023, de 18 de abril, y en la Orden de 21 de septiembre de 2026, de la Consejería de Educación y Formación Profesional, por la que se establecen los currículos de los títulos de los ciclos formativos de grado superior y se regulan determinados aspectos organizativos en la Comunidad Autónoma de la Región de Murcia. Su diseño se ajusta a lo establecido en la Orden de [pendiente de publicación], de la Consejería de Educación y Formación Profesional, por la que se convocan los procedimientos selectivos de ingreso al Cuerpo de Profesores de Enseñanza Secundaria.</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FAMILIA PROFESIONAL</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Servicios Socioculturales y a la Comunidad.</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CICLO FORMATIVO Y CURSO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Técnico Superior en Integración Social — 2.º curso.</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Presencial.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GRADO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D (Real Decreto 659/2023, de 18 de julio, por el que se desarrolla la ordenación del Sistema de Formación Profesional).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MODALIDAD DE EVALUACIÓN DEL CICLO FORMATIVO EN EL CENTRO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[Pendiente de determinar — depende del centro elegido en el apartado de Contextualización].</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NIVEL DEL MARCO ESPAÑOL DE CUALIFICACIONES PARA EL APRENDIZAJE PERMANENTE (MECU)</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5A (Grado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MARCO ESPAÑOL DE CUALIFICACIONES PARA LA EDUCACIÓN SUPERIOR (MECES)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Nivel 1 (Técnico Superior).</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CLASIFICACIÓN INTERNACIONAL NORMALIZADA DE LA EDUCACIÓN (CINE)</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CINE-5b.</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ESTÁNDAR DE COMPETENCIA ASOCIADO AL 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Real Decreto 1074/2012, de 13 de julio, por el que se establece el título de Técnico Superior en Integración Social y se fijan sus enseñanzas mínimas, modificado por el Real Decreto 289/2023, de 18 de abril.</w:t>
            </w:r>
          </w:p>
        </w:tc>
      </w:tr>
    </w:tbl>
    <w:p>
      <w:pPr>
        <w:pStyle w:val="Heading2"/>
        <w:spacing w:after="120" w:before="200" w:line="240"/>
      </w:pPr>
      <w:r>
        <w:rPr>
          <w:rFonts w:ascii="Arial" w:cs="Arial" w:eastAsia="Arial" w:hAnsi="Arial"/>
          <w:b/>
          <w:bCs/>
          <w:sz w:val="24"/>
          <w:szCs w:val="24"/>
        </w:rPr>
        <w:t xml:space="preserve">1.2 Identificación del módulo</w:t>
      </w:r>
    </w:p>
    <w:p>
      <w:pPr>
        <w:spacing w:after="160" w:line="240"/>
      </w:pPr>
      <w:r>
        <w:rPr>
          <w:rFonts w:ascii="Arial" w:cs="Arial" w:eastAsia="Arial" w:hAnsi="Arial"/>
          <w:b w:val="false"/>
          <w:bCs w:val="false"/>
          <w:i w:val="false"/>
          <w:iCs w:val="false"/>
          <w:sz w:val="22"/>
          <w:szCs w:val="22"/>
        </w:rPr>
        <w:t xml:space="preserve">La Formación Profesional constituye en la actualidad una vía esencial de cualificación y de acceso al empleo, orientada a dotar al alumnado de las competencias profesionales, personales y sociales necesarias para su incorporación al mundo laboral y su desarrollo a lo largo de la vida. En este sentido, la Ley Orgánica 3/2022, de 31 de marzo, de ordenación e integración de la Formación Profesional, junto con el Real Decreto 659/2023, de 18 de julio, por el que se desarrolla la ordenación del Sistema de Formación Profesional, consolidan el carácter dual de toda la Formación Profesional, atribuyéndolo a los grados D del Sistema de Formación Profesional español —entre los que se incluyen los ciclos formativos de grado medio y de grado superior—, y refuerzan la corresponsabilidad y la colaboración entre los centros educativos y las empresas u organismos equiparados.</w:t>
      </w:r>
    </w:p>
    <w:p>
      <w:pPr>
        <w:spacing w:after="160" w:line="240"/>
      </w:pPr>
      <w:r>
        <w:rPr>
          <w:rFonts w:ascii="Arial" w:cs="Arial" w:eastAsia="Arial" w:hAnsi="Arial"/>
          <w:b w:val="false"/>
          <w:bCs w:val="false"/>
          <w:i w:val="false"/>
          <w:iCs w:val="false"/>
          <w:sz w:val="22"/>
          <w:szCs w:val="22"/>
        </w:rPr>
        <w:t xml:space="preserve">Conforme al artículo 97 del Real Decreto 659/2023, de 18 de julio, el currículo de los ciclos formativos de grado medio y de grado superior se organiza, en el ámbito de la Comunidad Autónoma de la Región de Murcia, incorporando módulos profesionales asociados a los estándares de competencia profesional del Catálogo Modular de Formación Profesional.</w:t>
      </w:r>
    </w:p>
    <w:p>
      <w:pPr>
        <w:spacing w:after="160" w:line="240"/>
      </w:pPr>
      <w:r>
        <w:rPr>
          <w:rFonts w:ascii="Arial" w:cs="Arial" w:eastAsia="Arial" w:hAnsi="Arial"/>
          <w:b w:val="false"/>
          <w:bCs w:val="false"/>
          <w:i w:val="false"/>
          <w:iCs w:val="false"/>
          <w:sz w:val="22"/>
          <w:szCs w:val="22"/>
        </w:rPr>
        <w:t xml:space="preserve">Esta programación didáctica se desarrolla a partir del módulo profesional 0017. Habilidades sociales, perteneciente al título de Técnico Superior en Integración Social —ciclo formativo de grado superior de la familia profesional de Servicios Socioculturales y a la Comunidad, con una duración total de 2.000 horas, referente CINE-5b y Nivel 1 del Marco Español de Cualificaciones para la Educación Superior (MECES)—, el cual queda identificado por los siguientes elementos:</w:t>
      </w:r>
    </w:p>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CÓDIGO/MÓDULO</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0017.</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DENOMINACIÓN</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Habilidades sociales. Módulo que desarrolla las competencias de comunicación, inteligencia emocional, dinamización de grupos, conducción de reuniones, gestión de conflictos y evaluación de la competencia social necesarias para la intervención profesional con personas y grupos en riesgo de exclusión social.</w:t>
            </w:r>
          </w:p>
        </w:tc>
      </w:tr>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CRÉDITOS ECTS / HORAS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6 créditos ECTS / 155 horas.</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3200"/>
        <w:gridCol w:w="3199"/>
        <w:gridCol w:w="3199"/>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TOTALES DEL MÓDULO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CENTRO</w:t>
            </w:r>
          </w:p>
        </w:tc>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FASE DE EMPRESA</w:t>
            </w:r>
          </w:p>
        </w:tc>
      </w:tr>
      <w:tr>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155</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0 — el 100% de los RA se cubre en el centro (art. 7, RD 659/2023).</w:t>
            </w:r>
          </w:p>
        </w:tc>
      </w:tr>
    </w:tbl>
    <w:tbl>
      <w:tblPr>
        <w:tblW w:type="dxa" w:w="9598"/>
        <w:tblBorders>
          <w:top w:val="single" w:color="auto" w:sz="4"/>
          <w:left w:val="single" w:color="auto" w:sz="4"/>
          <w:bottom w:val="single" w:color="auto" w:sz="4"/>
          <w:right w:val="single" w:color="auto" w:sz="4"/>
          <w:insideH w:val="single" w:color="auto" w:sz="4"/>
          <w:insideV w:val="single" w:color="auto" w:sz="4"/>
        </w:tblBorders>
      </w:tblPr>
      <w:tblGrid>
        <w:gridCol w:w="4200"/>
        <w:gridCol w:w="5398"/>
      </w:tblGrid>
      <w:tr>
        <w:tc>
          <w:tcPr>
            <w:tcW w:type="dxa" w:w="4200"/>
            <w:shd w:fill="DCE6F1" w:color="auto" w:val="clear"/>
            <w:tcMar>
              <w:top w:type="dxa" w:w="80"/>
              <w:left w:type="dxa" w:w="100"/>
              <w:bottom w:type="dxa" w:w="80"/>
              <w:right w:type="dxa" w:w="100"/>
            </w:tcMar>
            <w:vAlign w:val="center"/>
          </w:tcPr>
          <w:p>
            <w:pPr>
              <w:spacing w:line="240"/>
            </w:pPr>
            <w:r>
              <w:rPr>
                <w:rFonts w:ascii="Arial" w:cs="Arial" w:eastAsia="Arial" w:hAnsi="Arial"/>
                <w:b/>
                <w:bCs/>
                <w:sz w:val="20"/>
                <w:szCs w:val="20"/>
              </w:rPr>
              <w:t xml:space="preserve">HORAS SEMANALES</w:t>
            </w:r>
          </w:p>
        </w:tc>
        <w:tc>
          <w:tcPr>
            <w:tcW w:type="dxa" w:w="5398"/>
            <w:tcMar>
              <w:top w:type="dxa" w:w="80"/>
              <w:left w:type="dxa" w:w="100"/>
              <w:bottom w:type="dxa" w:w="80"/>
              <w:right w:type="dxa" w:w="100"/>
            </w:tcMar>
            <w:vAlign w:val="center"/>
          </w:tcPr>
          <w:p>
            <w:pPr>
              <w:spacing w:line="240"/>
            </w:pPr>
            <w:r>
              <w:rPr>
                <w:rFonts w:ascii="Arial" w:cs="Arial" w:eastAsia="Arial" w:hAnsi="Arial"/>
                <w:sz w:val="20"/>
                <w:szCs w:val="20"/>
              </w:rPr>
              <w:t xml:space="preserve">5 horas/semana.</w:t>
            </w:r>
          </w:p>
        </w:tc>
      </w:tr>
    </w:tbl>
    <w:p>
      <w:pPr>
        <w:pStyle w:val="Heading2"/>
        <w:spacing w:after="120" w:before="200" w:line="240"/>
      </w:pPr>
      <w:r>
        <w:rPr>
          <w:rFonts w:ascii="Arial" w:cs="Arial" w:eastAsia="Arial" w:hAnsi="Arial"/>
          <w:b/>
          <w:bCs/>
          <w:sz w:val="24"/>
          <w:szCs w:val="24"/>
        </w:rPr>
        <w:t xml:space="preserve">1.3 Justificación de la programación</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1.4 Referencias legislativas</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1.5 Fuentes sociales</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2. CONTEXTUALIZACIÓN</w:t>
      </w:r>
    </w:p>
    <w:p>
      <w:pPr>
        <w:pStyle w:val="Heading2"/>
        <w:spacing w:after="120" w:before="200" w:line="240"/>
      </w:pPr>
      <w:r>
        <w:rPr>
          <w:rFonts w:ascii="Arial" w:cs="Arial" w:eastAsia="Arial" w:hAnsi="Arial"/>
          <w:b/>
          <w:bCs/>
          <w:sz w:val="24"/>
          <w:szCs w:val="24"/>
        </w:rPr>
        <w:t xml:space="preserve">2.1 Características del centro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2.2 Características del alumnado y de las familias</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2.3 Características e incorporación del ciclo formativo en el entorno productivo del centro (proyectos de aprendizaje por servicio)</w:t>
      </w:r>
    </w:p>
    <w:p>
      <w:pPr>
        <w:spacing w:after="240" w:line="240"/>
      </w:pPr>
      <w:r>
        <w:rPr>
          <w:rFonts w:ascii="Arial" w:cs="Arial" w:eastAsia="Arial" w:hAnsi="Arial"/>
          <w:i/>
          <w:iCs/>
          <w:color w:val="808080"/>
          <w:sz w:val="22"/>
          <w:szCs w:val="22"/>
        </w:rPr>
        <w:t xml:space="preserve">[Pendiente de redactar]</w:t>
      </w:r>
    </w:p>
    <w:p>
      <w:pPr>
        <w:pStyle w:val="Heading1"/>
        <w:spacing w:after="160" w:before="280" w:line="240"/>
      </w:pPr>
      <w:r>
        <w:rPr>
          <w:rFonts w:ascii="Arial" w:cs="Arial" w:eastAsia="Arial" w:hAnsi="Arial"/>
          <w:b/>
          <w:bCs/>
          <w:sz w:val="28"/>
          <w:szCs w:val="28"/>
        </w:rPr>
        <w:t xml:space="preserve">3. PERFIL PROFESIONAL Y CURRICULAR</w:t>
      </w:r>
    </w:p>
    <w:p>
      <w:pPr>
        <w:pStyle w:val="Heading2"/>
        <w:spacing w:after="120" w:before="200" w:line="240"/>
      </w:pPr>
      <w:r>
        <w:rPr>
          <w:rFonts w:ascii="Arial" w:cs="Arial" w:eastAsia="Arial" w:hAnsi="Arial"/>
          <w:b/>
          <w:bCs/>
          <w:sz w:val="24"/>
          <w:szCs w:val="24"/>
        </w:rPr>
        <w:t xml:space="preserve">3.1 Competencia general del ciclo</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3.2 Competencias profesionales y para la empleabilidad</w:t>
      </w:r>
    </w:p>
    <w:p>
      <w:pPr>
        <w:spacing w:after="240" w:line="240"/>
      </w:pPr>
      <w:r>
        <w:rPr>
          <w:rFonts w:ascii="Arial" w:cs="Arial" w:eastAsia="Arial" w:hAnsi="Arial"/>
          <w:i/>
          <w:iCs/>
          <w:color w:val="808080"/>
          <w:sz w:val="22"/>
          <w:szCs w:val="22"/>
        </w:rPr>
        <w:t xml:space="preserve">[Pendiente de redactar]</w:t>
      </w:r>
    </w:p>
    <w:p>
      <w:pPr>
        <w:pStyle w:val="Heading2"/>
        <w:spacing w:after="120" w:before="200" w:line="240"/>
      </w:pPr>
      <w:r>
        <w:rPr>
          <w:rFonts w:ascii="Arial" w:cs="Arial" w:eastAsia="Arial" w:hAnsi="Arial"/>
          <w:b/>
          <w:bCs/>
          <w:sz w:val="24"/>
          <w:szCs w:val="24"/>
        </w:rPr>
        <w:t xml:space="preserve">3.3 Cualificaciones profesionales y unidades de competencia</w:t>
      </w:r>
    </w:p>
    <w:p>
      <w:pPr>
        <w:spacing w:after="240" w:line="240"/>
      </w:pPr>
      <w:r>
        <w:rPr>
          <w:rFonts w:ascii="Arial" w:cs="Arial" w:eastAsia="Arial" w:hAnsi="Arial"/>
          <w:i/>
          <w:iCs/>
          <w:color w:val="808080"/>
          <w:sz w:val="22"/>
          <w:szCs w:val="22"/>
        </w:rPr>
        <w:t xml:space="preserve">[Pendiente de redactar]</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2026-10-02T11:49:26.995Z</dcterms:created>
  <dcterms:modified xsi:type="dcterms:W3CDTF">2026-10-02T11:49:27.008Z</dcterms:modified>
</cp:coreProperties>
</file>

<file path=docProps/custom.xml><?xml version="1.0" encoding="utf-8"?>
<Properties xmlns="http://schemas.openxmlformats.org/officeDocument/2006/custom-properties" xmlns:vt="http://schemas.openxmlformats.org/officeDocument/2006/docPropsVTypes"/>
</file>