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line="240"/>
        <w:jc w:val="center"/>
      </w:pPr>
      <w:r>
        <w:rPr>
          <w:rFonts w:ascii="Arial" w:cs="Arial" w:eastAsia="Arial" w:hAnsi="Arial"/>
          <w:b/>
          <w:bCs/>
          <w:sz w:val="30"/>
          <w:szCs w:val="30"/>
        </w:rPr>
        <w:t xml:space="preserve">PROGRAMACIÓN DIDÁCTICA — Módulo 0017. Habilidades sociales</w:t>
      </w:r>
    </w:p>
    <w:p>
      <w:pPr>
        <w:spacing w:after="400" w:line="240"/>
        <w:jc w:val="center"/>
      </w:pPr>
      <w:r>
        <w:rPr>
          <w:rFonts w:ascii="Arial" w:cs="Arial" w:eastAsia="Arial" w:hAnsi="Arial"/>
          <w:i/>
          <w:iCs/>
          <w:sz w:val="22"/>
          <w:szCs w:val="22"/>
        </w:rPr>
        <w:t xml:space="preserve">Técnico Superior en Integración Social — 2.º curso</w:t>
      </w:r>
    </w:p>
    <w:p>
      <w:pPr>
        <w:pStyle w:val="Heading1"/>
        <w:spacing w:after="160" w:before="280" w:line="240"/>
      </w:pPr>
      <w:r>
        <w:rPr>
          <w:rFonts w:ascii="Arial" w:cs="Arial" w:eastAsia="Arial" w:hAnsi="Arial"/>
          <w:b/>
          <w:bCs/>
          <w:sz w:val="28"/>
          <w:szCs w:val="28"/>
        </w:rPr>
        <w:t xml:space="preserve">1. INTRODUCCIÓN Y JUSTIFICACIÓN</w:t>
      </w:r>
    </w:p>
    <w:p>
      <w:pPr>
        <w:pStyle w:val="Heading2"/>
        <w:spacing w:after="120" w:before="200" w:line="240"/>
      </w:pPr>
      <w:r>
        <w:rPr>
          <w:rFonts w:ascii="Arial" w:cs="Arial" w:eastAsia="Arial" w:hAnsi="Arial"/>
          <w:b/>
          <w:bCs/>
          <w:sz w:val="24"/>
          <w:szCs w:val="24"/>
        </w:rPr>
        <w:t xml:space="preserve">1.1 Identificación del título</w:t>
      </w:r>
    </w:p>
    <w:p>
      <w:pPr>
        <w:spacing w:after="160" w:line="240"/>
      </w:pPr>
      <w:r>
        <w:rPr>
          <w:rFonts w:ascii="Arial" w:cs="Arial" w:eastAsia="Arial" w:hAnsi="Arial"/>
          <w:b w:val="false"/>
          <w:bCs w:val="false"/>
          <w:i w:val="false"/>
          <w:iCs w:val="false"/>
          <w:sz w:val="22"/>
          <w:szCs w:val="22"/>
        </w:rPr>
        <w:t xml:space="preserve">La presente programación didáctica se centra en el desarrollo del currículo correspondiente al módulo profesional 0017. Habilidades sociales, perteneciente al segundo curso del ciclo formativo de grado superior de Técnico Superior en Integración Social, con una equivalencia de 6 créditos ECTS y una duración de 155 horas (5 horas semanales), a lo largo de un curso académico completo.</w:t>
      </w:r>
    </w:p>
    <w:p>
      <w:pPr>
        <w:spacing w:after="160" w:line="240"/>
      </w:pPr>
      <w:r>
        <w:rPr>
          <w:rFonts w:ascii="Arial" w:cs="Arial" w:eastAsia="Arial" w:hAnsi="Arial"/>
          <w:b w:val="false"/>
          <w:bCs w:val="false"/>
          <w:i w:val="false"/>
          <w:iCs w:val="false"/>
          <w:sz w:val="22"/>
          <w:szCs w:val="22"/>
        </w:rPr>
        <w:t xml:space="preserve">Su tratamiento curricular viene detallado en el Real Decreto 1074/2012, de 13 de julio, modificado por el Real Decreto 289/2023, de 18 de abril, y en la Orden de 21 de septiembre de 2026, de la Consejería de Educación y Formación Profesional, por la que se establecen los currículos de los títulos de los ciclos formativos de grado superior y se regulan determinados aspectos organizativos en la Comunidad Autónoma de la Región de Murcia. Su diseño se ajusta a lo establecido en la Orden de [pendiente de publicación], de la Consejería de Educación y Formación Profesional, por la que se convocan los procedimientos selectivos de ingreso al Cuerpo de Profesores de Enseñanza Secundaria.</w:t>
      </w:r>
    </w:p>
    <w:tbl>
      <w:tblPr>
        <w:tblW w:type="dxa" w:w="9598"/>
        <w:tblBorders>
          <w:top w:val="single" w:color="auto" w:sz="4"/>
          <w:left w:val="single" w:color="auto" w:sz="4"/>
          <w:bottom w:val="single" w:color="auto" w:sz="4"/>
          <w:right w:val="single" w:color="auto" w:sz="4"/>
          <w:insideH w:val="single" w:color="auto" w:sz="4"/>
          <w:insideV w:val="single" w:color="auto" w:sz="4"/>
        </w:tblBorders>
      </w:tblPr>
      <w:tblGrid>
        <w:gridCol w:w="4200"/>
        <w:gridCol w:w="5398"/>
      </w:tblGrid>
      <w:tr>
        <w:tc>
          <w:tcPr>
            <w:tcW w:type="dxa" w:w="4200"/>
            <w:shd w:fill="DCE6F1" w:color="auto" w:val="clear"/>
            <w:tcMar>
              <w:top w:type="dxa" w:w="80"/>
              <w:left w:type="dxa" w:w="100"/>
              <w:bottom w:type="dxa" w:w="80"/>
              <w:right w:type="dxa" w:w="100"/>
            </w:tcMar>
            <w:vAlign w:val="center"/>
          </w:tcPr>
          <w:p>
            <w:pPr>
              <w:spacing w:line="240"/>
            </w:pPr>
            <w:r>
              <w:rPr>
                <w:rFonts w:ascii="Arial" w:cs="Arial" w:eastAsia="Arial" w:hAnsi="Arial"/>
                <w:b/>
                <w:bCs/>
                <w:sz w:val="20"/>
                <w:szCs w:val="20"/>
              </w:rPr>
              <w:t xml:space="preserve">FAMILIA PROFESIONAL</w:t>
            </w:r>
          </w:p>
        </w:tc>
        <w:tc>
          <w:tcPr>
            <w:tcW w:type="dxa" w:w="5398"/>
            <w:tcMar>
              <w:top w:type="dxa" w:w="80"/>
              <w:left w:type="dxa" w:w="100"/>
              <w:bottom w:type="dxa" w:w="80"/>
              <w:right w:type="dxa" w:w="100"/>
            </w:tcMar>
            <w:vAlign w:val="center"/>
          </w:tcPr>
          <w:p>
            <w:pPr>
              <w:spacing w:line="240"/>
            </w:pPr>
            <w:r>
              <w:rPr>
                <w:rFonts w:ascii="Arial" w:cs="Arial" w:eastAsia="Arial" w:hAnsi="Arial"/>
                <w:sz w:val="20"/>
                <w:szCs w:val="20"/>
              </w:rPr>
              <w:t xml:space="preserve">Servicios Socioculturales y a la Comunidad.</w:t>
            </w:r>
          </w:p>
        </w:tc>
      </w:tr>
      <w:tr>
        <w:tc>
          <w:tcPr>
            <w:tcW w:type="dxa" w:w="4200"/>
            <w:shd w:fill="DCE6F1" w:color="auto" w:val="clear"/>
            <w:tcMar>
              <w:top w:type="dxa" w:w="80"/>
              <w:left w:type="dxa" w:w="100"/>
              <w:bottom w:type="dxa" w:w="80"/>
              <w:right w:type="dxa" w:w="100"/>
            </w:tcMar>
            <w:vAlign w:val="center"/>
          </w:tcPr>
          <w:p>
            <w:pPr>
              <w:spacing w:line="240"/>
            </w:pPr>
            <w:r>
              <w:rPr>
                <w:rFonts w:ascii="Arial" w:cs="Arial" w:eastAsia="Arial" w:hAnsi="Arial"/>
                <w:b/>
                <w:bCs/>
                <w:sz w:val="20"/>
                <w:szCs w:val="20"/>
              </w:rPr>
              <w:t xml:space="preserve">CICLO FORMATIVO Y CURSO</w:t>
            </w:r>
          </w:p>
        </w:tc>
        <w:tc>
          <w:tcPr>
            <w:tcW w:type="dxa" w:w="5398"/>
            <w:tcMar>
              <w:top w:type="dxa" w:w="80"/>
              <w:left w:type="dxa" w:w="100"/>
              <w:bottom w:type="dxa" w:w="80"/>
              <w:right w:type="dxa" w:w="100"/>
            </w:tcMar>
            <w:vAlign w:val="center"/>
          </w:tcPr>
          <w:p>
            <w:pPr>
              <w:spacing w:line="240"/>
            </w:pPr>
            <w:r>
              <w:rPr>
                <w:rFonts w:ascii="Arial" w:cs="Arial" w:eastAsia="Arial" w:hAnsi="Arial"/>
                <w:sz w:val="20"/>
                <w:szCs w:val="20"/>
              </w:rPr>
              <w:t xml:space="preserve">Técnico Superior en Integración Social — 2.º curso.</w:t>
            </w:r>
          </w:p>
        </w:tc>
      </w:tr>
      <w:tr>
        <w:tc>
          <w:tcPr>
            <w:tcW w:type="dxa" w:w="4200"/>
            <w:shd w:fill="DCE6F1" w:color="auto" w:val="clear"/>
            <w:tcMar>
              <w:top w:type="dxa" w:w="80"/>
              <w:left w:type="dxa" w:w="100"/>
              <w:bottom w:type="dxa" w:w="80"/>
              <w:right w:type="dxa" w:w="100"/>
            </w:tcMar>
            <w:vAlign w:val="center"/>
          </w:tcPr>
          <w:p>
            <w:pPr>
              <w:spacing w:line="240"/>
            </w:pPr>
            <w:r>
              <w:rPr>
                <w:rFonts w:ascii="Arial" w:cs="Arial" w:eastAsia="Arial" w:hAnsi="Arial"/>
                <w:b/>
                <w:bCs/>
                <w:sz w:val="20"/>
                <w:szCs w:val="20"/>
              </w:rPr>
              <w:t xml:space="preserve">MODALIDAD</w:t>
            </w:r>
          </w:p>
        </w:tc>
        <w:tc>
          <w:tcPr>
            <w:tcW w:type="dxa" w:w="5398"/>
            <w:tcMar>
              <w:top w:type="dxa" w:w="80"/>
              <w:left w:type="dxa" w:w="100"/>
              <w:bottom w:type="dxa" w:w="80"/>
              <w:right w:type="dxa" w:w="100"/>
            </w:tcMar>
            <w:vAlign w:val="center"/>
          </w:tcPr>
          <w:p>
            <w:pPr>
              <w:spacing w:line="240"/>
            </w:pPr>
            <w:r>
              <w:rPr>
                <w:rFonts w:ascii="Arial" w:cs="Arial" w:eastAsia="Arial" w:hAnsi="Arial"/>
                <w:sz w:val="20"/>
                <w:szCs w:val="20"/>
              </w:rPr>
              <w:t xml:space="preserve">Presencial.</w:t>
            </w:r>
          </w:p>
        </w:tc>
      </w:tr>
      <w:tr>
        <w:tc>
          <w:tcPr>
            <w:tcW w:type="dxa" w:w="4200"/>
            <w:shd w:fill="DCE6F1" w:color="auto" w:val="clear"/>
            <w:tcMar>
              <w:top w:type="dxa" w:w="80"/>
              <w:left w:type="dxa" w:w="100"/>
              <w:bottom w:type="dxa" w:w="80"/>
              <w:right w:type="dxa" w:w="100"/>
            </w:tcMar>
            <w:vAlign w:val="center"/>
          </w:tcPr>
          <w:p>
            <w:pPr>
              <w:spacing w:line="240"/>
            </w:pPr>
            <w:r>
              <w:rPr>
                <w:rFonts w:ascii="Arial" w:cs="Arial" w:eastAsia="Arial" w:hAnsi="Arial"/>
                <w:b/>
                <w:bCs/>
                <w:sz w:val="20"/>
                <w:szCs w:val="20"/>
              </w:rPr>
              <w:t xml:space="preserve">GRADO</w:t>
            </w:r>
          </w:p>
        </w:tc>
        <w:tc>
          <w:tcPr>
            <w:tcW w:type="dxa" w:w="5398"/>
            <w:tcMar>
              <w:top w:type="dxa" w:w="80"/>
              <w:left w:type="dxa" w:w="100"/>
              <w:bottom w:type="dxa" w:w="80"/>
              <w:right w:type="dxa" w:w="100"/>
            </w:tcMar>
            <w:vAlign w:val="center"/>
          </w:tcPr>
          <w:p>
            <w:pPr>
              <w:spacing w:line="240"/>
            </w:pPr>
            <w:r>
              <w:rPr>
                <w:rFonts w:ascii="Arial" w:cs="Arial" w:eastAsia="Arial" w:hAnsi="Arial"/>
                <w:sz w:val="20"/>
                <w:szCs w:val="20"/>
              </w:rPr>
              <w:t xml:space="preserve">D (Real Decreto 659/2023, de 18 de julio, por el que se desarrolla la ordenación del Sistema de Formación Profesional).</w:t>
            </w:r>
          </w:p>
        </w:tc>
      </w:tr>
      <w:tr>
        <w:tc>
          <w:tcPr>
            <w:tcW w:type="dxa" w:w="4200"/>
            <w:shd w:fill="DCE6F1" w:color="auto" w:val="clear"/>
            <w:tcMar>
              <w:top w:type="dxa" w:w="80"/>
              <w:left w:type="dxa" w:w="100"/>
              <w:bottom w:type="dxa" w:w="80"/>
              <w:right w:type="dxa" w:w="100"/>
            </w:tcMar>
            <w:vAlign w:val="center"/>
          </w:tcPr>
          <w:p>
            <w:pPr>
              <w:spacing w:line="240"/>
            </w:pPr>
            <w:r>
              <w:rPr>
                <w:rFonts w:ascii="Arial" w:cs="Arial" w:eastAsia="Arial" w:hAnsi="Arial"/>
                <w:b/>
                <w:bCs/>
                <w:sz w:val="20"/>
                <w:szCs w:val="20"/>
              </w:rPr>
              <w:t xml:space="preserve">MODALIDAD DE EVALUACIÓN DEL CICLO FORMATIVO EN EL CENTRO</w:t>
            </w:r>
          </w:p>
        </w:tc>
        <w:tc>
          <w:tcPr>
            <w:tcW w:type="dxa" w:w="5398"/>
            <w:tcMar>
              <w:top w:type="dxa" w:w="80"/>
              <w:left w:type="dxa" w:w="100"/>
              <w:bottom w:type="dxa" w:w="80"/>
              <w:right w:type="dxa" w:w="100"/>
            </w:tcMar>
            <w:vAlign w:val="center"/>
          </w:tcPr>
          <w:p>
            <w:pPr>
              <w:spacing w:line="240"/>
            </w:pPr>
            <w:r>
              <w:rPr>
                <w:rFonts w:ascii="Arial" w:cs="Arial" w:eastAsia="Arial" w:hAnsi="Arial"/>
                <w:sz w:val="20"/>
                <w:szCs w:val="20"/>
              </w:rPr>
              <w:t xml:space="preserve">Modelo estándar (confirmado en la Programación General Anual del IES Villa de Abarán, curso 2025-2026, que recoge para el ciclo de Integración Social un reparto de la FCT de 160 horas en 1.º curso y 340 horas en 2.º curso).</w:t>
            </w:r>
          </w:p>
        </w:tc>
      </w:tr>
      <w:tr>
        <w:tc>
          <w:tcPr>
            <w:tcW w:type="dxa" w:w="4200"/>
            <w:shd w:fill="DCE6F1" w:color="auto" w:val="clear"/>
            <w:tcMar>
              <w:top w:type="dxa" w:w="80"/>
              <w:left w:type="dxa" w:w="100"/>
              <w:bottom w:type="dxa" w:w="80"/>
              <w:right w:type="dxa" w:w="100"/>
            </w:tcMar>
            <w:vAlign w:val="center"/>
          </w:tcPr>
          <w:p>
            <w:pPr>
              <w:spacing w:line="240"/>
            </w:pPr>
            <w:r>
              <w:rPr>
                <w:rFonts w:ascii="Arial" w:cs="Arial" w:eastAsia="Arial" w:hAnsi="Arial"/>
                <w:b/>
                <w:bCs/>
                <w:sz w:val="20"/>
                <w:szCs w:val="20"/>
              </w:rPr>
              <w:t xml:space="preserve">NIVEL DEL MARCO ESPAÑOL DE CUALIFICACIONES PARA EL APRENDIZAJE PERMANENTE (MECU)</w:t>
            </w:r>
          </w:p>
        </w:tc>
        <w:tc>
          <w:tcPr>
            <w:tcW w:type="dxa" w:w="5398"/>
            <w:tcMar>
              <w:top w:type="dxa" w:w="80"/>
              <w:left w:type="dxa" w:w="100"/>
              <w:bottom w:type="dxa" w:w="80"/>
              <w:right w:type="dxa" w:w="100"/>
            </w:tcMar>
            <w:vAlign w:val="center"/>
          </w:tcPr>
          <w:p>
            <w:pPr>
              <w:spacing w:line="240"/>
            </w:pPr>
            <w:r>
              <w:rPr>
                <w:rFonts w:ascii="Arial" w:cs="Arial" w:eastAsia="Arial" w:hAnsi="Arial"/>
                <w:sz w:val="20"/>
                <w:szCs w:val="20"/>
              </w:rPr>
              <w:t xml:space="preserve">Nivel 5A (Grado Superior).</w:t>
            </w:r>
          </w:p>
        </w:tc>
      </w:tr>
      <w:tr>
        <w:tc>
          <w:tcPr>
            <w:tcW w:type="dxa" w:w="4200"/>
            <w:shd w:fill="DCE6F1" w:color="auto" w:val="clear"/>
            <w:tcMar>
              <w:top w:type="dxa" w:w="80"/>
              <w:left w:type="dxa" w:w="100"/>
              <w:bottom w:type="dxa" w:w="80"/>
              <w:right w:type="dxa" w:w="100"/>
            </w:tcMar>
            <w:vAlign w:val="center"/>
          </w:tcPr>
          <w:p>
            <w:pPr>
              <w:spacing w:line="240"/>
            </w:pPr>
            <w:r>
              <w:rPr>
                <w:rFonts w:ascii="Arial" w:cs="Arial" w:eastAsia="Arial" w:hAnsi="Arial"/>
                <w:b/>
                <w:bCs/>
                <w:sz w:val="20"/>
                <w:szCs w:val="20"/>
              </w:rPr>
              <w:t xml:space="preserve">MARCO ESPAÑOL DE CUALIFICACIONES PARA LA EDUCACIÓN SUPERIOR (MECES)</w:t>
            </w:r>
          </w:p>
        </w:tc>
        <w:tc>
          <w:tcPr>
            <w:tcW w:type="dxa" w:w="5398"/>
            <w:tcMar>
              <w:top w:type="dxa" w:w="80"/>
              <w:left w:type="dxa" w:w="100"/>
              <w:bottom w:type="dxa" w:w="80"/>
              <w:right w:type="dxa" w:w="100"/>
            </w:tcMar>
            <w:vAlign w:val="center"/>
          </w:tcPr>
          <w:p>
            <w:pPr>
              <w:spacing w:line="240"/>
            </w:pPr>
            <w:r>
              <w:rPr>
                <w:rFonts w:ascii="Arial" w:cs="Arial" w:eastAsia="Arial" w:hAnsi="Arial"/>
                <w:sz w:val="20"/>
                <w:szCs w:val="20"/>
              </w:rPr>
              <w:t xml:space="preserve">Nivel 1 (Técnico Superior).</w:t>
            </w:r>
          </w:p>
        </w:tc>
      </w:tr>
      <w:tr>
        <w:tc>
          <w:tcPr>
            <w:tcW w:type="dxa" w:w="4200"/>
            <w:shd w:fill="DCE6F1" w:color="auto" w:val="clear"/>
            <w:tcMar>
              <w:top w:type="dxa" w:w="80"/>
              <w:left w:type="dxa" w:w="100"/>
              <w:bottom w:type="dxa" w:w="80"/>
              <w:right w:type="dxa" w:w="100"/>
            </w:tcMar>
            <w:vAlign w:val="center"/>
          </w:tcPr>
          <w:p>
            <w:pPr>
              <w:spacing w:line="240"/>
            </w:pPr>
            <w:r>
              <w:rPr>
                <w:rFonts w:ascii="Arial" w:cs="Arial" w:eastAsia="Arial" w:hAnsi="Arial"/>
                <w:b/>
                <w:bCs/>
                <w:sz w:val="20"/>
                <w:szCs w:val="20"/>
              </w:rPr>
              <w:t xml:space="preserve">CLASIFICACIÓN INTERNACIONAL NORMALIZADA DE LA EDUCACIÓN (CINE)</w:t>
            </w:r>
          </w:p>
        </w:tc>
        <w:tc>
          <w:tcPr>
            <w:tcW w:type="dxa" w:w="5398"/>
            <w:tcMar>
              <w:top w:type="dxa" w:w="80"/>
              <w:left w:type="dxa" w:w="100"/>
              <w:bottom w:type="dxa" w:w="80"/>
              <w:right w:type="dxa" w:w="100"/>
            </w:tcMar>
            <w:vAlign w:val="center"/>
          </w:tcPr>
          <w:p>
            <w:pPr>
              <w:spacing w:line="240"/>
            </w:pPr>
            <w:r>
              <w:rPr>
                <w:rFonts w:ascii="Arial" w:cs="Arial" w:eastAsia="Arial" w:hAnsi="Arial"/>
                <w:sz w:val="20"/>
                <w:szCs w:val="20"/>
              </w:rPr>
              <w:t xml:space="preserve">CINE-P-5.5.4.</w:t>
            </w:r>
          </w:p>
        </w:tc>
      </w:tr>
      <w:tr>
        <w:tc>
          <w:tcPr>
            <w:tcW w:type="dxa" w:w="4200"/>
            <w:shd w:fill="DCE6F1" w:color="auto" w:val="clear"/>
            <w:tcMar>
              <w:top w:type="dxa" w:w="80"/>
              <w:left w:type="dxa" w:w="100"/>
              <w:bottom w:type="dxa" w:w="80"/>
              <w:right w:type="dxa" w:w="100"/>
            </w:tcMar>
            <w:vAlign w:val="center"/>
          </w:tcPr>
          <w:p>
            <w:pPr>
              <w:spacing w:line="240"/>
            </w:pPr>
            <w:r>
              <w:rPr>
                <w:rFonts w:ascii="Arial" w:cs="Arial" w:eastAsia="Arial" w:hAnsi="Arial"/>
                <w:b/>
                <w:bCs/>
                <w:sz w:val="20"/>
                <w:szCs w:val="20"/>
              </w:rPr>
              <w:t xml:space="preserve">ESTÁNDAR DE COMPETENCIA ASOCIADO AL MÓDULO</w:t>
            </w:r>
          </w:p>
        </w:tc>
        <w:tc>
          <w:tcPr>
            <w:tcW w:type="dxa" w:w="5398"/>
            <w:tcMar>
              <w:top w:type="dxa" w:w="80"/>
              <w:left w:type="dxa" w:w="100"/>
              <w:bottom w:type="dxa" w:w="80"/>
              <w:right w:type="dxa" w:w="100"/>
            </w:tcMar>
            <w:vAlign w:val="center"/>
          </w:tcPr>
          <w:p>
            <w:pPr>
              <w:spacing w:line="240"/>
            </w:pPr>
            <w:r>
              <w:rPr>
                <w:rFonts w:ascii="Arial" w:cs="Arial" w:eastAsia="Arial" w:hAnsi="Arial"/>
                <w:sz w:val="20"/>
                <w:szCs w:val="20"/>
              </w:rPr>
              <w:t xml:space="preserve">Real Decreto 1074/2012, de 13 de julio, por el que se establece el título de Técnico Superior en Integración Social y se fijan sus enseñanzas mínimas, modificado por el Real Decreto 289/2023, de 18 de abril.</w:t>
            </w:r>
          </w:p>
        </w:tc>
      </w:tr>
    </w:tbl>
    <w:p>
      <w:pPr>
        <w:pStyle w:val="Heading2"/>
        <w:spacing w:after="120" w:before="200" w:line="240"/>
      </w:pPr>
      <w:r>
        <w:rPr>
          <w:rFonts w:ascii="Arial" w:cs="Arial" w:eastAsia="Arial" w:hAnsi="Arial"/>
          <w:b/>
          <w:bCs/>
          <w:sz w:val="24"/>
          <w:szCs w:val="24"/>
        </w:rPr>
        <w:t xml:space="preserve">1.2 Identificación del módulo</w:t>
      </w:r>
    </w:p>
    <w:p>
      <w:pPr>
        <w:spacing w:after="160" w:line="240"/>
      </w:pPr>
      <w:r>
        <w:rPr>
          <w:rFonts w:ascii="Arial" w:cs="Arial" w:eastAsia="Arial" w:hAnsi="Arial"/>
          <w:b w:val="false"/>
          <w:bCs w:val="false"/>
          <w:i w:val="false"/>
          <w:iCs w:val="false"/>
          <w:sz w:val="22"/>
          <w:szCs w:val="22"/>
        </w:rPr>
        <w:t xml:space="preserve">La Formación Profesional constituye en la actualidad una vía esencial de cualificación y de acceso al empleo, orientada a dotar al alumnado de las competencias profesionales, personales y sociales necesarias para su incorporación al mundo laboral y su desarrollo a lo largo de la vida. En este sentido, la Ley Orgánica 3/2022, de 31 de marzo, de ordenación e integración de la Formación Profesional, junto con el Real Decreto 659/2023, de 18 de julio, por el que se desarrolla la ordenación del Sistema de Formación Profesional, consolidan el carácter dual de toda la Formación Profesional, atribuyéndolo a los grados D del Sistema de Formación Profesional español —entre los que se incluyen los ciclos formativos de grado medio y de grado superior—, y refuerzan la corresponsabilidad y la colaboración entre los centros educativos y las empresas u organismos equiparados.</w:t>
      </w:r>
    </w:p>
    <w:p>
      <w:pPr>
        <w:spacing w:after="160" w:line="240"/>
      </w:pPr>
      <w:r>
        <w:rPr>
          <w:rFonts w:ascii="Arial" w:cs="Arial" w:eastAsia="Arial" w:hAnsi="Arial"/>
          <w:b w:val="false"/>
          <w:bCs w:val="false"/>
          <w:i w:val="false"/>
          <w:iCs w:val="false"/>
          <w:sz w:val="22"/>
          <w:szCs w:val="22"/>
        </w:rPr>
        <w:t xml:space="preserve">Conforme al artículo 97 del Real Decreto 659/2023, de 18 de julio, el currículo de los ciclos formativos de grado medio y de grado superior se organiza, en el ámbito de la Comunidad Autónoma de la Región de Murcia, incorporando módulos profesionales asociados a los estándares de competencia profesional del Catálogo Modular de Formación Profesional.</w:t>
      </w:r>
    </w:p>
    <w:p>
      <w:pPr>
        <w:spacing w:after="160" w:line="240"/>
      </w:pPr>
      <w:r>
        <w:rPr>
          <w:rFonts w:ascii="Arial" w:cs="Arial" w:eastAsia="Arial" w:hAnsi="Arial"/>
          <w:b w:val="false"/>
          <w:bCs w:val="false"/>
          <w:i w:val="false"/>
          <w:iCs w:val="false"/>
          <w:sz w:val="22"/>
          <w:szCs w:val="22"/>
        </w:rPr>
        <w:t xml:space="preserve">Esta programación didáctica se desarrolla a partir del módulo profesional 0017. Habilidades sociales, perteneciente al título de Técnico Superior en Integración Social —ciclo formativo de grado superior de la familia profesional de Servicios Socioculturales y a la Comunidad, con una duración total de 2.000 horas, referente CINE-P-5.5.4 y Nivel 1 del Marco Español de Cualificaciones para la Educación Superior (MECES)—, el cual queda identificado por los siguientes elementos:</w:t>
      </w:r>
    </w:p>
    <w:tbl>
      <w:tblPr>
        <w:tblW w:type="dxa" w:w="9598"/>
        <w:tblBorders>
          <w:top w:val="single" w:color="auto" w:sz="4"/>
          <w:left w:val="single" w:color="auto" w:sz="4"/>
          <w:bottom w:val="single" w:color="auto" w:sz="4"/>
          <w:right w:val="single" w:color="auto" w:sz="4"/>
          <w:insideH w:val="single" w:color="auto" w:sz="4"/>
          <w:insideV w:val="single" w:color="auto" w:sz="4"/>
        </w:tblBorders>
      </w:tblPr>
      <w:tblGrid>
        <w:gridCol w:w="4200"/>
        <w:gridCol w:w="5398"/>
      </w:tblGrid>
      <w:tr>
        <w:tc>
          <w:tcPr>
            <w:tcW w:type="dxa" w:w="4200"/>
            <w:shd w:fill="DCE6F1" w:color="auto" w:val="clear"/>
            <w:tcMar>
              <w:top w:type="dxa" w:w="80"/>
              <w:left w:type="dxa" w:w="100"/>
              <w:bottom w:type="dxa" w:w="80"/>
              <w:right w:type="dxa" w:w="100"/>
            </w:tcMar>
            <w:vAlign w:val="center"/>
          </w:tcPr>
          <w:p>
            <w:pPr>
              <w:spacing w:line="240"/>
            </w:pPr>
            <w:r>
              <w:rPr>
                <w:rFonts w:ascii="Arial" w:cs="Arial" w:eastAsia="Arial" w:hAnsi="Arial"/>
                <w:b/>
                <w:bCs/>
                <w:sz w:val="20"/>
                <w:szCs w:val="20"/>
              </w:rPr>
              <w:t xml:space="preserve">CÓDIGO/MÓDULO</w:t>
            </w:r>
          </w:p>
        </w:tc>
        <w:tc>
          <w:tcPr>
            <w:tcW w:type="dxa" w:w="5398"/>
            <w:tcMar>
              <w:top w:type="dxa" w:w="80"/>
              <w:left w:type="dxa" w:w="100"/>
              <w:bottom w:type="dxa" w:w="80"/>
              <w:right w:type="dxa" w:w="100"/>
            </w:tcMar>
            <w:vAlign w:val="center"/>
          </w:tcPr>
          <w:p>
            <w:pPr>
              <w:spacing w:line="240"/>
            </w:pPr>
            <w:r>
              <w:rPr>
                <w:rFonts w:ascii="Arial" w:cs="Arial" w:eastAsia="Arial" w:hAnsi="Arial"/>
                <w:sz w:val="20"/>
                <w:szCs w:val="20"/>
              </w:rPr>
              <w:t xml:space="preserve">0017.</w:t>
            </w:r>
          </w:p>
        </w:tc>
      </w:tr>
      <w:tr>
        <w:tc>
          <w:tcPr>
            <w:tcW w:type="dxa" w:w="4200"/>
            <w:shd w:fill="DCE6F1" w:color="auto" w:val="clear"/>
            <w:tcMar>
              <w:top w:type="dxa" w:w="80"/>
              <w:left w:type="dxa" w:w="100"/>
              <w:bottom w:type="dxa" w:w="80"/>
              <w:right w:type="dxa" w:w="100"/>
            </w:tcMar>
            <w:vAlign w:val="center"/>
          </w:tcPr>
          <w:p>
            <w:pPr>
              <w:spacing w:line="240"/>
            </w:pPr>
            <w:r>
              <w:rPr>
                <w:rFonts w:ascii="Arial" w:cs="Arial" w:eastAsia="Arial" w:hAnsi="Arial"/>
                <w:b/>
                <w:bCs/>
                <w:sz w:val="20"/>
                <w:szCs w:val="20"/>
              </w:rPr>
              <w:t xml:space="preserve">DENOMINACIÓN</w:t>
            </w:r>
          </w:p>
        </w:tc>
        <w:tc>
          <w:tcPr>
            <w:tcW w:type="dxa" w:w="5398"/>
            <w:tcMar>
              <w:top w:type="dxa" w:w="80"/>
              <w:left w:type="dxa" w:w="100"/>
              <w:bottom w:type="dxa" w:w="80"/>
              <w:right w:type="dxa" w:w="100"/>
            </w:tcMar>
            <w:vAlign w:val="center"/>
          </w:tcPr>
          <w:p>
            <w:pPr>
              <w:spacing w:line="240"/>
            </w:pPr>
            <w:r>
              <w:rPr>
                <w:rFonts w:ascii="Arial" w:cs="Arial" w:eastAsia="Arial" w:hAnsi="Arial"/>
                <w:sz w:val="20"/>
                <w:szCs w:val="20"/>
              </w:rPr>
              <w:t xml:space="preserve">Habilidades sociales. Módulo que desarrolla las competencias de comunicación, inteligencia emocional, dinamización de grupos, conducción de reuniones, gestión de conflictos y evaluación de la competencia social necesarias para la intervención profesional con personas y grupos en riesgo de exclusión social.</w:t>
            </w:r>
          </w:p>
        </w:tc>
      </w:tr>
      <w:tr>
        <w:tc>
          <w:tcPr>
            <w:tcW w:type="dxa" w:w="4200"/>
            <w:shd w:fill="DCE6F1" w:color="auto" w:val="clear"/>
            <w:tcMar>
              <w:top w:type="dxa" w:w="80"/>
              <w:left w:type="dxa" w:w="100"/>
              <w:bottom w:type="dxa" w:w="80"/>
              <w:right w:type="dxa" w:w="100"/>
            </w:tcMar>
            <w:vAlign w:val="center"/>
          </w:tcPr>
          <w:p>
            <w:pPr>
              <w:spacing w:line="240"/>
            </w:pPr>
            <w:r>
              <w:rPr>
                <w:rFonts w:ascii="Arial" w:cs="Arial" w:eastAsia="Arial" w:hAnsi="Arial"/>
                <w:b/>
                <w:bCs/>
                <w:sz w:val="20"/>
                <w:szCs w:val="20"/>
              </w:rPr>
              <w:t xml:space="preserve">CRÉDITOS ECTS / HORAS</w:t>
            </w:r>
          </w:p>
        </w:tc>
        <w:tc>
          <w:tcPr>
            <w:tcW w:type="dxa" w:w="5398"/>
            <w:tcMar>
              <w:top w:type="dxa" w:w="80"/>
              <w:left w:type="dxa" w:w="100"/>
              <w:bottom w:type="dxa" w:w="80"/>
              <w:right w:type="dxa" w:w="100"/>
            </w:tcMar>
            <w:vAlign w:val="center"/>
          </w:tcPr>
          <w:p>
            <w:pPr>
              <w:spacing w:line="240"/>
            </w:pPr>
            <w:r>
              <w:rPr>
                <w:rFonts w:ascii="Arial" w:cs="Arial" w:eastAsia="Arial" w:hAnsi="Arial"/>
                <w:sz w:val="20"/>
                <w:szCs w:val="20"/>
              </w:rPr>
              <w:t xml:space="preserve">6 créditos ECTS / 155 horas.</w:t>
            </w:r>
          </w:p>
        </w:tc>
      </w:tr>
    </w:tbl>
    <w:tbl>
      <w:tblPr>
        <w:tblW w:type="dxa" w:w="9598"/>
        <w:tblBorders>
          <w:top w:val="single" w:color="auto" w:sz="4"/>
          <w:left w:val="single" w:color="auto" w:sz="4"/>
          <w:bottom w:val="single" w:color="auto" w:sz="4"/>
          <w:right w:val="single" w:color="auto" w:sz="4"/>
          <w:insideH w:val="single" w:color="auto" w:sz="4"/>
          <w:insideV w:val="single" w:color="auto" w:sz="4"/>
        </w:tblBorders>
      </w:tblPr>
      <w:tblGrid>
        <w:gridCol w:w="3200"/>
        <w:gridCol w:w="3199"/>
        <w:gridCol w:w="3199"/>
      </w:tblGrid>
      <w:tr>
        <w:tc>
          <w:tcPr>
            <w:tcW w:type="dxa" w:w="4200"/>
            <w:shd w:fill="DCE6F1" w:color="auto" w:val="clear"/>
            <w:tcMar>
              <w:top w:type="dxa" w:w="80"/>
              <w:left w:type="dxa" w:w="100"/>
              <w:bottom w:type="dxa" w:w="80"/>
              <w:right w:type="dxa" w:w="100"/>
            </w:tcMar>
            <w:vAlign w:val="center"/>
          </w:tcPr>
          <w:p>
            <w:pPr>
              <w:spacing w:line="240"/>
            </w:pPr>
            <w:r>
              <w:rPr>
                <w:rFonts w:ascii="Arial" w:cs="Arial" w:eastAsia="Arial" w:hAnsi="Arial"/>
                <w:b/>
                <w:bCs/>
                <w:sz w:val="20"/>
                <w:szCs w:val="20"/>
              </w:rPr>
              <w:t xml:space="preserve">HORAS TOTALES DEL MÓDULO</w:t>
            </w:r>
          </w:p>
        </w:tc>
        <w:tc>
          <w:tcPr>
            <w:tcW w:type="dxa" w:w="4200"/>
            <w:shd w:fill="DCE6F1" w:color="auto" w:val="clear"/>
            <w:tcMar>
              <w:top w:type="dxa" w:w="80"/>
              <w:left w:type="dxa" w:w="100"/>
              <w:bottom w:type="dxa" w:w="80"/>
              <w:right w:type="dxa" w:w="100"/>
            </w:tcMar>
            <w:vAlign w:val="center"/>
          </w:tcPr>
          <w:p>
            <w:pPr>
              <w:spacing w:line="240"/>
            </w:pPr>
            <w:r>
              <w:rPr>
                <w:rFonts w:ascii="Arial" w:cs="Arial" w:eastAsia="Arial" w:hAnsi="Arial"/>
                <w:b/>
                <w:bCs/>
                <w:sz w:val="20"/>
                <w:szCs w:val="20"/>
              </w:rPr>
              <w:t xml:space="preserve">HORAS FASE DE CENTRO</w:t>
            </w:r>
          </w:p>
        </w:tc>
        <w:tc>
          <w:tcPr>
            <w:tcW w:type="dxa" w:w="4200"/>
            <w:shd w:fill="DCE6F1" w:color="auto" w:val="clear"/>
            <w:tcMar>
              <w:top w:type="dxa" w:w="80"/>
              <w:left w:type="dxa" w:w="100"/>
              <w:bottom w:type="dxa" w:w="80"/>
              <w:right w:type="dxa" w:w="100"/>
            </w:tcMar>
            <w:vAlign w:val="center"/>
          </w:tcPr>
          <w:p>
            <w:pPr>
              <w:spacing w:line="240"/>
            </w:pPr>
            <w:r>
              <w:rPr>
                <w:rFonts w:ascii="Arial" w:cs="Arial" w:eastAsia="Arial" w:hAnsi="Arial"/>
                <w:b/>
                <w:bCs/>
                <w:sz w:val="20"/>
                <w:szCs w:val="20"/>
              </w:rPr>
              <w:t xml:space="preserve">HORAS FASE DE EMPRESA</w:t>
            </w:r>
          </w:p>
        </w:tc>
      </w:tr>
      <w:tr>
        <w:tc>
          <w:tcPr>
            <w:tcW w:type="dxa" w:w="5398"/>
            <w:tcMar>
              <w:top w:type="dxa" w:w="80"/>
              <w:left w:type="dxa" w:w="100"/>
              <w:bottom w:type="dxa" w:w="80"/>
              <w:right w:type="dxa" w:w="100"/>
            </w:tcMar>
            <w:vAlign w:val="center"/>
          </w:tcPr>
          <w:p>
            <w:pPr>
              <w:spacing w:line="240"/>
            </w:pPr>
            <w:r>
              <w:rPr>
                <w:rFonts w:ascii="Arial" w:cs="Arial" w:eastAsia="Arial" w:hAnsi="Arial"/>
                <w:sz w:val="20"/>
                <w:szCs w:val="20"/>
              </w:rPr>
              <w:t xml:space="preserve">155</w:t>
            </w:r>
          </w:p>
        </w:tc>
        <w:tc>
          <w:tcPr>
            <w:tcW w:type="dxa" w:w="5398"/>
            <w:tcMar>
              <w:top w:type="dxa" w:w="80"/>
              <w:left w:type="dxa" w:w="100"/>
              <w:bottom w:type="dxa" w:w="80"/>
              <w:right w:type="dxa" w:w="100"/>
            </w:tcMar>
            <w:vAlign w:val="center"/>
          </w:tcPr>
          <w:p>
            <w:pPr>
              <w:spacing w:line="240"/>
            </w:pPr>
            <w:r>
              <w:rPr>
                <w:rFonts w:ascii="Arial" w:cs="Arial" w:eastAsia="Arial" w:hAnsi="Arial"/>
                <w:sz w:val="20"/>
                <w:szCs w:val="20"/>
              </w:rPr>
              <w:t xml:space="preserve">155</w:t>
            </w:r>
          </w:p>
        </w:tc>
        <w:tc>
          <w:tcPr>
            <w:tcW w:type="dxa" w:w="5398"/>
            <w:tcMar>
              <w:top w:type="dxa" w:w="80"/>
              <w:left w:type="dxa" w:w="100"/>
              <w:bottom w:type="dxa" w:w="80"/>
              <w:right w:type="dxa" w:w="100"/>
            </w:tcMar>
            <w:vAlign w:val="center"/>
          </w:tcPr>
          <w:p>
            <w:pPr>
              <w:spacing w:line="240"/>
            </w:pPr>
            <w:r>
              <w:rPr>
                <w:rFonts w:ascii="Arial" w:cs="Arial" w:eastAsia="Arial" w:hAnsi="Arial"/>
                <w:sz w:val="20"/>
                <w:szCs w:val="20"/>
              </w:rPr>
              <w:t xml:space="preserve">0 — el 100% de los RA se cubre en el centro (art. 7, RD 659/2023).</w:t>
            </w:r>
          </w:p>
        </w:tc>
      </w:tr>
    </w:tbl>
    <w:tbl>
      <w:tblPr>
        <w:tblW w:type="dxa" w:w="9598"/>
        <w:tblBorders>
          <w:top w:val="single" w:color="auto" w:sz="4"/>
          <w:left w:val="single" w:color="auto" w:sz="4"/>
          <w:bottom w:val="single" w:color="auto" w:sz="4"/>
          <w:right w:val="single" w:color="auto" w:sz="4"/>
          <w:insideH w:val="single" w:color="auto" w:sz="4"/>
          <w:insideV w:val="single" w:color="auto" w:sz="4"/>
        </w:tblBorders>
      </w:tblPr>
      <w:tblGrid>
        <w:gridCol w:w="4200"/>
        <w:gridCol w:w="5398"/>
      </w:tblGrid>
      <w:tr>
        <w:tc>
          <w:tcPr>
            <w:tcW w:type="dxa" w:w="4200"/>
            <w:shd w:fill="DCE6F1" w:color="auto" w:val="clear"/>
            <w:tcMar>
              <w:top w:type="dxa" w:w="80"/>
              <w:left w:type="dxa" w:w="100"/>
              <w:bottom w:type="dxa" w:w="80"/>
              <w:right w:type="dxa" w:w="100"/>
            </w:tcMar>
            <w:vAlign w:val="center"/>
          </w:tcPr>
          <w:p>
            <w:pPr>
              <w:spacing w:line="240"/>
            </w:pPr>
            <w:r>
              <w:rPr>
                <w:rFonts w:ascii="Arial" w:cs="Arial" w:eastAsia="Arial" w:hAnsi="Arial"/>
                <w:b/>
                <w:bCs/>
                <w:sz w:val="20"/>
                <w:szCs w:val="20"/>
              </w:rPr>
              <w:t xml:space="preserve">HORAS SEMANALES</w:t>
            </w:r>
          </w:p>
        </w:tc>
        <w:tc>
          <w:tcPr>
            <w:tcW w:type="dxa" w:w="5398"/>
            <w:tcMar>
              <w:top w:type="dxa" w:w="80"/>
              <w:left w:type="dxa" w:w="100"/>
              <w:bottom w:type="dxa" w:w="80"/>
              <w:right w:type="dxa" w:w="100"/>
            </w:tcMar>
            <w:vAlign w:val="center"/>
          </w:tcPr>
          <w:p>
            <w:pPr>
              <w:spacing w:line="240"/>
            </w:pPr>
            <w:r>
              <w:rPr>
                <w:rFonts w:ascii="Arial" w:cs="Arial" w:eastAsia="Arial" w:hAnsi="Arial"/>
                <w:sz w:val="20"/>
                <w:szCs w:val="20"/>
              </w:rPr>
              <w:t xml:space="preserve">5 horas/semana.</w:t>
            </w:r>
          </w:p>
        </w:tc>
      </w:tr>
    </w:tbl>
    <w:p>
      <w:pPr>
        <w:pStyle w:val="Heading2"/>
        <w:spacing w:after="120" w:before="200" w:line="240"/>
      </w:pPr>
      <w:r>
        <w:rPr>
          <w:rFonts w:ascii="Arial" w:cs="Arial" w:eastAsia="Arial" w:hAnsi="Arial"/>
          <w:b/>
          <w:bCs/>
          <w:sz w:val="24"/>
          <w:szCs w:val="24"/>
        </w:rPr>
        <w:t xml:space="preserve">1.3 Justificación de la programación</w:t>
      </w:r>
    </w:p>
    <w:p>
      <w:pPr>
        <w:spacing w:after="160" w:line="240"/>
      </w:pPr>
      <w:r>
        <w:rPr>
          <w:rFonts w:ascii="Arial" w:cs="Arial" w:eastAsia="Arial" w:hAnsi="Arial"/>
          <w:b w:val="false"/>
          <w:bCs w:val="false"/>
          <w:i w:val="false"/>
          <w:iCs w:val="false"/>
          <w:sz w:val="22"/>
          <w:szCs w:val="22"/>
        </w:rPr>
        <w:t xml:space="preserve">La elaboración de esta programación didáctica responde, en primer lugar, al mandato de la propia convocatoria del procedimiento selectivo: la Orden de convocatoria exige a quienes aspiran a ingresar en el Cuerpo de Profesores de Enseñanza Secundaria la presentación de una programación didáctica como parte de la fase de oposición, conforme a lo establecido en sus </w:t>
      </w:r>
      <w:r>
        <w:rPr>
          <w:rFonts w:ascii="Arial" w:cs="Arial" w:eastAsia="Arial" w:hAnsi="Arial"/>
          <w:b/>
          <w:bCs/>
          <w:color w:val="C00000"/>
          <w:sz w:val="22"/>
          <w:szCs w:val="22"/>
        </w:rPr>
        <w:t xml:space="preserve">Anexos VI (criterios de valoración) y XIX (aspectos formales) [⚠ DUDOSO: numeración de la Orden de convocatoria de 20/11/2024, para la convocatoria 2025 — pendiente de confirmar que se mantiene igual cuando se publique la Orden de la próxima convocatoria]</w:t>
      </w:r>
      <w:r>
        <w:rPr>
          <w:rFonts w:ascii="Arial" w:cs="Arial" w:eastAsia="Arial" w:hAnsi="Arial"/>
          <w:b w:val="false"/>
          <w:bCs w:val="false"/>
          <w:i w:val="false"/>
          <w:iCs w:val="false"/>
          <w:sz w:val="22"/>
          <w:szCs w:val="22"/>
        </w:rPr>
        <w:t xml:space="preserve">. Superar este requisito es, por tanto, condición necesaria para continuar en el proceso selectivo.</w:t>
      </w:r>
    </w:p>
    <w:p>
      <w:pPr>
        <w:spacing w:after="160" w:line="240"/>
      </w:pPr>
      <w:r>
        <w:rPr>
          <w:rFonts w:ascii="Arial" w:cs="Arial" w:eastAsia="Arial" w:hAnsi="Arial"/>
          <w:b w:val="false"/>
          <w:bCs w:val="false"/>
          <w:i w:val="false"/>
          <w:iCs w:val="false"/>
          <w:sz w:val="22"/>
          <w:szCs w:val="22"/>
        </w:rPr>
        <w:t xml:space="preserve">Más allá de esta exigencia formal, elaborar esta programación permite situar la intervención docente dentro de los distintos niveles de concreción curricular que articulan el sistema educativo español, y justificar por qué es el profesorado —y no únicamente la Administración— quien debe desarrollar y adaptar el currículo a la realidad concreta de su alumnado. El concepto de autonomía pedagógica encuentra aquí su mayor respaldo: todo centro educativo dispone, conforme a la normativa vigente, de autonomía para elaborar, aprobar y ejecutar sus propios documentos de planificación, siempre dentro de los parámetros mínimos fijados a nivel estatal y autonómico. Esta programación didáctica transita, en consecuencia, a través de los siguientes niveles de concreción:</w:t>
      </w:r>
    </w:p>
    <w:p>
      <w:pPr>
        <w:spacing w:after="160" w:line="240"/>
      </w:pPr>
      <w:r>
        <w:rPr>
          <w:rFonts w:ascii="Arial" w:cs="Arial" w:eastAsia="Arial" w:hAnsi="Arial"/>
          <w:b w:val="false"/>
          <w:bCs w:val="false"/>
          <w:i w:val="false"/>
          <w:iCs w:val="false"/>
          <w:sz w:val="22"/>
          <w:szCs w:val="22"/>
        </w:rPr>
        <w:t xml:space="preserve">– La Ley Orgánica 3/2020, de 29 de diciembre, por la que se modifica la Ley Orgánica 2/2006, de 3 de mayo, de Educación (LOMLOE), como marco normativo de referencia a nivel estatal.</w:t>
      </w:r>
    </w:p>
    <w:p>
      <w:pPr>
        <w:spacing w:after="160" w:line="240"/>
      </w:pPr>
      <w:r>
        <w:rPr>
          <w:rFonts w:ascii="Arial" w:cs="Arial" w:eastAsia="Arial" w:hAnsi="Arial"/>
          <w:b w:val="false"/>
          <w:bCs w:val="false"/>
          <w:i w:val="false"/>
          <w:iCs w:val="false"/>
          <w:sz w:val="22"/>
          <w:szCs w:val="22"/>
        </w:rPr>
        <w:t xml:space="preserve">– El Real Decreto que establece el título (Real Decreto 1074/2012, de 13 de julio, modificado por el Real Decreto 289/2023, de 18 de abril) y la Orden de currículo autonómica (Orden de 21 de septiembre de 2026, de la Consejería de Educación y Formación Profesional).</w:t>
      </w:r>
    </w:p>
    <w:p>
      <w:pPr>
        <w:spacing w:after="160" w:line="240"/>
      </w:pPr>
      <w:r>
        <w:rPr>
          <w:rFonts w:ascii="Arial" w:cs="Arial" w:eastAsia="Arial" w:hAnsi="Arial"/>
          <w:b w:val="false"/>
          <w:bCs w:val="false"/>
          <w:i w:val="false"/>
          <w:iCs w:val="false"/>
          <w:sz w:val="22"/>
          <w:szCs w:val="22"/>
        </w:rPr>
        <w:t xml:space="preserve">– El Proyecto Educativo de Centro, la Programación General Anual y la Memoria Anual del centro educativo, como documentos institucionales que concretan esas directrices a la realidad de cada centro.</w:t>
      </w:r>
    </w:p>
    <w:p>
      <w:pPr>
        <w:spacing w:after="160" w:line="240"/>
      </w:pPr>
      <w:r>
        <w:rPr>
          <w:rFonts w:ascii="Arial" w:cs="Arial" w:eastAsia="Arial" w:hAnsi="Arial"/>
          <w:b w:val="false"/>
          <w:bCs w:val="false"/>
          <w:i w:val="false"/>
          <w:iCs w:val="false"/>
          <w:sz w:val="22"/>
          <w:szCs w:val="22"/>
        </w:rPr>
        <w:t xml:space="preserve">– La propia programación docente, referida al módulo y al aula.</w:t>
      </w:r>
    </w:p>
    <w:p>
      <w:pPr>
        <w:spacing w:after="160" w:line="240"/>
      </w:pPr>
      <w:r>
        <w:rPr>
          <w:rFonts w:ascii="Arial" w:cs="Arial" w:eastAsia="Arial" w:hAnsi="Arial"/>
          <w:b w:val="false"/>
          <w:bCs w:val="false"/>
          <w:i w:val="false"/>
          <w:iCs w:val="false"/>
          <w:sz w:val="22"/>
          <w:szCs w:val="22"/>
        </w:rPr>
        <w:t xml:space="preserve">– Y, en último nivel de concreción, el alumnado, con sus necesidades específicas de apoyo educativo (ACNEAE), al que finalmente debe adaptarse toda la planificación anterior.</w:t>
      </w:r>
    </w:p>
    <w:p>
      <w:pPr>
        <w:spacing w:after="160" w:line="240"/>
      </w:pPr>
      <w:r>
        <w:rPr>
          <w:rFonts w:ascii="Arial" w:cs="Arial" w:eastAsia="Arial" w:hAnsi="Arial"/>
          <w:b w:val="false"/>
          <w:bCs w:val="false"/>
          <w:i w:val="false"/>
          <w:iCs w:val="false"/>
          <w:sz w:val="22"/>
          <w:szCs w:val="22"/>
        </w:rPr>
        <w:t xml:space="preserve">Esta programación didáctica sirve, en definitiva, como el instrumento que permite planificar de forma coherente y fundamentada el proceso de enseñanza-aprendizaje del módulo durante un curso académico completo, garantizando que los resultados de aprendizaje y criterios de evaluación establecidos normativamente se trabajen de manera ordenada, progresiva y evaluable, y sirviendo como referencia tanto para la propia práctica docente como para su defensa ante el tribunal.</w:t>
      </w:r>
    </w:p>
    <w:p>
      <w:pPr>
        <w:spacing w:after="160" w:line="240"/>
      </w:pPr>
      <w:r>
        <w:rPr>
          <w:rFonts w:ascii="Arial" w:cs="Arial" w:eastAsia="Arial" w:hAnsi="Arial"/>
          <w:b w:val="false"/>
          <w:bCs w:val="false"/>
          <w:i w:val="false"/>
          <w:iCs w:val="false"/>
          <w:sz w:val="22"/>
          <w:szCs w:val="22"/>
        </w:rPr>
        <w:t xml:space="preserve">En cuanto a la importancia del módulo dentro del ciclo formativo, 0017. Habilidades sociales dota al alumnado de competencias de comunicación, inteligencia emocional, dinamización de grupos, conducción de reuniones y gestión de conflictos que resultan transversales al resto de módulos del título de Técnico Superior en Integración Social, y que son, además, condición necesaria para el desempeño de las funciones de intervención social que definen la competencia general del ciclo. Su superación contribuye, por tanto, tanto a la adquisición del resto de aprendizajes del ciclo como a los objetivos generales de la etapa de Formación Profesional.</w:t>
      </w:r>
    </w:p>
    <w:p>
      <w:pPr>
        <w:spacing w:after="160" w:line="240"/>
      </w:pPr>
      <w:r>
        <w:rPr>
          <w:rFonts w:ascii="Arial" w:cs="Arial" w:eastAsia="Arial" w:hAnsi="Arial"/>
          <w:b w:val="false"/>
          <w:bCs w:val="false"/>
          <w:i w:val="false"/>
          <w:iCs w:val="false"/>
          <w:sz w:val="22"/>
          <w:szCs w:val="22"/>
        </w:rPr>
        <w:t xml:space="preserve">Respecto a la relación con las Unidades de Trabajo, esta programación se organiza en un mínimo de 12 UT —conforme exige el </w:t>
      </w:r>
      <w:r>
        <w:rPr>
          <w:rFonts w:ascii="Arial" w:cs="Arial" w:eastAsia="Arial" w:hAnsi="Arial"/>
          <w:b/>
          <w:bCs/>
          <w:color w:val="C00000"/>
          <w:sz w:val="22"/>
          <w:szCs w:val="22"/>
        </w:rPr>
        <w:t xml:space="preserve">Anexo XIX [⚠ ver nota anterior]</w:t>
      </w:r>
      <w:r>
        <w:rPr>
          <w:rFonts w:ascii="Arial" w:cs="Arial" w:eastAsia="Arial" w:hAnsi="Arial"/>
          <w:b w:val="false"/>
          <w:bCs w:val="false"/>
          <w:i w:val="false"/>
          <w:iCs w:val="false"/>
          <w:sz w:val="22"/>
          <w:szCs w:val="22"/>
        </w:rPr>
        <w:t xml:space="preserve"> de la Orden de convocatoria—, resultado de repartir los contenidos y criterios de evaluación de los 5 Resultados de Aprendizaje del módulo en bloques de trabajo coherentes y de extensión acotada. Su distribución a lo largo de las evaluaciones del curso académico se detallará en el apartado correspondiente de esta programación (punto 4); el número exacto de evaluaciones está pendiente de concretar, ya que el calendario del alumnado de 2.º curso queda condicionado por el inicio de la fase de formación en el centro de trabajo (FCT), previsto habitualmente en torno a los meses de marzo-abril.</w:t>
      </w:r>
    </w:p>
    <w:p>
      <w:pPr>
        <w:spacing w:after="160" w:line="240"/>
      </w:pPr>
      <w:r>
        <w:rPr>
          <w:rFonts w:ascii="Arial" w:cs="Arial" w:eastAsia="Arial" w:hAnsi="Arial"/>
          <w:b w:val="false"/>
          <w:bCs w:val="false"/>
          <w:i w:val="false"/>
          <w:iCs w:val="false"/>
          <w:sz w:val="22"/>
          <w:szCs w:val="22"/>
        </w:rPr>
        <w:t xml:space="preserve">Por último, no debe perderse de vista que esta programación se redacta con vistas a una convocatoria de oposición: su finalidad inmediata es superar el proceso selectivo de acceso al Cuerpo de Profesores de Enseñanza Secundaria, por lo que su elaboración, además de responder a criterios pedagógicos y curriculares, atiende también a los criterios de valoración establecidos por el tribunal en el </w:t>
      </w:r>
      <w:r>
        <w:rPr>
          <w:rFonts w:ascii="Arial" w:cs="Arial" w:eastAsia="Arial" w:hAnsi="Arial"/>
          <w:b/>
          <w:bCs/>
          <w:color w:val="C00000"/>
          <w:sz w:val="22"/>
          <w:szCs w:val="22"/>
        </w:rPr>
        <w:t xml:space="preserve">Anexo VI [⚠ ver nota anterior]</w:t>
      </w:r>
      <w:r>
        <w:rPr>
          <w:rFonts w:ascii="Arial" w:cs="Arial" w:eastAsia="Arial" w:hAnsi="Arial"/>
          <w:b w:val="false"/>
          <w:bCs w:val="false"/>
          <w:i w:val="false"/>
          <w:iCs w:val="false"/>
          <w:sz w:val="22"/>
          <w:szCs w:val="22"/>
        </w:rPr>
        <w:t xml:space="preserve"> de la Orden de convocatoria.</w:t>
      </w:r>
    </w:p>
    <w:p>
      <w:pPr>
        <w:pStyle w:val="Heading2"/>
        <w:spacing w:after="120" w:before="200" w:line="240"/>
      </w:pPr>
      <w:r>
        <w:rPr>
          <w:rFonts w:ascii="Arial" w:cs="Arial" w:eastAsia="Arial" w:hAnsi="Arial"/>
          <w:b/>
          <w:bCs/>
          <w:sz w:val="24"/>
          <w:szCs w:val="24"/>
        </w:rPr>
        <w:t xml:space="preserve">1.4 Referencias legislativas</w:t>
      </w:r>
    </w:p>
    <w:p>
      <w:pPr>
        <w:spacing w:after="160" w:line="240"/>
      </w:pPr>
      <w:r>
        <w:rPr>
          <w:rFonts w:ascii="Arial" w:cs="Arial" w:eastAsia="Arial" w:hAnsi="Arial"/>
          <w:b w:val="false"/>
          <w:bCs w:val="false"/>
          <w:i w:val="false"/>
          <w:iCs w:val="false"/>
          <w:sz w:val="22"/>
          <w:szCs w:val="22"/>
        </w:rPr>
        <w:t xml:space="preserve">Para el desarrollo de esta programación se han tomado como pilares básicos los siguientes referentes legislativos, ordenados de mayor a menor rango normativo:</w:t>
      </w:r>
    </w:p>
    <w:p>
      <w:pPr>
        <w:spacing w:after="100" w:before="160" w:line="240"/>
      </w:pPr>
      <w:r>
        <w:rPr>
          <w:rFonts w:ascii="Arial" w:cs="Arial" w:eastAsia="Arial" w:hAnsi="Arial"/>
          <w:b/>
          <w:bCs/>
          <w:i/>
          <w:iCs/>
          <w:sz w:val="22"/>
          <w:szCs w:val="22"/>
        </w:rPr>
        <w:t xml:space="preserve">Normativa educativa general</w:t>
      </w:r>
    </w:p>
    <w:p>
      <w:pPr>
        <w:spacing w:after="160" w:line="240"/>
      </w:pPr>
      <w:r>
        <w:rPr>
          <w:rFonts w:ascii="Arial" w:cs="Arial" w:eastAsia="Arial" w:hAnsi="Arial"/>
          <w:b w:val="false"/>
          <w:bCs w:val="false"/>
          <w:i w:val="false"/>
          <w:iCs w:val="false"/>
          <w:sz w:val="22"/>
          <w:szCs w:val="22"/>
        </w:rPr>
        <w:t xml:space="preserve">– Agenda 2030 — Marco estratégico europeo de educación — ODS4, Educación de calidad.</w:t>
      </w:r>
    </w:p>
    <w:p>
      <w:pPr>
        <w:spacing w:after="160" w:line="240"/>
      </w:pPr>
      <w:r>
        <w:rPr>
          <w:rFonts w:ascii="Arial" w:cs="Arial" w:eastAsia="Arial" w:hAnsi="Arial"/>
          <w:b w:val="false"/>
          <w:bCs w:val="false"/>
          <w:i w:val="false"/>
          <w:iCs w:val="false"/>
          <w:sz w:val="22"/>
          <w:szCs w:val="22"/>
        </w:rPr>
        <w:t xml:space="preserve">– Ley Orgánica 3/2020, de 29 de diciembre, por la que se modifica la Ley Orgánica 2/2006, de 3 de mayo, de Educación (LOMLOE).</w:t>
      </w:r>
    </w:p>
    <w:p>
      <w:pPr>
        <w:spacing w:after="100" w:before="160" w:line="240"/>
      </w:pPr>
      <w:r>
        <w:rPr>
          <w:rFonts w:ascii="Arial" w:cs="Arial" w:eastAsia="Arial" w:hAnsi="Arial"/>
          <w:b/>
          <w:bCs/>
          <w:i/>
          <w:iCs/>
          <w:sz w:val="22"/>
          <w:szCs w:val="22"/>
        </w:rPr>
        <w:t xml:space="preserve">Normativa de Formación Profesional</w:t>
      </w:r>
    </w:p>
    <w:p>
      <w:pPr>
        <w:spacing w:after="160" w:line="240"/>
      </w:pPr>
      <w:r>
        <w:rPr>
          <w:rFonts w:ascii="Arial" w:cs="Arial" w:eastAsia="Arial" w:hAnsi="Arial"/>
          <w:b w:val="false"/>
          <w:bCs w:val="false"/>
          <w:i w:val="false"/>
          <w:iCs w:val="false"/>
          <w:sz w:val="22"/>
          <w:szCs w:val="22"/>
        </w:rPr>
        <w:t xml:space="preserve">– Ley Orgánica 3/2022, de 31 de marzo, de ordenación e integración de la Formación Profesional.</w:t>
      </w:r>
    </w:p>
    <w:p>
      <w:pPr>
        <w:spacing w:after="160" w:line="240"/>
      </w:pPr>
      <w:r>
        <w:rPr>
          <w:rFonts w:ascii="Arial" w:cs="Arial" w:eastAsia="Arial" w:hAnsi="Arial"/>
          <w:b w:val="false"/>
          <w:bCs w:val="false"/>
          <w:i w:val="false"/>
          <w:iCs w:val="false"/>
          <w:sz w:val="22"/>
          <w:szCs w:val="22"/>
        </w:rPr>
        <w:t xml:space="preserve">– Real Decreto 659/2023, de 18 de julio, por el que se desarrolla la ordenación del Sistema de Formación Profesional.</w:t>
      </w:r>
    </w:p>
    <w:p>
      <w:pPr>
        <w:spacing w:after="160" w:line="240"/>
      </w:pPr>
      <w:r>
        <w:rPr>
          <w:rFonts w:ascii="Arial" w:cs="Arial" w:eastAsia="Arial" w:hAnsi="Arial"/>
          <w:b w:val="false"/>
          <w:bCs w:val="false"/>
          <w:i w:val="false"/>
          <w:iCs w:val="false"/>
          <w:sz w:val="22"/>
          <w:szCs w:val="22"/>
        </w:rPr>
        <w:t xml:space="preserve">– Resolución de 5 de julio de 2024, de la Dirección General de Formación Profesional, Enseñanzas de Régimen Especial y Educación Permanente, por la que se dictan instrucciones sobre la ordenación y organización de los ciclos formativos de grado medio y de grado superior en la Comunidad Autónoma de la Región de Murcia, en aplicación del Real Decreto 659/2023, de 18 de julio.</w:t>
      </w:r>
    </w:p>
    <w:p>
      <w:pPr>
        <w:spacing w:after="160" w:line="240"/>
      </w:pPr>
      <w:r>
        <w:rPr>
          <w:rFonts w:ascii="Arial" w:cs="Arial" w:eastAsia="Arial" w:hAnsi="Arial"/>
          <w:b w:val="false"/>
          <w:bCs w:val="false"/>
          <w:i w:val="false"/>
          <w:iCs w:val="false"/>
          <w:sz w:val="22"/>
          <w:szCs w:val="22"/>
        </w:rPr>
        <w:t xml:space="preserve">– Orden de 1 de junio de 2006, de la Consejería de Educación y Cultura, por la que se regula el procedimiento que garantiza la objetividad en la evaluación de los alumnos de Educación Secundaria y Formación Profesional de Grado Superior.</w:t>
      </w:r>
    </w:p>
    <w:p>
      <w:pPr>
        <w:spacing w:after="100" w:before="160" w:line="240"/>
      </w:pPr>
      <w:r>
        <w:rPr>
          <w:rFonts w:ascii="Arial" w:cs="Arial" w:eastAsia="Arial" w:hAnsi="Arial"/>
          <w:b/>
          <w:bCs/>
          <w:i/>
          <w:iCs/>
          <w:sz w:val="22"/>
          <w:szCs w:val="22"/>
        </w:rPr>
        <w:t xml:space="preserve">Normativa del Ciclo Formativo</w:t>
      </w:r>
    </w:p>
    <w:p>
      <w:pPr>
        <w:spacing w:after="160" w:line="240"/>
      </w:pPr>
      <w:r>
        <w:rPr>
          <w:rFonts w:ascii="Arial" w:cs="Arial" w:eastAsia="Arial" w:hAnsi="Arial"/>
          <w:b w:val="false"/>
          <w:bCs w:val="false"/>
          <w:i w:val="false"/>
          <w:iCs w:val="false"/>
          <w:sz w:val="22"/>
          <w:szCs w:val="22"/>
        </w:rPr>
        <w:t xml:space="preserve">– Real Decreto 1074/2012, de 13 de julio, por el que se establece el título de Técnico Superior en Integración Social y se fijan sus enseñanzas mínimas, modificado por el Real Decreto 289/2023, de 18 de abril.</w:t>
      </w:r>
    </w:p>
    <w:p>
      <w:pPr>
        <w:spacing w:after="160" w:line="240"/>
      </w:pPr>
      <w:r>
        <w:rPr>
          <w:rFonts w:ascii="Arial" w:cs="Arial" w:eastAsia="Arial" w:hAnsi="Arial"/>
          <w:b w:val="false"/>
          <w:bCs w:val="false"/>
          <w:i w:val="false"/>
          <w:iCs w:val="false"/>
          <w:sz w:val="22"/>
          <w:szCs w:val="22"/>
        </w:rPr>
        <w:t xml:space="preserve">– Orden de 21 de septiembre de 2026, de la Consejería de Educación y Formación Profesional, por la que se establecen los currículos de los títulos de los ciclos formativos de grado superior y se regulan determinados aspectos organizativos en la Comunidad Autónoma de la Región de Murcia.</w:t>
      </w:r>
    </w:p>
    <w:p>
      <w:pPr>
        <w:spacing w:after="100" w:before="160" w:line="240"/>
      </w:pPr>
      <w:r>
        <w:rPr>
          <w:rFonts w:ascii="Arial" w:cs="Arial" w:eastAsia="Arial" w:hAnsi="Arial"/>
          <w:b/>
          <w:bCs/>
          <w:i/>
          <w:iCs/>
          <w:sz w:val="22"/>
          <w:szCs w:val="22"/>
        </w:rPr>
        <w:t xml:space="preserve">Normativa de educación inclusiva — Atención a las diferencias individuales</w:t>
      </w:r>
    </w:p>
    <w:p>
      <w:pPr>
        <w:spacing w:after="160" w:line="240"/>
      </w:pPr>
      <w:r>
        <w:rPr>
          <w:rFonts w:ascii="Arial" w:cs="Arial" w:eastAsia="Arial" w:hAnsi="Arial"/>
          <w:b w:val="false"/>
          <w:bCs w:val="false"/>
          <w:i w:val="false"/>
          <w:iCs w:val="false"/>
          <w:sz w:val="22"/>
          <w:szCs w:val="22"/>
        </w:rPr>
        <w:t xml:space="preserve">– Decreto n.º 359/2009, de 30 de octubre, por el que se establece y regula la respuesta educativa a la diversidad del alumnado en la Comunidad Autónoma de la Región de Murcia.</w:t>
      </w:r>
    </w:p>
    <w:p>
      <w:pPr>
        <w:spacing w:after="160" w:line="240"/>
      </w:pPr>
      <w:r>
        <w:rPr>
          <w:rFonts w:ascii="Arial" w:cs="Arial" w:eastAsia="Arial" w:hAnsi="Arial"/>
          <w:b w:val="false"/>
          <w:bCs w:val="false"/>
          <w:i w:val="false"/>
          <w:iCs w:val="false"/>
          <w:sz w:val="22"/>
          <w:szCs w:val="22"/>
        </w:rPr>
        <w:t xml:space="preserve">– Orden de 4 de junio de 2010, de la Consejería de Educación, Formación y Empleo, por la que se regula el Plan de Atención a la Diversidad de los Centros Públicos y Centros Privados Concertados de la Región de Murcia.</w:t>
      </w:r>
    </w:p>
    <w:p>
      <w:pPr>
        <w:pStyle w:val="Heading2"/>
        <w:spacing w:after="120" w:before="200" w:line="240"/>
      </w:pPr>
      <w:r>
        <w:rPr>
          <w:rFonts w:ascii="Arial" w:cs="Arial" w:eastAsia="Arial" w:hAnsi="Arial"/>
          <w:b/>
          <w:bCs/>
          <w:sz w:val="24"/>
          <w:szCs w:val="24"/>
        </w:rPr>
        <w:t xml:space="preserve">1.5 Fuentes sociales</w:t>
      </w:r>
    </w:p>
    <w:p>
      <w:pPr>
        <w:spacing w:after="160" w:line="240"/>
      </w:pPr>
      <w:r>
        <w:rPr>
          <w:rFonts w:ascii="Arial" w:cs="Arial" w:eastAsia="Arial" w:hAnsi="Arial"/>
          <w:b w:val="false"/>
          <w:bCs w:val="false"/>
          <w:i w:val="false"/>
          <w:iCs w:val="false"/>
          <w:sz w:val="22"/>
          <w:szCs w:val="22"/>
        </w:rPr>
        <w:t xml:space="preserve">Esta programación didáctica no se elabora al margen de su contexto, sino en relación directa con el marco social, científico, pedagógico y psicológico en el que se enmarca la intervención educativa. Para situarla adecuadamente, resulta necesario conectar lo programado con las nuevas necesidades y demandas sociales del modelo social y laboral actual, así como con las tendencias, intereses y peculiaridades que de ellos se derivan.</w:t>
      </w:r>
    </w:p>
    <w:p>
      <w:pPr>
        <w:spacing w:after="160" w:line="240"/>
      </w:pPr>
      <w:r>
        <w:rPr>
          <w:rFonts w:ascii="Arial" w:cs="Arial" w:eastAsia="Arial" w:hAnsi="Arial"/>
          <w:b w:val="false"/>
          <w:bCs w:val="false"/>
          <w:i w:val="false"/>
          <w:iCs w:val="false"/>
          <w:sz w:val="22"/>
          <w:szCs w:val="22"/>
        </w:rPr>
        <w:t xml:space="preserve">No podemos perder de vista la importancia de la Formación Profesional en la actualidad como vía de cualificación y de acceso al mundo laboral, y de manera más específica, el impacto sociolaboral de la familia profesional de Servicios Socioculturales y a la Comunidad y del ciclo formativo de Integración Social, así como el constructo teórico, normativo y sociolaboral que se desprende de este sector. En este sentido, resulta especialmente pertinente atender a la actual y necesaria transformación de los procesos educativos originada en la búsqueda del desarrollo de nuevas habilidades y competencias que los profesionales del siglo XXI tienen que adquirir.</w:t>
      </w:r>
    </w:p>
    <w:p>
      <w:pPr>
        <w:spacing w:after="160" w:line="240"/>
      </w:pPr>
      <w:r>
        <w:rPr>
          <w:rFonts w:ascii="Arial" w:cs="Arial" w:eastAsia="Arial" w:hAnsi="Arial"/>
          <w:b w:val="false"/>
          <w:bCs w:val="false"/>
          <w:i w:val="false"/>
          <w:iCs w:val="false"/>
          <w:sz w:val="22"/>
          <w:szCs w:val="22"/>
        </w:rPr>
        <w:t xml:space="preserve">Siguiendo el planteamiento clásico de César Coll sobre las fuentes del currículo, esta programación didáctica se sustenta en cuatro fuentes que influyen de manera decisiva en su elaboración:</w:t>
      </w:r>
    </w:p>
    <w:p>
      <w:pPr>
        <w:spacing w:after="160" w:line="240"/>
      </w:pPr>
      <w:r>
        <w:rPr>
          <w:rFonts w:ascii="Arial" w:cs="Arial" w:eastAsia="Arial" w:hAnsi="Arial"/>
          <w:b w:val="false"/>
          <w:bCs w:val="false"/>
          <w:i w:val="false"/>
          <w:iCs w:val="false"/>
          <w:sz w:val="22"/>
          <w:szCs w:val="22"/>
        </w:rPr>
        <w:t xml:space="preserve">– Epistemológica: tiene en cuenta las características y fundamentos del saber, la lógica interna de la materia y la evolución de las ideas científicas. En el caso del módulo 0017. Habilidades sociales, esta fuente remite al cuerpo de conocimiento propio de la psicología social, la teoría de la comunicación y la dinámica de grupos sobre el que se construyen sus cinco Resultados de Aprendizaje.</w:t>
      </w:r>
    </w:p>
    <w:p>
      <w:pPr>
        <w:spacing w:after="160" w:line="240"/>
      </w:pPr>
      <w:r>
        <w:rPr>
          <w:rFonts w:ascii="Arial" w:cs="Arial" w:eastAsia="Arial" w:hAnsi="Arial"/>
          <w:b w:val="false"/>
          <w:bCs w:val="false"/>
          <w:i w:val="false"/>
          <w:iCs w:val="false"/>
          <w:sz w:val="22"/>
          <w:szCs w:val="22"/>
        </w:rPr>
        <w:t xml:space="preserve">– Sociológica: recoge las características de la sociedad y los aspectos fundamentales de su organización y dinámica, así como las demandas sociales al sistema educativo. Atendiendo al informe Delors y al informe de la UNESCO «Reinventar juntos nuestros futuros», conviene dirigir los procesos de enseñanza hacia los cuatro pilares del desarrollo ciudadano —aprender a conocer, aprender a hacer, aprender a ser y aprender a estar—, a los que se suma la metacompetencia «aprender a cuidar y transformar». Esta fuente resulta especialmente pertinente en un módulo como el que nos ocupa, cuyo propio objeto de estudio —las habilidades sociales— se encuadra dentro de las denominadas soft skills que el CEDEFOP (Centro Europeo para el Desarrollo de la Formación Profesional) señala como imprescindibles para los profesionales del siglo XXI.</w:t>
      </w:r>
    </w:p>
    <w:p>
      <w:pPr>
        <w:spacing w:after="160" w:line="240"/>
      </w:pPr>
      <w:r>
        <w:rPr>
          <w:rFonts w:ascii="Arial" w:cs="Arial" w:eastAsia="Arial" w:hAnsi="Arial"/>
          <w:b w:val="false"/>
          <w:bCs w:val="false"/>
          <w:i w:val="false"/>
          <w:iCs w:val="false"/>
          <w:sz w:val="22"/>
          <w:szCs w:val="22"/>
        </w:rPr>
        <w:t xml:space="preserve">– Pedagógica: aporta las aplicaciones didácticas, la práctica educativa y las finalidades de la Educación que orientan la metodología y las estrategias de enseñanza-aprendizaje de esta programación.</w:t>
      </w:r>
    </w:p>
    <w:p>
      <w:pPr>
        <w:spacing w:after="160" w:line="240"/>
      </w:pPr>
      <w:r>
        <w:rPr>
          <w:rFonts w:ascii="Arial" w:cs="Arial" w:eastAsia="Arial" w:hAnsi="Arial"/>
          <w:b w:val="false"/>
          <w:bCs w:val="false"/>
          <w:i w:val="false"/>
          <w:iCs w:val="false"/>
          <w:sz w:val="22"/>
          <w:szCs w:val="22"/>
        </w:rPr>
        <w:t xml:space="preserve">– Psicológica: proporciona los datos sobre las características de los sujetos a los que va dirigida la programación, su momento evolutivo y los principios de cómo ha de producirse el aprendizaje, que se desarrollarán con mayor detalle en el apartado de Contextualización.</w:t>
      </w:r>
    </w:p>
    <w:p>
      <w:pPr>
        <w:pStyle w:val="Heading1"/>
        <w:spacing w:after="160" w:before="280" w:line="240"/>
      </w:pPr>
      <w:r>
        <w:rPr>
          <w:rFonts w:ascii="Arial" w:cs="Arial" w:eastAsia="Arial" w:hAnsi="Arial"/>
          <w:b/>
          <w:bCs/>
          <w:sz w:val="28"/>
          <w:szCs w:val="28"/>
        </w:rPr>
        <w:t xml:space="preserve">2. CONTEXTUALIZACIÓN</w:t>
      </w:r>
    </w:p>
    <w:p>
      <w:pPr>
        <w:pStyle w:val="Heading2"/>
        <w:spacing w:after="120" w:before="200" w:line="240"/>
      </w:pPr>
      <w:r>
        <w:rPr>
          <w:rFonts w:ascii="Arial" w:cs="Arial" w:eastAsia="Arial" w:hAnsi="Arial"/>
          <w:b/>
          <w:bCs/>
          <w:sz w:val="24"/>
          <w:szCs w:val="24"/>
        </w:rPr>
        <w:t xml:space="preserve">2.1 Características del centro</w:t>
      </w:r>
    </w:p>
    <w:p>
      <w:pPr>
        <w:spacing w:after="240" w:line="240"/>
      </w:pPr>
      <w:r>
        <w:rPr>
          <w:rFonts w:ascii="Arial" w:cs="Arial" w:eastAsia="Arial" w:hAnsi="Arial"/>
          <w:sz w:val="22"/>
          <w:szCs w:val="22"/>
        </w:rPr>
        <w:t xml:space="preserve">El centro elegido para el desarrollo de esta programación didáctica es el IES Villa de Abarán, situado en el municipio de Abarán (Región de Murcia). Según su Proyecto Educativo de Centro y su Programación General Anual del curso 2025-2026, es un centro público que imparte Educación Secundaria Obligatoria, Bachillerato (modalidades de Ciencias y Tecnología y de Humanidades y Ciencias Sociales), Formación Profesional Básica (Electricidad y Electrónica, y Administrativo), Ciclos Formativos de Grado Medio (Gestión Administrativa y Atención a Personas en Situación de Dependencia) y de Grado Superior (Administración y Finanzas, Acondicionamiento Físico e Integración Social —este último, el ciclo en el que se enmarca el módulo 0017. Habilidades sociales objeto de esta programación—), además de un Programa Formativo Profesional en modalidad especial.</w:t>
      </w:r>
    </w:p>
    <w:p>
      <w:pPr>
        <w:spacing w:after="240" w:line="240"/>
      </w:pPr>
      <w:r>
        <w:rPr>
          <w:rFonts w:ascii="Arial" w:cs="Arial" w:eastAsia="Arial" w:hAnsi="Arial"/>
          <w:sz w:val="22"/>
          <w:szCs w:val="22"/>
        </w:rPr>
        <w:t xml:space="preserve">El centro inicia el curso 2025-2026 con 914 alumnos y alumnas, de los cuales 157 (un 17%) son de origen inmigrante, mayoritariamente de procedencia marroquí, seguida de la hondureña. De ellos, 822 cursan sus estudios en el turno de mañana (495 en ESO y 164 en Bachillerato) y 92 en el turno vespertino. Las edades del alumnado del centro oscilan, con carácter general, entre los 12 y los 22 años, si bien parte del alumnado de los ciclos de Grado Superior supera esta franja. El alumnado de Educación Secundaria Obligatoria procede principalmente de los cinco centros públicos de Educación Primaria de la localidad, mientras que los Ciclos Formativos —especialmente los de Grado Superior— reciben un porcentaje significativo de alumnado procedente de toda la comarca del Valle de Ricote y de la localidad de Cieza.</w:t>
      </w:r>
    </w:p>
    <w:p>
      <w:pPr>
        <w:spacing w:after="240" w:line="240"/>
      </w:pPr>
      <w:r>
        <w:rPr>
          <w:rFonts w:ascii="Arial" w:cs="Arial" w:eastAsia="Arial" w:hAnsi="Arial"/>
          <w:sz w:val="22"/>
          <w:szCs w:val="22"/>
        </w:rPr>
        <w:t xml:space="preserve">El personal del centro está formado por 99 docentes (12 de ellos a tiempo parcial) y 12 no docentes (ordenanzas, personal de limpieza, personal administrativo, un Auxiliar Técnico Educativo y un mediador comunicativo), según la Programación General Anual del curso 2025-2026. </w:t>
      </w:r>
      <w:r>
        <w:rPr>
          <w:rFonts w:ascii="Arial" w:cs="Arial" w:eastAsia="Arial" w:hAnsi="Arial"/>
          <w:b/>
          <w:bCs/>
          <w:color w:val="C00000"/>
          <w:sz w:val="22"/>
          <w:szCs w:val="22"/>
        </w:rPr>
        <w:t xml:space="preserve">El número de docentes del departamento de Servicios Socioculturales y a la Comunidad en este centro (especialidades de Intervención Sociocomunitaria y de Servicios a la Comunidad), así como el porcentaje de profesorado con destino definitivo frente a interino, no ha podido confirmarse todavía con una fuente fiable; esta información se ha solicitado a un contacto directo del centro y se incorporará en cuanto se confirme</w:t>
      </w:r>
      <w:r>
        <w:rPr>
          <w:rFonts w:ascii="Arial" w:cs="Arial" w:eastAsia="Arial" w:hAnsi="Arial"/>
          <w:sz w:val="22"/>
          <w:szCs w:val="22"/>
        </w:rPr>
        <w:t xml:space="preserve">.</w:t>
      </w:r>
    </w:p>
    <w:p>
      <w:pPr>
        <w:spacing w:after="240" w:line="240"/>
      </w:pPr>
      <w:r>
        <w:rPr>
          <w:rFonts w:ascii="Arial" w:cs="Arial" w:eastAsia="Arial" w:hAnsi="Arial"/>
          <w:sz w:val="22"/>
          <w:szCs w:val="22"/>
        </w:rPr>
        <w:t xml:space="preserve">La economía local se sustenta principalmente en la agricultura y en los servicios derivados de ésta —fundamentalmente almacenes de manipulación de fruta y verdura—, con una oferta laboral marcadamente estacional, concentrada entre los meses de abril y julio. El Proyecto Educativo consultado señala expresamente que la elevada tasa de empleo femenino en dichos almacenes, especialmente en los meses de mayor actividad, hace que una parte del alumnado permanezca solo en casa durante numerosas horas, sin la figura de un progenitor que pueda apoyar las tareas escolares, una circunstancia relevante de cara a la atención a la diversidad y a la relación con las familias de esta programación.</w:t>
      </w:r>
    </w:p>
    <w:p>
      <w:pPr>
        <w:spacing w:after="240" w:line="240"/>
      </w:pPr>
      <w:r>
        <w:rPr>
          <w:rFonts w:ascii="Arial" w:cs="Arial" w:eastAsia="Arial" w:hAnsi="Arial"/>
          <w:sz w:val="22"/>
          <w:szCs w:val="22"/>
        </w:rPr>
        <w:t xml:space="preserve">En cuanto al modelo de distribución de la fase de Formación en Centros de Trabajo, la propia Programación General Anual recoge, en el plan de estudios del ciclo de Integración Social, un reparto de 160 horas de formación en empresa en 1º curso y 340 horas en 2º curso, lo que confirma la aplicación del modelo estándar —frente al modelo concentrado, en el que la totalidad de la fase de empresa se desarrollaría en el segundo curso—.</w:t>
      </w:r>
    </w:p>
    <w:p>
      <w:pPr>
        <w:spacing w:after="240" w:line="240"/>
      </w:pPr>
      <w:r>
        <w:rPr>
          <w:rFonts w:ascii="Arial" w:cs="Arial" w:eastAsia="Arial" w:hAnsi="Arial"/>
          <w:sz w:val="22"/>
          <w:szCs w:val="22"/>
        </w:rPr>
        <w:t xml:space="preserve">El centro participa activamente en el programa Erasmus+, contando para el curso 2025-2026 con tres proyectos de acreditación: KA121-SCH (ESO y Bachillerato), KA121-VET (Formación Profesional Básica y de Grado Medio) y, el que resulta directamente aplicable a esta programación, el proyecto de Carta ECHE KA131-HED, dirigido expresamente, según la propia PGA, a «la formación del profesorado de ciclos superiores y la realización de prácticas de empresa del alumnado en el extranjero», lo que permite al alumnado de 2º de Integración Social optar a realizar parte de su FCT en otro país europeo.</w:t>
      </w:r>
    </w:p>
    <w:p>
      <w:pPr>
        <w:spacing w:after="240" w:line="240"/>
      </w:pPr>
      <w:r>
        <w:rPr>
          <w:rFonts w:ascii="Arial" w:cs="Arial" w:eastAsia="Arial" w:hAnsi="Arial"/>
          <w:sz w:val="22"/>
          <w:szCs w:val="22"/>
        </w:rPr>
        <w:t xml:space="preserve">Resulta especialmente pertinente para esta programación que el Plan de Convivencia del centro (revisado en noviembre de 2025) contempla expresamente, entre las funciones del profesorado de Servicios a la Comunidad, la elaboración de «cursos o talleres de habilidades sociales» como medida correctiva dentro de dicho Plan, lo que vincula de forma directa el contenido del módulo con una necesidad real y documentada del centro.</w:t>
      </w:r>
    </w:p>
    <w:p>
      <w:pPr>
        <w:spacing w:after="240" w:line="240"/>
      </w:pPr>
      <w:r>
        <w:rPr>
          <w:rFonts w:ascii="Arial" w:cs="Arial" w:eastAsia="Arial" w:hAnsi="Arial"/>
          <w:b/>
          <w:bCs/>
          <w:color w:val="C00000"/>
          <w:sz w:val="22"/>
          <w:szCs w:val="22"/>
        </w:rPr>
        <w:t xml:space="preserve">En cuanto a las instalaciones y recursos materiales específicos disponibles para el desarrollo del módulo (aula o taller concreto, recursos audiovisuales u otros), ni el Proyecto Educativo ni la Programación General Anual consultados detallan un inventario de espacios, por lo que este punto se ha trasladado también al contacto directo del centro y se incorporará en cuanto se confirme.</w:t>
      </w:r>
    </w:p>
    <w:p>
      <w:pPr>
        <w:pStyle w:val="Heading2"/>
        <w:spacing w:after="120" w:before="200" w:line="240"/>
      </w:pPr>
      <w:r>
        <w:rPr>
          <w:rFonts w:ascii="Arial" w:cs="Arial" w:eastAsia="Arial" w:hAnsi="Arial"/>
          <w:b/>
          <w:bCs/>
          <w:sz w:val="24"/>
          <w:szCs w:val="24"/>
        </w:rPr>
        <w:t xml:space="preserve">2.2 Características del alumnado y de las familias</w:t>
      </w:r>
    </w:p>
    <w:p>
      <w:pPr>
        <w:spacing w:after="240" w:line="240"/>
      </w:pPr>
      <w:r>
        <w:rPr>
          <w:rFonts w:ascii="Arial" w:cs="Arial" w:eastAsia="Arial" w:hAnsi="Arial"/>
          <w:sz w:val="22"/>
          <w:szCs w:val="22"/>
        </w:rPr>
        <w:t xml:space="preserve">Al tratarse de un grupo de 2º curso de un ciclo formativo de grado superior, la totalidad del alumnado es mayor de edad, por lo que la etapa de las operaciones formales descrita por Piaget —propia de la adolescencia y alcanzada generalmente a partir de los 11-12 años— se encuentra ya consolidada en todo el grupo. Por ello, resulta más pertinente orientar la intervención docente desde los principios de la andragogía (Knowles), que caracterizan al alumnado adulto por su capacidad de autodirección en el aprendizaje, el uso de su propia experiencia como recurso, una orientación del aprendizaje hacia la resolución de problemas reales y una motivación marcadamente vinculada a su proyección profesional.</w:t>
      </w:r>
    </w:p>
    <w:p>
      <w:pPr>
        <w:spacing w:after="240" w:line="240"/>
      </w:pPr>
      <w:r>
        <w:rPr>
          <w:rFonts w:ascii="Arial" w:cs="Arial" w:eastAsia="Arial" w:hAnsi="Arial"/>
          <w:sz w:val="22"/>
          <w:szCs w:val="22"/>
        </w:rPr>
        <w:t xml:space="preserve">El grupo-aula al que se dirige esta programación está compuesto por 18 alumnos y alumnas —13 mujeres y 5 hombres, proporción que responde a la tendencia habitual de predominio femenino en los ciclos de la familia profesional de Servicios Socioculturales y a la Comunidad—, con edades comprendidas entre los 18 y los 22 años, todos ellos con matrícula completa en los módulos de 2º curso. El acceso al ciclo presenta una procedencia mixta, sin que predomine claramente ninguna vía —Bachillerato, un ciclo formativo de grado medio del mismo sector (como Atención a Personas en Situación de Dependencia) o la prueba de acceso—. En cuanto a su situación laboral y económica, el grupo es igualmente heterogéneo: una parte del alumnado compagina los estudios con algún trabajo, mientras que otra parte depende económicamente de su familia. La mayoría dispone de ordenador y acceso a internet propios; para quienes no cuentan con estos recursos, el centro dispone de un servicio de préstamo de equipos portátiles. La presencia de alumnado de origen extranjero es minoritaria dentro del grupo, en línea con el contexto sociocultural del municipio descrito en el apartado anterior. Se han identificado, además, necesidades específicas de apoyo educativo en tres alumnos o alumnas: uno o dos casos de dificultad específica de aprendizaje y un caso de trastorno del espectro autista (TEA), lo que exigirá prever las adaptaciones metodológicas y de acceso correspondientes en el diseño de las Unidades de Trabajo. La evaluación inicial sitúa al grupo en un nivel medio-alto, con una base consolidada desde el primer curso del ciclo. La motivación hacia el módulo y hacia el ciclo en general es, sin embargo, dispar: conviven alumnos y alumnas con una clara vocación hacia la intervención social con otros cuya implicación es más irregular, lo que configura un grupo con una cohesión y heterogeneidad que deberán tenerse en cuenta en el diseño metodológico.</w:t>
      </w:r>
    </w:p>
    <w:p>
      <w:pPr>
        <w:spacing w:after="240" w:line="240"/>
      </w:pPr>
      <w:r>
        <w:rPr>
          <w:rFonts w:ascii="Arial" w:cs="Arial" w:eastAsia="Arial" w:hAnsi="Arial"/>
          <w:sz w:val="22"/>
          <w:szCs w:val="22"/>
        </w:rPr>
        <w:t xml:space="preserve">Por tratarse de alumnado de 2º curso de un ciclo de grado superior, no existe alumnado menor de edad en el grupo, por lo que no procede hablar de autorización o tutela legal de las familias en el sentido en que sí resultaría relevante en otras etapas educativas. No obstante, la relación con las familias sigue teniendo importancia en este contexto, ya que una parte considerable del alumnado continúa conviviendo en el domicilio familiar. Esta circunstancia cobra especial relevancia en la comunicación centro-familia ante situaciones sensibles que puedan afectar al alumnado —como conductas autolesivas, ideación o riesgo suicida, o diagnósticos de salud mental—, en las que la coordinación con el entorno familiar puede resultar determinante para la protección del alumnado. En todo caso, al tratarse de alumnado adulto, dicha comunicación deberá respetar su autonomía personal y su derecho a la confidencialidad, realizándose siempre, salvo situaciones de riesgo grave e inminente, con su conocimiento y consentimiento.</w:t>
      </w:r>
    </w:p>
    <w:p>
      <w:pPr>
        <w:pStyle w:val="Heading2"/>
        <w:spacing w:after="120" w:before="200" w:line="240"/>
      </w:pPr>
      <w:r>
        <w:rPr>
          <w:rFonts w:ascii="Arial" w:cs="Arial" w:eastAsia="Arial" w:hAnsi="Arial"/>
          <w:b/>
          <w:bCs/>
          <w:sz w:val="24"/>
          <w:szCs w:val="24"/>
        </w:rPr>
        <w:t xml:space="preserve">2.3 Características e incorporación del ciclo formativo en el entorno productivo del centro (proyectos de aprendizaje por servicio)</w:t>
      </w:r>
    </w:p>
    <w:p>
      <w:pPr>
        <w:spacing w:after="240" w:line="240"/>
      </w:pPr>
      <w:r>
        <w:rPr>
          <w:rFonts w:ascii="Arial" w:cs="Arial" w:eastAsia="Arial" w:hAnsi="Arial"/>
          <w:sz w:val="22"/>
          <w:szCs w:val="22"/>
        </w:rPr>
        <w:t xml:space="preserve">Conforme al artículo 7 del Real Decreto 659/2023, de 18 de julio, los módulos profesionales se desarrollan combinando la formación en el centro educativo con la formación en la empresa, lo que exige al centro mantener una relación activa con su entorno productivo. En este sentido, la Programación General Anual del IES Villa de Abarán recoge, entre sus líneas de actuación para Formación Profesional, el objetivo de «potenciar las relaciones con las empresas de la localidad», sin que se concreten entidades específicas vinculadas al ciclo de Integración Social.</w:t>
      </w:r>
    </w:p>
    <w:p>
      <w:pPr>
        <w:spacing w:after="240" w:line="240"/>
      </w:pPr>
      <w:r>
        <w:rPr>
          <w:rFonts w:ascii="Arial" w:cs="Arial" w:eastAsia="Arial" w:hAnsi="Arial"/>
          <w:sz w:val="22"/>
          <w:szCs w:val="22"/>
        </w:rPr>
        <w:t xml:space="preserve">A nivel de comunidad, el municipio de Abarán cuenta con una red de servicios y entidades sociales reales y documentadas que constituyen un entorno productivo y asociativo especialmente pertinente para el perfil profesional del Técnico Superior en Integración Social, aunque no se trate de colaboradores confirmados del propio centro educativo, sino de recursos del territorio en los que dicho perfil tiene cabida.</w:t>
      </w:r>
    </w:p>
    <w:p>
      <w:pPr>
        <w:spacing w:after="240" w:line="240"/>
      </w:pPr>
      <w:r>
        <w:rPr>
          <w:rFonts w:ascii="Arial" w:cs="Arial" w:eastAsia="Arial" w:hAnsi="Arial"/>
          <w:b/>
          <w:bCs/>
          <w:sz w:val="22"/>
          <w:szCs w:val="22"/>
        </w:rPr>
        <w:t xml:space="preserve">Servicios de responsabilidad pública ya confirmados: </w:t>
      </w:r>
      <w:r>
        <w:rPr>
          <w:rFonts w:ascii="Arial" w:cs="Arial" w:eastAsia="Arial" w:hAnsi="Arial"/>
          <w:sz w:val="22"/>
          <w:szCs w:val="22"/>
        </w:rPr>
        <w:t xml:space="preserve">el Ayuntamiento de Abarán mantiene, mediante convenio con el Instituto Murciano de Acción Social (IMAS), el Servicio de Ayuda a Domicilio y un Centro de Día municipal para personas con discapacidad intelectual en situación de dependencia. Ambos recursos encajan de forma directa con el perfil profesional del título, en especial con módulos como Apoyo domiciliario o Atención y apoyo psicosocial.</w:t>
      </w:r>
    </w:p>
    <w:p>
      <w:pPr>
        <w:spacing w:after="240" w:line="240"/>
      </w:pPr>
      <w:r>
        <w:rPr>
          <w:rFonts w:ascii="Arial" w:cs="Arial" w:eastAsia="Arial" w:hAnsi="Arial"/>
          <w:b/>
          <w:bCs/>
          <w:sz w:val="22"/>
          <w:szCs w:val="22"/>
        </w:rPr>
        <w:t xml:space="preserve">Entidades del tercer sector presentes en el municipio: </w:t>
      </w:r>
      <w:r>
        <w:rPr>
          <w:rFonts w:ascii="Arial" w:cs="Arial" w:eastAsia="Arial" w:hAnsi="Arial"/>
          <w:sz w:val="22"/>
          <w:szCs w:val="22"/>
        </w:rPr>
        <w:t xml:space="preserve">Según la ficha oficial del proyecto municipal «Atención Integral a Personas Mayores en Situación de Vulnerabilidad» (Concejalía de Política Social del Ayuntamiento de Abarán, financiado por fondos del Plan de Recuperación, Transformación y Resiliencia), el municipio cuenta con Cáritas, Cruz Roja, la Asociación de Disminuidos Físicos de Abarán (ADFA), la Asociación Hogar del Pensionista y la Asociación de Amas de Casa como entidades de iniciativa social activas en la atención a colectivos vulnerables. De entre ellas, ADFA —centrada en discapacidad física— resulta la de mayor afinidad directa con las competencias del Técnico en Integración Social, y consta además como centro de prácticas real de otras titulaciones universitarias del ámbito sociosanitario, lo que confirma su disposición habitual a acoger alumnado en formación.</w:t>
      </w:r>
    </w:p>
    <w:p>
      <w:pPr>
        <w:spacing w:after="240" w:line="240"/>
      </w:pPr>
      <w:r>
        <w:rPr>
          <w:rFonts w:ascii="Arial" w:cs="Arial" w:eastAsia="Arial" w:hAnsi="Arial"/>
          <w:sz w:val="22"/>
          <w:szCs w:val="22"/>
        </w:rPr>
        <w:t xml:space="preserve">No obstante, </w:t>
      </w:r>
      <w:r>
        <w:rPr>
          <w:rFonts w:ascii="Arial" w:cs="Arial" w:eastAsia="Arial" w:hAnsi="Arial"/>
          <w:b/>
          <w:bCs/>
          <w:color w:val="C00000"/>
          <w:sz w:val="22"/>
          <w:szCs w:val="22"/>
        </w:rPr>
        <w:t xml:space="preserve">no se ha podido confirmar que el IES Villa de Abarán mantenga en la actualidad un convenio o colaboración directa con ninguna de estas entidades para la realización de FCT o proyectos de aprendizaje-servicio del ciclo de Integración Social; se trata de recursos reales del territorio, no de colaboradores confirmados del centro</w:t>
      </w:r>
      <w:r>
        <w:rPr>
          <w:rFonts w:ascii="Arial" w:cs="Arial" w:eastAsia="Arial" w:hAnsi="Arial"/>
          <w:sz w:val="22"/>
          <w:szCs w:val="22"/>
        </w:rPr>
        <w:t xml:space="preserve">.</w:t>
      </w:r>
    </w:p>
    <w:p>
      <w:pPr>
        <w:spacing w:after="240" w:line="240"/>
      </w:pPr>
      <w:r>
        <w:rPr>
          <w:rFonts w:ascii="Arial" w:cs="Arial" w:eastAsia="Arial" w:hAnsi="Arial"/>
          <w:sz w:val="22"/>
          <w:szCs w:val="22"/>
        </w:rPr>
        <w:t xml:space="preserve">El perfil demográfico del municipio refuerza, en todo caso, la pertinencia de este entorno: Abarán cuenta con 13.504 habitantes (Padrón municipal, octubre de 2021), de los que aproximadamente uno de cada cinco es mayor de 65 años, un perfil demográfico envejecido que justifica la necesidad real de profesionales de la intervención social en el municipio y abre la puerta al diseño de proyectos de aprendizaje-servicio del módulo vinculados a estos colectivos y entidades.</w:t>
      </w:r>
    </w:p>
    <w:p>
      <w:pPr>
        <w:pStyle w:val="Heading1"/>
        <w:spacing w:after="160" w:before="280" w:line="240"/>
      </w:pPr>
      <w:r>
        <w:rPr>
          <w:rFonts w:ascii="Arial" w:cs="Arial" w:eastAsia="Arial" w:hAnsi="Arial"/>
          <w:b/>
          <w:bCs/>
          <w:sz w:val="28"/>
          <w:szCs w:val="28"/>
        </w:rPr>
        <w:t xml:space="preserve">3. PERFIL PROFESIONAL Y CURRICULAR</w:t>
      </w:r>
    </w:p>
    <w:p>
      <w:pPr>
        <w:pStyle w:val="Heading2"/>
        <w:spacing w:after="120" w:before="200" w:line="240"/>
      </w:pPr>
      <w:r>
        <w:rPr>
          <w:rFonts w:ascii="Arial" w:cs="Arial" w:eastAsia="Arial" w:hAnsi="Arial"/>
          <w:b/>
          <w:bCs/>
          <w:sz w:val="24"/>
          <w:szCs w:val="24"/>
        </w:rPr>
        <w:t xml:space="preserve">3.1 Competencia general del ciclo</w:t>
      </w:r>
    </w:p>
    <w:p>
      <w:pPr>
        <w:spacing w:after="240" w:line="240"/>
      </w:pPr>
      <w:r>
        <w:rPr>
          <w:rFonts w:ascii="Arial" w:cs="Arial" w:eastAsia="Arial" w:hAnsi="Arial"/>
          <w:sz w:val="22"/>
          <w:szCs w:val="22"/>
        </w:rPr>
        <w:t xml:space="preserve">La competencia general describe las funciones profesionales más significativas del perfil profesional del título. Constituye el referente último y común a todos los módulos que integran el ciclo, y se encuentra siempre en el Real Decreto que fija las enseñanzas mínimas del título —nunca en el decreto u orden que lo desarrolla en cada comunidad autónoma—, conforme a lo establecido en el artículo 83.b) del Real Decreto 659/2023, de 18 de julio, que incluye la competencia general dentro de los elementos mínimos del «perfil profesional» de todo título de Formación Profesional.</w:t>
      </w:r>
    </w:p>
    <w:p>
      <w:pPr>
        <w:ind w:left="567" w:right="567"/>
        <w:spacing w:after="240" w:line="240"/>
      </w:pPr>
      <w:r>
        <w:rPr>
          <w:rFonts w:ascii="Arial" w:cs="Arial" w:eastAsia="Arial" w:hAnsi="Arial"/>
          <w:i/>
          <w:iCs/>
          <w:sz w:val="22"/>
          <w:szCs w:val="22"/>
        </w:rPr>
        <w:t xml:space="preserve">«La competencia general de este título consiste en programar, organizar y evaluar las intervenciones de integración social aplicando estrategias y técnicas específicas, promoviendo la equidad, igualdad de oportunidades e inclusión, actuando en todo momento con una actitud de respeto hacia las personas destinatarias y garantizando la creación de entornos seguros tanto para las personas destinatarias como para el profesional, con el fin de mejorar su situación personal, familiar y/o social» (art. 4 del Real Decreto 1074/2012, de 13 de julio, en su redacción dada por el artículo segundo, apartado Dos, del Real Decreto 289/2023, de 18 de abril).</w:t>
      </w:r>
    </w:p>
    <w:p>
      <w:pPr>
        <w:pStyle w:val="Heading2"/>
        <w:spacing w:after="120" w:before="200" w:line="240"/>
      </w:pPr>
      <w:r>
        <w:rPr>
          <w:rFonts w:ascii="Arial" w:cs="Arial" w:eastAsia="Arial" w:hAnsi="Arial"/>
          <w:b/>
          <w:bCs/>
          <w:sz w:val="24"/>
          <w:szCs w:val="24"/>
        </w:rPr>
        <w:t xml:space="preserve">3.2 Competencias profesionales y para la empleabilidad</w:t>
      </w:r>
    </w:p>
    <w:p>
      <w:pPr>
        <w:spacing w:after="240" w:line="240"/>
      </w:pPr>
      <w:r>
        <w:rPr>
          <w:rFonts w:ascii="Arial" w:cs="Arial" w:eastAsia="Arial" w:hAnsi="Arial"/>
          <w:sz w:val="22"/>
          <w:szCs w:val="22"/>
        </w:rPr>
        <w:t xml:space="preserve">Las competencias profesionales y para la empleabilidad —denominación que, desde el Real Decreto 659/2023, sustituye a la anterior «competencias profesionales, personales y sociales»— forman, junto con la competencia general, el «perfil profesional» del título (art. 83.b) del Real Decreto 659/2023). Al igual que la competencia general, esta relación completa de competencias se recoge siempre en el Real Decreto que fija las enseñanzas mínimas del título, en este caso en el artículo 5 del Real Decreto 1074/2012 —no modificado por el Real Decreto 289/2023—, que relaciona un total de veintitrés competencias (letras a a la w).</w:t>
      </w:r>
    </w:p>
    <w:p>
      <w:pPr>
        <w:spacing w:after="240" w:line="240"/>
      </w:pPr>
      <w:r>
        <w:rPr>
          <w:rFonts w:ascii="Arial" w:cs="Arial" w:eastAsia="Arial" w:hAnsi="Arial"/>
          <w:sz w:val="22"/>
          <w:szCs w:val="22"/>
        </w:rPr>
        <w:t xml:space="preserve">De estas veintitrés, el propio Real Decreto 1074/2012 —en la redacción del módulo profesional 0017. Habilidades sociales dada por el Real Decreto 289/2023, dentro de sus orientaciones pedagógicas— indica expresamente que este módulo contribuye a alcanzar las competencias profesionales y para la empleabilidad m), o), q), r), s) y u) del título, que se relacionan a continuación:</w:t>
      </w:r>
    </w:p>
    <w:p>
      <w:pPr>
        <w:ind w:left="284"/>
        <w:spacing w:after="240" w:line="240"/>
      </w:pPr>
      <w:r>
        <w:rPr>
          <w:rFonts w:ascii="Arial" w:cs="Arial" w:eastAsia="Arial" w:hAnsi="Arial"/>
          <w:b/>
          <w:bCs/>
          <w:sz w:val="22"/>
          <w:szCs w:val="22"/>
        </w:rPr>
        <w:t xml:space="preserve">m) </w:t>
      </w:r>
      <w:r>
        <w:rPr>
          <w:rFonts w:ascii="Arial" w:cs="Arial" w:eastAsia="Arial" w:hAnsi="Arial"/>
          <w:sz w:val="22"/>
          <w:szCs w:val="22"/>
        </w:rPr>
        <w:t xml:space="preserve">Realizar tareas de mediación entre personas y grupos, aplicando técnicas participativas y de gestión de conflictos de forma eficiente.</w:t>
      </w:r>
    </w:p>
    <w:p>
      <w:pPr>
        <w:ind w:left="284"/>
        <w:spacing w:after="240" w:line="240"/>
      </w:pPr>
      <w:r>
        <w:rPr>
          <w:rFonts w:ascii="Arial" w:cs="Arial" w:eastAsia="Arial" w:hAnsi="Arial"/>
          <w:b/>
          <w:bCs/>
          <w:sz w:val="22"/>
          <w:szCs w:val="22"/>
        </w:rPr>
        <w:t xml:space="preserve">o) </w:t>
      </w:r>
      <w:r>
        <w:rPr>
          <w:rFonts w:ascii="Arial" w:cs="Arial" w:eastAsia="Arial" w:hAnsi="Arial"/>
          <w:sz w:val="22"/>
          <w:szCs w:val="22"/>
        </w:rPr>
        <w:t xml:space="preserve">Mantener relaciones fluidas con las personas usuarias y sus familias, miembros del grupo de trabajo y otros profesionales, mostrando habilidades sociales y aportando soluciones a los conflictos que surjan.</w:t>
      </w:r>
    </w:p>
    <w:p>
      <w:pPr>
        <w:ind w:left="284"/>
        <w:spacing w:after="240" w:line="240"/>
      </w:pPr>
      <w:r>
        <w:rPr>
          <w:rFonts w:ascii="Arial" w:cs="Arial" w:eastAsia="Arial" w:hAnsi="Arial"/>
          <w:b/>
          <w:bCs/>
          <w:sz w:val="22"/>
          <w:szCs w:val="22"/>
        </w:rPr>
        <w:t xml:space="preserve">q) </w:t>
      </w:r>
      <w:r>
        <w:rPr>
          <w:rFonts w:ascii="Arial" w:cs="Arial" w:eastAsia="Arial" w:hAnsi="Arial"/>
          <w:sz w:val="22"/>
          <w:szCs w:val="22"/>
        </w:rPr>
        <w:t xml:space="preserve">Resolver situaciones, problemas o contingencias con iniciativa y autonomía en el ámbito de su competencia, con creatividad, innovación y espíritu de mejora en el trabajo personal y en el de los miembros del equipo.</w:t>
      </w:r>
    </w:p>
    <w:p>
      <w:pPr>
        <w:ind w:left="284"/>
        <w:spacing w:after="240" w:line="240"/>
      </w:pPr>
      <w:r>
        <w:rPr>
          <w:rFonts w:ascii="Arial" w:cs="Arial" w:eastAsia="Arial" w:hAnsi="Arial"/>
          <w:b/>
          <w:bCs/>
          <w:sz w:val="22"/>
          <w:szCs w:val="22"/>
        </w:rPr>
        <w:t xml:space="preserve">r) </w:t>
      </w:r>
      <w:r>
        <w:rPr>
          <w:rFonts w:ascii="Arial" w:cs="Arial" w:eastAsia="Arial" w:hAnsi="Arial"/>
          <w:sz w:val="22"/>
          <w:szCs w:val="22"/>
        </w:rPr>
        <w:t xml:space="preserve">Organizar y coordinar equipos de trabajo con responsabilidad, supervisando el desarrollo del mismo, manteniendo relaciones fluidas y asumiendo el liderazgo, así como aportando soluciones a los conflictos grupales que se presenten.</w:t>
      </w:r>
    </w:p>
    <w:p>
      <w:pPr>
        <w:ind w:left="284"/>
        <w:spacing w:after="240" w:line="240"/>
      </w:pPr>
      <w:r>
        <w:rPr>
          <w:rFonts w:ascii="Arial" w:cs="Arial" w:eastAsia="Arial" w:hAnsi="Arial"/>
          <w:b/>
          <w:bCs/>
          <w:sz w:val="22"/>
          <w:szCs w:val="22"/>
        </w:rPr>
        <w:t xml:space="preserve">s) </w:t>
      </w:r>
      <w:r>
        <w:rPr>
          <w:rFonts w:ascii="Arial" w:cs="Arial" w:eastAsia="Arial" w:hAnsi="Arial"/>
          <w:sz w:val="22"/>
          <w:szCs w:val="22"/>
        </w:rPr>
        <w:t xml:space="preserve">Comunicarse con sus iguales, superiores, clientes y personas bajo su responsabilidad, utilizando vías eficaces de comunicación, transmitiendo la información o conocimientos adecuados y respetando la autonomía y competencia de las personas que intervienen en el ámbito de su trabajo.</w:t>
      </w:r>
    </w:p>
    <w:p>
      <w:pPr>
        <w:ind w:left="284"/>
        <w:spacing w:after="240" w:line="240"/>
      </w:pPr>
      <w:r>
        <w:rPr>
          <w:rFonts w:ascii="Arial" w:cs="Arial" w:eastAsia="Arial" w:hAnsi="Arial"/>
          <w:b/>
          <w:bCs/>
          <w:sz w:val="22"/>
          <w:szCs w:val="22"/>
        </w:rPr>
        <w:t xml:space="preserve">u) </w:t>
      </w:r>
      <w:r>
        <w:rPr>
          <w:rFonts w:ascii="Arial" w:cs="Arial" w:eastAsia="Arial" w:hAnsi="Arial"/>
          <w:sz w:val="22"/>
          <w:szCs w:val="22"/>
        </w:rPr>
        <w:t xml:space="preserve">Supervisar y aplicar procedimientos de gestión de calidad, de accesibilidad universal y de «diseño para todos», en las actividades profesionales incluidas en los procesos de producción o prestación de servicios.</w:t>
      </w:r>
    </w:p>
    <w:p>
      <w:pPr>
        <w:pStyle w:val="Heading2"/>
        <w:spacing w:after="120" w:before="200" w:line="240"/>
      </w:pPr>
      <w:r>
        <w:rPr>
          <w:rFonts w:ascii="Arial" w:cs="Arial" w:eastAsia="Arial" w:hAnsi="Arial"/>
          <w:b/>
          <w:bCs/>
          <w:sz w:val="24"/>
          <w:szCs w:val="24"/>
        </w:rPr>
        <w:t xml:space="preserve">3.3 Cualificaciones profesionales y unidades de competencia</w:t>
      </w:r>
    </w:p>
    <w:p>
      <w:pPr>
        <w:spacing w:after="240" w:line="240"/>
      </w:pPr>
      <w:r>
        <w:rPr>
          <w:rFonts w:ascii="Arial" w:cs="Arial" w:eastAsia="Arial" w:hAnsi="Arial"/>
          <w:sz w:val="22"/>
          <w:szCs w:val="22"/>
        </w:rPr>
        <w:t xml:space="preserve">Las cualificaciones profesionales y las unidades de competencia son dos elementos asociados a las competencias de cada título, referidos a la titulación y acreditación de los profesionales, no directamente al currículo de las enseñanzas. Ambas quedan establecidas por el Catálogo Nacional de Cualificaciones Profesionales y se recogen, al igual que en los dos apartados anteriores, en el Real Decreto que fija las enseñanzas mínimas del título —en este caso, en el artículo 6 del Real Decreto 1074/2012, en su redacción dada por el artículo segundo, apartado Tres, del Real Decreto 289/2023, de 18 de abril.</w:t>
      </w:r>
    </w:p>
    <w:p>
      <w:pPr>
        <w:spacing w:after="120" w:before="120" w:line="240"/>
      </w:pPr>
      <w:r>
        <w:rPr>
          <w:rFonts w:ascii="Arial" w:cs="Arial" w:eastAsia="Arial" w:hAnsi="Arial"/>
          <w:b/>
          <w:bCs/>
          <w:i/>
          <w:iCs/>
          <w:sz w:val="22"/>
          <w:szCs w:val="22"/>
        </w:rPr>
        <w:t xml:space="preserve">Cualificaciones profesionales completas</w:t>
      </w:r>
    </w:p>
    <w:p>
      <w:pPr>
        <w:ind w:left="284"/>
        <w:spacing w:after="240" w:line="240"/>
      </w:pPr>
      <w:r>
        <w:rPr>
          <w:rFonts w:ascii="Arial" w:cs="Arial" w:eastAsia="Arial" w:hAnsi="Arial"/>
          <w:b/>
          <w:bCs/>
          <w:sz w:val="22"/>
          <w:szCs w:val="22"/>
        </w:rPr>
        <w:t xml:space="preserve">a) Educación de habilidades de autonomía personal y social SSC090_3 </w:t>
      </w:r>
      <w:r>
        <w:rPr>
          <w:rFonts w:ascii="Arial" w:cs="Arial" w:eastAsia="Arial" w:hAnsi="Arial"/>
          <w:i/>
          <w:iCs/>
          <w:sz w:val="22"/>
          <w:szCs w:val="22"/>
        </w:rPr>
        <w:t xml:space="preserve">(Real Decreto 295/2004, de 20 de febrero).</w:t>
      </w:r>
    </w:p>
    <w:p>
      <w:pPr>
        <w:ind w:left="568"/>
        <w:spacing w:after="240" w:line="240"/>
      </w:pPr>
      <w:r>
        <w:rPr>
          <w:rFonts w:ascii="Arial" w:cs="Arial" w:eastAsia="Arial" w:hAnsi="Arial"/>
          <w:sz w:val="22"/>
          <w:szCs w:val="22"/>
        </w:rPr>
        <w:t xml:space="preserve">UC0252_3: Programar, organizar y evaluar las intervenciones de integración social.</w:t>
      </w:r>
    </w:p>
    <w:p>
      <w:pPr>
        <w:ind w:left="568"/>
        <w:spacing w:after="240" w:line="240"/>
      </w:pPr>
      <w:r>
        <w:rPr>
          <w:rFonts w:ascii="Arial" w:cs="Arial" w:eastAsia="Arial" w:hAnsi="Arial"/>
          <w:sz w:val="22"/>
          <w:szCs w:val="22"/>
        </w:rPr>
        <w:t xml:space="preserve">UC0253_3: Desarrollar las intervenciones dirigidas al entrenamiento y a la adquisición de habilidades de autonomía personal y social.</w:t>
      </w:r>
    </w:p>
    <w:p>
      <w:pPr>
        <w:ind w:left="568"/>
        <w:spacing w:after="240" w:line="240"/>
      </w:pPr>
      <w:r>
        <w:rPr>
          <w:rFonts w:ascii="Arial" w:cs="Arial" w:eastAsia="Arial" w:hAnsi="Arial"/>
          <w:sz w:val="22"/>
          <w:szCs w:val="22"/>
        </w:rPr>
        <w:t xml:space="preserve">UC0254_3: Establecer, adaptar y aplicar sistemas alternativos de comunicación.</w:t>
      </w:r>
    </w:p>
    <w:p>
      <w:pPr>
        <w:ind w:left="284"/>
        <w:spacing w:after="240" w:line="240"/>
      </w:pPr>
      <w:r>
        <w:rPr>
          <w:rFonts w:ascii="Arial" w:cs="Arial" w:eastAsia="Arial" w:hAnsi="Arial"/>
          <w:b/>
          <w:bCs/>
          <w:sz w:val="22"/>
          <w:szCs w:val="22"/>
        </w:rPr>
        <w:t xml:space="preserve">b) Mediación comunitaria SSC324_3 </w:t>
      </w:r>
      <w:r>
        <w:rPr>
          <w:rFonts w:ascii="Arial" w:cs="Arial" w:eastAsia="Arial" w:hAnsi="Arial"/>
          <w:i/>
          <w:iCs/>
          <w:sz w:val="22"/>
          <w:szCs w:val="22"/>
        </w:rPr>
        <w:t xml:space="preserve">(Real Decreto 1368/2007, de 19 de octubre, actualizada por Orden PRE/2053/2015, de 1 de octubre).</w:t>
      </w:r>
    </w:p>
    <w:p>
      <w:pPr>
        <w:ind w:left="568"/>
        <w:spacing w:after="240" w:line="240"/>
      </w:pPr>
      <w:r>
        <w:rPr>
          <w:rFonts w:ascii="Arial" w:cs="Arial" w:eastAsia="Arial" w:hAnsi="Arial"/>
          <w:sz w:val="22"/>
          <w:szCs w:val="22"/>
        </w:rPr>
        <w:t xml:space="preserve">UC1038_3: Identificar y concretar las características y necesidades del contexto social de la intervención.</w:t>
      </w:r>
    </w:p>
    <w:p>
      <w:pPr>
        <w:ind w:left="568"/>
        <w:spacing w:after="240" w:line="240"/>
      </w:pPr>
      <w:r>
        <w:rPr>
          <w:rFonts w:ascii="Arial" w:cs="Arial" w:eastAsia="Arial" w:hAnsi="Arial"/>
          <w:sz w:val="22"/>
          <w:szCs w:val="22"/>
        </w:rPr>
        <w:t xml:space="preserve">UC1039_3: Prevenir conflictos entre distintas personas, actores y colectivos sociales.</w:t>
      </w:r>
    </w:p>
    <w:p>
      <w:pPr>
        <w:ind w:left="568"/>
        <w:spacing w:after="240" w:line="240"/>
      </w:pPr>
      <w:r>
        <w:rPr>
          <w:rFonts w:ascii="Arial" w:cs="Arial" w:eastAsia="Arial" w:hAnsi="Arial"/>
          <w:sz w:val="22"/>
          <w:szCs w:val="22"/>
        </w:rPr>
        <w:t xml:space="preserve">UC1040_3: Organizar e implementar el proceso de gestión de conflictos.</w:t>
      </w:r>
    </w:p>
    <w:p>
      <w:pPr>
        <w:ind w:left="568"/>
        <w:spacing w:after="240" w:line="240"/>
      </w:pPr>
      <w:r>
        <w:rPr>
          <w:rFonts w:ascii="Arial" w:cs="Arial" w:eastAsia="Arial" w:hAnsi="Arial"/>
          <w:sz w:val="22"/>
          <w:szCs w:val="22"/>
        </w:rPr>
        <w:t xml:space="preserve">UC1041_3: Realizar la valoración, el seguimiento y la difusión de la mediación como una vía de gestión de conflictos.</w:t>
      </w:r>
    </w:p>
    <w:p>
      <w:pPr>
        <w:ind w:left="568"/>
        <w:spacing w:after="240" w:line="240"/>
      </w:pPr>
      <w:r>
        <w:rPr>
          <w:rFonts w:ascii="Arial" w:cs="Arial" w:eastAsia="Arial" w:hAnsi="Arial"/>
          <w:sz w:val="22"/>
          <w:szCs w:val="22"/>
        </w:rPr>
        <w:t xml:space="preserve">UC1026_3: Incorporar la perspectiva de género en los proyectos de intervención social.</w:t>
      </w:r>
    </w:p>
    <w:p>
      <w:pPr>
        <w:ind w:left="284"/>
        <w:spacing w:after="240" w:line="240"/>
      </w:pPr>
      <w:r>
        <w:rPr>
          <w:rFonts w:ascii="Arial" w:cs="Arial" w:eastAsia="Arial" w:hAnsi="Arial"/>
          <w:b/>
          <w:bCs/>
          <w:sz w:val="22"/>
          <w:szCs w:val="22"/>
        </w:rPr>
        <w:t xml:space="preserve">c) Inserción laboral de personas con discapacidad SSC323_3 </w:t>
      </w:r>
      <w:r>
        <w:rPr>
          <w:rFonts w:ascii="Arial" w:cs="Arial" w:eastAsia="Arial" w:hAnsi="Arial"/>
          <w:i/>
          <w:iCs/>
          <w:sz w:val="22"/>
          <w:szCs w:val="22"/>
        </w:rPr>
        <w:t xml:space="preserve">(Real Decreto 1368/2007, de 19 de octubre, actualizada por Orden PRE/2053/2015, de 1 de octubre).</w:t>
      </w:r>
    </w:p>
    <w:p>
      <w:pPr>
        <w:ind w:left="568"/>
        <w:spacing w:after="240" w:line="240"/>
      </w:pPr>
      <w:r>
        <w:rPr>
          <w:rFonts w:ascii="Arial" w:cs="Arial" w:eastAsia="Arial" w:hAnsi="Arial"/>
          <w:sz w:val="22"/>
          <w:szCs w:val="22"/>
        </w:rPr>
        <w:t xml:space="preserve">UC1034_3: Gestionar la información sobre los recursos sociolaborales y formativos y colaborar en el análisis de puestos de trabajo para la inserción sociolaboral de personas con discapacidad.</w:t>
      </w:r>
    </w:p>
    <w:p>
      <w:pPr>
        <w:ind w:left="568"/>
        <w:spacing w:after="240" w:line="240"/>
      </w:pPr>
      <w:r>
        <w:rPr>
          <w:rFonts w:ascii="Arial" w:cs="Arial" w:eastAsia="Arial" w:hAnsi="Arial"/>
          <w:sz w:val="22"/>
          <w:szCs w:val="22"/>
        </w:rPr>
        <w:t xml:space="preserve">UC1035_3: Realizar las intervenciones dirigidas al entrenamiento para la adquisición y desarrollo de habilidades sociolaborales en las personas con discapacidad.</w:t>
      </w:r>
    </w:p>
    <w:p>
      <w:pPr>
        <w:ind w:left="568"/>
        <w:spacing w:after="240" w:line="240"/>
      </w:pPr>
      <w:r>
        <w:rPr>
          <w:rFonts w:ascii="Arial" w:cs="Arial" w:eastAsia="Arial" w:hAnsi="Arial"/>
          <w:sz w:val="22"/>
          <w:szCs w:val="22"/>
        </w:rPr>
        <w:t xml:space="preserve">UC1036_3: Apoyar en el proceso de inserción sociolaboral de personas con discapacidad.</w:t>
      </w:r>
    </w:p>
    <w:p>
      <w:pPr>
        <w:ind w:left="568"/>
        <w:spacing w:after="240" w:line="240"/>
      </w:pPr>
      <w:r>
        <w:rPr>
          <w:rFonts w:ascii="Arial" w:cs="Arial" w:eastAsia="Arial" w:hAnsi="Arial"/>
          <w:sz w:val="22"/>
          <w:szCs w:val="22"/>
        </w:rPr>
        <w:t xml:space="preserve">UC1037_3: Efectuar el seguimiento de la inserción sociolaboral con la empresa, el usuario y su entorno personal.</w:t>
      </w:r>
    </w:p>
    <w:p>
      <w:pPr>
        <w:ind w:left="284"/>
        <w:spacing w:after="240" w:line="240"/>
      </w:pPr>
      <w:r>
        <w:rPr>
          <w:rFonts w:ascii="Arial" w:cs="Arial" w:eastAsia="Arial" w:hAnsi="Arial"/>
          <w:b/>
          <w:bCs/>
          <w:sz w:val="22"/>
          <w:szCs w:val="22"/>
        </w:rPr>
        <w:t xml:space="preserve">d) Promoción e intervención socioeducativa con personas con discapacidad SSC450_3 </w:t>
      </w:r>
      <w:r>
        <w:rPr>
          <w:rFonts w:ascii="Arial" w:cs="Arial" w:eastAsia="Arial" w:hAnsi="Arial"/>
          <w:i/>
          <w:iCs/>
          <w:sz w:val="22"/>
          <w:szCs w:val="22"/>
        </w:rPr>
        <w:t xml:space="preserve">(Real Decreto 1096/2011, de 22 de julio).</w:t>
      </w:r>
    </w:p>
    <w:p>
      <w:pPr>
        <w:ind w:left="568"/>
        <w:spacing w:after="240" w:line="240"/>
      </w:pPr>
      <w:r>
        <w:rPr>
          <w:rFonts w:ascii="Arial" w:cs="Arial" w:eastAsia="Arial" w:hAnsi="Arial"/>
          <w:sz w:val="22"/>
          <w:szCs w:val="22"/>
        </w:rPr>
        <w:t xml:space="preserve">UC1448_3: Detectar, generar y utilizar recursos sociales y comunitarios para la realización de intervenciones socioeducativas con personas con discapacidad.</w:t>
      </w:r>
    </w:p>
    <w:p>
      <w:pPr>
        <w:ind w:left="568"/>
        <w:spacing w:after="240" w:line="240"/>
      </w:pPr>
      <w:r>
        <w:rPr>
          <w:rFonts w:ascii="Arial" w:cs="Arial" w:eastAsia="Arial" w:hAnsi="Arial"/>
          <w:sz w:val="22"/>
          <w:szCs w:val="22"/>
        </w:rPr>
        <w:t xml:space="preserve">UC1449_3: Organizar y realizar el acompañamiento de personas con discapacidad en la realización de actividades programadas.</w:t>
      </w:r>
    </w:p>
    <w:p>
      <w:pPr>
        <w:ind w:left="568"/>
        <w:spacing w:after="240" w:line="240"/>
      </w:pPr>
      <w:r>
        <w:rPr>
          <w:rFonts w:ascii="Arial" w:cs="Arial" w:eastAsia="Arial" w:hAnsi="Arial"/>
          <w:sz w:val="22"/>
          <w:szCs w:val="22"/>
        </w:rPr>
        <w:t xml:space="preserve">UC1450_3: Organizar, desarrollar y evaluar procesos de inclusión de personas con discapacidad en espacios de ocio y tiempo libre.</w:t>
      </w:r>
    </w:p>
    <w:p>
      <w:pPr>
        <w:ind w:left="568"/>
        <w:spacing w:after="240" w:line="240"/>
      </w:pPr>
      <w:r>
        <w:rPr>
          <w:rFonts w:ascii="Arial" w:cs="Arial" w:eastAsia="Arial" w:hAnsi="Arial"/>
          <w:sz w:val="22"/>
          <w:szCs w:val="22"/>
        </w:rPr>
        <w:t xml:space="preserve">UC1451_3: Organizar y desarrollar el entrenamiento en estrategias cognitivas básicas y alfabetización tecnológica para personas con discapacidad, en colaboración con profesionales de nivel superior.</w:t>
      </w:r>
    </w:p>
    <w:p>
      <w:pPr>
        <w:ind w:left="568"/>
        <w:spacing w:after="240" w:line="240"/>
      </w:pPr>
      <w:r>
        <w:rPr>
          <w:rFonts w:ascii="Arial" w:cs="Arial" w:eastAsia="Arial" w:hAnsi="Arial"/>
          <w:sz w:val="22"/>
          <w:szCs w:val="22"/>
        </w:rPr>
        <w:t xml:space="preserve">UC1452_3: Actuar, orientar y apoyar a las familias de personas con discapacidad, en colaboración con profesionales de nivel superior.</w:t>
      </w:r>
    </w:p>
    <w:p>
      <w:pPr>
        <w:spacing w:after="120" w:before="120" w:line="240"/>
      </w:pPr>
      <w:r>
        <w:rPr>
          <w:rFonts w:ascii="Arial" w:cs="Arial" w:eastAsia="Arial" w:hAnsi="Arial"/>
          <w:b/>
          <w:bCs/>
          <w:i/>
          <w:iCs/>
          <w:sz w:val="22"/>
          <w:szCs w:val="22"/>
        </w:rPr>
        <w:t xml:space="preserve">Cualificaciones profesionales incompletas</w:t>
      </w:r>
    </w:p>
    <w:p>
      <w:pPr>
        <w:ind w:left="284"/>
        <w:spacing w:after="240" w:line="240"/>
      </w:pPr>
      <w:r>
        <w:rPr>
          <w:rFonts w:ascii="Arial" w:cs="Arial" w:eastAsia="Arial" w:hAnsi="Arial"/>
          <w:b/>
          <w:bCs/>
          <w:sz w:val="22"/>
          <w:szCs w:val="22"/>
        </w:rPr>
        <w:t xml:space="preserve">a) Atención al alumnado con necesidades educativas especiales (ACNEE) en centros educativos SSC444_3 </w:t>
      </w:r>
      <w:r>
        <w:rPr>
          <w:rFonts w:ascii="Arial" w:cs="Arial" w:eastAsia="Arial" w:hAnsi="Arial"/>
          <w:i/>
          <w:iCs/>
          <w:sz w:val="22"/>
          <w:szCs w:val="22"/>
        </w:rPr>
        <w:t xml:space="preserve">(Real Decreto 1096/2011, de 22 de julio).</w:t>
      </w:r>
    </w:p>
    <w:p>
      <w:pPr>
        <w:ind w:left="568"/>
        <w:spacing w:after="240" w:line="240"/>
      </w:pPr>
      <w:r>
        <w:rPr>
          <w:rFonts w:ascii="Arial" w:cs="Arial" w:eastAsia="Arial" w:hAnsi="Arial"/>
          <w:sz w:val="22"/>
          <w:szCs w:val="22"/>
        </w:rPr>
        <w:t xml:space="preserve">UC1427_3: Ejecutar, en colaboración con el tutor/a y/o con el equipo interdisciplinar del centro educativo, los programas educativos del alumnado con necesidades educativas especiales (ACNEE) en su aula de referencia.</w:t>
      </w:r>
    </w:p>
    <w:p>
      <w:pPr>
        <w:ind w:left="568"/>
        <w:spacing w:after="240" w:line="240"/>
      </w:pPr>
      <w:r>
        <w:rPr>
          <w:rFonts w:ascii="Arial" w:cs="Arial" w:eastAsia="Arial" w:hAnsi="Arial"/>
          <w:sz w:val="22"/>
          <w:szCs w:val="22"/>
        </w:rPr>
        <w:t xml:space="preserve">UC1428_3: Implementar los programas de autonomía e higiene personal en el aseo del alumnado con necesidades educativas especiales (ACNEE), participando con el equipo interdisciplinar del centro educativo.</w:t>
      </w:r>
    </w:p>
    <w:p>
      <w:pPr>
        <w:ind w:left="284"/>
        <w:spacing w:after="240" w:line="240"/>
      </w:pPr>
      <w:r>
        <w:rPr>
          <w:rFonts w:ascii="Arial" w:cs="Arial" w:eastAsia="Arial" w:hAnsi="Arial"/>
          <w:b/>
          <w:bCs/>
          <w:sz w:val="22"/>
          <w:szCs w:val="22"/>
        </w:rPr>
        <w:t xml:space="preserve">b) Dinamización comunitaria SSC321_3 </w:t>
      </w:r>
      <w:r>
        <w:rPr>
          <w:rFonts w:ascii="Arial" w:cs="Arial" w:eastAsia="Arial" w:hAnsi="Arial"/>
          <w:i/>
          <w:iCs/>
          <w:sz w:val="22"/>
          <w:szCs w:val="22"/>
        </w:rPr>
        <w:t xml:space="preserve">(Real Decreto 1368/2007, de 19 de octubre, actualizada por Orden PRE/2053/2015, de 1 de octubre).</w:t>
      </w:r>
    </w:p>
    <w:p>
      <w:pPr>
        <w:ind w:left="568"/>
        <w:spacing w:after="240" w:line="240"/>
      </w:pPr>
      <w:r>
        <w:rPr>
          <w:rFonts w:ascii="Arial" w:cs="Arial" w:eastAsia="Arial" w:hAnsi="Arial"/>
          <w:sz w:val="22"/>
          <w:szCs w:val="22"/>
        </w:rPr>
        <w:t xml:space="preserve">UC1022_3: Dinamizar la planificación, desarrollo y evaluación de intervenciones y proyectos comunitarios y de participación ciudadana que se desarrollen entre los diferentes agentes que configuran una comunidad o una zona territorial.</w:t>
      </w:r>
    </w:p>
    <w:p>
      <w:pPr>
        <w:ind w:left="568"/>
        <w:spacing w:after="240" w:line="240"/>
      </w:pPr>
      <w:r>
        <w:rPr>
          <w:rFonts w:ascii="Arial" w:cs="Arial" w:eastAsia="Arial" w:hAnsi="Arial"/>
          <w:sz w:val="22"/>
          <w:szCs w:val="22"/>
        </w:rPr>
        <w:t xml:space="preserve">UC1024_3: Establecer estrategias de comunicación y difusión de los diferentes proyectos y actuaciones comunitarias.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2026-10-05T16:11:22.322Z</dcterms:created>
  <dcterms:modified xsi:type="dcterms:W3CDTF">2026-10-05T16:11:22.333Z</dcterms:modified>
</cp:coreProperties>
</file>

<file path=docProps/custom.xml><?xml version="1.0" encoding="utf-8"?>
<Properties xmlns="http://schemas.openxmlformats.org/officeDocument/2006/custom-properties" xmlns:vt="http://schemas.openxmlformats.org/officeDocument/2006/docPropsVTypes"/>
</file>