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Modelo estándar (confirmado en la Programación General Anual del IES Villa de Abarán, curso 2025-2026, que recoge para el ciclo de Integración Social un reparto de la FCT de 160 horas en 1.º curso y 340 horas en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CINE-P-5.5.4.</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CINE-P-5.5.4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sz w:val="22"/>
          <w:szCs w:val="22"/>
        </w:rPr>
        <w:t xml:space="preserve">El centro elegido para el desarrollo de esta programación didáctica es el IES Villa de Abarán, situado en el municipio de Abarán (Región de Murcia). Según su Proyecto Educativo de Centro y su Programación General Anual del curso 2025-2026, es un centro público que imparte Educación Secundaria Obligatoria, Bachillerato (modalidades de Ciencias y Tecnología y de Humanidades y Ciencias Sociales), Formación Profesional Básica (Electricidad y Electrónica, y Administrativo), Ciclos Formativos de Grado Medio (Gestión Administrativa y Atención a Personas en Situación de Dependencia) y de Grado Superior (Administración y Finanzas, Acondicionamiento Físico e Integración Social —este último, el ciclo en el que se enmarca el módulo 0017. Habilidades sociales objeto de esta programación—), además de un Programa Formativo Profesional en modalidad especial.</w:t>
      </w:r>
    </w:p>
    <w:p>
      <w:pPr>
        <w:spacing w:after="240" w:line="240"/>
      </w:pPr>
      <w:r>
        <w:rPr>
          <w:rFonts w:ascii="Arial" w:cs="Arial" w:eastAsia="Arial" w:hAnsi="Arial"/>
          <w:sz w:val="22"/>
          <w:szCs w:val="22"/>
        </w:rPr>
        <w:t xml:space="preserve">El centro inicia el curso 2025-2026 con 914 alumnos y alumnas, de los cuales 157 (un 17%) son de origen inmigrante, mayoritariamente de procedencia marroquí, seguida de la hondureña. De ellos, 822 cursan sus estudios en el turno de mañana (495 en ESO y 164 en Bachillerato) y 92 en el turno vespertino. Las edades del alumnado del centro oscilan, con carácter general, entre los 12 y los 22 años, si bien parte del alumnado de los ciclos de Grado Superior supera esta franja. El alumnado de Educación Secundaria Obligatoria procede principalmente de los cinco centros públicos de Educación Primaria de la localidad, mientras que los Ciclos Formativos —especialmente los de Grado Superior— reciben un porcentaje significativo de alumnado procedente de toda la comarca del Valle de Ricote y de la localidad de Cieza.</w:t>
      </w:r>
    </w:p>
    <w:p>
      <w:pPr>
        <w:spacing w:after="240" w:line="240"/>
      </w:pPr>
      <w:r>
        <w:rPr>
          <w:rFonts w:ascii="Arial" w:cs="Arial" w:eastAsia="Arial" w:hAnsi="Arial"/>
          <w:sz w:val="22"/>
          <w:szCs w:val="22"/>
        </w:rPr>
        <w:t xml:space="preserve">El personal del centro está formado por 99 docentes (12 de ellos a tiempo parcial) y 12 no docentes (ordenanzas, personal de limpieza, personal administrativo, un Auxiliar Técnico Educativo y un mediador comunicativo), según la Programación General Anual del curso 2025-2026. </w:t>
      </w:r>
      <w:r>
        <w:rPr>
          <w:rFonts w:ascii="Arial" w:cs="Arial" w:eastAsia="Arial" w:hAnsi="Arial"/>
          <w:b/>
          <w:bCs/>
          <w:color w:val="C00000"/>
          <w:sz w:val="22"/>
          <w:szCs w:val="22"/>
        </w:rPr>
        <w:t xml:space="preserve">El número de docentes del departamento de Servicios Socioculturales y a la Comunidad en este centro (especialidades de Intervención Sociocomunitaria y de Servicios a la Comunidad), así como el porcentaje de profesorado con destino definitivo frente a interino, no ha podido confirmarse todavía con una fuente fiable; esta información se ha solicitado a un contacto directo del centro y se incorporará en cuanto se confirme</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La economía local se sustenta principalmente en la agricultura y en los servicios derivados de ésta —fundamentalmente almacenes de manipulación de fruta y verdura—, con una oferta laboral marcadamente estacional, concentrada entre los meses de abril y julio. El Proyecto Educativo consultado señala expresamente que la elevada tasa de empleo femenino en dichos almacenes, especialmente en los meses de mayor actividad, hace que una parte del alumnado permanezca solo en casa durante numerosas horas, sin la figura de un progenitor que pueda apoyar las tareas escolares, una circunstancia relevante de cara a la atención a la diversidad y a la relación con las familias de esta programación.</w:t>
      </w:r>
    </w:p>
    <w:p>
      <w:pPr>
        <w:spacing w:after="240" w:line="240"/>
      </w:pPr>
      <w:r>
        <w:rPr>
          <w:rFonts w:ascii="Arial" w:cs="Arial" w:eastAsia="Arial" w:hAnsi="Arial"/>
          <w:sz w:val="22"/>
          <w:szCs w:val="22"/>
        </w:rPr>
        <w:t xml:space="preserve">En cuanto al modelo de distribución de la fase de Formación en Centros de Trabajo, la propia Programación General Anual recoge, en el plan de estudios del ciclo de Integración Social, un reparto de 160 horas de formación en empresa en 1º curso y 340 horas en 2º curso, lo que confirma la aplicación del modelo estándar —frente al modelo concentrado, en el que la totalidad de la fase de empresa se desarrollaría en el segundo curso—.</w:t>
      </w:r>
    </w:p>
    <w:p>
      <w:pPr>
        <w:spacing w:after="240" w:line="240"/>
      </w:pPr>
      <w:r>
        <w:rPr>
          <w:rFonts w:ascii="Arial" w:cs="Arial" w:eastAsia="Arial" w:hAnsi="Arial"/>
          <w:sz w:val="22"/>
          <w:szCs w:val="22"/>
        </w:rPr>
        <w:t xml:space="preserve">El centro participa activamente en el programa Erasmus+, contando para el curso 2025-2026 con tres proyectos de acreditación: KA121-SCH (ESO y Bachillerato), KA121-VET (Formación Profesional Básica y de Grado Medio) y, el que resulta directamente aplicable a esta programación, el proyecto de Carta ECHE KA131-HED, dirigido expresamente, según la propia PGA, a «la formación del profesorado de ciclos superiores y la realización de prácticas de empresa del alumnado en el extranjero», lo que permite al alumnado de 2º de Integración Social optar a realizar parte de su FCT en otro país europeo.</w:t>
      </w:r>
    </w:p>
    <w:p>
      <w:pPr>
        <w:spacing w:after="240" w:line="240"/>
      </w:pPr>
      <w:r>
        <w:rPr>
          <w:rFonts w:ascii="Arial" w:cs="Arial" w:eastAsia="Arial" w:hAnsi="Arial"/>
          <w:sz w:val="22"/>
          <w:szCs w:val="22"/>
        </w:rPr>
        <w:t xml:space="preserve">Resulta especialmente pertinente para esta programación que el Plan de Convivencia del centro (revisado en noviembre de 2025) contempla expresamente, entre las funciones del profesorado de Servicios a la Comunidad, la elaboración de «cursos o talleres de habilidades sociales» como medida correctiva dentro de dicho Plan, lo que vincula de forma directa el contenido del módulo con una necesidad real y documentada del centro.</w:t>
      </w:r>
    </w:p>
    <w:p>
      <w:pPr>
        <w:spacing w:after="240" w:line="240"/>
      </w:pPr>
      <w:r>
        <w:rPr>
          <w:rFonts w:ascii="Arial" w:cs="Arial" w:eastAsia="Arial" w:hAnsi="Arial"/>
          <w:b/>
          <w:bCs/>
          <w:color w:val="C00000"/>
          <w:sz w:val="22"/>
          <w:szCs w:val="22"/>
        </w:rPr>
        <w:t xml:space="preserve">En cuanto a las instalaciones y recursos materiales específicos disponibles para el desarrollo del módulo (aula o taller concreto, recursos audiovisuales u otros), ni el Proyecto Educativo ni la Programación General Anual consultados detallan un inventario de espacios, por lo que este punto se ha trasladado también al contacto directo del centro y se incorporará en cuanto se confirme.</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sz w:val="22"/>
          <w:szCs w:val="22"/>
        </w:rPr>
        <w:t xml:space="preserve">Al tratarse de un grupo de 2º curso de un ciclo formativo de grado superior, la totalidad del alumnado es mayor de edad, por lo que la etapa de las operaciones formales descrita por Piaget —propia de la adolescencia y alcanzada generalmente a partir de los 11-12 años— se encuentra ya consolidada en todo el grupo. Por ello, resulta más pertinente orientar la intervención docente desde los principios de la andragogía (Knowles), que caracterizan al alumnado adulto por su capacidad de autodirección en el aprendizaje, el uso de su propia experiencia como recurso, una orientación del aprendizaje hacia la resolución de problemas reales y una motivación marcadamente vinculada a su proyección profesional.</w:t>
      </w:r>
    </w:p>
    <w:p>
      <w:pPr>
        <w:spacing w:after="240" w:line="240"/>
      </w:pPr>
      <w:r>
        <w:rPr>
          <w:rFonts w:ascii="Arial" w:cs="Arial" w:eastAsia="Arial" w:hAnsi="Arial"/>
          <w:sz w:val="22"/>
          <w:szCs w:val="22"/>
        </w:rPr>
        <w:t xml:space="preserve">El grupo-aula al que se dirige esta programación está compuesto por 18 alumnos y alumnas —13 mujeres y 5 hombres, proporción que responde a la tendencia habitual de predominio femenino en los ciclos de la familia profesional de Servicios Socioculturales y a la Comunidad—, con edades comprendidas entre los 18 y los 22 años, todos ellos con matrícula completa en los módulos de 2º curso. El acceso al ciclo presenta una procedencia mixta, sin que predomine claramente ninguna vía —Bachillerato, un ciclo formativo de grado medio del mismo sector (como Atención a Personas en Situación de Dependencia) o la prueba de acceso—. En cuanto a su situación laboral y económica, el grupo es igualmente heterogéneo: una parte del alumnado compagina los estudios con algún trabajo, mientras que otra parte depende económicamente de su familia. La mayoría dispone de ordenador y acceso a internet propios; para quienes no cuentan con estos recursos, el centro dispone de un servicio de préstamo de equipos portátiles. La presencia de alumnado de origen extranjero es minoritaria dentro del grupo, en línea con el contexto sociocultural del municipio descrito en el apartado anterior. Se han identificado, además, necesidades específicas de apoyo educativo en tres alumnos o alumnas: uno o dos casos de dificultad específica de aprendizaje y un caso de trastorno del espectro autista (TEA), lo que exigirá prever las adaptaciones metodológicas y de acceso correspondientes en el diseño de las Unidades de Trabajo. La evaluación inicial sitúa al grupo en un nivel medio-alto, con una base consolidada desde el primer curso del ciclo. La motivación hacia el módulo y hacia el ciclo en general es, sin embargo, dispar: conviven alumnos y alumnas con una clara vocación hacia la intervención social con otros cuya implicación es más irregular, lo que configura un grupo con una cohesión y heterogeneidad que deberán tenerse en cuenta en el diseño metodológico.</w:t>
      </w:r>
    </w:p>
    <w:p>
      <w:pPr>
        <w:spacing w:after="240" w:line="240"/>
      </w:pPr>
      <w:r>
        <w:rPr>
          <w:rFonts w:ascii="Arial" w:cs="Arial" w:eastAsia="Arial" w:hAnsi="Arial"/>
          <w:sz w:val="22"/>
          <w:szCs w:val="22"/>
        </w:rPr>
        <w:t xml:space="preserve">Por tratarse de alumnado de 2º curso de un ciclo de grado superior, no existe alumnado menor de edad en el grupo, por lo que no procede hablar de autorización o tutela legal de las familias en el sentido en que sí resultaría relevante en otras etapas educativas. No obstante, la relación con las familias sigue teniendo importancia en este contexto, ya que una parte considerable del alumnado continúa conviviendo en el domicilio familiar. Esta circunstancia cobra especial relevancia en la comunicación centro-familia ante situaciones sensibles que puedan afectar al alumnado —como conductas autolesivas, ideación o riesgo suicida, o diagnósticos de salud mental—, en las que la coordinación con el entorno familiar puede resultar determinante para la protección del alumnado. En todo caso, al tratarse de alumnado adulto, dicha comunicación deberá respetar su autonomía personal y su derecho a la confidencialidad, realizándose siempre, salvo situaciones de riesgo grave e inminente, con su conocimiento y consentimiento.</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sz w:val="22"/>
          <w:szCs w:val="22"/>
        </w:rPr>
        <w:t xml:space="preserve">Conforme al artículo 7 del Real Decreto 659/2023, de 18 de julio, los módulos profesionales se desarrollan combinando la formación en el centro educativo con la formación en la empresa, lo que exige al centro mantener una relación activa con su entorno productivo. En este sentido, la Programación General Anual del IES Villa de Abarán recoge, entre sus líneas de actuación para Formación Profesional, el objetivo de «potenciar las relaciones con las empresas de la localidad», sin que se concreten entidades específicas vinculadas al ciclo de Integración Social.</w:t>
      </w:r>
    </w:p>
    <w:p>
      <w:pPr>
        <w:spacing w:after="240" w:line="240"/>
      </w:pPr>
      <w:r>
        <w:rPr>
          <w:rFonts w:ascii="Arial" w:cs="Arial" w:eastAsia="Arial" w:hAnsi="Arial"/>
          <w:sz w:val="22"/>
          <w:szCs w:val="22"/>
        </w:rPr>
        <w:t xml:space="preserve">A nivel de comunidad, el municipio de Abarán cuenta con una red de servicios y entidades sociales reales y documentadas que constituyen un entorno productivo y asociativo especialmente pertinente para el perfil profesional del Técnico Superior en Integración Social, aunque no se trate de colaboradores confirmados del propio centro educativo, sino de recursos del territorio en los que dicho perfil tiene cabida.</w:t>
      </w:r>
    </w:p>
    <w:p>
      <w:pPr>
        <w:spacing w:after="240" w:line="240"/>
      </w:pPr>
      <w:r>
        <w:rPr>
          <w:rFonts w:ascii="Arial" w:cs="Arial" w:eastAsia="Arial" w:hAnsi="Arial"/>
          <w:b/>
          <w:bCs/>
          <w:sz w:val="22"/>
          <w:szCs w:val="22"/>
        </w:rPr>
        <w:t xml:space="preserve">Servicios de responsabilidad pública ya confirmados: </w:t>
      </w:r>
      <w:r>
        <w:rPr>
          <w:rFonts w:ascii="Arial" w:cs="Arial" w:eastAsia="Arial" w:hAnsi="Arial"/>
          <w:sz w:val="22"/>
          <w:szCs w:val="22"/>
        </w:rPr>
        <w:t xml:space="preserve">el Ayuntamiento de Abarán mantiene, mediante convenio con el Instituto Murciano de Acción Social (IMAS), el Servicio de Ayuda a Domicilio y un Centro de Día municipal para personas con discapacidad intelectual en situación de dependencia. Ambos recursos encajan de forma directa con el perfil profesional del título, en especial con módulos como Apoyo domiciliario o Atención y apoyo psicosocial.</w:t>
      </w:r>
    </w:p>
    <w:p>
      <w:pPr>
        <w:spacing w:after="240" w:line="240"/>
      </w:pPr>
      <w:r>
        <w:rPr>
          <w:rFonts w:ascii="Arial" w:cs="Arial" w:eastAsia="Arial" w:hAnsi="Arial"/>
          <w:b/>
          <w:bCs/>
          <w:sz w:val="22"/>
          <w:szCs w:val="22"/>
        </w:rPr>
        <w:t xml:space="preserve">Entidades del tercer sector presentes en el municipio: </w:t>
      </w:r>
      <w:r>
        <w:rPr>
          <w:rFonts w:ascii="Arial" w:cs="Arial" w:eastAsia="Arial" w:hAnsi="Arial"/>
          <w:sz w:val="22"/>
          <w:szCs w:val="22"/>
        </w:rPr>
        <w:t xml:space="preserve">Según la ficha oficial del proyecto municipal «Atención Integral a Personas Mayores en Situación de Vulnerabilidad» (Concejalía de Política Social del Ayuntamiento de Abarán, financiado por fondos del Plan de Recuperación, Transformación y Resiliencia), el municipio cuenta con Cáritas, Cruz Roja y la Asociación de Disminuidos Físicos de Abarán (ADFA) como entidades de iniciativa social activas en la atención a colectivos vulnerables. A estas se suma, ya en la vecina localidad de Cieza —de donde procede parte del alumnado de los ciclos de Grado Superior del centro—, AFEMCE (Asociación de Familiares y Personas con Enfermedad Mental de Cieza y Comarca), entidad federada en Salud Mental Región de Murcia y activa desde 1998 en la defensa de los derechos de las personas con problemas de salud mental y sus familias. De entre ellas, ADFA y AFEMCE —centradas respectivamente en discapacidad física y en salud mental— resultan las de mayor afinidad directa con las competencias del Técnico en Integración Social; ADFA consta además como centro de prácticas real de otras titulaciones universitarias del ámbito sociosanitario, lo que confirma su disposición habitual a acoger alumnado en formación.</w:t>
      </w:r>
    </w:p>
    <w:p>
      <w:pPr>
        <w:spacing w:after="240" w:line="240"/>
      </w:pPr>
      <w:r>
        <w:rPr>
          <w:rFonts w:ascii="Arial" w:cs="Arial" w:eastAsia="Arial" w:hAnsi="Arial"/>
          <w:sz w:val="22"/>
          <w:szCs w:val="22"/>
        </w:rPr>
        <w:t xml:space="preserve">No obstante, </w:t>
      </w:r>
      <w:r>
        <w:rPr>
          <w:rFonts w:ascii="Arial" w:cs="Arial" w:eastAsia="Arial" w:hAnsi="Arial"/>
          <w:b/>
          <w:bCs/>
          <w:color w:val="C00000"/>
          <w:sz w:val="22"/>
          <w:szCs w:val="22"/>
        </w:rPr>
        <w:t xml:space="preserve">no se ha podido confirmar que el IES Villa de Abarán mantenga en la actualidad un convenio o colaboración directa con ninguna de estas entidades para la realización de FCT o proyectos de aprendizaje-servicio del ciclo de Integración Social; se trata de recursos reales del territorio, no de colaboradores confirmados del centro</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El perfil demográfico del municipio refuerza, en todo caso, la pertinencia de este entorno: Abarán cuenta con 13.504 habitantes (Padrón municipal, octubre de 2021), de los que aproximadamente uno de cada cinco es mayor de 65 años, un perfil demográfico envejecido que justifica la necesidad real de profesionales de la intervención social en el municipio y abre la puerta al diseño de proyectos de aprendizaje-servicio del módulo vinculados a estos colectivos y entidades.</w:t>
      </w:r>
    </w:p>
    <w:p>
      <w:pPr>
        <w:spacing w:after="240" w:line="240"/>
      </w:pPr>
      <w:r>
        <w:rPr>
          <w:rFonts w:ascii="Arial" w:cs="Arial" w:eastAsia="Arial" w:hAnsi="Arial"/>
          <w:sz w:val="22"/>
          <w:szCs w:val="22"/>
        </w:rPr>
        <w:t xml:space="preserve">En este sentido, y dado que la colaboración con estas entidades a través de la Formación Profesional dualizada implica que el alumnado entre en contacto directo con las personas vulnerables atendidas por ellas, esta programación didáctica debe elaborarse de forma minuciosa y concienzuda, garantizando que la atención que dichas entidades prestan a sus propios usuarios no se vea comprometida por la incorporación del alumnado en prácticas.</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sz w:val="22"/>
          <w:szCs w:val="22"/>
        </w:rPr>
        <w:t xml:space="preserve">La competencia general describe las funciones profesionales más significativas del perfil profesional del título. Constituye el referente último y común a todos los módulos que integran el ciclo, y se encuentra siempre en el Real Decreto que fija las enseñanzas mínimas del título —nunca en el decreto u orden que lo desarrolla en cada comunidad autónoma—, conforme a lo establecido en el artículo 83.b) del Real Decreto 659/2023, de 18 de julio, que incluye la competencia general dentro de los elementos mínimos del «perfil profesional» de todo título de Formación Profesional.</w:t>
      </w:r>
    </w:p>
    <w:p>
      <w:pPr>
        <w:ind w:left="567" w:right="567"/>
        <w:spacing w:after="240" w:line="240"/>
      </w:pPr>
      <w:r>
        <w:rPr>
          <w:rFonts w:ascii="Arial" w:cs="Arial" w:eastAsia="Arial" w:hAnsi="Arial"/>
          <w:i/>
          <w:iCs/>
          <w:sz w:val="22"/>
          <w:szCs w:val="22"/>
        </w:rPr>
        <w:t xml:space="preserve">«La competencia general de este título consiste en programar, organizar y evaluar las intervenciones de integración social aplicando estrategias y técnicas específicas, promoviendo la equidad, igualdad de oportunidades e inclusión, actuando en todo momento con una actitud de respeto hacia las personas destinatarias y garantizando la creación de entornos seguros tanto para las personas destinatarias como para el profesional, con el fin de mejorar su situación personal, familiar y/o social» (art. 4 del Real Decreto 1074/2012, de 13 de julio, en su redacción dada por el artículo segundo, apartado Dos, del Real Decreto 289/2023, de 18 de abril).</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sz w:val="22"/>
          <w:szCs w:val="22"/>
        </w:rPr>
        <w:t xml:space="preserve">Las competencias profesionales y para la empleabilidad —denominación que, desde el Real Decreto 659/2023, sustituye a la anterior «competencias profesionales, personales y sociales»— forman, junto con la competencia general, el «perfil profesional» del título (art. 83.b) del Real Decreto 659/2023). Al igual que la competencia general, esta relación completa de competencias se recoge siempre en el Real Decreto que fija las enseñanzas mínimas del título, en este caso en el artículo 5 del Real Decreto 1074/2012 —no modificado por el Real Decreto 289/2023—, que relaciona un total de veintitrés competencias (letras a a la w).</w:t>
      </w:r>
    </w:p>
    <w:p>
      <w:pPr>
        <w:spacing w:after="240" w:line="240"/>
      </w:pPr>
      <w:r>
        <w:rPr>
          <w:rFonts w:ascii="Arial" w:cs="Arial" w:eastAsia="Arial" w:hAnsi="Arial"/>
          <w:sz w:val="22"/>
          <w:szCs w:val="22"/>
        </w:rPr>
        <w:t xml:space="preserve">De estas veintitrés, el propio Real Decreto 1074/2012 —en la redacción del módulo profesional 0017. Habilidades sociales dada por el Real Decreto 289/2023, dentro de sus orientaciones pedagógicas— indica expresamente que este módulo contribuye a alcanzar las competencias profesionales y para la empleabilidad m), o), q), r), s) y u) del título, que se relacionan a continuación:</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700"/>
        <w:gridCol w:w="8898"/>
      </w:tblGrid>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Letra</w:t>
            </w:r>
          </w:p>
        </w:tc>
        <w:tc>
          <w:tcPr>
            <w:tcW w:type="dxa" w:w="8898"/>
            <w:tcMar>
              <w:top w:type="dxa" w:w="80"/>
              <w:left w:type="dxa" w:w="100"/>
              <w:bottom w:type="dxa" w:w="80"/>
              <w:right w:type="dxa" w:w="100"/>
            </w:tcMar>
            <w:vAlign w:val="center"/>
          </w:tcPr>
          <w:p>
            <w:pPr>
              <w:spacing w:line="240"/>
            </w:pPr>
            <w:r>
              <w:rPr>
                <w:rFonts w:ascii="Arial" w:cs="Arial" w:eastAsia="Arial" w:hAnsi="Arial"/>
                <w:b/>
                <w:bCs/>
                <w:sz w:val="20"/>
                <w:szCs w:val="20"/>
              </w:rPr>
              <w:t xml:space="preserve">Competencia profesional y para la empleabilidad</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Realizar tareas de mediación entre personas y grupos, aplicando técnicas participativas y de gestión de conflictos de forma eficiente.</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o)</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Mantener relaciones fluidas con las personas usuarias y sus familias, miembros del grupo de trabajo y otros profesionales, mostrando habilidades sociales y aportando soluciones a los conflictos que surjan.</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q)</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Resolver situaciones, problemas o contingencias con iniciativa y autonomía en el ámbito de su competencia, con creatividad, innovación y espíritu de mejora en el trabajo personal y en el de los miembros del equipo.</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r)</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Organizar y coordinar equipos de trabajo con responsabilidad, supervisando el desarrollo del mismo, manteniendo relaciones fluidas y asumiendo el liderazgo, así como aportando soluciones a los conflictos grupales que se presenten.</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s)</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Comunicarse con sus iguales, superiores, clientes y personas bajo su responsabilidad, utilizando vías eficaces de comunicación, transmitiendo la información o conocimientos adecuados y respetando la autonomía y competencia de las personas que intervienen en el ámbito de su trabajo.</w:t>
            </w:r>
          </w:p>
        </w:tc>
      </w:tr>
      <w:tr>
        <w:tc>
          <w:tcPr>
            <w:tcW w:type="dxa" w:w="7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u)</w:t>
            </w:r>
          </w:p>
        </w:tc>
        <w:tc>
          <w:tcPr>
            <w:tcW w:type="dxa" w:w="8898"/>
            <w:tcMar>
              <w:top w:type="dxa" w:w="80"/>
              <w:left w:type="dxa" w:w="100"/>
              <w:bottom w:type="dxa" w:w="80"/>
              <w:right w:type="dxa" w:w="100"/>
            </w:tcMar>
            <w:vAlign w:val="center"/>
          </w:tcPr>
          <w:p>
            <w:pPr>
              <w:spacing w:line="240"/>
            </w:pPr>
            <w:r>
              <w:rPr>
                <w:rFonts w:ascii="Arial" w:cs="Arial" w:eastAsia="Arial" w:hAnsi="Arial"/>
                <w:sz w:val="20"/>
                <w:szCs w:val="20"/>
              </w:rPr>
              <w:t xml:space="preserve">Supervisar y aplicar procedimientos de gestión de calidad, de accesibilidad universal y de «diseño para todos», en las actividades profesionales incluidas en los procesos de producción o prestación de servicios.</w:t>
            </w:r>
          </w:p>
        </w:tc>
      </w:tr>
    </w:tbl>
    <w:p>
      <w:pPr>
        <w:spacing w:after="240" w:line="240"/>
      </w:pPr>
      <w:r>
        <w:rPr>
          <w:rFonts w:ascii="Arial" w:cs="Arial" w:eastAsia="Arial" w:hAnsi="Arial"/>
          <w:sz w:val="22"/>
          <w:szCs w:val="22"/>
        </w:rPr>
        <w:t xml:space="preserve"/>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sz w:val="22"/>
          <w:szCs w:val="22"/>
        </w:rPr>
        <w:t xml:space="preserve">Las cualificaciones profesionales y las unidades de competencia son dos elementos asociados a las competencias de cada título, referidos a la titulación y acreditación de los profesionales, no directamente al currículo de las enseñanzas. Ambas quedan establecidas por el Catálogo Nacional de Cualificaciones Profesionales y se recogen, al igual que en los dos apartados anteriores, en el Real Decreto que fija las enseñanzas mínimas del título —en este caso, en el artículo 6 del Real Decreto 1074/2012, en su redacción dada por el artículo segundo, apartado Tres, del Real Decreto 289/2023, de 18 de abril.</w:t>
      </w:r>
    </w:p>
    <w:p>
      <w:pPr>
        <w:spacing w:after="120" w:before="120" w:line="240"/>
      </w:pPr>
      <w:r>
        <w:rPr>
          <w:rFonts w:ascii="Arial" w:cs="Arial" w:eastAsia="Arial" w:hAnsi="Arial"/>
          <w:b/>
          <w:bCs/>
          <w:i/>
          <w:iCs/>
          <w:sz w:val="22"/>
          <w:szCs w:val="22"/>
        </w:rPr>
        <w:t xml:space="preserve">Cualificaciones profesionales completas</w:t>
      </w:r>
    </w:p>
    <w:p>
      <w:pPr>
        <w:ind w:left="284"/>
        <w:spacing w:after="240" w:line="240"/>
      </w:pPr>
      <w:r>
        <w:rPr>
          <w:rFonts w:ascii="Arial" w:cs="Arial" w:eastAsia="Arial" w:hAnsi="Arial"/>
          <w:b/>
          <w:bCs/>
          <w:sz w:val="22"/>
          <w:szCs w:val="22"/>
        </w:rPr>
        <w:t xml:space="preserve">a) Educación de habilidades de autonomía personal y social SSC090_3 </w:t>
      </w:r>
      <w:r>
        <w:rPr>
          <w:rFonts w:ascii="Arial" w:cs="Arial" w:eastAsia="Arial" w:hAnsi="Arial"/>
          <w:i/>
          <w:iCs/>
          <w:sz w:val="22"/>
          <w:szCs w:val="22"/>
        </w:rPr>
        <w:t xml:space="preserve">(Real Decreto 295/2004, de 20 de febrero).</w:t>
      </w:r>
    </w:p>
    <w:p>
      <w:pPr>
        <w:ind w:left="568"/>
        <w:spacing w:after="240" w:line="240"/>
      </w:pPr>
      <w:r>
        <w:rPr>
          <w:rFonts w:ascii="Arial" w:cs="Arial" w:eastAsia="Arial" w:hAnsi="Arial"/>
          <w:sz w:val="22"/>
          <w:szCs w:val="22"/>
        </w:rPr>
        <w:t xml:space="preserve">UC0252_3: Programar, organizar y evaluar las intervenciones de integración social.</w:t>
      </w:r>
    </w:p>
    <w:p>
      <w:pPr>
        <w:ind w:left="568"/>
        <w:spacing w:after="240" w:line="240"/>
      </w:pPr>
      <w:r>
        <w:rPr>
          <w:rFonts w:ascii="Arial" w:cs="Arial" w:eastAsia="Arial" w:hAnsi="Arial"/>
          <w:sz w:val="22"/>
          <w:szCs w:val="22"/>
        </w:rPr>
        <w:t xml:space="preserve">UC0253_3: Desarrollar las intervenciones dirigidas al entrenamiento y a la adquisición de habilidades de autonomía personal y social.</w:t>
      </w:r>
    </w:p>
    <w:p>
      <w:pPr>
        <w:ind w:left="568"/>
        <w:spacing w:after="240" w:line="240"/>
      </w:pPr>
      <w:r>
        <w:rPr>
          <w:rFonts w:ascii="Arial" w:cs="Arial" w:eastAsia="Arial" w:hAnsi="Arial"/>
          <w:sz w:val="22"/>
          <w:szCs w:val="22"/>
        </w:rPr>
        <w:t xml:space="preserve">UC0254_3: Establecer, adaptar y aplicar sistemas alternativos de comunicación.</w:t>
      </w:r>
    </w:p>
    <w:p>
      <w:pPr>
        <w:ind w:left="284"/>
        <w:spacing w:after="240" w:line="240"/>
      </w:pPr>
      <w:r>
        <w:rPr>
          <w:rFonts w:ascii="Arial" w:cs="Arial" w:eastAsia="Arial" w:hAnsi="Arial"/>
          <w:b/>
          <w:bCs/>
          <w:sz w:val="22"/>
          <w:szCs w:val="22"/>
        </w:rPr>
        <w:t xml:space="preserve">b) Mediación comunitaria SSC324_3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UC1038_3: Identificar y concretar las características y necesidades del contexto social de la intervención.</w:t>
      </w:r>
    </w:p>
    <w:p>
      <w:pPr>
        <w:ind w:left="568"/>
        <w:spacing w:after="240" w:line="240"/>
      </w:pPr>
      <w:r>
        <w:rPr>
          <w:rFonts w:ascii="Arial" w:cs="Arial" w:eastAsia="Arial" w:hAnsi="Arial"/>
          <w:sz w:val="22"/>
          <w:szCs w:val="22"/>
        </w:rPr>
        <w:t xml:space="preserve">UC1039_3: Prevenir conflictos entre distintas personas, actores y colectivos sociales.</w:t>
      </w:r>
    </w:p>
    <w:p>
      <w:pPr>
        <w:ind w:left="568"/>
        <w:spacing w:after="240" w:line="240"/>
      </w:pPr>
      <w:r>
        <w:rPr>
          <w:rFonts w:ascii="Arial" w:cs="Arial" w:eastAsia="Arial" w:hAnsi="Arial"/>
          <w:sz w:val="22"/>
          <w:szCs w:val="22"/>
        </w:rPr>
        <w:t xml:space="preserve">UC1040_3: Organizar e implementar el proceso de gestión de conflictos.</w:t>
      </w:r>
    </w:p>
    <w:p>
      <w:pPr>
        <w:ind w:left="568"/>
        <w:spacing w:after="240" w:line="240"/>
      </w:pPr>
      <w:r>
        <w:rPr>
          <w:rFonts w:ascii="Arial" w:cs="Arial" w:eastAsia="Arial" w:hAnsi="Arial"/>
          <w:sz w:val="22"/>
          <w:szCs w:val="22"/>
        </w:rPr>
        <w:t xml:space="preserve">UC1041_3: Realizar la valoración, el seguimiento y la difusión de la mediación como una vía de gestión de conflictos.</w:t>
      </w:r>
    </w:p>
    <w:p>
      <w:pPr>
        <w:ind w:left="568"/>
        <w:spacing w:after="240" w:line="240"/>
      </w:pPr>
      <w:r>
        <w:rPr>
          <w:rFonts w:ascii="Arial" w:cs="Arial" w:eastAsia="Arial" w:hAnsi="Arial"/>
          <w:sz w:val="22"/>
          <w:szCs w:val="22"/>
        </w:rPr>
        <w:t xml:space="preserve">UC1026_3: Incorporar la perspectiva de género en los proyectos de intervención social.</w:t>
      </w:r>
    </w:p>
    <w:p>
      <w:pPr>
        <w:ind w:left="284"/>
        <w:spacing w:after="240" w:line="240"/>
      </w:pPr>
      <w:r>
        <w:rPr>
          <w:rFonts w:ascii="Arial" w:cs="Arial" w:eastAsia="Arial" w:hAnsi="Arial"/>
          <w:b/>
          <w:bCs/>
          <w:sz w:val="22"/>
          <w:szCs w:val="22"/>
        </w:rPr>
        <w:t xml:space="preserve">c) Inserción laboral de personas con discapacidad SSC323_3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UC1034_3: Gestionar la información sobre los recursos sociolaborales y formativos y colaborar en el análisis de puestos de trabajo para la inserción sociolaboral de personas con discapacidad.</w:t>
      </w:r>
    </w:p>
    <w:p>
      <w:pPr>
        <w:ind w:left="568"/>
        <w:spacing w:after="240" w:line="240"/>
      </w:pPr>
      <w:r>
        <w:rPr>
          <w:rFonts w:ascii="Arial" w:cs="Arial" w:eastAsia="Arial" w:hAnsi="Arial"/>
          <w:sz w:val="22"/>
          <w:szCs w:val="22"/>
        </w:rPr>
        <w:t xml:space="preserve">UC1035_3: Realizar las intervenciones dirigidas al entrenamiento para la adquisición y desarrollo de habilidades sociolaborales en las personas con discapacidad.</w:t>
      </w:r>
    </w:p>
    <w:p>
      <w:pPr>
        <w:ind w:left="568"/>
        <w:spacing w:after="240" w:line="240"/>
      </w:pPr>
      <w:r>
        <w:rPr>
          <w:rFonts w:ascii="Arial" w:cs="Arial" w:eastAsia="Arial" w:hAnsi="Arial"/>
          <w:sz w:val="22"/>
          <w:szCs w:val="22"/>
        </w:rPr>
        <w:t xml:space="preserve">UC1036_3: Apoyar en el proceso de inserción sociolaboral de personas con discapacidad.</w:t>
      </w:r>
    </w:p>
    <w:p>
      <w:pPr>
        <w:ind w:left="568"/>
        <w:spacing w:after="240" w:line="240"/>
      </w:pPr>
      <w:r>
        <w:rPr>
          <w:rFonts w:ascii="Arial" w:cs="Arial" w:eastAsia="Arial" w:hAnsi="Arial"/>
          <w:sz w:val="22"/>
          <w:szCs w:val="22"/>
        </w:rPr>
        <w:t xml:space="preserve">UC1037_3: Efectuar el seguimiento de la inserción sociolaboral con la empresa, el usuario y su entorno personal.</w:t>
      </w:r>
    </w:p>
    <w:p>
      <w:pPr>
        <w:ind w:left="284"/>
        <w:spacing w:after="240" w:line="240"/>
      </w:pPr>
      <w:r>
        <w:rPr>
          <w:rFonts w:ascii="Arial" w:cs="Arial" w:eastAsia="Arial" w:hAnsi="Arial"/>
          <w:b/>
          <w:bCs/>
          <w:sz w:val="22"/>
          <w:szCs w:val="22"/>
        </w:rPr>
        <w:t xml:space="preserve">d) Promoción e intervención socioeducativa con personas con discapacidad SSC450_3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UC1448_3: Detectar, generar y utilizar recursos sociales y comunitarios para la realización de intervenciones socioeducativas con personas con discapacidad.</w:t>
      </w:r>
    </w:p>
    <w:p>
      <w:pPr>
        <w:ind w:left="568"/>
        <w:spacing w:after="240" w:line="240"/>
      </w:pPr>
      <w:r>
        <w:rPr>
          <w:rFonts w:ascii="Arial" w:cs="Arial" w:eastAsia="Arial" w:hAnsi="Arial"/>
          <w:sz w:val="22"/>
          <w:szCs w:val="22"/>
        </w:rPr>
        <w:t xml:space="preserve">UC1449_3: Organizar y realizar el acompañamiento de personas con discapacidad en la realización de actividades programadas.</w:t>
      </w:r>
    </w:p>
    <w:p>
      <w:pPr>
        <w:ind w:left="568"/>
        <w:spacing w:after="240" w:line="240"/>
      </w:pPr>
      <w:r>
        <w:rPr>
          <w:rFonts w:ascii="Arial" w:cs="Arial" w:eastAsia="Arial" w:hAnsi="Arial"/>
          <w:sz w:val="22"/>
          <w:szCs w:val="22"/>
        </w:rPr>
        <w:t xml:space="preserve">UC1450_3: Organizar, desarrollar y evaluar procesos de inclusión de personas con discapacidad en espacios de ocio y tiempo libre.</w:t>
      </w:r>
    </w:p>
    <w:p>
      <w:pPr>
        <w:ind w:left="568"/>
        <w:spacing w:after="240" w:line="240"/>
      </w:pPr>
      <w:r>
        <w:rPr>
          <w:rFonts w:ascii="Arial" w:cs="Arial" w:eastAsia="Arial" w:hAnsi="Arial"/>
          <w:sz w:val="22"/>
          <w:szCs w:val="22"/>
        </w:rPr>
        <w:t xml:space="preserve">UC1451_3: Organizar y desarrollar el entrenamiento en estrategias cognitivas básicas y alfabetización tecnológica para personas con discapacidad, en colaboración con profesionales de nivel superior.</w:t>
      </w:r>
    </w:p>
    <w:p>
      <w:pPr>
        <w:ind w:left="568"/>
        <w:spacing w:after="240" w:line="240"/>
      </w:pPr>
      <w:r>
        <w:rPr>
          <w:rFonts w:ascii="Arial" w:cs="Arial" w:eastAsia="Arial" w:hAnsi="Arial"/>
          <w:sz w:val="22"/>
          <w:szCs w:val="22"/>
        </w:rPr>
        <w:t xml:space="preserve">UC1452_3: Actuar, orientar y apoyar a las familias de personas con discapacidad, en colaboración con profesionales de nivel superior.</w:t>
      </w:r>
    </w:p>
    <w:p>
      <w:pPr>
        <w:spacing w:after="120" w:before="120" w:line="240"/>
      </w:pPr>
      <w:r>
        <w:rPr>
          <w:rFonts w:ascii="Arial" w:cs="Arial" w:eastAsia="Arial" w:hAnsi="Arial"/>
          <w:b/>
          <w:bCs/>
          <w:i/>
          <w:iCs/>
          <w:sz w:val="22"/>
          <w:szCs w:val="22"/>
        </w:rPr>
        <w:t xml:space="preserve">Cualificaciones profesionales incompletas</w:t>
      </w:r>
    </w:p>
    <w:p>
      <w:pPr>
        <w:ind w:left="284"/>
        <w:spacing w:after="240" w:line="240"/>
      </w:pPr>
      <w:r>
        <w:rPr>
          <w:rFonts w:ascii="Arial" w:cs="Arial" w:eastAsia="Arial" w:hAnsi="Arial"/>
          <w:b/>
          <w:bCs/>
          <w:sz w:val="22"/>
          <w:szCs w:val="22"/>
        </w:rPr>
        <w:t xml:space="preserve">a) Atención al alumnado con necesidades educativas especiales (ACNEE) en centros educativos SSC444_3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UC1427_3: Ejecutar, en colaboración con el tutor/a y/o con el equipo interdisciplinar del centro educativo, los programas educativos del alumnado con necesidades educativas especiales (ACNEE) en su aula de referencia.</w:t>
      </w:r>
    </w:p>
    <w:p>
      <w:pPr>
        <w:ind w:left="568"/>
        <w:spacing w:after="240" w:line="240"/>
      </w:pPr>
      <w:r>
        <w:rPr>
          <w:rFonts w:ascii="Arial" w:cs="Arial" w:eastAsia="Arial" w:hAnsi="Arial"/>
          <w:sz w:val="22"/>
          <w:szCs w:val="22"/>
        </w:rPr>
        <w:t xml:space="preserve">UC1428_3: Implementar los programas de autonomía e higiene personal en el aseo del alumnado con necesidades educativas especiales (ACNEE), participando con el equipo interdisciplinar del centro educativo.</w:t>
      </w:r>
    </w:p>
    <w:p>
      <w:pPr>
        <w:ind w:left="284"/>
        <w:spacing w:after="240" w:line="240"/>
      </w:pPr>
      <w:r>
        <w:rPr>
          <w:rFonts w:ascii="Arial" w:cs="Arial" w:eastAsia="Arial" w:hAnsi="Arial"/>
          <w:b/>
          <w:bCs/>
          <w:sz w:val="22"/>
          <w:szCs w:val="22"/>
        </w:rPr>
        <w:t xml:space="preserve">b) Dinamización comunitaria SSC321_3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UC1022_3: Dinamizar la planificación, desarrollo y evaluación de intervenciones y proyectos comunitarios y de participación ciudadana que se desarrollen entre los diferentes agentes que configuran una comunidad o una zona territorial.</w:t>
      </w:r>
    </w:p>
    <w:p>
      <w:pPr>
        <w:ind w:left="568"/>
        <w:spacing w:after="240" w:line="240"/>
      </w:pPr>
      <w:r>
        <w:rPr>
          <w:rFonts w:ascii="Arial" w:cs="Arial" w:eastAsia="Arial" w:hAnsi="Arial"/>
          <w:sz w:val="22"/>
          <w:szCs w:val="22"/>
        </w:rPr>
        <w:t xml:space="preserve">UC1024_3: Establecer estrategias de comunicación y difusión de los diferentes proyectos y actuaciones comunitarias.</w:t>
      </w:r>
    </w:p>
    <w:p>
      <w:pPr>
        <w:spacing w:after="240" w:line="240"/>
      </w:pPr>
      <w:r>
        <w:rPr>
          <w:rFonts w:ascii="Arial" w:cs="Arial" w:eastAsia="Arial" w:hAnsi="Arial"/>
          <w:sz w:val="22"/>
          <w:szCs w:val="22"/>
        </w:rPr>
        <w:t xml:space="preserve">Respecto al módulo profesional 0017. Habilidades sociales en particular, </w:t>
      </w:r>
      <w:r>
        <w:rPr>
          <w:rFonts w:ascii="Arial" w:cs="Arial" w:eastAsia="Arial" w:hAnsi="Arial"/>
          <w:b/>
          <w:bCs/>
          <w:color w:val="C00000"/>
          <w:sz w:val="22"/>
          <w:szCs w:val="22"/>
        </w:rPr>
        <w:t xml:space="preserve">la correspondencia de módulos profesionales con unidades de competencia establecida en el Anexo V B) del Real Decreto 1074/2012 —no modificado por el Real Decreto 289/2023— no incluye el módulo 0017 entre los módulos con unidad de competencia acreditable (sí lo están, entre otros, los módulos 0337 a 0344). Se trata, por tanto, de un módulo transversal, no asociado a ninguna unidad de competencia concreta, que complementa de forma global la formación del título sin corresponderse con una cualificación profesional específica</w:t>
      </w:r>
      <w:r>
        <w:rPr>
          <w:rFonts w:ascii="Arial" w:cs="Arial" w:eastAsia="Arial" w:hAnsi="Arial"/>
          <w:sz w:val="22"/>
          <w:szCs w:val="22"/>
        </w:rPr>
        <w:t xml:space="preserv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