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300" w:line="240"/>
        <w:jc w:val="center"/>
      </w:pPr>
      <w:r>
        <w:rPr>
          <w:rFonts w:ascii="Arial" w:cs="Arial" w:eastAsia="Arial" w:hAnsi="Arial"/>
          <w:b/>
          <w:bCs/>
          <w:sz w:val="30"/>
          <w:szCs w:val="30"/>
        </w:rPr>
        <w:t xml:space="preserve">PROGRAMACIÓN DIDÁCTICA — Módulo 0017. Habilidades sociales</w:t>
      </w:r>
    </w:p>
    <w:p>
      <w:pPr>
        <w:spacing w:after="400" w:line="240"/>
        <w:jc w:val="center"/>
      </w:pPr>
      <w:r>
        <w:rPr>
          <w:rFonts w:ascii="Arial" w:cs="Arial" w:eastAsia="Arial" w:hAnsi="Arial"/>
          <w:i/>
          <w:iCs/>
          <w:sz w:val="22"/>
          <w:szCs w:val="22"/>
        </w:rPr>
        <w:t xml:space="preserve">Técnico Superior en Integración Social — 2.º curso</w:t>
      </w:r>
    </w:p>
    <w:p>
      <w:pPr>
        <w:pStyle w:val="Heading1"/>
        <w:spacing w:after="160" w:before="280" w:line="240"/>
      </w:pPr>
      <w:r>
        <w:rPr>
          <w:rFonts w:ascii="Arial" w:cs="Arial" w:eastAsia="Arial" w:hAnsi="Arial"/>
          <w:b/>
          <w:bCs/>
          <w:sz w:val="28"/>
          <w:szCs w:val="28"/>
        </w:rPr>
        <w:t xml:space="preserve">1. INTRODUCCIÓN Y JUSTIFICACIÓN</w:t>
      </w:r>
    </w:p>
    <w:p>
      <w:pPr>
        <w:pStyle w:val="Heading2"/>
        <w:spacing w:after="120" w:before="200" w:line="240"/>
      </w:pPr>
      <w:r>
        <w:rPr>
          <w:rFonts w:ascii="Arial" w:cs="Arial" w:eastAsia="Arial" w:hAnsi="Arial"/>
          <w:b/>
          <w:bCs/>
          <w:sz w:val="24"/>
          <w:szCs w:val="24"/>
        </w:rPr>
        <w:t xml:space="preserve">1.1 Identificación del título</w:t>
      </w:r>
    </w:p>
    <w:p>
      <w:pPr>
        <w:spacing w:after="160" w:line="240"/>
      </w:pPr>
      <w:r>
        <w:rPr>
          <w:rFonts w:ascii="Arial" w:cs="Arial" w:eastAsia="Arial" w:hAnsi="Arial"/>
          <w:b w:val="false"/>
          <w:bCs w:val="false"/>
          <w:i w:val="false"/>
          <w:iCs w:val="false"/>
          <w:sz w:val="22"/>
          <w:szCs w:val="22"/>
        </w:rPr>
        <w:t xml:space="preserve">La presente programación didáctica se centra en el desarrollo del currículo correspondiente al módulo profesional 0017. Habilidades sociales, perteneciente al segundo curso del ciclo formativo de grado superior de Técnico Superior en Integración Social, con una equivalencia de 6 créditos ECTS y una duración de 155 horas (5 horas semanales), a lo largo de un curso académico completo.</w:t>
      </w:r>
    </w:p>
    <w:p>
      <w:pPr>
        <w:spacing w:after="160" w:line="240"/>
      </w:pPr>
      <w:r>
        <w:rPr>
          <w:rFonts w:ascii="Arial" w:cs="Arial" w:eastAsia="Arial" w:hAnsi="Arial"/>
          <w:b w:val="false"/>
          <w:bCs w:val="false"/>
          <w:i w:val="false"/>
          <w:iCs w:val="false"/>
          <w:sz w:val="22"/>
          <w:szCs w:val="22"/>
        </w:rPr>
        <w:t xml:space="preserve">Su tratamiento curricular viene detallado en el Real Decreto 1074/2012, de 13 de julio, modificado por el Real Decreto 289/2023, de 18 de abril, y en la Orden de 21 de septiembre de 2026, de la Consejería de Educación y Formación Profesional, por la que se establecen los currículos de los títulos de los ciclos formativos de grado superior y se regulan determinados aspectos organizativos en la Comunidad Autónoma de la Región de Murcia. Su diseño se ajusta a lo establecido en la Orden de [pendiente de publicación], de la Consejería de Educación y Formación Profesional, por la que se convocan los procedimientos selectivos de ingreso al Cuerpo de Profesores de Enseñanza Secundaria.</w:t>
      </w:r>
    </w:p>
    <w:tbl>
      <w:tblPr>
        <w:tblW w:type="dxa" w:w="9598"/>
        <w:tblBorders>
          <w:top w:val="single" w:color="auto" w:sz="4"/>
          <w:left w:val="single" w:color="auto" w:sz="4"/>
          <w:bottom w:val="single" w:color="auto" w:sz="4"/>
          <w:right w:val="single" w:color="auto" w:sz="4"/>
          <w:insideH w:val="single" w:color="auto" w:sz="4"/>
          <w:insideV w:val="single" w:color="auto" w:sz="4"/>
        </w:tblBorders>
      </w:tblPr>
      <w:tblGrid>
        <w:gridCol w:w="4200"/>
        <w:gridCol w:w="5398"/>
      </w:tblGrid>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FAMILIA PROFESIONAL</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Servicios Socioculturales y a la Comunidad.</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CICLO FORMATIVO Y CURSO</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Técnico Superior en Integración Social — 2.º curso.</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MODALIDAD</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Presencial.</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GRADO</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D (Real Decreto 659/2023, de 18 de julio, por el que se desarrolla la ordenación del Sistema de Formación Profesional).</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MODALIDAD DE EVALUACIÓN DEL CICLO FORMATIVO EN EL CENTRO</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[Pendiente de determinar — depende del centro elegido en el apartado de Contextualización].</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NIVEL DEL MARCO ESPAÑOL DE CUALIFICACIONES PARA EL APRENDIZAJE PERMANENTE (MECU)</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Nivel 5A (Grado Superior).</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MARCO ESPAÑOL DE CUALIFICACIONES PARA LA EDUCACIÓN SUPERIOR (MECES)</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Nivel 1 (Técnico Superior).</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CLASIFICACIÓN INTERNACIONAL NORMALIZADA DE LA EDUCACIÓN (CINE)</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CINE-5b.</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ESTÁNDAR DE COMPETENCIA ASOCIADO AL MÓDULO</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Real Decreto 1074/2012, de 13 de julio, por el que se establece el título de Técnico Superior en Integración Social y se fijan sus enseñanzas mínimas, modificado por el Real Decreto 289/2023, de 18 de abril.</w:t>
            </w:r>
          </w:p>
        </w:tc>
      </w:tr>
    </w:tbl>
    <w:p>
      <w:pPr>
        <w:pStyle w:val="Heading2"/>
        <w:spacing w:after="120" w:before="200" w:line="240"/>
      </w:pPr>
      <w:r>
        <w:rPr>
          <w:rFonts w:ascii="Arial" w:cs="Arial" w:eastAsia="Arial" w:hAnsi="Arial"/>
          <w:b/>
          <w:bCs/>
          <w:sz w:val="24"/>
          <w:szCs w:val="24"/>
        </w:rPr>
        <w:t xml:space="preserve">1.2 Identificación del módulo</w:t>
      </w:r>
    </w:p>
    <w:p>
      <w:pPr>
        <w:spacing w:after="240" w:line="240"/>
      </w:pPr>
      <w:r>
        <w:rPr>
          <w:rFonts w:ascii="Arial" w:cs="Arial" w:eastAsia="Arial" w:hAnsi="Arial"/>
          <w:i/>
          <w:iCs/>
          <w:color w:val="808080"/>
          <w:sz w:val="22"/>
          <w:szCs w:val="22"/>
        </w:rPr>
        <w:t xml:space="preserve">[Pendiente de redactar]</w:t>
      </w:r>
    </w:p>
    <w:p>
      <w:pPr>
        <w:pStyle w:val="Heading2"/>
        <w:spacing w:after="120" w:before="200" w:line="240"/>
      </w:pPr>
      <w:r>
        <w:rPr>
          <w:rFonts w:ascii="Arial" w:cs="Arial" w:eastAsia="Arial" w:hAnsi="Arial"/>
          <w:b/>
          <w:bCs/>
          <w:sz w:val="24"/>
          <w:szCs w:val="24"/>
        </w:rPr>
        <w:t xml:space="preserve">1.3 Justificación de la programación</w:t>
      </w:r>
    </w:p>
    <w:p>
      <w:pPr>
        <w:spacing w:after="240" w:line="240"/>
      </w:pPr>
      <w:r>
        <w:rPr>
          <w:rFonts w:ascii="Arial" w:cs="Arial" w:eastAsia="Arial" w:hAnsi="Arial"/>
          <w:i/>
          <w:iCs/>
          <w:color w:val="808080"/>
          <w:sz w:val="22"/>
          <w:szCs w:val="22"/>
        </w:rPr>
        <w:t xml:space="preserve">[Pendiente de redactar]</w:t>
      </w:r>
    </w:p>
    <w:p>
      <w:pPr>
        <w:pStyle w:val="Heading2"/>
        <w:spacing w:after="120" w:before="200" w:line="240"/>
      </w:pPr>
      <w:r>
        <w:rPr>
          <w:rFonts w:ascii="Arial" w:cs="Arial" w:eastAsia="Arial" w:hAnsi="Arial"/>
          <w:b/>
          <w:bCs/>
          <w:sz w:val="24"/>
          <w:szCs w:val="24"/>
        </w:rPr>
        <w:t xml:space="preserve">1.4 Referencias legislativas</w:t>
      </w:r>
    </w:p>
    <w:p>
      <w:pPr>
        <w:spacing w:after="240" w:line="240"/>
      </w:pPr>
      <w:r>
        <w:rPr>
          <w:rFonts w:ascii="Arial" w:cs="Arial" w:eastAsia="Arial" w:hAnsi="Arial"/>
          <w:i/>
          <w:iCs/>
          <w:color w:val="808080"/>
          <w:sz w:val="22"/>
          <w:szCs w:val="22"/>
        </w:rPr>
        <w:t xml:space="preserve">[Pendiente de redactar]</w:t>
      </w:r>
    </w:p>
    <w:p>
      <w:pPr>
        <w:pStyle w:val="Heading2"/>
        <w:spacing w:after="120" w:before="200" w:line="240"/>
      </w:pPr>
      <w:r>
        <w:rPr>
          <w:rFonts w:ascii="Arial" w:cs="Arial" w:eastAsia="Arial" w:hAnsi="Arial"/>
          <w:b/>
          <w:bCs/>
          <w:sz w:val="24"/>
          <w:szCs w:val="24"/>
        </w:rPr>
        <w:t xml:space="preserve">1.5 Fuentes sociales</w:t>
      </w:r>
    </w:p>
    <w:p>
      <w:pPr>
        <w:spacing w:after="240" w:line="240"/>
      </w:pPr>
      <w:r>
        <w:rPr>
          <w:rFonts w:ascii="Arial" w:cs="Arial" w:eastAsia="Arial" w:hAnsi="Arial"/>
          <w:i/>
          <w:iCs/>
          <w:color w:val="808080"/>
          <w:sz w:val="22"/>
          <w:szCs w:val="22"/>
        </w:rPr>
        <w:t xml:space="preserve">[Pendiente de redactar]</w:t>
      </w:r>
    </w:p>
    <w:p>
      <w:pPr>
        <w:pStyle w:val="Heading1"/>
        <w:spacing w:after="160" w:before="280" w:line="240"/>
      </w:pPr>
      <w:r>
        <w:rPr>
          <w:rFonts w:ascii="Arial" w:cs="Arial" w:eastAsia="Arial" w:hAnsi="Arial"/>
          <w:b/>
          <w:bCs/>
          <w:sz w:val="28"/>
          <w:szCs w:val="28"/>
        </w:rPr>
        <w:t xml:space="preserve">2. CONTEXTUALIZACIÓN</w:t>
      </w:r>
    </w:p>
    <w:p>
      <w:pPr>
        <w:pStyle w:val="Heading2"/>
        <w:spacing w:after="120" w:before="200" w:line="240"/>
      </w:pPr>
      <w:r>
        <w:rPr>
          <w:rFonts w:ascii="Arial" w:cs="Arial" w:eastAsia="Arial" w:hAnsi="Arial"/>
          <w:b/>
          <w:bCs/>
          <w:sz w:val="24"/>
          <w:szCs w:val="24"/>
        </w:rPr>
        <w:t xml:space="preserve">2.1 Características del centro</w:t>
      </w:r>
    </w:p>
    <w:p>
      <w:pPr>
        <w:spacing w:after="240" w:line="240"/>
      </w:pPr>
      <w:r>
        <w:rPr>
          <w:rFonts w:ascii="Arial" w:cs="Arial" w:eastAsia="Arial" w:hAnsi="Arial"/>
          <w:i/>
          <w:iCs/>
          <w:color w:val="808080"/>
          <w:sz w:val="22"/>
          <w:szCs w:val="22"/>
        </w:rPr>
        <w:t xml:space="preserve">[Pendiente de redactar]</w:t>
      </w:r>
    </w:p>
    <w:p>
      <w:pPr>
        <w:pStyle w:val="Heading2"/>
        <w:spacing w:after="120" w:before="200" w:line="240"/>
      </w:pPr>
      <w:r>
        <w:rPr>
          <w:rFonts w:ascii="Arial" w:cs="Arial" w:eastAsia="Arial" w:hAnsi="Arial"/>
          <w:b/>
          <w:bCs/>
          <w:sz w:val="24"/>
          <w:szCs w:val="24"/>
        </w:rPr>
        <w:t xml:space="preserve">2.2 Características del alumnado y de las familias</w:t>
      </w:r>
    </w:p>
    <w:p>
      <w:pPr>
        <w:spacing w:after="240" w:line="240"/>
      </w:pPr>
      <w:r>
        <w:rPr>
          <w:rFonts w:ascii="Arial" w:cs="Arial" w:eastAsia="Arial" w:hAnsi="Arial"/>
          <w:i/>
          <w:iCs/>
          <w:color w:val="808080"/>
          <w:sz w:val="22"/>
          <w:szCs w:val="22"/>
        </w:rPr>
        <w:t xml:space="preserve">[Pendiente de redactar]</w:t>
      </w:r>
    </w:p>
    <w:p>
      <w:pPr>
        <w:pStyle w:val="Heading2"/>
        <w:spacing w:after="120" w:before="200" w:line="240"/>
      </w:pPr>
      <w:r>
        <w:rPr>
          <w:rFonts w:ascii="Arial" w:cs="Arial" w:eastAsia="Arial" w:hAnsi="Arial"/>
          <w:b/>
          <w:bCs/>
          <w:sz w:val="24"/>
          <w:szCs w:val="24"/>
        </w:rPr>
        <w:t xml:space="preserve">2.3 Características e incorporación del ciclo formativo en el entorno productivo del centro (proyectos de aprendizaje por servicio)</w:t>
      </w:r>
    </w:p>
    <w:p>
      <w:pPr>
        <w:spacing w:after="240" w:line="240"/>
      </w:pPr>
      <w:r>
        <w:rPr>
          <w:rFonts w:ascii="Arial" w:cs="Arial" w:eastAsia="Arial" w:hAnsi="Arial"/>
          <w:i/>
          <w:iCs/>
          <w:color w:val="808080"/>
          <w:sz w:val="22"/>
          <w:szCs w:val="22"/>
        </w:rPr>
        <w:t xml:space="preserve">[Pendiente de redactar]</w:t>
      </w:r>
    </w:p>
    <w:p>
      <w:pPr>
        <w:pStyle w:val="Heading1"/>
        <w:spacing w:after="160" w:before="280" w:line="240"/>
      </w:pPr>
      <w:r>
        <w:rPr>
          <w:rFonts w:ascii="Arial" w:cs="Arial" w:eastAsia="Arial" w:hAnsi="Arial"/>
          <w:b/>
          <w:bCs/>
          <w:sz w:val="28"/>
          <w:szCs w:val="28"/>
        </w:rPr>
        <w:t xml:space="preserve">3. PERFIL PROFESIONAL Y CURRICULAR</w:t>
      </w:r>
    </w:p>
    <w:p>
      <w:pPr>
        <w:pStyle w:val="Heading2"/>
        <w:spacing w:after="120" w:before="200" w:line="240"/>
      </w:pPr>
      <w:r>
        <w:rPr>
          <w:rFonts w:ascii="Arial" w:cs="Arial" w:eastAsia="Arial" w:hAnsi="Arial"/>
          <w:b/>
          <w:bCs/>
          <w:sz w:val="24"/>
          <w:szCs w:val="24"/>
        </w:rPr>
        <w:t xml:space="preserve">3.1 Competencia general del ciclo</w:t>
      </w:r>
    </w:p>
    <w:p>
      <w:pPr>
        <w:spacing w:after="240" w:line="240"/>
      </w:pPr>
      <w:r>
        <w:rPr>
          <w:rFonts w:ascii="Arial" w:cs="Arial" w:eastAsia="Arial" w:hAnsi="Arial"/>
          <w:i/>
          <w:iCs/>
          <w:color w:val="808080"/>
          <w:sz w:val="22"/>
          <w:szCs w:val="22"/>
        </w:rPr>
        <w:t xml:space="preserve">[Pendiente de redactar]</w:t>
      </w:r>
    </w:p>
    <w:p>
      <w:pPr>
        <w:pStyle w:val="Heading2"/>
        <w:spacing w:after="120" w:before="200" w:line="240"/>
      </w:pPr>
      <w:r>
        <w:rPr>
          <w:rFonts w:ascii="Arial" w:cs="Arial" w:eastAsia="Arial" w:hAnsi="Arial"/>
          <w:b/>
          <w:bCs/>
          <w:sz w:val="24"/>
          <w:szCs w:val="24"/>
        </w:rPr>
        <w:t xml:space="preserve">3.2 Competencias profesionales y para la empleabilidad</w:t>
      </w:r>
    </w:p>
    <w:p>
      <w:pPr>
        <w:spacing w:after="240" w:line="240"/>
      </w:pPr>
      <w:r>
        <w:rPr>
          <w:rFonts w:ascii="Arial" w:cs="Arial" w:eastAsia="Arial" w:hAnsi="Arial"/>
          <w:i/>
          <w:iCs/>
          <w:color w:val="808080"/>
          <w:sz w:val="22"/>
          <w:szCs w:val="22"/>
        </w:rPr>
        <w:t xml:space="preserve">[Pendiente de redactar]</w:t>
      </w:r>
    </w:p>
    <w:p>
      <w:pPr>
        <w:pStyle w:val="Heading2"/>
        <w:spacing w:after="120" w:before="200" w:line="240"/>
      </w:pPr>
      <w:r>
        <w:rPr>
          <w:rFonts w:ascii="Arial" w:cs="Arial" w:eastAsia="Arial" w:hAnsi="Arial"/>
          <w:b/>
          <w:bCs/>
          <w:sz w:val="24"/>
          <w:szCs w:val="24"/>
        </w:rPr>
        <w:t xml:space="preserve">3.3 Cualificaciones profesionales y unidades de competencia</w:t>
      </w:r>
    </w:p>
    <w:p>
      <w:pPr>
        <w:spacing w:after="240" w:line="240"/>
      </w:pPr>
      <w:r>
        <w:rPr>
          <w:rFonts w:ascii="Arial" w:cs="Arial" w:eastAsia="Arial" w:hAnsi="Arial"/>
          <w:i/>
          <w:iCs/>
          <w:color w:val="808080"/>
          <w:sz w:val="22"/>
          <w:szCs w:val="22"/>
        </w:rPr>
        <w:t xml:space="preserve">[Pendiente de redactar]</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2026-10-02T11:31:46.281Z</dcterms:created>
  <dcterms:modified xsi:type="dcterms:W3CDTF">2026-10-02T11:31:46.288Z</dcterms:modified>
</cp:coreProperties>
</file>

<file path=docProps/custom.xml><?xml version="1.0" encoding="utf-8"?>
<Properties xmlns="http://schemas.openxmlformats.org/officeDocument/2006/custom-properties" xmlns:vt="http://schemas.openxmlformats.org/officeDocument/2006/docPropsVTypes"/>
</file>