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 </w:t>
      </w:r>
      <w:r w:rsidDel="00000000" w:rsidR="00000000" w:rsidRPr="00000000">
        <w:rPr>
          <w:color w:val="1155cc"/>
          <w:sz w:val="24"/>
          <w:szCs w:val="24"/>
          <w:rtl w:val="0"/>
        </w:rPr>
        <w:t xml:space="preserve">@Ana Maria Soto</w:t>
      </w:r>
      <w:r w:rsidDel="00000000" w:rsidR="00000000" w:rsidRPr="00000000">
        <w:rPr>
          <w:sz w:val="24"/>
          <w:szCs w:val="24"/>
          <w:rtl w:val="0"/>
        </w:rPr>
        <w:t xml:space="preserve"> y equipo,</w:t>
      </w:r>
    </w:p>
    <w:p w:rsidR="00000000" w:rsidDel="00000000" w:rsidP="00000000" w:rsidRDefault="00000000" w:rsidRPr="00000000" w14:paraId="00000002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Estas son las reglas documentadas de las pantallas del diagnóstico del Onboarding</w:t>
      </w:r>
    </w:p>
    <w:p w:rsidR="00000000" w:rsidDel="00000000" w:rsidP="00000000" w:rsidRDefault="00000000" w:rsidRPr="00000000" w14:paraId="00000004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1155cc"/>
          <w:sz w:val="24"/>
          <w:szCs w:val="24"/>
          <w:u w:val="single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Walvy_Onboarding_Diagnostico_Fase3_Anexo_BDD_Reglas_Productivas_v1_0.docx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7800" cy="17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shd w:fill="f3f2f1" w:val="clear"/>
            <w:rtl w:val="0"/>
          </w:rPr>
          <w:t xml:space="preserve">Walvy_Onboarding_Diagnostico_Fase3_Reglas_Contextuales_Suficiencia_Semaforo_CTA_v1_0.docx</w:t>
        </w:r>
      </w:hyperlink>
      <w:r w:rsidDel="00000000" w:rsidR="00000000" w:rsidRPr="00000000">
        <w:rPr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08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dificateinteligente.sharepoint.com/:w:/s/DesarrollodeProductos-Servicios/IQAK9pFaflIJQK5GzZTBPORhAVEtZreqSR4MjwTRF1mKrTA?e=1AIIWM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edificateinteligente.sharepoint.com/:w:/s/DesarrollodeProductos-Servicios/IQB6sGIDGe5NToB1GF0Vmv5MAZsqvXc3i4F_z-Fy0-zqiUE?e=B6go4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