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M04 · Actualización contractual v1.1</w:t>
      </w:r>
    </w:p>
    <w:p>
      <w:pPr>
        <w:jc w:val="center"/>
      </w:pPr>
      <w:r>
        <w:rPr>
          <w:b/>
        </w:rPr>
        <w:t>Ruta Despeje · Handoff Human First para Kabeli</w:t>
      </w:r>
    </w:p>
    <w:p>
      <w:pPr>
        <w:jc w:val="center"/>
      </w:pPr>
      <w:r>
        <w:t>Precisión de captura manual y datos parciales de cuotas · 2026-09-09</w:t>
      </w:r>
    </w:p>
    <w:tbl>
      <w:tblPr>
        <w:tblW w:type="auto" w:w="0"/>
        <w:jc w:val="center"/>
        <w:tblLook w:firstColumn="1" w:firstRow="1" w:lastColumn="0" w:lastRow="0" w:noHBand="0" w:noVBand="1" w:val="04A0"/>
      </w:tblPr>
      <w:tblGrid>
        <w:gridCol w:w="10224"/>
      </w:tblGrid>
      <w:tr>
        <w:tc>
          <w:tcPr>
            <w:tcW w:type="dxa" w:w="10224"/>
            <w:shd w:fill="EAF4F5"/>
            <w:tcMar>
              <w:top w:w="120" w:type="dxa"/>
              <w:start w:w="140" w:type="dxa"/>
              <w:bottom w:w="120" w:type="dxa"/>
              <w:end w:w="140" w:type="dxa"/>
            </w:tcMar>
          </w:tcPr>
          <w:p>
            <w:r>
              <w:t>Propósito. Incorporar dos precisiones de Producto detectadas durante la alineación Figma–contrato, sin reabrir P4, Salud, Ruta, M06 ni Protección de Datos. La documentación v1.1 incluida en la misma carpeta es la fuente vigente para implementar y validar estas materias.</w:t>
            </w:r>
          </w:p>
        </w:tc>
      </w:tr>
    </w:tbl>
    <w:p>
      <w:pPr>
        <w:pStyle w:val="Heading1"/>
      </w:pPr>
      <w:r>
        <w:t>1. Qué cambió y cómo debe leerse</w:t>
      </w:r>
    </w:p>
    <w:tbl>
      <w:tblPr>
        <w:tblStyle w:val="TableGrid"/>
        <w:tblW w:type="auto" w:w="0"/>
        <w:jc w:val="center"/>
        <w:tblLook w:firstColumn="1" w:firstRow="1" w:lastColumn="0" w:lastRow="0" w:noHBand="0" w:noVBand="1" w:val="04A0"/>
      </w:tblPr>
      <w:tblGrid>
        <w:gridCol w:w="3408"/>
        <w:gridCol w:w="3408"/>
        <w:gridCol w:w="3408"/>
      </w:tblGrid>
      <w:tr>
        <w:tc>
          <w:tcPr>
            <w:tcW w:type="dxa" w:w="2232"/>
            <w:vAlign w:val="center"/>
            <w:tcMar>
              <w:top w:w="80" w:type="dxa"/>
              <w:start w:w="100" w:type="dxa"/>
              <w:bottom w:w="80" w:type="dxa"/>
              <w:end w:w="100" w:type="dxa"/>
            </w:tcMar>
            <w:shd w:fill="0B5D66"/>
          </w:tcPr>
          <w:p>
            <w:r>
              <w:rPr>
                <w:b/>
                <w:color w:val="FFFFFF"/>
              </w:rPr>
              <w:t>Tema</w:t>
            </w:r>
          </w:p>
        </w:tc>
        <w:tc>
          <w:tcPr>
            <w:tcW w:type="dxa" w:w="6480"/>
            <w:vAlign w:val="center"/>
            <w:tcMar>
              <w:top w:w="80" w:type="dxa"/>
              <w:start w:w="100" w:type="dxa"/>
              <w:bottom w:w="80" w:type="dxa"/>
              <w:end w:w="100" w:type="dxa"/>
            </w:tcMar>
            <w:shd w:fill="0B5D66"/>
          </w:tcPr>
          <w:p>
            <w:r>
              <w:rPr>
                <w:b/>
                <w:color w:val="FFFFFF"/>
              </w:rPr>
              <w:t>Definición vigente v1.1</w:t>
            </w:r>
          </w:p>
        </w:tc>
        <w:tc>
          <w:tcPr>
            <w:tcW w:type="dxa" w:w="2592"/>
            <w:vAlign w:val="center"/>
            <w:tcMar>
              <w:top w:w="80" w:type="dxa"/>
              <w:start w:w="100" w:type="dxa"/>
              <w:bottom w:w="80" w:type="dxa"/>
              <w:end w:w="100" w:type="dxa"/>
            </w:tcMar>
            <w:shd w:fill="0B5D66"/>
          </w:tcPr>
          <w:p>
            <w:r>
              <w:rPr>
                <w:b/>
                <w:color w:val="FFFFFF"/>
              </w:rPr>
              <w:t>Referencia principal</w:t>
            </w:r>
          </w:p>
        </w:tc>
      </w:tr>
      <w:tr>
        <w:tc>
          <w:tcPr>
            <w:tcW w:type="dxa" w:w="2232"/>
            <w:vAlign w:val="center"/>
            <w:tcMar>
              <w:top w:w="80" w:type="dxa"/>
              <w:start w:w="100" w:type="dxa"/>
              <w:bottom w:w="80" w:type="dxa"/>
              <w:end w:w="100" w:type="dxa"/>
            </w:tcMar>
          </w:tcPr>
          <w:p>
            <w:r>
              <w:t>Deuda ingresada manualmente</w:t>
            </w:r>
          </w:p>
        </w:tc>
        <w:tc>
          <w:tcPr>
            <w:tcW w:type="dxa" w:w="6480"/>
            <w:vAlign w:val="center"/>
            <w:tcMar>
              <w:top w:w="80" w:type="dxa"/>
              <w:start w:w="100" w:type="dxa"/>
              <w:bottom w:w="80" w:type="dxa"/>
              <w:end w:w="100" w:type="dxa"/>
            </w:tcMar>
          </w:tcPr>
          <w:p>
            <w:r>
              <w:t>Al pulsar Guardar, el usuario confirma existencia/pertenencia de la deuda. La completitud se evalúa de forma independiente; la instancia puede quedar confirmada + incompleta.</w:t>
            </w:r>
          </w:p>
        </w:tc>
        <w:tc>
          <w:tcPr>
            <w:tcW w:type="dxa" w:w="2592"/>
            <w:vAlign w:val="center"/>
            <w:tcMar>
              <w:top w:w="80" w:type="dxa"/>
              <w:start w:w="100" w:type="dxa"/>
              <w:bottom w:w="80" w:type="dxa"/>
              <w:end w:w="100" w:type="dxa"/>
            </w:tcMar>
          </w:tcPr>
          <w:p>
            <w:r>
              <w:t>M04-RGL-005/006 · TR-M04-051/053</w:t>
            </w:r>
          </w:p>
        </w:tc>
      </w:tr>
      <w:tr>
        <w:tc>
          <w:tcPr>
            <w:tcW w:type="dxa" w:w="2232"/>
            <w:vAlign w:val="center"/>
            <w:tcMar>
              <w:top w:w="80" w:type="dxa"/>
              <w:start w:w="100" w:type="dxa"/>
              <w:bottom w:w="80" w:type="dxa"/>
              <w:end w:w="100" w:type="dxa"/>
            </w:tcMar>
          </w:tcPr>
          <w:p>
            <w:r>
              <w:t>Deuda detectada / inferida / documental</w:t>
            </w:r>
          </w:p>
        </w:tc>
        <w:tc>
          <w:tcPr>
            <w:tcW w:type="dxa" w:w="6480"/>
            <w:vAlign w:val="center"/>
            <w:tcMar>
              <w:top w:w="80" w:type="dxa"/>
              <w:start w:w="100" w:type="dxa"/>
              <w:bottom w:w="80" w:type="dxa"/>
              <w:end w:w="100" w:type="dxa"/>
            </w:tcMar>
          </w:tcPr>
          <w:p>
            <w:r>
              <w:t>Mantiene confirmación explícita en revisión antes de tratarse como deuda propia en conclusiones fuertes.</w:t>
            </w:r>
          </w:p>
        </w:tc>
        <w:tc>
          <w:tcPr>
            <w:tcW w:type="dxa" w:w="2592"/>
            <w:vAlign w:val="center"/>
            <w:tcMar>
              <w:top w:w="80" w:type="dxa"/>
              <w:start w:w="100" w:type="dxa"/>
              <w:bottom w:w="80" w:type="dxa"/>
              <w:end w:w="100" w:type="dxa"/>
            </w:tcMar>
          </w:tcPr>
          <w:p>
            <w:r>
              <w:t>M04-RGL-006 · TR-M04-059/064</w:t>
            </w:r>
          </w:p>
        </w:tc>
      </w:tr>
      <w:tr>
        <w:tc>
          <w:tcPr>
            <w:tcW w:type="dxa" w:w="2232"/>
            <w:vAlign w:val="center"/>
            <w:tcMar>
              <w:top w:w="80" w:type="dxa"/>
              <w:start w:w="100" w:type="dxa"/>
              <w:bottom w:w="80" w:type="dxa"/>
              <w:end w:w="100" w:type="dxa"/>
            </w:tcMar>
          </w:tcPr>
          <w:p>
            <w:r>
              <w:t>Datos parciales de cuotas</w:t>
            </w:r>
          </w:p>
        </w:tc>
        <w:tc>
          <w:tcPr>
            <w:tcW w:type="dxa" w:w="6480"/>
            <w:vAlign w:val="center"/>
            <w:tcMar>
              <w:top w:w="80" w:type="dxa"/>
              <w:start w:w="100" w:type="dxa"/>
              <w:bottom w:w="80" w:type="dxa"/>
              <w:end w:w="100" w:type="dxa"/>
            </w:tcMar>
          </w:tcPr>
          <w:p>
            <w:r>
              <w:t>Conservar cada dato conocido. Cuotas restantes solo se deriva cuando los insumos requeridos están presentes y son consistentes; missing no se transforma en 0 ni autoriza a descartar la fuente.</w:t>
            </w:r>
          </w:p>
        </w:tc>
        <w:tc>
          <w:tcPr>
            <w:tcW w:type="dxa" w:w="2592"/>
            <w:vAlign w:val="center"/>
            <w:tcMar>
              <w:top w:w="80" w:type="dxa"/>
              <w:start w:w="100" w:type="dxa"/>
              <w:bottom w:w="80" w:type="dxa"/>
              <w:end w:w="100" w:type="dxa"/>
            </w:tcMar>
          </w:tcPr>
          <w:p>
            <w:r>
              <w:t>M04-RGL-043 · TR-M04-060/062 · TC-M04-077</w:t>
            </w:r>
          </w:p>
        </w:tc>
      </w:tr>
      <w:tr>
        <w:tc>
          <w:tcPr>
            <w:tcW w:type="dxa" w:w="2232"/>
            <w:vAlign w:val="center"/>
            <w:tcMar>
              <w:top w:w="80" w:type="dxa"/>
              <w:start w:w="100" w:type="dxa"/>
              <w:bottom w:w="80" w:type="dxa"/>
              <w:end w:w="100" w:type="dxa"/>
            </w:tcMar>
          </w:tcPr>
          <w:p>
            <w:r>
              <w:t>Completitud / Mis Avisos</w:t>
            </w:r>
          </w:p>
        </w:tc>
        <w:tc>
          <w:tcPr>
            <w:tcW w:type="dxa" w:w="6480"/>
            <w:vAlign w:val="center"/>
            <w:tcMar>
              <w:top w:w="80" w:type="dxa"/>
              <w:start w:w="100" w:type="dxa"/>
              <w:bottom w:w="80" w:type="dxa"/>
              <w:end w:w="100" w:type="dxa"/>
            </w:tcMar>
          </w:tcPr>
          <w:p>
            <w:r>
              <w:t>Si un faltante es material para el uso solicitado, reutilizar F1 · Completar información. No crear una nueva familia o aviso por cuotas incompletas.</w:t>
            </w:r>
          </w:p>
        </w:tc>
        <w:tc>
          <w:tcPr>
            <w:tcW w:type="dxa" w:w="2592"/>
            <w:vAlign w:val="center"/>
            <w:tcMar>
              <w:top w:w="80" w:type="dxa"/>
              <w:start w:w="100" w:type="dxa"/>
              <w:bottom w:w="80" w:type="dxa"/>
              <w:end w:w="100" w:type="dxa"/>
            </w:tcMar>
          </w:tcPr>
          <w:p>
            <w:r>
              <w:t>SIG-M04-001 · SIG-M04-004 absorbida en F1</w:t>
            </w:r>
          </w:p>
        </w:tc>
      </w:tr>
    </w:tbl>
    <w:p>
      <w:r>
        <w:rPr>
          <w:b/>
        </w:rPr>
        <w:t xml:space="preserve">En humano: </w:t>
      </w:r>
      <w:r>
        <w:t>confirmar responde “esta deuda existe y me corresponde”; completar responde “tengo información suficiente para el uso que quiero habilitar”. Son dimensiones distintas.</w:t>
      </w:r>
    </w:p>
    <w:p>
      <w:pPr>
        <w:pStyle w:val="Heading1"/>
      </w:pPr>
      <w:r>
        <w:t>2. Qué no cambia</w:t>
      </w:r>
    </w:p>
    <w:p>
      <w:pPr>
        <w:pStyle w:val="ListBullet"/>
      </w:pPr>
      <w:r>
        <w:t>Guardar una deuda, confirmarla o completar datos no activa Ruta Despeje.</w:t>
      </w:r>
    </w:p>
    <w:p>
      <w:pPr>
        <w:pStyle w:val="ListBullet"/>
      </w:pPr>
      <w:r>
        <w:t>La elegibilidad de Ruta sigue exigiendo deuda confirmada + suficiencia mínima + Presión final=Riesgo; la activación conserva su evento canónico independiente.</w:t>
      </w:r>
    </w:p>
    <w:p>
      <w:pPr>
        <w:pStyle w:val="ListBullet"/>
      </w:pPr>
      <w:r>
        <w:t>Missing sigue siendo distinto de cero y de “no evaluable”; un faltante bloquea únicamente el uso que depende de él.</w:t>
      </w:r>
    </w:p>
    <w:p>
      <w:pPr>
        <w:pStyle w:val="ListBullet"/>
      </w:pPr>
      <w:r>
        <w:t>El cierre de deuda sigue requiriendo confirmación funcional; 0 cuotas restantes no auto-cierra una deuda.</w:t>
      </w:r>
    </w:p>
    <w:p>
      <w:pPr>
        <w:pStyle w:val="ListBullet"/>
      </w:pPr>
      <w:r>
        <w:t>M06 conserva ownership de pagos/ciclo/aging; P4 y Salud no se modifican por este incremental.</w:t>
      </w:r>
    </w:p>
    <w:p>
      <w:pPr>
        <w:pStyle w:val="ListBullet"/>
      </w:pPr>
      <w:r>
        <w:t>Protección de Datos no incorpora categorías, owners o tratamientos nuevos por estas precisiones.</w:t>
      </w:r>
    </w:p>
    <w:p>
      <w:pPr>
        <w:pStyle w:val="Heading1"/>
      </w:pPr>
      <w:r>
        <w:t>3. Cómo usar la documentación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Mar>
              <w:top w:w="80" w:type="dxa"/>
              <w:start w:w="100" w:type="dxa"/>
              <w:bottom w:w="80" w:type="dxa"/>
              <w:end w:w="100" w:type="dxa"/>
            </w:tcMar>
            <w:shd w:fill="0B5D66"/>
          </w:tcPr>
          <w:p>
            <w:r>
              <w:rPr>
                <w:b/>
                <w:color w:val="FFFFFF"/>
              </w:rPr>
              <w:t>Necesidad</w:t>
            </w:r>
          </w:p>
        </w:tc>
        <w:tc>
          <w:tcPr>
            <w:tcW w:type="dxa" w:w="5112"/>
            <w:vAlign w:val="center"/>
            <w:tcMar>
              <w:top w:w="80" w:type="dxa"/>
              <w:start w:w="100" w:type="dxa"/>
              <w:bottom w:w="80" w:type="dxa"/>
              <w:end w:w="100" w:type="dxa"/>
            </w:tcMar>
            <w:shd w:fill="0B5D66"/>
          </w:tcPr>
          <w:p>
            <w:r>
              <w:rPr>
                <w:b/>
                <w:color w:val="FFFFFF"/>
              </w:rPr>
              <w:t>Documento</w:t>
            </w:r>
          </w:p>
        </w:tc>
      </w:tr>
      <w:tr>
        <w:tc>
          <w:tcPr>
            <w:tcW w:type="dxa" w:w="5112"/>
            <w:vAlign w:val="center"/>
            <w:tcMar>
              <w:top w:w="80" w:type="dxa"/>
              <w:start w:w="100" w:type="dxa"/>
              <w:bottom w:w="80" w:type="dxa"/>
              <w:end w:w="100" w:type="dxa"/>
            </w:tcMar>
          </w:tcPr>
          <w:p>
            <w:r>
              <w:t>Qué debe ocurrir y cómo validar</w:t>
            </w:r>
          </w:p>
        </w:tc>
        <w:tc>
          <w:tcPr>
            <w:tcW w:type="dxa" w:w="5112"/>
            <w:vAlign w:val="center"/>
            <w:tcMar>
              <w:top w:w="80" w:type="dxa"/>
              <w:start w:w="100" w:type="dxa"/>
              <w:bottom w:w="80" w:type="dxa"/>
              <w:end w:w="100" w:type="dxa"/>
            </w:tcMar>
          </w:tcPr>
          <w:p>
            <w:r>
              <w:t>Walvy_M04_Matriz_Trazabilidad_Cliente_v1.1.xlsx</w:t>
            </w:r>
          </w:p>
        </w:tc>
      </w:tr>
      <w:tr>
        <w:tc>
          <w:tcPr>
            <w:tcW w:type="dxa" w:w="5112"/>
            <w:vAlign w:val="center"/>
            <w:tcMar>
              <w:top w:w="80" w:type="dxa"/>
              <w:start w:w="100" w:type="dxa"/>
              <w:bottom w:w="80" w:type="dxa"/>
              <w:end w:w="100" w:type="dxa"/>
            </w:tcMar>
          </w:tcPr>
          <w:p>
            <w:r>
              <w:t>Lectura integrada del negocio</w:t>
            </w:r>
          </w:p>
        </w:tc>
        <w:tc>
          <w:tcPr>
            <w:tcW w:type="dxa" w:w="5112"/>
            <w:vAlign w:val="center"/>
            <w:tcMar>
              <w:top w:w="80" w:type="dxa"/>
              <w:start w:w="100" w:type="dxa"/>
              <w:bottom w:w="80" w:type="dxa"/>
              <w:end w:w="100" w:type="dxa"/>
            </w:tcMar>
          </w:tcPr>
          <w:p>
            <w:r>
              <w:t>Walvy_M04_Documentacion_Funcional_Consolidada_v1.1.docx</w:t>
            </w:r>
          </w:p>
        </w:tc>
      </w:tr>
      <w:tr>
        <w:tc>
          <w:tcPr>
            <w:tcW w:type="dxa" w:w="5112"/>
            <w:vAlign w:val="center"/>
            <w:tcMar>
              <w:top w:w="80" w:type="dxa"/>
              <w:start w:w="100" w:type="dxa"/>
              <w:bottom w:w="80" w:type="dxa"/>
              <w:end w:w="100" w:type="dxa"/>
            </w:tcMar>
          </w:tcPr>
          <w:p>
            <w:r>
              <w:t>Datos, estados, reglas productivas</w:t>
            </w:r>
          </w:p>
        </w:tc>
        <w:tc>
          <w:tcPr>
            <w:tcW w:type="dxa" w:w="5112"/>
            <w:vAlign w:val="center"/>
            <w:tcMar>
              <w:top w:w="80" w:type="dxa"/>
              <w:start w:w="100" w:type="dxa"/>
              <w:bottom w:w="80" w:type="dxa"/>
              <w:end w:w="100" w:type="dxa"/>
            </w:tcMar>
          </w:tcPr>
          <w:p>
            <w:r>
              <w:t>Walvy_M04_Anexo_BDD_Reglas_Productivas_v1.1.docx</w:t>
            </w:r>
          </w:p>
        </w:tc>
      </w:tr>
      <w:tr>
        <w:tc>
          <w:tcPr>
            <w:tcW w:type="dxa" w:w="5112"/>
            <w:vAlign w:val="center"/>
            <w:tcMar>
              <w:top w:w="80" w:type="dxa"/>
              <w:start w:w="100" w:type="dxa"/>
              <w:bottom w:w="80" w:type="dxa"/>
              <w:end w:w="100" w:type="dxa"/>
            </w:tcMar>
          </w:tcPr>
          <w:p>
            <w:r>
              <w:t>Precedencias, fallbacks, implementación lógica</w:t>
            </w:r>
          </w:p>
        </w:tc>
        <w:tc>
          <w:tcPr>
            <w:tcW w:type="dxa" w:w="5112"/>
            <w:vAlign w:val="center"/>
            <w:tcMar>
              <w:top w:w="80" w:type="dxa"/>
              <w:start w:w="100" w:type="dxa"/>
              <w:bottom w:w="80" w:type="dxa"/>
              <w:end w:w="100" w:type="dxa"/>
            </w:tcMar>
          </w:tcPr>
          <w:p>
            <w:r>
              <w:t>Walvy_M04_Guia_Implementacion_Backend_Reglas_y_Calculos_v1.1.docx</w:t>
            </w:r>
          </w:p>
        </w:tc>
      </w:tr>
      <w:tr>
        <w:tc>
          <w:tcPr>
            <w:tcW w:type="dxa" w:w="5112"/>
            <w:vAlign w:val="center"/>
            <w:tcMar>
              <w:top w:w="80" w:type="dxa"/>
              <w:start w:w="100" w:type="dxa"/>
              <w:bottom w:w="80" w:type="dxa"/>
              <w:end w:w="100" w:type="dxa"/>
            </w:tcMar>
          </w:tcPr>
          <w:p>
            <w:r>
              <w:t>Situaciones F1–F7 y prioridad local</w:t>
            </w:r>
          </w:p>
        </w:tc>
        <w:tc>
          <w:tcPr>
            <w:tcW w:type="dxa" w:w="5112"/>
            <w:vAlign w:val="center"/>
            <w:tcMar>
              <w:top w:w="80" w:type="dxa"/>
              <w:start w:w="100" w:type="dxa"/>
              <w:bottom w:w="80" w:type="dxa"/>
              <w:end w:w="100" w:type="dxa"/>
            </w:tcMar>
          </w:tcPr>
          <w:p>
            <w:r>
              <w:t>Walvy_M04_Mis_Avisos_Parte_II_v1.1.docx</w:t>
            </w:r>
          </w:p>
        </w:tc>
      </w:tr>
      <w:tr>
        <w:tc>
          <w:tcPr>
            <w:tcW w:type="dxa" w:w="5112"/>
            <w:vAlign w:val="center"/>
            <w:tcMar>
              <w:top w:w="80" w:type="dxa"/>
              <w:start w:w="100" w:type="dxa"/>
              <w:bottom w:w="80" w:type="dxa"/>
              <w:end w:w="100" w:type="dxa"/>
            </w:tcMar>
          </w:tcPr>
          <w:p>
            <w:r>
              <w:t>Controles/evidencia de implementación</w:t>
            </w:r>
          </w:p>
        </w:tc>
        <w:tc>
          <w:tcPr>
            <w:tcW w:type="dxa" w:w="5112"/>
            <w:vAlign w:val="center"/>
            <w:tcMar>
              <w:top w:w="80" w:type="dxa"/>
              <w:start w:w="100" w:type="dxa"/>
              <w:bottom w:w="80" w:type="dxa"/>
              <w:end w:w="100" w:type="dxa"/>
            </w:tcMar>
          </w:tcPr>
          <w:p>
            <w:r>
              <w:t>Walvy_M04_Matriz_Validacion_Tecnica_v1.1.xlsx + Requerimientos de Evidencia</w:t>
            </w:r>
          </w:p>
        </w:tc>
      </w:tr>
    </w:tbl>
    <w:p>
      <w:r>
        <w:rPr>
          <w:b/>
        </w:rPr>
        <w:t xml:space="preserve">Jerarquía. </w:t>
      </w:r>
      <w:r>
        <w:t>La Matriz de Trazabilidad cerrada entre Walvy y Kabeli funciona como línea base contractual. Consolidado/BDD/Guía desarrollan el detalle. Figma materializa el flujo y la experiencia visible; no crea por sí solo reglas Backend. Discovery conserva intención/antecedentes y no desplaza una definición posterior cerrada.</w:t>
      </w:r>
    </w:p>
    <w:p>
      <w:pPr>
        <w:pStyle w:val="Heading1"/>
      </w:pPr>
      <w:r>
        <w:t>4. Punto que Producto todavía está precisando</w:t>
      </w:r>
    </w:p>
    <w:tbl>
      <w:tblPr>
        <w:tblW w:type="auto" w:w="0"/>
        <w:tblLook w:firstColumn="1" w:firstRow="1" w:lastColumn="0" w:lastRow="0" w:noHBand="0" w:noVBand="1" w:val="04A0"/>
      </w:tblPr>
      <w:tblGrid>
        <w:gridCol w:w="10224"/>
      </w:tblGrid>
      <w:tr>
        <w:tc>
          <w:tcPr>
            <w:tcW w:type="dxa" w:w="10224"/>
            <w:shd w:fill="FFF4D6"/>
            <w:tcMar>
              <w:top w:w="120" w:type="dxa"/>
              <w:start w:w="140" w:type="dxa"/>
              <w:bottom w:w="120" w:type="dxa"/>
              <w:end w:w="140" w:type="dxa"/>
            </w:tcMar>
          </w:tcPr>
          <w:p>
            <w:r>
              <w:t>Catálogo visible de tipos de deuda. Producto está revisando el mapping entre las opciones visibles que hoy consumen Front/Agente y la taxonomía canónica debt_type/debt_subtype. Hasta cerrar y versionar ese mapping, no agregar, retirar ni remapear opciones por inferencia. Este pendiente condiciona solo el catálogo visible y no reabre las demás reglas M04.</w:t>
            </w:r>
          </w:p>
        </w:tc>
      </w:tr>
    </w:tbl>
    <w:p>
      <w:pPr>
        <w:pStyle w:val="Heading1"/>
      </w:pPr>
      <w:r>
        <w:t>5. Criterio para Figma y QA</w:t>
      </w:r>
    </w:p>
    <w:p>
      <w:r>
        <w:t>Cuando aparezca una diferencia entre Figma y contrato, clasificarla antes de corregir implementación:</w:t>
      </w:r>
    </w:p>
    <w:p>
      <w:pPr>
        <w:pStyle w:val="ListBullet"/>
      </w:pPr>
      <w:r>
        <w:t>Regla ya cerrada en contrato pero no representada en Figma → gap de materialización.</w:t>
      </w:r>
    </w:p>
    <w:p>
      <w:pPr>
        <w:pStyle w:val="ListBullet"/>
      </w:pPr>
      <w:r>
        <w:t>Interacción visible en Figma sin semántica contractual suficiente → llevar a Producto antes de inferir Backend.</w:t>
      </w:r>
    </w:p>
    <w:p>
      <w:pPr>
        <w:pStyle w:val="ListBullet"/>
      </w:pPr>
      <w:r>
        <w:t>Contradicción real entre ambos → reconciliar; no elegir automáticamente una fuente por conveniencia técnica.</w:t>
      </w:r>
    </w:p>
    <w:p>
      <w:pPr>
        <w:pStyle w:val="ListBullet"/>
      </w:pPr>
      <w:r>
        <w:t>La regla Backend/BDD no se modifica para hacer coincidir un fixture o frame visual si la semántica contractual no cambió.</w:t>
      </w:r>
    </w:p>
    <w:p>
      <w:r>
        <w:rPr>
          <w:b/>
        </w:rPr>
        <w:t xml:space="preserve">Estado de este handoff: </w:t>
      </w:r>
      <w:r>
        <w:t>cierre documental del incremental v1.1. No certifica runtime ni reemplaza la evidencia técnica que Kabeli debe devolver.</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Walvy · M04 Ruta Despeje · Handoff actualización v1.1 · 2026-09-09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