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Walvy · Contrato Intermodular M05 → M04</w:t>
      </w:r>
    </w:p>
    <w:p>
      <w:pPr>
        <w:pStyle w:val="Subtitle"/>
      </w:pPr>
      <w:r>
        <w:t>Outcome prudencial para P4-CNT-022 · Reserva / headroom / aporte adicional sostenible</w:t>
      </w:r>
    </w:p>
    <w:p>
      <w:pPr>
        <w:jc w:val="center"/>
      </w:pPr>
      <w:r>
        <w:t>v1.1 · Regla M05-M04-PRUD-V1 · DERIVED_DETERMINISTIC · Propagación 2026-09-14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Owner productor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M05 · Presupuesto Vivo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Consumidor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M04 · Ruta Despeje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Decisiones rectoras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D-M05-K-01 + D-M05-RESERVA + D-M04-RESERVA-01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 EVALUADO · requiere evidencia reproducible</w:t>
            </w:r>
          </w:p>
        </w:tc>
      </w:tr>
    </w:tbl>
    <w:p>
      <w:pPr>
        <w:pStyle w:val="Heading1"/>
      </w:pPr>
      <w:r>
        <w:t>1. Resultado de convergencia</w:t>
      </w:r>
    </w:p>
    <w:p>
      <w:r>
        <w:t>Este contrato no crea una nueva política porcentual. Formaliza el enlace que estaba cerrado por partes: M04 retiró el colchón legacy del 5%, M05 quedó como owner de headroom y Reserva, y P4-CNT-022 ya exigía un outcome de tres estados. La propagación hace explícita la composición productor → consumidor y su versión.</w:t>
      </w:r>
    </w:p>
    <w:p>
      <w:pPr>
        <w:pStyle w:val="ListBullet"/>
      </w:pPr>
      <w:r>
        <w:t>M04 no recalcula presupuesto, headroom, Reserva ni meses de resiliencia.</w:t>
      </w:r>
    </w:p>
    <w:p>
      <w:pPr>
        <w:pStyle w:val="ListBullet"/>
      </w:pPr>
      <w:r>
        <w:t>M05 no decide Presión, Salud, elegibilidad ni activación de Ruta.</w:t>
      </w:r>
    </w:p>
    <w:p>
      <w:pPr>
        <w:pStyle w:val="ListBullet"/>
      </w:pPr>
      <w:r>
        <w:t>3 meses es la referencia mínima de Reserva que separa LT_3M de M3_REACHED; 6 meses es un hito superior, no un requisito adicional para habilitar el gate.</w:t>
      </w:r>
    </w:p>
    <w:p>
      <w:pPr>
        <w:pStyle w:val="ListBullet"/>
      </w:pPr>
      <w:r>
        <w:t>No se introduce haircut, porcentaje, reparto automático ni sustituto del antiguo 5%.</w:t>
      </w:r>
    </w:p>
    <w:p>
      <w:pPr>
        <w:pStyle w:val="ListBullet"/>
      </w:pPr>
      <w:r>
        <w:t>Un monto manual en M04 continúa siendo un escenario hipotético y nunca prueba sostenibilidad.</w:t>
      </w:r>
    </w:p>
    <w:p>
      <w:pPr>
        <w:pStyle w:val="Heading1"/>
      </w:pPr>
      <w:r>
        <w:t>2. Inputs canónicos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Contrato mínimo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Fallback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headroom_evaluation_status / headroom_amount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M05 · D-M05-K-01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 canónico reconciliado del período; no equivalente por inferencia a D01 ni a Disponible M02.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Si headroom no es evaluable → outcome NOT_EVALUABLE.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reserve_milestone_state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M05 · D-M05-RESERVA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LT_3M / M3_REACHED / M6_REACHED / NOT_EVALUABLE bajo ESSENTIAL_BASKET_MVP_REC_V1.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Si headroom&gt;0 y Reserva no es evaluable → outcome NOT_EVALUABLE.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evaluated_at / source_snapshot_ref / rule_version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M05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Trazabilidad suficiente para reproducir el outcome.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Cambio de input/version invalida snapshot anterior.</w:t>
            </w:r>
          </w:p>
        </w:tc>
      </w:tr>
    </w:tbl>
    <w:p>
      <w:pPr>
        <w:pStyle w:val="Heading1"/>
      </w:pPr>
      <w:r>
        <w:t>3. Regla determinista · M05-M04-PRUD-V1</w:t>
      </w:r>
    </w:p>
    <w:p>
      <w:r>
        <w:t>Precedencia: resolver primero la evaluabilidad del headroom; si el headroom es evaluable y no positivo, el resultado 0 ya es conocido y no necesita fabricar una evaluación de Reserva. Solo cuando existe headroom positivo la Reserva califica si ese monto puede presentarse como sostenible.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Precondición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reserve_milestone_state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prudential_outcome_status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Monto sostenible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Reason code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 no evaluable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cualquiera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NOT_EVALUABLE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null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HEADROOM_NOT_EVALUABLE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 evaluable ≤ 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cualquiera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EVALUABLE_ZERO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HEADROOM_NON_POSITIVE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 &gt; 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NOT_EVALUABLE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NOT_EVALUABLE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null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RESERVE_NOT_EVALUABLE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 &gt; 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LT_3M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EVALUABLE_ZERO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RESERVE_BELOW_MINIMUM_3M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 &gt; 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M3_REACHED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EVALUABLE_POSITIVE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headroom_amount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RESERVE_MINIMUM_REACHED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 &gt; 0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M6_REACHED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EVALUABLE_POSITIVE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headroom_amount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RESERVE_MINIMUM_REACHED</w:t>
            </w:r>
          </w:p>
        </w:tc>
      </w:tr>
    </w:tbl>
    <w:p>
      <w:pPr>
        <w:pStyle w:val="IntenseQuote"/>
      </w:pPr>
      <w:r>
        <w:t>Razonamiento de No-Inference: P4-CNT-022 es un gate de calificación sobre el headroom; no define un segundo motor de presupuesto. Una vez cumplida la protección mínima, aplicar un porcentaje o haircut adicional sería una regla nueva no aprobada. Por eso el monto positivo coincide con el headroom canónico ya producido por M05; nunca puede excederlo.</w:t>
      </w:r>
    </w:p>
    <w:p>
      <w:pPr>
        <w:pStyle w:val="Heading1"/>
      </w:pPr>
      <w:r>
        <w:t>4. Payload lógico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Tipo lógico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headroom_evaluation_status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 | NOT_EVALUABLE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D-M05-K-01; no inventar valor si falta input.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headroom_amount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money | null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Puede ser &lt;=0; null solo cuando no evaluable.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reserve_milestone_state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LT_3M | M3_REACHED | M6_REACHED | NOT_EVALUABLE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D-M05-RESERVA.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prudential_outcome_status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EVALUABLE_POSITIVE | EVALUABLE_ZERO | NOT_EVALUABLE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Output consumido por P4-CNT-022.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sustainable_additional_payment_amount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money | 0 | null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&gt;0 solo en EVALUABLE_POSITIVE; 0 conocido; null desconocido.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prudential_reason_code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enum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Motivo reproducible; no texto libre LLM.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prudential_rule_version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string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M05-M04-PRUD-V1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prudential_evaluated_at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timestamp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Obligatorio para replay.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source_snapshot_ref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reference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Referencia al snapshot M05 consumido; no prescribe tabla/PK física.</w:t>
            </w:r>
          </w:p>
        </w:tc>
      </w:tr>
    </w:tbl>
    <w:p>
      <w:pPr>
        <w:pStyle w:val="Heading1"/>
      </w:pPr>
      <w:r>
        <w:t>5. Consumo permitido en M04</w:t>
      </w:r>
    </w:p>
    <w:p>
      <w:pPr>
        <w:pStyle w:val="ListBullet"/>
      </w:pPr>
      <w:r>
        <w:t>EVALUABLE_POSITIVE: M04 puede rotular el monto como aporte adicional sostenible y simular su efecto.</w:t>
      </w:r>
    </w:p>
    <w:p>
      <w:pPr>
        <w:pStyle w:val="ListBullet"/>
      </w:pPr>
      <w:r>
        <w:t>EVALUABLE_ZERO: M04 conserva el plan base y no recomienda aporte adicional. 0 es resultado conocido, no missing.</w:t>
      </w:r>
    </w:p>
    <w:p>
      <w:pPr>
        <w:pStyle w:val="ListBullet"/>
      </w:pPr>
      <w:r>
        <w:t>NOT_EVALUABLE: M04 no afirma un máximo sostenible. Puede permitir simulación manual referencial si los demás inputs de proyección son suficientes.</w:t>
      </w:r>
    </w:p>
    <w:p>
      <w:pPr>
        <w:pStyle w:val="ListBullet"/>
      </w:pPr>
      <w:r>
        <w:t>Aceptar una simulación no ejecuta pago y no activa Ruta; el lifecycle de Ruta vigente no cambia.</w:t>
      </w:r>
    </w:p>
    <w:p>
      <w:pPr>
        <w:pStyle w:val="Heading1"/>
      </w:pPr>
      <w:r>
        <w:t>6. Recálculo, idempotencia y versionado</w:t>
      </w:r>
    </w:p>
    <w:p>
      <w:r>
        <w:t>M05 invalida y recalcula el outcome cuando cambia cualquier input consumido: headroom/snapshot del período, reserve_milestone_state, basket/version o rule/config version. El mismo snapshot + misma versión debe producir el mismo outcome. M04 reemplaza el outcome anterior; no acumula resultados ni conserva un máximo obsoleto.</w:t>
      </w:r>
    </w:p>
    <w:p>
      <w:pPr>
        <w:pStyle w:val="Heading1"/>
      </w:pPr>
      <w:r>
        <w:t>7. Fixtures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Headroom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Reserva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Esperado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PRUD-01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NOT_EVALUABLE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M6_REACHED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NOT_EVALUABLE; amount=null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PRUD-02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0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NOT_EVALUABLE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EVALUABLE_ZERO; amount=0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PRUD-03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100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NOT_EVALUABLE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NOT_EVALUABLE; amount=null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PRUD-04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100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LT_3M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EVALUABLE_ZERO; amount=0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PRUD-05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100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M3_REACHED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EVALUABLE_POSITIVE; amount=100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PRUD-06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100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M6_REACHED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EVALUABLE_POSITIVE; amount=100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PRUD-07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-50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M6_REACHED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EVALUABLE_ZERO; amount=0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PRUD-08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Outcome ZERO + manual=200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—</w:t>
            </w:r>
          </w:p>
        </w:tc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Simulación referencial 200; no rotular sostenible; no side effect</w:t>
            </w:r>
          </w:p>
        </w:tc>
      </w:tr>
    </w:tbl>
    <w:p>
      <w:pPr>
        <w:pStyle w:val="Heading1"/>
      </w:pPr>
      <w:r>
        <w:t>8. No-Loss / fuera de alcance</w:t>
      </w:r>
    </w:p>
    <w:p>
      <w:pPr>
        <w:pStyle w:val="ListBullet"/>
      </w:pPr>
      <w:r>
        <w:t>No modifica C×K×D, bandas K &gt;20 / &gt;0–20 / ≤0, Salud, aging, elegibilidad ni activación de Ruta.</w:t>
      </w:r>
    </w:p>
    <w:p>
      <w:pPr>
        <w:pStyle w:val="ListBullet"/>
      </w:pPr>
      <w:r>
        <w:t>No cambia la canasta ESSENTIAL_BASKET_MVP_REC_V1 ni la fórmula ref_3m/ref_6m.</w:t>
      </w:r>
    </w:p>
    <w:p>
      <w:pPr>
        <w:pStyle w:val="ListBullet"/>
      </w:pPr>
      <w:r>
        <w:t>No convierte 3M/6M en thresholds de Presión, Salud, K, D o Ruta.</w:t>
      </w:r>
    </w:p>
    <w:p>
      <w:pPr>
        <w:pStyle w:val="ListBullet"/>
      </w:pPr>
      <w:r>
        <w:t>D-M05-K-01 se materializa en este contrato: headroom = ingreso_mensual_reconocido − gastos_base_reconocidos − gastos_recurrentes_reconocidos − servicio_obligatorio_neto_no_duplicado. M04 solo consume el output y nunca lo reconstruye.</w:t>
      </w:r>
    </w:p>
    <w:p>
      <w:pPr>
        <w:pStyle w:val="ListBullet"/>
      </w:pPr>
      <w:r>
        <w:t>No prescribe endpoint, tabla, microservicio, cloud, esquema de persistencia ni arquitectura física.</w:t>
      </w:r>
    </w:p>
    <w:p>
      <w:pPr>
        <w:pStyle w:val="Heading1"/>
      </w:pPr>
      <w:r>
        <w:t>9. Trazabilidad de autoridad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Autoridad preservada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5E8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Efecto de esta propagación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D-M04-RESERVA-01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Protección prudencial sí; 5% legacy no; sin inputs suficientes no afirmar sostenibilidad.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Se enlaza al productor M05 versionado.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P4-CNT-004 / D-M05-K-01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M05 produce headroom; M04 consume y no reconstruye presupuesto.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Se expone headroom en el payload productor.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D-M05-RESERVA / MCC-018/020/025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Reserva 3M/6M, canasta versionada, Disponible M02 como stock.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Se usa el estado Reserva como gate prudencial; no se cambia la política Reserva.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P4-CNT-022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M05 produce outcome; M04 consume positivo / 0 / no evaluable.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8FB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Se define mapping, payload, reason y rule_version.</w:t>
            </w:r>
          </w:p>
        </w:tc>
      </w:tr>
    </w:tbl>
    <w:p>
      <w:pPr>
        <w:pStyle w:val="Heading2"/>
      </w:pPr>
      <w:r>
        <w:t>Estado documental: CERRADO · DERIVED_DETERMINISTIC · LISTO PARA IMPLEMENTACIÓN/VALIDACIÓN. Estado runtime: NO EVALUADO.</w:t>
      </w:r>
    </w:p>
    <w:p>
      <w:pPr>
        <w:pStyle w:val="Heading1"/>
      </w:pPr>
      <w:r>
        <w:t>8. Productor canónico de headroom · D-M05-K-01</w:t>
      </w:r>
    </w:p>
    <w:p>
      <w:r>
        <w:t>Owner M05. El headroom mensual es capacidad residual reconciliada, no D01 ni Disponible M02. Fórmula lógica: headroom = ingreso_mensual_reconocido − gastos_base_reconocidos − gastos_recurrentes_reconocidos − servicio_obligatorio_neto_no_duplicado.</w:t>
      </w:r>
    </w:p>
    <w:p>
      <w:pPr>
        <w:pStyle w:val="ListBullet"/>
      </w:pPr>
      <w:r>
        <w:t>Ingreso reconocido excluye liquidez financiada y debe pertenecer al mismo período del resto de componentes.</w:t>
      </w:r>
    </w:p>
    <w:p>
      <w:pPr>
        <w:pStyle w:val="ListBullet"/>
      </w:pPr>
      <w:r>
        <w:t>Cada obligación económica se descuenta una sola vez. Si un pago mínimo/cuota/compromiso M06 ya está incorporado en gasto M05, su contribución neta adicional es 0.</w:t>
      </w:r>
    </w:p>
    <w:p>
      <w:pPr>
        <w:pStyle w:val="ListBullet"/>
      </w:pPr>
      <w:r>
        <w:t>TC: cuota facturada → gasto M05; cuotas futuras → compromisos M06; total/minimum → obligación/ciclo; pago de cartola → estado de pago, no gasto nuevo.</w:t>
      </w:r>
    </w:p>
    <w:p>
      <w:pPr>
        <w:pStyle w:val="ListBullet"/>
      </w:pPr>
      <w:r>
        <w:t>Falta material, quality insuficiente, mismatch de período o stale no reconciliable → headroom NOT_EVALUABLE / amount null. Cero y negativo conocidos se conservan como evaluables.</w:t>
      </w:r>
    </w:p>
    <w:p>
      <w:pPr>
        <w:pStyle w:val="ListBullet"/>
      </w:pPr>
      <w:r>
        <w:t>Cambio de input, reconciliación, período o versión invalida el snapshot previo y gatilla recálculo idempotente.</w:t>
      </w:r>
    </w:p>
    <w:p>
      <w:pPr>
        <w:pStyle w:val="Heading1"/>
      </w:pPr>
      <w:r>
        <w:t>9. Validación fail-closed del payload</w:t>
      </w:r>
    </w:p>
    <w:p>
      <w:r>
        <w:t>Antes de consumir el outcome, validar consistencia interna. Cualquier contradicción se rechaza/controla como NOT_EVALUABLE con amount null y reason INVALID_PAYLOAD_CONTRACT; nunca se corrige por inferencia.</w:t>
      </w:r>
    </w:p>
    <w:p>
      <w:pPr>
        <w:pStyle w:val="ListBullet"/>
      </w:pPr>
      <w:r>
        <w:t>headroom_evaluation_status=NOT_EVALUABLE exige headroom_amount=null.</w:t>
      </w:r>
    </w:p>
    <w:p>
      <w:pPr>
        <w:pStyle w:val="ListBullet"/>
      </w:pPr>
      <w:r>
        <w:t>headroom evaluable exige monto numérico firmado; 0/negativo son válidos.</w:t>
      </w:r>
    </w:p>
    <w:p>
      <w:pPr>
        <w:pStyle w:val="ListBullet"/>
      </w:pPr>
      <w:r>
        <w:t>EVALUABLE_POSITIVE exige sustainable_additional_payment_amount&gt;0 y =headroom_amount, con Reserve M3_REACHED o M6_REACHED.</w:t>
      </w:r>
    </w:p>
    <w:p>
      <w:pPr>
        <w:pStyle w:val="ListBullet"/>
      </w:pPr>
      <w:r>
        <w:t>EVALUABLE_ZERO exige sustainable_additional_payment_amount=0.</w:t>
      </w:r>
    </w:p>
    <w:p>
      <w:pPr>
        <w:pStyle w:val="ListBullet"/>
      </w:pPr>
      <w:r>
        <w:t>NOT_EVALUABLE exige sustainable_additional_payment_amount=null.</w:t>
      </w:r>
    </w:p>
    <w:p>
      <w:pPr>
        <w:pStyle w:val="ListBullet"/>
      </w:pPr>
      <w:r>
        <w:t>Headroom&gt;0 + LT_3M no puede producir positivo; headroom&gt;0 + Reserve NOT_EVALUABLE no puede producir zero/positivo.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7080"/>
        <w:sz w:val="16"/>
      </w:rPr>
      <w:t>M05-M04-PRUD-V1 · 2026-09-14 · Contrato funcional; runtime no evaluado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E7080"/>
        <w:sz w:val="16"/>
      </w:rPr>
      <w:t>WALVY · CONTRATO INTERMODULAR M05 → M04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E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1F5E8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Walvy · Contrato Intermodular M05 → M04 · Outcome prudencial P4</dc:title>
  <dc:subject>M05-M04-PRUD-V1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