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Calibri" w:cs="Calibri" w:eastAsia="Calibri" w:hAnsi="Calibri"/>
          <w:b/>
          <w:bCs/>
          <w:color w:val="16293D"/>
          <w:sz w:val="44"/>
          <w:szCs w:val="44"/>
        </w:rPr>
        <w:t xml:space="preserve">WALVY · PERFIL FINANCIERO</w:t>
      </w:r>
    </w:p>
    <w:p>
      <w:pPr>
        <w:spacing w:after="100"/>
      </w:pPr>
      <w:r>
        <w:rPr>
          <w:rFonts w:ascii="Calibri" w:cs="Calibri" w:eastAsia="Calibri" w:hAnsi="Calibri"/>
          <w:color w:val="2E6F95"/>
          <w:sz w:val="26"/>
          <w:szCs w:val="26"/>
        </w:rPr>
        <w:t xml:space="preserve">Tabla y documentación de reglas de negocio para el semáforo / diagnóstico de perfil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B6570"/>
          <w:sz w:val="20"/>
          <w:szCs w:val="20"/>
        </w:rPr>
        <w:t xml:space="preserve">Insumo de alineación Backend / Frontend · v1.0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293D"/>
          <w:sz w:val="22"/>
          <w:szCs w:val="22"/>
        </w:rPr>
        <w:t xml:space="preserve">Alcance de este documento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consolida, a partir de la documentación funcional vigente del proyecto Walvy, las reglas de negocio para los cinco indicadores obligatorios del Perfil Financiero (equivalente al 'Módulo 1' en la nomenclatura del equipo): Ingreso principal, Compromisos base, Pagos recurrentes, Movimientos sin categorizar e Instrumentos/mecanismos de pago. Incluye además su relación con la taxonomía de severidad y el semáforo del mes.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Objetivo: servir como checklist de alineación entre la especificación funcional (UX/Producto) y la implementación real de Backend y Frontend.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6293D"/>
          <w:sz w:val="22"/>
          <w:szCs w:val="22"/>
        </w:rPr>
        <w:t xml:space="preserve">Fuentes documentales utilizadas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Walvy_Especificacion_UX_Perfil_Financiero_v1.0_consolidado.pdf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Walvy_Rector_Producto_y_Funcionalidades_MVP_v1.0.pdf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Walvy_Reglas_Salud_Deuda_v1.0.pdf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Walvy_Anexo_Transversal_TC_M04_M05_M06_v1_0.docx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Walvy_Modulo5_Presupuesto_Vivo_Fase3_Reglas_Contextuales_Severidad_v1_0.docx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Walvy_Modulo5_Presupuesto_Vivo_Fase3_Anexo_BDD_Reglas_Productivas_v1_0.docx</w:t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6293D"/>
          <w:sz w:val="22"/>
          <w:szCs w:val="22"/>
        </w:rPr>
        <w:t xml:space="preserve">Cómo leer el estado de cada regla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16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Definida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Regla explícita, cerrada y citada tal cual en la documentación funcional.</w:t>
            </w:r>
          </w:p>
        </w:tc>
      </w:tr>
      <w:tr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Parcial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Existe intención/criterio funcional, pero falta parámetro numérico, umbral o fórmula exacta.</w:t>
            </w:r>
          </w:p>
        </w:tc>
      </w:tr>
      <w:tr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Pendiente</w:t>
            </w:r>
          </w:p>
        </w:tc>
        <w:tc>
          <w:tcPr>
            <w:tcW w:type="dxa" w:w="7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Documentado explícitamente como decisión pendiente / no resuelta por Producto.</w:t>
            </w:r>
          </w:p>
        </w:tc>
      </w:tr>
    </w:tbl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1. Tabla maestra — Perfil Financiero (5 indicadores obligatorios)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Fuente principal: Especificación UX Perfil Financiero v1.0 · Rector Producto y Funcionalidades MVP v1.0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200"/>
        <w:gridCol w:w="2200"/>
        <w:gridCol w:w="1200"/>
      </w:tblGrid>
      <w:tr>
        <w:trPr>
          <w:tblHeader/>
        </w:trPr>
        <w:tc>
          <w:tcPr>
            <w:tcW w:type="dxa" w:w="15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4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representa (negocio)</w:t>
            </w:r>
          </w:p>
        </w:tc>
        <w:tc>
          <w:tcPr>
            <w:tcW w:type="dxa" w:w="32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detección / origen del dato</w:t>
            </w:r>
          </w:p>
        </w:tc>
        <w:tc>
          <w:tcPr>
            <w:tcW w:type="dxa" w:w="22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muestra en UI</w:t>
            </w:r>
          </w:p>
        </w:tc>
        <w:tc>
          <w:tcPr>
            <w:tcW w:type="dxa" w:w="12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Ingreso principal detectado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Fuente que sostiene el flujo base del usuario hoy: salario, pensión, honorarios o transferencia recurrente.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 detecta desde cartola/movimientos (fuente preferente) o carga manual (complementaria). Necesario para comparar contra la Regla Financiera Activa (50/30/20, 80/20, Ruta Despeje). No existe regla documentada de desempate cuando hay múltiples fuentes de ingreso candidatas.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Monto principal detectado + etiqueta del tipo de ingreso base. Referencia de origen breve, no técnica.</w:t>
            </w:r>
          </w:p>
        </w:tc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Compromisos base detectados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Compromisos no eludibles que estructuran el mes: arriendo, dividendo, gasto común, servicios, pensiones, seguros, colegiatura.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 excluyen explícitamente los pagos/consumos recurrentes (categoría distinta). No hay lista cerrada de categorías que califican como 'base' más allá de los ejemplos citados; falta catálogo exhaustivo.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Lista acotada con monto y acceso a drill-down. Preferir expansión breve sobre listado largo.</w:t>
            </w:r>
          </w:p>
        </w:tc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Pagos recurrentes detectados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Pagos o consumos recurrentes que perfilan hábitos del usuario (no compromisos base).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Sistema debe 'confirmar' recurrencia — no se documenta la regla técnica exacta (frecuencia mínima de ocurrencias, ventana de meses, tolerancia de monto/comercio) para clasificar un movimiento como recurrente.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Top 5 pagos/consumos recurrentes confirmados, con categoría, monto y % sobre ingreso si aporta valor.</w:t>
            </w:r>
          </w:p>
        </w:tc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Movimientos sin categorizar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Vacíos de información que afectan la confiabilidad de la lectura del mes.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Clasificación por certeza: alta certeza → categoriza automático con trazabilidad; certeza media → pide validación; baja certeza → va a 'sin categorizar' y no debe alimentar conclusiones fuertes de presupuesto (Reglas C-01 a C-04, Anexo BDD Fase 3 M5).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Contador visible + acceso directo a revisión. No se listan todos los movimientos en la vista inicial.</w:t>
            </w:r>
          </w:p>
        </w:tc>
        <w:tc>
          <w:tcPr>
            <w:tcW w:type="dxa" w:w="16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Definida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Instrumentos / mecanismos de pago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Cómo el usuario mueve su dinero entre 'bolsillos': efectivo, transferencia, tarjeta de crédito o débito.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Detectado desde el origen del movimiento/documento. No se documenta regla de agregación cuando el mismo instrumento aparece en múltiples fuentes (ej. misma tarjeta en dos documentos).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Lista breve o chips con mecanismos más usados. Se evita explícitamente inventario técnico o listado de movimientos.</w:t>
            </w:r>
          </w:p>
        </w:tc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Parcial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2. Bloque transversal — Origen y calidad del dato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Aplica a los 5 campos de la sección 1. Fuente: Especificación UX Perfil Financiero v1.0, sección 4.3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0"/>
      </w:tblGrid>
      <w:tr>
        <w:trPr>
          <w:tblHeader/>
        </w:trPr>
        <w:tc>
          <w:tcPr>
            <w:tcW w:type="dxa" w:w="26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80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documentada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Fuente preferente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Cartolas, últimos movimientos o documentos cargados.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Fuente complementaria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Información manual o asistida desde otros módulos de registro/corrección. Complementa, no reemplaza, la base documental.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Nivel de completitud/precisión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Badge simple: alto, medio o bajo, con helper text breve. No hay umbral numérico publicado para cada nivel — decisión pendiente de Producto.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CTA dominante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base documental insuficiente → Continuar onboarding / Cargar cartola / Mejorar precisión. La deuda NO debe competir como CTA dominante en ese escenario, aunque haya info parcial.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3. Reglas de categorización y certeza (Movimientos)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Fuente: Anexo BDD / Reglas Productivas Fase 3 — Módulo 5, sección 9 (reutilizable para Perfil Financiero)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2100"/>
        <w:gridCol w:w="2100"/>
        <w:gridCol w:w="1400"/>
      </w:tblGrid>
      <w:tr>
        <w:trPr>
          <w:tblHeader/>
        </w:trPr>
        <w:tc>
          <w:tcPr>
            <w:tcW w:type="dxa" w:w="7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de certeza</w:t>
            </w:r>
          </w:p>
        </w:tc>
        <w:tc>
          <w:tcPr>
            <w:tcW w:type="dxa" w:w="26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21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sistema</w:t>
            </w:r>
          </w:p>
        </w:tc>
        <w:tc>
          <w:tcPr>
            <w:tcW w:type="dxa" w:w="21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usuario</w:t>
            </w:r>
          </w:p>
        </w:tc>
        <w:tc>
          <w:tcPr>
            <w:tcW w:type="dxa" w:w="14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C-01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Alta certeza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Categoría sugerida alcanza umbral funcional aprobado.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Categorizar automáticamente con trazabilidad.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Puede revisar/corregir.</w:t>
            </w:r>
          </w:p>
        </w:tc>
        <w:tc>
          <w:tcPr>
            <w:tcW w:type="dxa" w:w="16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Informativa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C-02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Certeza media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Categoría plausible pero requiere confirmación.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Solicitar validación.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Confirmar o cambiar categoría.</w:t>
            </w:r>
          </w:p>
        </w:tc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Preventiva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C-03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Baja certeza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existe confianza suficiente.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Enviar a 'Sin categorizar'.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Categorizar manual o dejar pendiente.</w:t>
            </w:r>
          </w:p>
        </w:tc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Advertencia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C-04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Corrección usuario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Usuario cambia categoría sugerida.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Registrar como insumo de aprendizaje controlado.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Guardar corrección.</w:t>
            </w:r>
          </w:p>
        </w:tc>
        <w:tc>
          <w:tcPr>
            <w:tcW w:type="dxa" w:w="16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Informativa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Regla de disponibilidad de datos (D-01 a D-03): Sin datos suficientes (Advertencia) bloquea presupuesto sugerido y recomendaciones fuertes · Datos parciales (Preventiva) bloquea conclusiones fuertes · Movimientos críticos sin categorizar (Alta) bloquea alerta fuerte de sobreconsumo hasta categorizar.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4. Taxonomía de severidad (base del semáforo)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Fuente: Fase 3 · Reglas Contextuales y Severidad — Módulo 5 Presupuesto Vivo (marco reutilizado a nivel transversal)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900"/>
        <w:gridCol w:w="2100"/>
      </w:tblGrid>
      <w:tr>
        <w:trPr>
          <w:tblHeader/>
        </w:trPr>
        <w:tc>
          <w:tcPr>
            <w:tcW w:type="dxa" w:w="16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29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funcional</w:t>
            </w:r>
          </w:p>
        </w:tc>
        <w:tc>
          <w:tcPr>
            <w:tcW w:type="dxa" w:w="29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21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CTA funcional esperado</w:t>
            </w:r>
          </w:p>
        </w:tc>
      </w:tr>
      <w:tr>
        <w:tc>
          <w:tcPr>
            <w:tcW w:type="dxa" w:w="160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Informativa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Lectura útil sin urgencia ni riesgo inmediato.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Histórico disponible o progreso del mes.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 detalle / Ver periodo</w:t>
            </w:r>
          </w:p>
        </w:tc>
      </w:tr>
      <w:tr>
        <w:tc>
          <w:tcPr>
            <w:tcW w:type="dxa" w:w="1600"/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Preventiva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Señal temprana que conviene revisar antes de que se transforme en problema.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Avance moderado de categoría o gasto recurrente detectado.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Revisar categoría</w:t>
            </w:r>
          </w:p>
        </w:tc>
      </w:tr>
      <w:tr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Riesgo de desviación, baja confianza relevante o acercamiento a límite.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Avance alto de presupuesto o movimientos críticos sin categorizar.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Completar datos / Revisar movimientos</w:t>
            </w:r>
          </w:p>
        </w:tc>
      </w:tr>
      <w:tr>
        <w:tc>
          <w:tcPr>
            <w:tcW w:type="dxa" w:w="1600"/>
            <w:shd w:fill="FBE2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Impacto importante en cumplimiento de objetivo, capacidad de ahorro o sobreconsumo.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Sobreconsumo confirmado o fuga relevante.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Revisar presupuesto / Ajustar objetivo</w:t>
            </w:r>
          </w:p>
        </w:tc>
      </w:tr>
      <w:tr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Crítica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Bloqueo funcional, dato crítico ausente o derivación fuerte a mora/deuda problemática.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Lectura que podría inducir conclusión errónea grave o deuda problemática detectada.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Resolver pendiente / Revisar deuda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5. Umbrales presupuestarios ya cerrados (referencia numérica)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Único set de umbrales con números exactos citados en la documentación (Fase 3, sección 10, Módulo 5) — decisión producto post-QA.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rPr>
          <w:tblHeader/>
        </w:trPr>
        <w:tc>
          <w:tcPr>
            <w:tcW w:type="dxa" w:w="40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 de avance</w:t>
            </w:r>
          </w:p>
        </w:tc>
        <w:tc>
          <w:tcPr>
            <w:tcW w:type="dxa" w:w="55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0% – 49%</w:t>
            </w:r>
          </w:p>
        </w:tc>
        <w:tc>
          <w:tcPr>
            <w:tcW w:type="dxa" w:w="1600"/>
            <w:shd w:fill="E7F5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50% – 79%</w:t>
            </w:r>
          </w:p>
        </w:tc>
        <w:tc>
          <w:tcPr>
            <w:tcW w:type="dxa" w:w="160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Seguimiento informativo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80% – 89%</w:t>
            </w:r>
          </w:p>
        </w:tc>
        <w:tc>
          <w:tcPr>
            <w:tcW w:type="dxa" w:w="1600"/>
            <w:shd w:fill="EAF1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Preventivo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90% – 99%</w:t>
            </w:r>
          </w:p>
        </w:tc>
        <w:tc>
          <w:tcPr>
            <w:tcW w:type="dxa" w:w="1600"/>
            <w:shd w:fill="FFF6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Advertencia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shd w:fill="FBE2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Límite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100%</w:t>
            </w:r>
          </w:p>
        </w:tc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Sobreconsumo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110%</w:t>
            </w:r>
          </w:p>
        </w:tc>
        <w:tc>
          <w:tcPr>
            <w:tcW w:type="dxa" w:w="1600"/>
            <w:shd w:fill="FDEC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Sobreconsumo alto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Nota: estos umbrales son de Presupuesto Vivo (Módulo 5), no de Perfil Financiero directamente — se incluyen porque son el único ejemplo de umbral numérico cerrado en toda la documentación, y sirven de referencia de formato para cuando se cierren los de Perfil Financiero / Salud de Deuda.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6. Relación con el semáforo del mes (Home)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semáforo del mes no se calcula únicamente desde Perfil Financiero. Se alimenta de: pagos importantes próximos, fugas activas, presupuesto/margen y Salud de Deuda (cuando la deuda es señal dominante). Regla citada textual: "La deuda presionada puede empujar el mes a amarillo o rojo si reduce margen, genera mora o bloquea capacidad de ahorro."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Perfil Financiero aporta la base de confianza (ingreso, compromisos, recurrentes, instrumentos, completitud) que habilita o bloquea que el semáforo se muestre con datos suficientes. Regla de supresión: Home no debe mostrar múltiples señales compitiendo — debe existir una sola señal dominante por superficie.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7. Decisiones pendientes documentadas explícitamente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Citas textuales de los documentos — no interpretación propia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400"/>
      </w:tblGrid>
      <w:tr>
        <w:trPr>
          <w:tblHeader/>
        </w:trPr>
        <w:tc>
          <w:tcPr>
            <w:tcW w:type="dxa" w:w="24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6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pendiente citada</w:t>
            </w:r>
          </w:p>
        </w:tc>
        <w:tc>
          <w:tcPr>
            <w:tcW w:type="dxa" w:w="2400"/>
            <w:shd w:fill="1629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Umbrales internos de Salud de Deuda / semáforo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"Definir si existirán rangos numéricos parametrizados por regla activa o solo heurísticas por señales."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Afecta QA y lógica de semáforo.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Badges finales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"Validar si 'Requiere atención' y 'Presionada' son nombres definitivos."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Afecta UX writing y consistencia visual.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Recomendación automática de regla financiera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"Definir criterios exactos para sugerir 50/30/20, 80/20 o Ruta Despeje."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Afecta UX y explicabilidad.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Otra regla financiera estándar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"Decidir si se habilita en MVP o se deja para backlog."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Afecta complejidad de onboarding y configuración.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Umbrales de completitud del perfil (alto/medio/bajo)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se documenta un valor numérico o de reglas para asignar cada nivel del badge de completitud.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Afecta consistencia entre pantallas y backend.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Regla técnica de recurrencia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se documenta la fórmula exacta (frecuencia mínima, ventana temporal, tolerancia de monto) para marcar un pago como 'recurrente'.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Bloquea implementación exacta del Top 5 de recurrentes.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6293D"/>
          <w:sz w:val="30"/>
          <w:szCs w:val="30"/>
        </w:rPr>
        <w:t xml:space="preserve">8. Checklist de preguntas para alinear con Backend / Frontend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570"/>
          <w:sz w:val="19"/>
          <w:szCs w:val="19"/>
        </w:rPr>
        <w:t xml:space="preserve">Usar esta lista en la reunión de alineación — cada pregunta apunta a un vacío identificado arriba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¿El backend tiene una regla de desempate cuando detecta más de una fuente de ingreso recurrente? ¿Cuál usa hoy?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¿Cuál es la ventana temporal y el umbral de frecuencia que usa el backend para marcar un movimiento como 'recurrente'?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¿Existe un catálogo cerrado de categorías que el backend considera 'compromiso base' vs 'pago recurrente', o se infiere dinámicamente?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¿Qué porcentaje de confianza numérico usa el motor de categorización para los niveles alta/media/baja certeza (C-01 a C-03)?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¿Cómo calcula el backend el badge de completitud del perfil (alto/medio/bajo)? ¿Hay un score o son reglas por campo presente/ausente?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¿El frontend replica la regla de un solo CTA dominante, o puede haber casos donde compiten dos acciones visualmente?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¿Los umbrales de 0-49/50-79/80-89/90-99/100/&gt;100/≥110 (sección 5) están hardcodeados en backend o son parametrizables como pide el documento?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¿Cómo se agregan instrumentos de pago repetidos entre distintas fuentes (mismo medio detectado en dos documentos distintos)?</w:t>
      </w:r>
    </w:p>
    <w:p>
      <w:pPr>
        <w:pBdr>
          <w:top w:val="single" w:color="CCCCCC" w:sz="6" w:space="6"/>
        </w:pBdr>
        <w:spacing w:before="400"/>
      </w:pPr>
      <w:r>
        <w:rPr>
          <w:rFonts w:ascii="Calibri" w:cs="Calibri" w:eastAsia="Calibri" w:hAnsi="Calibri"/>
          <w:i/>
          <w:iCs/>
          <w:color w:val="5B6570"/>
          <w:sz w:val="17"/>
          <w:szCs w:val="17"/>
        </w:rPr>
        <w:t xml:space="preserve">Documento generado a partir de la documentación funcional del proyecto Walvy disponible al momento de creación. Cualquier regla marcada como 'Parcial' o 'Pendiente' requiere confirmación de Producto antes de usarse como fuente de verdad para desarrollo.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2026-07-21T02:39:11.088Z</dcterms:created>
  <dcterms:modified xsi:type="dcterms:W3CDTF">2026-07-21T02:39:11.100Z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