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Buenos días Team</w:t>
      </w:r>
    </w:p>
    <w:p w:rsidR="00000000" w:rsidDel="00000000" w:rsidP="00000000" w:rsidRDefault="00000000" w:rsidRPr="00000000" w14:paraId="00000002">
      <w:pPr>
        <w:shd w:fill="ffffff" w:val="clear"/>
        <w:spacing w:after="22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comparto el documento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Walvy_Regla_Priorizacion_CTA_por_Foco_Mes_v1_0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22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documento define cómo el Objetivo Foco del Mes se alinea con los indicadores del Perfil Financiero y cómo esa prioridad debe ordenar los CTAs que se muestran al usuario.</w:t>
      </w:r>
    </w:p>
    <w:p w:rsidR="00000000" w:rsidDel="00000000" w:rsidP="00000000" w:rsidRDefault="00000000" w:rsidRPr="00000000" w14:paraId="00000004">
      <w:pPr>
        <w:shd w:fill="ffffff" w:val="clear"/>
        <w:spacing w:after="22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Puntos clave: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Foco del Mes no es una meta aislada; se conecta con indicadores como disponible, compromisos, recurrentes, Salud de Deuda y Ruta Despeje.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hay señales críticas, Walvy prioriza el CTA asociado al foco declarado por el usuario.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una señal crítica —por ejemplo deuda presionada, mora, vencimiento relevante o disponible negativo— esa señal prevalece sobre el foco.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documento deja una matriz foco-indicadores-CTA y reglas de negocio para aplicar esta lógica en Home, Perfil Financiero, Mi Foco del Mes, recomendaciones y alertas.</w:t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es usarlo como base funcional para Producto, UX, QA y Desarrollo.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ificateinteligente.sharepoint.com/:w:/s/DesarrollodeProductos-Servicios/IQBcthON1fUOQoj3BJ-XDDzBAQMRqjGp0gFjSSXn0qZBrSg?e=k0lWN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