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360"/>
        <w:jc w:val="center"/>
      </w:pPr>
      <w:r>
        <w:rPr>
          <w:rFonts w:ascii="Calibri" w:hAnsi="Calibri"/>
          <w:b/>
          <w:i w:val="0"/>
          <w:color w:val="B07813"/>
          <w:sz w:val="26"/>
        </w:rPr>
        <w:t>WALVY</w:t>
      </w:r>
    </w:p>
    <w:p>
      <w:pPr>
        <w:spacing w:after="140"/>
        <w:jc w:val="center"/>
      </w:pPr>
      <w:r>
        <w:rPr>
          <w:rFonts w:ascii="Calibri" w:hAnsi="Calibri"/>
          <w:b/>
          <w:i w:val="0"/>
          <w:color w:val="2F6B57"/>
          <w:sz w:val="24"/>
        </w:rPr>
        <w:t>M05 · Presupuesto Vivo</w:t>
      </w:r>
    </w:p>
    <w:p>
      <w:pPr>
        <w:spacing w:after="200"/>
        <w:jc w:val="center"/>
      </w:pPr>
      <w:r>
        <w:rPr>
          <w:rFonts w:ascii="Calibri" w:hAnsi="Calibri"/>
          <w:b/>
          <w:i w:val="0"/>
          <w:color w:val="214D3F"/>
          <w:sz w:val="54"/>
        </w:rPr>
        <w:t>Mis Avisos · Parte II</w:t>
      </w:r>
    </w:p>
    <w:p>
      <w:pPr>
        <w:spacing w:after="480"/>
        <w:jc w:val="center"/>
      </w:pPr>
      <w:r>
        <w:rPr>
          <w:rFonts w:ascii="Calibri" w:hAnsi="Calibri"/>
          <w:b w:val="0"/>
          <w:i w:val="0"/>
          <w:color w:val="5F6B7A"/>
          <w:sz w:val="28"/>
        </w:rPr>
        <w:t>Situaciones, lifecycle, acciones, prioridad local y proyección</w:t>
      </w:r>
    </w:p>
    <w:p>
      <w:pPr>
        <w:spacing w:before="360" w:after="160"/>
        <w:jc w:val="center"/>
      </w:pPr>
      <w:r>
        <w:rPr>
          <w:rFonts w:ascii="Calibri" w:hAnsi="Calibri"/>
          <w:b w:val="0"/>
          <w:i w:val="0"/>
          <w:color w:val="5F6B7A"/>
          <w:sz w:val="18"/>
        </w:rPr>
        <w:t>Contrato modular vigente · v1.0</w:t>
      </w:r>
    </w:p>
    <w:tbl>
      <w:tblPr>
        <w:tblW w:type="auto" w:w="0"/>
        <w:jc w:val="center"/>
        <w:tblLayout w:type="fixed"/>
        <w:tblLook w:firstColumn="1" w:firstRow="1" w:lastColumn="0" w:lastRow="0" w:noHBand="0" w:noVBand="1" w:val="04A0"/>
      </w:tblPr>
      <w:tblGrid>
        <w:gridCol w:w="4939"/>
        <w:gridCol w:w="4939"/>
      </w:tblGrid>
      <w:tr>
        <w:tc>
          <w:tcPr>
            <w:tcW w:type="dxa" w:w="5112"/>
            <w:shd w:fill="F4F8F6"/>
            <w:tcMar>
              <w:top w:w="110" w:type="dxa"/>
              <w:start w:w="130" w:type="dxa"/>
              <w:bottom w:w="110" w:type="dxa"/>
              <w:end w:w="13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r>
            <w:r>
              <w:rPr>
                <w:rFonts w:ascii="Calibri" w:hAnsi="Calibri"/>
                <w:b/>
                <w:i w:val="0"/>
                <w:color w:val="2F6B57"/>
                <w:sz w:val="19"/>
              </w:rPr>
              <w:t>Documento</w:t>
              <w:br/>
            </w:r>
            <w:r>
              <w:rPr>
                <w:rFonts w:ascii="Calibri" w:hAnsi="Calibri"/>
                <w:b/>
                <w:i w:val="0"/>
                <w:color w:val="111827"/>
                <w:sz w:val="19"/>
              </w:rPr>
              <w:t>Parte II · Mis Avisos M05</w:t>
            </w:r>
          </w:p>
        </w:tc>
        <w:tc>
          <w:tcPr>
            <w:tcW w:type="dxa" w:w="5112"/>
            <w:shd w:fill="F4F8F6"/>
            <w:tcMar>
              <w:top w:w="110" w:type="dxa"/>
              <w:start w:w="130" w:type="dxa"/>
              <w:bottom w:w="110" w:type="dxa"/>
              <w:end w:w="13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Versión</w:t>
              <w:br/>
              <w:t>1.0</w:t>
            </w:r>
          </w:p>
        </w:tc>
      </w:tr>
    </w:tbl>
    <w:p>
      <w:r>
        <w:br w:type="page"/>
      </w:r>
    </w:p>
    <w:p>
      <w:pPr>
        <w:pStyle w:val="Heading1"/>
        <w:spacing w:before="280" w:after="160"/>
      </w:pPr>
      <w:r>
        <w:rPr>
          <w:rFonts w:ascii="Calibri" w:hAnsi="Calibri"/>
          <w:b/>
          <w:i w:val="0"/>
          <w:color w:val="2F6B57"/>
          <w:sz w:val="36"/>
        </w:rPr>
        <w:t>1. Cómo utilizar este documento</w:t>
      </w:r>
    </w:p>
    <w:p>
      <w:pPr>
        <w:spacing w:after="100" w:line="259" w:lineRule="auto"/>
      </w:pPr>
      <w:r>
        <w:rPr>
          <w:rFonts w:ascii="Calibri" w:hAnsi="Calibri"/>
          <w:b w:val="0"/>
          <w:i w:val="0"/>
          <w:color w:val="111827"/>
          <w:sz w:val="21"/>
        </w:rPr>
        <w:t>Este documento materializa las situaciones, recomendaciones y próximos pasos cuyo productor funcional es M05 · Presupuesto Vivo. M05 gobierna el trigger, la evidencia, la vigencia, el lifecycle, la acción, la resolución y la prioridad local de su dominio. M03/orquestación decide la competencia intermodular, la superficie global y el ganador transversal; M02 configura preferencias de canal sin cambiar la lógica financiera de M05.</w:t>
      </w:r>
    </w:p>
    <w:p>
      <w:pPr>
        <w:pStyle w:val="Heading2"/>
        <w:spacing w:before="240" w:after="100"/>
      </w:pPr>
      <w:r>
        <w:rPr>
          <w:rFonts w:ascii="Calibri" w:hAnsi="Calibri"/>
          <w:b/>
          <w:i w:val="0"/>
          <w:color w:val="2F6B57"/>
          <w:sz w:val="28"/>
        </w:rPr>
        <w:t>Reglas comunes</w:t>
      </w:r>
    </w:p>
    <w:p>
      <w:pPr>
        <w:pStyle w:val="ListBullet"/>
        <w:spacing w:after="60"/>
      </w:pPr>
      <w:r>
        <w:rPr>
          <w:rFonts w:ascii="Calibri" w:hAnsi="Calibri"/>
          <w:b w:val="0"/>
          <w:i w:val="0"/>
          <w:color w:val="111827"/>
          <w:sz w:val="20"/>
        </w:rPr>
        <w:t>Identidad por familia + objeto/contexto suficiente y lifecycle born / update / resolved.</w:t>
      </w:r>
    </w:p>
    <w:p>
      <w:pPr>
        <w:pStyle w:val="ListBullet"/>
        <w:spacing w:after="60"/>
      </w:pPr>
      <w:r>
        <w:rPr>
          <w:rFonts w:ascii="Calibri" w:hAnsi="Calibri"/>
          <w:b w:val="0"/>
          <w:i w:val="0"/>
          <w:color w:val="111827"/>
          <w:sz w:val="20"/>
        </w:rPr>
        <w:t>La persistencia del mismo estado no crea rebirth ni una nueva instancia.</w:t>
      </w:r>
    </w:p>
    <w:p>
      <w:pPr>
        <w:pStyle w:val="ListBullet"/>
        <w:spacing w:after="60"/>
      </w:pPr>
      <w:r>
        <w:rPr>
          <w:rFonts w:ascii="Calibri" w:hAnsi="Calibri"/>
          <w:b w:val="0"/>
          <w:i w:val="0"/>
          <w:color w:val="111827"/>
          <w:sz w:val="20"/>
        </w:rPr>
        <w:t>Abrir, leer o seleccionar un CTA no resuelve la situación: M05 debe recalcular y confirmar que dejó de existir.</w:t>
      </w:r>
    </w:p>
    <w:p>
      <w:pPr>
        <w:pStyle w:val="ListBullet"/>
        <w:spacing w:after="60"/>
      </w:pPr>
      <w:r>
        <w:rPr>
          <w:rFonts w:ascii="Calibri" w:hAnsi="Calibri"/>
          <w:b w:val="0"/>
          <w:i w:val="0"/>
          <w:color w:val="111827"/>
          <w:sz w:val="20"/>
        </w:rPr>
        <w:t>Una variante, reason, pending, state u output no se convierte en familia autónoma por conservar un ID AVI/SIG histórico.</w:t>
      </w:r>
    </w:p>
    <w:p>
      <w:pPr>
        <w:pStyle w:val="ListBullet"/>
        <w:spacing w:after="60"/>
      </w:pPr>
      <w:r>
        <w:rPr>
          <w:rFonts w:ascii="Calibri" w:hAnsi="Calibri"/>
          <w:b w:val="0"/>
          <w:i w:val="0"/>
          <w:color w:val="111827"/>
          <w:sz w:val="20"/>
        </w:rPr>
        <w:t>Toda señal/recomendación M05 vigente debe poder proyectarse a M03 o a una superficie consumidora; proyectarse no implica competir como aviso autónomo ni habilitar un canal externo.</w:t>
      </w:r>
    </w:p>
    <w:p>
      <w:pPr>
        <w:pStyle w:val="ListBullet"/>
        <w:spacing w:after="60"/>
      </w:pPr>
      <w:r>
        <w:rPr>
          <w:rFonts w:ascii="Calibri" w:hAnsi="Calibri"/>
          <w:b w:val="0"/>
          <w:i w:val="0"/>
          <w:color w:val="111827"/>
          <w:sz w:val="20"/>
        </w:rPr>
        <w:t>M05 prioriza localmente. M03 recibe candidatos/outputs y resuelve la prioridad global entre M04/M05/M06 y demás dominios.</w:t>
      </w:r>
    </w:p>
    <w:p>
      <w:pPr>
        <w:pStyle w:val="ListBullet"/>
        <w:spacing w:after="60"/>
      </w:pPr>
      <w:r>
        <w:rPr>
          <w:rFonts w:ascii="Calibri" w:hAnsi="Calibri"/>
          <w:b w:val="0"/>
          <w:i w:val="0"/>
          <w:color w:val="111827"/>
          <w:sz w:val="20"/>
        </w:rPr>
        <w:t>Ante falta de determinismo de canal o datos, el fallback es in-app/consumidor. M05 no habilita correo, push, cadencia o cooldown por inferencia.</w:t>
      </w:r>
    </w:p>
    <w:p>
      <w:r>
        <w:rPr>
          <w:sz w:val="20"/>
        </w:rPr>
        <w:t>CTA visible vs acción funcional: el copy de botón debe usar etiquetas cortas ya materializadas/gobernadas. El Figma 5.2 cerrado demuestra un componente full-width que soporta “Asignar presupuesto a la categoría”; los CTA visibles de este documento no exceden esa referencia. Las acciones descriptivas largas se ejecutan dentro del flujo y no se convierten en texto literal de botón.</w:t>
      </w:r>
    </w:p>
    <w:p>
      <w:pPr>
        <w:pStyle w:val="Heading2"/>
        <w:spacing w:before="240" w:after="100"/>
      </w:pPr>
      <w:r>
        <w:rPr>
          <w:rFonts w:ascii="Calibri" w:hAnsi="Calibri"/>
          <w:b/>
          <w:i w:val="0"/>
          <w:color w:val="2F6B57"/>
          <w:sz w:val="28"/>
        </w:rPr>
        <w:t>Mapa de las 6 familias activas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79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Familia</w:t>
            </w:r>
          </w:p>
        </w:tc>
        <w:tc>
          <w:tcPr>
            <w:tcW w:type="dxa" w:w="223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Situación canónica</w:t>
            </w:r>
          </w:p>
        </w:tc>
        <w:tc>
          <w:tcPr>
            <w:tcW w:type="dxa" w:w="468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Se activa cuando</w:t>
            </w:r>
          </w:p>
        </w:tc>
        <w:tc>
          <w:tcPr>
            <w:tcW w:type="dxa" w:w="252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Acción / destino</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F1</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Completar información / calidad</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Existe falta de base, datos parciales, baja confianza o ausencia de presupuesto válido que limite la precisión de M05.</w:t>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corto y contextual: “Cargar movimientos”, “Completar datos”, “Asignar presupuesto” o “Revisar dato”. Elegir solo el que resuelve el pendiente real.</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Revisar o confirmar movimiento</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Existe un movimiento, extracción o clasificación que requiere confirmación, categorización, corrección, desglose o tratamiento DQ antes de consolidar su efecto.</w:t>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corto: “Revisar movimiento”, “Categorizar”, “Confirmar” o “Corregir”. Clasificaciones como compra puntual/compartido/efectivo son acciones dentro del editor, no textos largos de botón.</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Presupuesto requiere atención</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La ejecución presupuestaria produce un estado accionable U03/U04/U05/U06/U06b con calidad suficiente.</w:t>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presupuesto”, “Revisar categoría” o “Revisar movimientos”.</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F4</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Patrón recurrente</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D08-DET-2X2-REC-V1 detecta un patrón elegible bajo la agrupación gobernada, con al menos 2 movimientos elegibles en cada una de al menos 2 semanas calendario distintas del mes y exclusiones D05/DQ aplicadas.</w:t>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detalle”; dentro del flujo puede aparecer “Revisar categoría”.</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F5</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Recuperar equilibrio</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D07 es evaluable y D07-SEL-A-V1 produce al menos una candidata factible; para D08 se exige review_completed → recálculo → patrón persiste. No existe gate subjetivo de “impacto plausible”.</w:t>
            </w:r>
            <w:r>
              <w:rPr>
                <w:rFonts w:ascii="Calibri" w:hAnsi="Calibri"/>
                <w:b w:val="0"/>
                <w:i w:val="0"/>
                <w:color w:val="111827"/>
                <w:sz w:val="19"/>
              </w:rPr>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“Recuperar equilibrio”. El resto pertenece al flujo del plan.</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F6</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Fortalecer respaldo</w:t>
            </w:r>
          </w:p>
        </w:tc>
        <w:tc>
          <w:tcPr>
            <w:tcW w:type="dxa" w:w="46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Reserva evaluable y `reserve_state = LT_3M`: la liquidez disponible consumida desde M02 cubre menos de 3 meses de la canasta esencial observada definida por ESSENTIAL_BASKET_MVP_REC_V1.</w:t>
            </w:r>
          </w:p>
        </w:tc>
        <w:tc>
          <w:tcPr>
            <w:tcW w:type="dxa" w:w="252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recomendación” o “Ver detalle”.</w:t>
            </w:r>
          </w:p>
        </w:tc>
      </w:tr>
    </w:tbl>
    <w:p>
      <w:pPr>
        <w:spacing w:after="40"/>
      </w:pPr>
    </w:p>
    <w:p>
      <w:pPr>
        <w:pStyle w:val="Heading2"/>
        <w:spacing w:before="240" w:after="100"/>
      </w:pPr>
      <w:r>
        <w:rPr>
          <w:rFonts w:ascii="Calibri" w:hAnsi="Calibri"/>
          <w:b/>
          <w:i w:val="0"/>
          <w:color w:val="2F6B57"/>
          <w:sz w:val="28"/>
        </w:rPr>
        <w:t>1.1 Cómo leer la prioridad dentro de M05</w:t>
      </w:r>
    </w:p>
    <w:p>
      <w:pPr>
        <w:pStyle w:val="ListBullet"/>
        <w:spacing w:after="60"/>
      </w:pPr>
      <w:r>
        <w:rPr>
          <w:rFonts w:ascii="Calibri" w:hAnsi="Calibri"/>
          <w:b w:val="0"/>
          <w:i w:val="0"/>
          <w:color w:val="111827"/>
          <w:sz w:val="20"/>
        </w:rPr>
        <w:t>La prioridad local se expresa con bandas P1/P2/P3 y reglas de dominancia; no es un score financiero y no decide Home.</w:t>
      </w:r>
    </w:p>
    <w:p>
      <w:pPr>
        <w:pStyle w:val="ListBullet"/>
        <w:spacing w:after="60"/>
      </w:pPr>
      <w:r>
        <w:rPr>
          <w:rFonts w:ascii="Calibri" w:hAnsi="Calibri"/>
          <w:b w:val="0"/>
          <w:i w:val="0"/>
          <w:color w:val="111827"/>
          <w:sz w:val="20"/>
        </w:rPr>
        <w:t>Primero se resuelve lo que impide confiar en la lectura. Si el bloqueo directo es un movimiento, F2 precede; si falta base/configuración, F1 precede.</w:t>
      </w:r>
    </w:p>
    <w:p>
      <w:pPr>
        <w:pStyle w:val="ListBullet"/>
        <w:spacing w:after="60"/>
      </w:pPr>
      <w:r>
        <w:rPr>
          <w:rFonts w:ascii="Calibri" w:hAnsi="Calibri"/>
          <w:b w:val="0"/>
          <w:i w:val="0"/>
          <w:color w:val="111827"/>
          <w:sz w:val="20"/>
        </w:rPr>
        <w:t>Sin bloqueo, un F5 ya elegible es el próximo paso preferido; si no existe, F3 representa la atención presupuestaria; luego F4 y F6.</w:t>
      </w:r>
    </w:p>
    <w:p>
      <w:pPr>
        <w:pStyle w:val="ListBullet"/>
        <w:spacing w:after="60"/>
      </w:pPr>
      <w:r>
        <w:rPr>
          <w:rFonts w:ascii="Calibri" w:hAnsi="Calibri"/>
          <w:b w:val="0"/>
          <w:i w:val="0"/>
          <w:color w:val="111827"/>
          <w:sz w:val="20"/>
        </w:rPr>
        <w:t>Los candidatos secundarios permanecen vigentes y pueden proyectarse a superficies compatibles. M05 marca `m05_local_top_candidate`; M03 decide el ganador transversal.</w:t>
      </w:r>
    </w:p>
    <w:p>
      <w:pPr>
        <w:pStyle w:val="ListBullet"/>
        <w:spacing w:after="60"/>
      </w:pPr>
      <w:r>
        <w:rPr>
          <w:rFonts w:ascii="Calibri" w:hAnsi="Calibri"/>
          <w:b w:val="0"/>
          <w:i w:val="0"/>
          <w:color w:val="111827"/>
          <w:sz w:val="20"/>
        </w:rPr>
        <w:t>Dentro de F3, prevalece el estado funcional más severo U06b &gt; U06 &gt; U05 &gt; U04 &gt; U03. El consumidor no reconstruye la fórmula ni los thresholds.</w:t>
      </w:r>
    </w:p>
    <w:p>
      <w:pPr>
        <w:pStyle w:val="Heading1"/>
        <w:spacing w:before="280" w:after="160"/>
      </w:pPr>
      <w:r>
        <w:rPr>
          <w:rFonts w:ascii="Calibri" w:hAnsi="Calibri"/>
          <w:b/>
          <w:i w:val="0"/>
          <w:color w:val="2F6B57"/>
          <w:sz w:val="36"/>
        </w:rPr>
        <w:t>2. Contrato común de situación M05</w:t>
      </w:r>
    </w:p>
    <w:p>
      <w:pPr>
        <w:spacing w:after="100" w:line="259" w:lineRule="auto"/>
      </w:pPr>
      <w:r>
        <w:rPr>
          <w:rFonts w:ascii="Calibri" w:hAnsi="Calibri"/>
          <w:b w:val="0"/>
          <w:i w:val="0"/>
          <w:color w:val="111827"/>
          <w:sz w:val="21"/>
        </w:rPr>
        <w:t>Toda familia activa usa el mismo contrato mínimo para que Backend pueda producirla de manera determinista y para que M03/superficies consumidoras la usen sin recalcular M05.</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Identidad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Familia M05 + objeto/contexto suficiente para deduplicar sin perder el reason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Familia / rol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Una de F1–F6. Variantes/reasons/pendings/outputs se vinculan a una familia host o permanecen como proyección informativa.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Trigger</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Cambio verificable en datos/calidad, movimiento, ejecución presupuestaria, patrón D08, elegibilidad D07 o cobertura de respaldo.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Evidencia / calidad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D05 y DQ gobiernan si una conclusión es evaluable. Backend no completa semántica faltante.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Lifecycle</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born al aparecer; update al cambiar reason/impacto/variante sin perder identidad; resolved cuando la condición deja de aplicar.</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 / destino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CTA y destino definidos por M05 o por el módulo owner en derivaciones. El clic no resuelve por sí solo.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Bandas P1/P2/P3 + dominancia por bloqueo/accionabilidad; `m05_local_top_candidate` identifica el primer candidato local.</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M03/superficies consumidoras muestran/contextualizan; no crean señal ni recalculan M05. Canal externo depende de matriz transversal + M02.</w:t>
            </w:r>
          </w:p>
        </w:tc>
      </w:tr>
    </w:tbl>
    <w:p>
      <w:pPr>
        <w:spacing w:after="40"/>
      </w:pPr>
    </w:p>
    <w:p>
      <w:pPr>
        <w:pStyle w:val="Heading2"/>
        <w:spacing w:before="240" w:after="100"/>
      </w:pPr>
      <w:r>
        <w:rPr>
          <w:rFonts w:ascii="Calibri" w:hAnsi="Calibri"/>
          <w:b/>
          <w:i w:val="0"/>
          <w:color w:val="2F6B57"/>
          <w:sz w:val="28"/>
        </w:rPr>
        <w:t>Controles de no autonomía</w:t>
      </w:r>
    </w:p>
    <w:p>
      <w:pPr>
        <w:pStyle w:val="ListBullet"/>
        <w:spacing w:after="60"/>
      </w:pPr>
      <w:r>
        <w:rPr>
          <w:rFonts w:ascii="Calibri" w:hAnsi="Calibri"/>
          <w:b w:val="0"/>
          <w:i w:val="0"/>
          <w:color w:val="111827"/>
          <w:sz w:val="20"/>
        </w:rPr>
        <w:t>Un state (por ejemplo, plan activo) no crea aviso nuevo por permanecer vigente.</w:t>
      </w:r>
    </w:p>
    <w:p>
      <w:pPr>
        <w:pStyle w:val="ListBullet"/>
        <w:spacing w:after="60"/>
      </w:pPr>
      <w:r>
        <w:rPr>
          <w:rFonts w:ascii="Calibri" w:hAnsi="Calibri"/>
          <w:b w:val="0"/>
          <w:i w:val="0"/>
          <w:color w:val="111827"/>
          <w:sz w:val="20"/>
        </w:rPr>
        <w:t>Un reason (categoría crítica, margen absorbido, baja confianza) puede cambiar copy/prioridad de la familia host sin crear otra familia.</w:t>
      </w:r>
    </w:p>
    <w:p>
      <w:pPr>
        <w:pStyle w:val="ListBullet"/>
        <w:spacing w:after="60"/>
      </w:pPr>
      <w:r>
        <w:rPr>
          <w:rFonts w:ascii="Calibri" w:hAnsi="Calibri"/>
          <w:b w:val="0"/>
          <w:i w:val="0"/>
          <w:color w:val="111827"/>
          <w:sz w:val="20"/>
        </w:rPr>
        <w:t>Un pending se agrega o proyecta a revisión; no se convierte en una taxonomía paralela de avisos.</w:t>
      </w:r>
    </w:p>
    <w:p>
      <w:pPr>
        <w:pStyle w:val="ListBullet"/>
        <w:spacing w:after="60"/>
      </w:pPr>
      <w:r>
        <w:rPr>
          <w:rFonts w:ascii="Calibri" w:hAnsi="Calibri"/>
          <w:b w:val="0"/>
          <w:i w:val="0"/>
          <w:color w:val="111827"/>
          <w:sz w:val="20"/>
        </w:rPr>
        <w:t>Un output positivo (Progreso real, Objetivo cumplido, M3/M6 de respaldo) se puede proyectar a consumidores sin competir automáticamente como prioridad financiera.</w:t>
      </w:r>
    </w:p>
    <w:p>
      <w:pPr>
        <w:pStyle w:val="ListBullet"/>
        <w:spacing w:after="60"/>
      </w:pPr>
      <w:r>
        <w:rPr>
          <w:rFonts w:ascii="Calibri" w:hAnsi="Calibri"/>
          <w:b w:val="0"/>
          <w:i w:val="0"/>
          <w:color w:val="111827"/>
          <w:sz w:val="20"/>
        </w:rPr>
        <w:t>La derivación a M04/M06 conserva ownership del módulo destino; M05 no replica su severidad ni condición de cierre.</w:t>
      </w:r>
    </w:p>
    <w:p>
      <w:pPr>
        <w:pStyle w:val="Heading1"/>
        <w:spacing w:before="280" w:after="160"/>
      </w:pPr>
      <w:r>
        <w:rPr>
          <w:rFonts w:ascii="Calibri" w:hAnsi="Calibri"/>
          <w:b/>
          <w:i w:val="0"/>
          <w:color w:val="2F6B57"/>
          <w:sz w:val="36"/>
        </w:rPr>
        <w:t>3. Familias canónicas M05</w:t>
      </w:r>
    </w:p>
    <w:p>
      <w:pPr>
        <w:spacing w:after="100" w:line="259" w:lineRule="auto"/>
      </w:pPr>
      <w:r>
        <w:rPr>
          <w:rFonts w:ascii="Calibri" w:hAnsi="Calibri"/>
          <w:b w:val="0"/>
          <w:i w:val="0"/>
          <w:color w:val="111827"/>
          <w:sz w:val="21"/>
        </w:rPr>
        <w:t>Las siguientes seis fichas constituyen el modelo canónico de Mis Avisos M05. Los AVI/SIG históricos se conservan como correspondencia y trazabilidad, no como una segunda taxonomía activa.</w:t>
      </w:r>
    </w:p>
    <w:p>
      <w:pPr>
        <w:pStyle w:val="Heading2"/>
        <w:spacing w:before="240" w:after="100"/>
      </w:pPr>
      <w:r>
        <w:rPr>
          <w:rFonts w:ascii="Calibri" w:hAnsi="Calibri"/>
          <w:b/>
          <w:i w:val="0"/>
          <w:color w:val="2F6B57"/>
          <w:sz w:val="28"/>
        </w:rPr>
        <w:t>F1 · Completar información / calidad</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AVI-M05-001 / AVI-M05-002 / AVI-M05-013 + estado Sin presupuesto asignado</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Existe falta de base, datos parciales, baja confianza o ausencia de presupuesto válido que limite la precisión de M05. Si el bloqueo proviene específicamente de uno o más movimientos que deben revisarse, se deriva a F2.</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Explicar qué falta y limitar la lectura al nivel de confianza disponible. No emitir una conclusión fuerte ni una recomendación que dependa del dato faltante. “Sin presupuesto asignado” no equivale a $0 ni 0%.</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corto y contextual: “Cargar movimientos”, “Completar datos”, “Asignar presupuesto” o “Revisar dato”. Elegir solo el que resuelve el pendiente real.</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La base vuelve a ser suficiente, el dato recupera confianza o la categoría obtiene presupuesto válido; M05 recalcula. Si cambia únicamente el reason, se actualiza la misma situación.</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P1 si la falta bloquea al menos un eligible_calculation o una conclusión/CTA que lo consume; P2 si la lectura restante sigue evaluable con limitación. Si el bloqueo directo es un movimiento, F2 precede a F1.</w:t>
            </w:r>
            <w:r>
              <w:rPr>
                <w:rFonts w:ascii="Calibri" w:hAnsi="Calibri"/>
                <w:b w:val="0"/>
                <w:i w:val="0"/>
                <w:color w:val="111827"/>
                <w:sz w:val="19"/>
              </w:rPr>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In-app M05 y superficies consumidoras de calidad/continuidad. Puede proyectarse a M03 como candidato local. Canal externo solo cuando la matriz transversal vigente lo permita para la variante concreta; ante duda, fallback in-app.</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Calidad domina sobre alerta/recomendación fuerte. No confundir “sin presupuesto” con presupuesto agotado. Persistencia no crea rebirth.</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D05 · Quality→Calculation; D02 · Sin presupuesto asignado; R-001/R-002/R-006; F-04/REC-04; HANDOFF UX v1.0.</w:t>
            </w:r>
          </w:p>
        </w:tc>
      </w:tr>
    </w:tbl>
    <w:p>
      <w:pPr>
        <w:spacing w:after="40"/>
      </w:pPr>
    </w:p>
    <w:p>
      <w:pPr>
        <w:pStyle w:val="Heading2"/>
        <w:spacing w:before="240" w:after="100"/>
      </w:pPr>
      <w:r>
        <w:rPr>
          <w:rFonts w:ascii="Calibri" w:hAnsi="Calibri"/>
          <w:b/>
          <w:i w:val="0"/>
          <w:color w:val="2F6B57"/>
          <w:sz w:val="28"/>
        </w:rPr>
        <w:t>F2 · Revisar o confirmar movimiento</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AVI-M05-003/004/005/020/021/022/023/024/026</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Existe un movimiento, extracción o clasificación que requiere confirmación, categorización, corrección, desglose o tratamiento DQ antes de consolidar su efecto. Incluye categoría dudosa, crítico sin categorizar, ingreso puntual/no recurrente, compra puntual, compartido/recuperable, extracción candidata y retiro de efectivo sin desglose.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Agrupar el pending sin crear una familia por cada motivo. El movimiento conserva su naturaleza real; un traspaso entre cuentas propias es neutral. La revisión puede cambiar la lectura y debe gatillar recálculo.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corto: “Revisar movimiento”, “Categorizar”, “Confirmar” o “Corregir”. Clasificaciones como compra puntual/compartido/efectivo son acciones dentro del editor, no textos largos de botón.</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El movimiento queda confirmado, corregido, descartado, categorizado o desglosado, y M05 recalcula. Un error de formato (AVI-M05-025) se resuelve dentro del flujo de ingesta y no crea una situación persistente.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P1 si el pending bloquea un eligible_calculation o una conclusión/CTA dependiente; P2 si la revisión no bloquea esos outputs. Cuando F2 es la causa directa del bloqueo, precede a F1.</w:t>
            </w:r>
            <w:r>
              <w:rPr>
                <w:rFonts w:ascii="Calibri" w:hAnsi="Calibri"/>
                <w:b w:val="0"/>
                <w:i w:val="0"/>
                <w:color w:val="111827"/>
                <w:sz w:val="19"/>
              </w:rPr>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In-app M05; “Revisa y confirma” y otras superficies consumidoras pueden mostrar el pending. La matriz transversal gobierna si una variante temporal puede usar un canal externo; M05 no habilita canal por sí solo.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No consolidar silenciosamente extracción de baja confianza. Un pending no se convierte en aviso autónomo adicional. Dedupe por movimiento/contexto.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R-004/R-005/R-006; M5-DQ01..DQ10; RW-M05-003..006 y DQ; M05↔M06 cuando exista compromiso/pago relacionado.</w:t>
            </w:r>
          </w:p>
        </w:tc>
      </w:tr>
    </w:tbl>
    <w:p>
      <w:pPr>
        <w:spacing w:after="40"/>
      </w:pPr>
    </w:p>
    <w:p>
      <w:pPr>
        <w:pStyle w:val="Heading2"/>
        <w:spacing w:before="240" w:after="100"/>
      </w:pPr>
      <w:r>
        <w:rPr>
          <w:rFonts w:ascii="Calibri" w:hAnsi="Calibri"/>
          <w:b/>
          <w:i w:val="0"/>
          <w:color w:val="2F6B57"/>
          <w:sz w:val="28"/>
        </w:rPr>
        <w:t>F3 · Presupuesto requiere atención</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AVI-M05-006/007/008/009 + AVI-M05-012 como reason/locator</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La ejecución presupuestaria produce un estado accionable U03/U04/U05/U06/U06b con calidad suficiente. PROY puede escalar preventivamente U03/U04 sin saltar los gates reales; desde 100% realizado manda lo observado.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Conservar una única situación de atención presupuestaria por contexto. Preventivo/advertencia/límite/sobreconsumo son variantes del mismo carril; “categoría crítica” identifica la causa o destino, no una segunda familia.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presupuesto”, “Revisar categoría” o “Revisar movimientos”.</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El estado deja de cumplir la condición, cambia el objetivo o una revisión modifica el cálculo; M05 recalcula. El paso U03→U04→U05→U06/U06b actualiza la misma familia y no crea mensajes paralelos.</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P2 para U03/U04. P1 para U05/U06/U06b. Si existe F1/F2 bloqueante, calidad/revisión precede. Si F5 ya es elegible, F5 es el próximo paso local preferido y F3 queda como reason de presión.</w:t>
            </w:r>
            <w:r>
              <w:rPr>
                <w:rFonts w:ascii="Calibri" w:hAnsi="Calibri"/>
                <w:b w:val="0"/>
                <w:i w:val="0"/>
                <w:color w:val="111827"/>
                <w:sz w:val="19"/>
              </w:rPr>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In-app M05 y candidatos a M03/Home/Alertas/Lo importante según matriz transversal. Elegibilidad de correo/notificación es gobernada externamente por la matriz + preferencias M02; no se infiere desde la severidad.</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No duplicar alerta y recomendación si compiten. Sobreconsumo domina a fuga/margen como reason en el mismo contexto. D09/Progreso real no se usa como forecast.</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M5-U03/U04/U05/U06/U06b; R-009..R-012/R-020/R-022; PROY restaurado REC-V1; D04/D05.</w:t>
            </w:r>
          </w:p>
        </w:tc>
      </w:tr>
    </w:tbl>
    <w:p>
      <w:pPr>
        <w:spacing w:after="40"/>
      </w:pPr>
    </w:p>
    <w:p>
      <w:pPr>
        <w:pStyle w:val="Heading2"/>
        <w:spacing w:before="240" w:after="100"/>
      </w:pPr>
      <w:r>
        <w:rPr>
          <w:rFonts w:ascii="Calibri" w:hAnsi="Calibri"/>
          <w:b/>
          <w:i w:val="0"/>
          <w:color w:val="2F6B57"/>
          <w:sz w:val="28"/>
        </w:rPr>
        <w:t>F4 · Patrón recurrente</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AVI-M05-010 + AVI-M05-011 absorbida en la misma familia D08</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D08-DET-2X2-REC-V1 detecta un patrón elegible bajo la agrupación gobernada, con al menos 2 movimientos elegibles en cada una de al menos 2 semanas calendario distintas del mes y exclusiones D05/DQ aplicadas.</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before="0" w:after="40" w:line="240" w:lineRule="auto"/>
            </w:pPr>
            <w:r>
              <w:rPr>
                <w:sz w:val="19"/>
              </w:rPr>
              <w:t>Mostrar una sola situación “Gasto hormiga / fuga recurrente”. Usar impacto observado neto del patrón elegible como evidencia/orden. No extrapolar una pérdida mensual rígida ni presentar “impacto estimado al mes” a partir de la recurrencia. Los motivos enriquecen la ficha; no crean otra familia.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detalle”; dentro del flujo puede aparecer “Revisar categoría”.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Tras revisión, M05 recalcula. Si el patrón desaparece, resolved. Si persiste y D07 es evaluable, puede habilitar F5; esto actualiza el lifecycle y no activa un plan automáticamente.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P2 como familia. Si el mismo contexto ya está en F3 P1/P2, F3 es la señal financiera dominante y F4 queda como insight/reason. El alto impacto no crea otra familia: puede alimentar F3 o la elegibilidad de F5.</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In-app M05 y superficies consumidoras de recomendación/insight; candidato M03 cuando conserve valor y no esté absorbido por F3/F5. Canal externo condicionado por matriz transversal, nunca por la mera recurrencia.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$16.000, sin 3 movimientos/14 días, sin detector histórico 4/2. Cuatro movimientos concentrados en una sola semana no cumplen. `recovery_eligible != plan_active`.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D08-DET-2X2-REC-V1; R-013; D08; MCC-010; HANDOFF UX v1.0.</w:t>
            </w:r>
          </w:p>
        </w:tc>
      </w:tr>
    </w:tbl>
    <w:p>
      <w:pPr>
        <w:spacing w:after="40"/>
      </w:pPr>
    </w:p>
    <w:p>
      <w:pPr>
        <w:pStyle w:val="Heading2"/>
        <w:spacing w:before="240" w:after="100"/>
      </w:pPr>
      <w:r>
        <w:rPr>
          <w:rFonts w:ascii="Calibri" w:hAnsi="Calibri"/>
          <w:b/>
          <w:i w:val="0"/>
          <w:color w:val="2F6B57"/>
          <w:sz w:val="28"/>
        </w:rPr>
        <w:t>F5 · Recuperar equilibrio</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AVI-M05-019 · Plan de recuperación candidato</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D07 es evaluable y D07-SEL-A-V1 produce al menos una candidata factible. Para D08: review_completed → recálculo → patrón persiste → D07 evaluable → recovery_eligible.</w:t>
            </w:r>
            <w:r>
              <w:rPr>
                <w:rFonts w:ascii="Calibri" w:hAnsi="Calibri"/>
                <w:b w:val="0"/>
                <w:i w:val="0"/>
                <w:color w:val="111827"/>
                <w:sz w:val="19"/>
              </w:rPr>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Backend aplica D07-SEL-A-V1 y ofrece una única estrategia temporal recomendada, voluntaria y reversible. La elegibilidad es una recomendación; el plan solo se activa cuando el usuario lo acepta. Revisar permite ajustar parámetros del plan sugerido, no abrir un menú de estrategias por defecto. El plan activo es state/lifecycle, no una familia adicional.</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“Recuperar equilibrio”. El resto pertenece al flujo del plan.</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Puede posponerse/descartarse, activarse, actualizarse y resolverse. Recalcular/invalidate cuando cambie cualquier input consumido por trigger/eligibilidad, rule/config version o estado de revisión/decisión del usuario; no usar juicio subjetivo de “cambio material”.</w:t>
            </w:r>
            <w:r>
              <w:rPr>
                <w:rFonts w:ascii="Calibri" w:hAnsi="Calibri"/>
                <w:b w:val="0"/>
                <w:i w:val="0"/>
                <w:color w:val="111827"/>
                <w:sz w:val="19"/>
              </w:rPr>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P1 cuando la condición host afecta límite/sobreconsumo/estabilidad del mes; P2 en casos de impacto preventivo menor. Si está elegible y no existe bloqueo F1/F2, es el próximo paso local preferido sobre F3 porque transforma la presión conocida en una acción voluntaria.</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In-app M05 y M03/superficies consumidoras como próxima acción local. Canal externo condicionado por la matriz transversal y preferencias; no se habilita por existir `recovery_eligible`.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No autoactivación; exactamente una recommended_strategy si existe candidata factible. Solo targets explícitamente ajustables; ausencia=protegido. RECUPERACION_GRADUAL requiere horizonte configurado/versionado; sin horizonte no participa. Sin LLM, menú por defecto, 7 días ni monto fijo.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t>D07; R-029/REC-05; MCC-009/MCC-010; HANDOFF UX v1.0.</w:t>
            </w:r>
          </w:p>
        </w:tc>
      </w:tr>
    </w:tbl>
    <w:p>
      <w:pPr>
        <w:spacing w:after="40"/>
      </w:pPr>
    </w:p>
    <w:p>
      <w:pPr>
        <w:pStyle w:val="Heading2"/>
        <w:spacing w:before="240" w:after="100"/>
      </w:pPr>
      <w:r>
        <w:rPr>
          <w:rFonts w:ascii="Calibri" w:hAnsi="Calibri"/>
          <w:b/>
          <w:i w:val="0"/>
          <w:color w:val="2F6B57"/>
          <w:sz w:val="28"/>
        </w:rPr>
        <w:t>F6 · Fortalecer respaldo</w:t>
      </w:r>
    </w:p>
    <w:p>
      <w:pPr>
        <w:spacing w:after="120"/>
      </w:pPr>
      <w:r>
        <w:rPr>
          <w:rFonts w:ascii="Calibri" w:hAnsi="Calibri"/>
          <w:b/>
          <w:i w:val="0"/>
          <w:color w:val="2F6B57"/>
          <w:sz w:val="18"/>
        </w:rPr>
        <w:t xml:space="preserve">Referencia histórica/contractual: </w:t>
      </w:r>
      <w:r>
        <w:rPr>
          <w:rFonts w:ascii="Calibri" w:hAnsi="Calibri"/>
          <w:b w:val="0"/>
          <w:i w:val="0"/>
          <w:color w:val="5F6B7A"/>
          <w:sz w:val="18"/>
        </w:rPr>
        <w:t>D-M05-RESERVA / MCC-020 · sin AVI histórico equivalente</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Campo</w:t>
            </w:r>
          </w:p>
        </w:tc>
        <w:tc>
          <w:tcPr>
            <w:tcW w:type="dxa" w:w="81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Contrato vigente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Se activa cuando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Reserva evaluable y `reserve_state = LT_3M`: la liquidez disponible consumida desde M02 cubre menos de 3 meses de la canasta esencial observada definida por ESSENTIAL_BASKET_MVP_REC_V1.</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Comportamiento</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Mostrar una recomendación preventiva para fortalecer respaldo. No afirmar que existe un fondo constituido. M3_REACHED y M6_REACHED son actualizaciones/resultados positivos de esta misma línea, no familias nuevas.</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Acción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recomendación” o “Ver detalle”.</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Resolución</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Al recalcular, pasa a M3_REACHED o M6_REACHED, o deja de ser evaluable. El cambio de hito actualiza/resuelve la situación sin rebirth innecesario.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P2 preventiva. No desplaza bloqueos F1/F2, F5 accionable, F3 de atención presupuestaria ni F4 de patrón del período. Opera principalmente en carril post-estabilidad.</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 y canal</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Proyección in-app M05 y obligatoria hacia M03/pantallas consumidoras. Como no tiene AVI histórico, su elegibilidad externa debe incorporarse explícitamente a la matriz transversal; hasta entonces el fallback seguro es in-app/consumidor, sin correo/push inferido.</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Reglas especiales</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Usar cobertura estimada y ESSENTIAL_BASKET_MVP_REC_V1; no presentar los 25 IDs REC como recuperación de los 22 históricos. Sin base/basket/Disponible válido =&gt; NOT_EVALUABLE y no nace F6.</w:t>
            </w:r>
          </w:p>
        </w:tc>
      </w:tr>
      <w:tr>
        <w:trPr>
          <w:cantSplit/>
        </w:trPr>
        <w:tc>
          <w:tcPr>
            <w:tcW w:type="dxa" w:w="208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Trazabilidad</w:t>
            </w:r>
          </w:p>
        </w:tc>
        <w:tc>
          <w:tcPr>
            <w:tcW w:type="dxa" w:w="81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D-M05-RESERVA; RW-M05-018; TC-M05-032; MCC-018/MCC-020/MCC-025; ESSENTIAL_BASKET_MVP_REC_V1.</w:t>
            </w:r>
          </w:p>
        </w:tc>
      </w:tr>
    </w:tbl>
    <w:p>
      <w:pPr>
        <w:spacing w:after="40"/>
      </w:pPr>
    </w:p>
    <w:p>
      <w:pPr>
        <w:pStyle w:val="Heading1"/>
        <w:spacing w:before="280" w:after="160"/>
      </w:pPr>
      <w:r>
        <w:rPr>
          <w:rFonts w:ascii="Calibri" w:hAnsi="Calibri"/>
          <w:b/>
          <w:i w:val="0"/>
          <w:color w:val="2F6B57"/>
          <w:sz w:val="36"/>
        </w:rPr>
        <w:t>4. Prioridad local efectiva M05</w:t>
      </w:r>
    </w:p>
    <w:p>
      <w:pPr>
        <w:spacing w:after="100" w:line="259" w:lineRule="auto"/>
      </w:pPr>
      <w:r>
        <w:rPr>
          <w:rFonts w:ascii="Calibri" w:hAnsi="Calibri"/>
          <w:b w:val="0"/>
          <w:i w:val="0"/>
          <w:color w:val="111827"/>
          <w:sz w:val="21"/>
        </w:rPr>
        <w:t>M05 debe entregar a M03 un conjunto ordenado de candidatos vigentes y un `m05_local_top_candidate`, sin decidir el winner global. La selección local se resuelve por gates funcionales, no por sumar un score.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79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Orden</w:t>
            </w:r>
          </w:p>
        </w:tc>
        <w:tc>
          <w:tcPr>
            <w:tcW w:type="dxa" w:w="381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Gate / condición</w:t>
            </w:r>
          </w:p>
        </w:tc>
        <w:tc>
          <w:tcPr>
            <w:tcW w:type="dxa" w:w="288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Resultado local</w:t>
            </w:r>
          </w:p>
        </w:tc>
        <w:tc>
          <w:tcPr>
            <w:tcW w:type="dxa" w:w="273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Tratamiento de secundarios</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1</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Existe bloqueo que impide confiar en la lectura</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 si el movimiento es la causa directa; en otro caso F1</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F3/F4/F5/F6 quedan vigentes pero no dominan hasta recuperar evaluabilidad.</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2</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No hay bloqueo y `recovery_eligible=true`</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F5 · Recuperar equilibrio</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 queda como reason/estado de presión; F4 puede quedar como contexto.</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3</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No hay F5 elegible y existe U03–U06b evaluable</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 · Presupuesto requiere atención</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Elegir la variante más severa; F4/F6 quedan secundarios.</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4</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F3/F5 dominante y patrón D08 vigente</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F4 · Patrón recurrente</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Puede habilitar F5 solo tras review+recalc+persistencia.</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5</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situación superior y Reserva evaluable en LT_3M</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F6 · Fortalecer respaldo</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M3/M6 son updates positivos, no competidores.</w:t>
            </w:r>
          </w:p>
        </w:tc>
      </w:tr>
      <w:tr>
        <w:trPr>
          <w:cantSplit/>
        </w:trPr>
        <w:tc>
          <w:tcPr>
            <w:tcW w:type="dxa" w:w="79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6</w:t>
            </w:r>
          </w:p>
        </w:tc>
        <w:tc>
          <w:tcPr>
            <w:tcW w:type="dxa" w:w="38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Solo quedan pendientes de calidad/revisión no bloqueantes</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 o F1 según acción directa pendiente</w:t>
            </w:r>
          </w:p>
        </w:tc>
        <w:tc>
          <w:tcPr>
            <w:tcW w:type="dxa" w:w="273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Se muestran en Revisa y confirma/consumidores sin fabricar urgencia financiera.</w:t>
            </w:r>
          </w:p>
        </w:tc>
      </w:tr>
    </w:tbl>
    <w:p>
      <w:pPr>
        <w:spacing w:after="40"/>
      </w:pPr>
    </w:p>
    <w:p>
      <w:pPr>
        <w:pStyle w:val="Heading2"/>
        <w:spacing w:before="240" w:after="100"/>
      </w:pPr>
      <w:r>
        <w:rPr>
          <w:rFonts w:ascii="Calibri" w:hAnsi="Calibri"/>
          <w:b/>
          <w:i w:val="0"/>
          <w:color w:val="2F6B57"/>
          <w:sz w:val="28"/>
        </w:rPr>
        <w:t>Desempates dentro de una familia</w:t>
      </w:r>
    </w:p>
    <w:p>
      <w:pPr>
        <w:pStyle w:val="ListBullet"/>
        <w:spacing w:after="60"/>
      </w:pPr>
      <w:r>
        <w:rPr>
          <w:rFonts w:ascii="Calibri" w:hAnsi="Calibri"/>
          <w:b w:val="0"/>
          <w:i w:val="0"/>
          <w:color w:val="111827"/>
          <w:sz w:val="20"/>
        </w:rPr>
        <w:t>F2: agrupar por contexto; primero los movimientos con capacidad de alterar materialmente la lectura. Si hay varios equivalentes, usar un orden estable y reproducible, no una preferencia implícita de Backend.</w:t>
      </w:r>
    </w:p>
    <w:p>
      <w:pPr>
        <w:pStyle w:val="ListBullet"/>
        <w:spacing w:after="60"/>
      </w:pPr>
      <w:r>
        <w:rPr>
          <w:rFonts w:ascii="Calibri" w:hAnsi="Calibri"/>
          <w:b w:val="0"/>
          <w:i w:val="0"/>
          <w:color w:val="111827"/>
          <w:sz w:val="20"/>
        </w:rPr>
        <w:t>F3: U06b &gt; U06 &gt; U05 &gt; U04 &gt; U03. Ante dos categorías en la misma banda, priorizar la de mayor impacto observado; el resto permanece como candidato secundario.</w:t>
      </w:r>
    </w:p>
    <w:p>
      <w:pPr>
        <w:pStyle w:val="ListBullet"/>
        <w:spacing w:after="60"/>
      </w:pPr>
      <w:r>
        <w:rPr>
          <w:rFonts w:ascii="Calibri" w:hAnsi="Calibri"/>
          <w:b w:val="0"/>
          <w:i w:val="0"/>
          <w:color w:val="111827"/>
          <w:sz w:val="20"/>
        </w:rPr>
        <w:t>F4: un único patrón por `pattern_key` gobernado; el impacto observado ordena sin crear otra familia.</w:t>
      </w:r>
    </w:p>
    <w:p>
      <w:r>
        <w:rPr>
          <w:sz w:val="20"/>
        </w:rPr>
        <w:t>Guardrail visual F4: el valor monetario comunicable es el impacto observado del patrón elegible en el periodo; una extrapolación mensual estimada no es un output canónico M05.</w:t>
      </w:r>
    </w:p>
    <w:p>
      <w:pPr>
        <w:pStyle w:val="ListBullet"/>
        <w:spacing w:after="60"/>
      </w:pPr>
      <w:r>
        <w:rPr>
          <w:rFonts w:ascii="Calibri" w:hAnsi="Calibri"/>
          <w:b w:val="0"/>
          <w:i w:val="0"/>
          <w:color w:val="111827"/>
          <w:sz w:val="20"/>
        </w:rPr>
        <w:t>F5: hereda el contexto que hizo `recovery_eligible`; no crea severidad propia mayor que el problema que intenta resolver.</w:t>
      </w:r>
    </w:p>
    <w:p>
      <w:pPr>
        <w:pStyle w:val="ListBullet"/>
        <w:spacing w:after="60"/>
      </w:pPr>
      <w:r>
        <w:rPr>
          <w:rFonts w:ascii="Calibri" w:hAnsi="Calibri"/>
          <w:b w:val="0"/>
          <w:i w:val="0"/>
          <w:color w:val="111827"/>
          <w:sz w:val="20"/>
        </w:rPr>
        <w:t>F6: una única situación de cobertura global evaluable; no crear un aviso por cada subcategoría de la canasta.</w:t>
      </w:r>
    </w:p>
    <w:p>
      <w:pPr>
        <w:pStyle w:val="Heading1"/>
        <w:spacing w:before="280" w:after="160"/>
      </w:pPr>
      <w:r>
        <w:t>5. Correspondencia y trazabilidad de los 26 AVI-M05 anteriores</w:t>
      </w:r>
    </w:p>
    <w:p>
      <w:pPr>
        <w:spacing w:after="100" w:line="259" w:lineRule="auto"/>
      </w:pPr>
      <w:r>
        <w:t>Los 26 AVI-M05 anteriores se conservan únicamente para trazabilidad y homologación. La operación vigente se organiza por las familias F1–F6: F1–F5 absorben o relacionan los AVI previos y F6 nace del contrato vigente de Reserva. Ningún AVI anterior compite como una segunda regla activa.</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trPr>
        <w:tc>
          <w:tcPr>
            <w:tcW w:type="dxa" w:w="129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AVI</w:t>
            </w:r>
          </w:p>
        </w:tc>
        <w:tc>
          <w:tcPr>
            <w:tcW w:type="dxa" w:w="223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Situación de origen</w:t>
            </w:r>
          </w:p>
        </w:tc>
        <w:tc>
          <w:tcPr>
            <w:tcW w:type="dxa" w:w="216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Rol vigente</w:t>
            </w:r>
          </w:p>
        </w:tc>
        <w:tc>
          <w:tcPr>
            <w:tcW w:type="dxa" w:w="151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Familia / owner</w:t>
            </w:r>
          </w:p>
        </w:tc>
        <w:tc>
          <w:tcPr>
            <w:tcW w:type="dxa" w:w="3024"/>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CTA visible / acción funcional</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AVI-M05-001</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datos suficientes</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VARIANTE / QUALITY BLOCK</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F1</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“Cargar movimientos”. Reason F1: sin base suficiente.</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AVI-M05-002</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Datos parciales</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VARIANTE / QUALITY</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F1</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“Completar datos”. “Ver lectura parcial” solo si esa variante está materializada; no crear conclusión fuerte.</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AVI-M05-003</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Categoría dudosa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CONFIRMACIÓN</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“Confirmar” o “Cambiar” dentro de la revisión. Acción funcional: confirmar/corregir categoría.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AVI-M05-004</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Movimiento sin categorizar</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CATEGORIZACIÓN</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“Categorizar movimiento”. Para plural, reutilizar el patrón ya materializado sin alargar el botón.</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AVI-M05-005</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Movimientos críticos sin categorizar</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BLOQUEANTE</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“Categorizar movimientos”. Domina si los pendientes pueden cambiar la conclusión.</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AVI-M05-006</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Umbral preventivo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VARIANTE DE ESTADO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categoría”. Consumir U03/PROY; no crear threshold paralelo.</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AVI-M05-007</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Umbral de advertencia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VARIANTE DE ESTADO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presupuesto”. Consumir U04/PROY.</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AVI-M05-008</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Límite alcanzado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VARIANTE DE ESTADO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presupuesto”. Acción funcional: revisar límite/sobreconsumo; no crear familia nueva.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AVI-M05-009</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Sobreconsumo confirmado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REFERENCIA PRINCIPAL DE FAMILIA</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presupuesto”. U06/U06b según estado real.</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AVI-M05-010</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Gasto hormiga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REFERENCIA PRINCIPAL DE FAMILIA</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F4</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detalle”. Unificado con AVI-011 bajo D08.</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AVI-M05-011</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Fuga recurrente</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ABSORBER / MISMA FAMILIA D08</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F4</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detalle” y, dentro del flujo, “Revisar categoría”. No prioridad autónoma.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AVI-M05-012</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Categoría crítica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REASON / LOCATOR</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categoría”. Es reason/locator de F3.</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AVI-M05-013</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Desviación de baja confianza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REASON QUALITY (o F2 si pending específico)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F1</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“Completar datos” o “Revisar dato”, según el pendiente real. Calidad domina.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AVI-M05-014</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Subejecución de categoría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OUTPUT / INSIGHT POST-ESTABILIDAD</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recomendación”. Contexto informativo; no familia autónoma.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AVI-M05-015</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Margen estimado como ahorro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RETIRAR AUTONOMÍA / SUPERSEDER</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“Ver progreso real”. No equiparar margen con ahorro realizado.</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AVI-M05-016</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Margen absorbido por otra categoría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REASON / CONTEXTO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F3</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categoría”. La causalidad permanece como hipótesis contextual.</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AVI-M05-017</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Margen destinado a pagos</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DERIVACIÓN / OWNER EXTERNO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OWNER M06</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solo si M06 lo define. M05 deriva contexto; M06 gobierna compromiso/pago.</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AVI-M05-018</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Margen asociado a deuda o mora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DERIVACIÓN / OWNER EXTERNO</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OWNER M04</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solo si M04 lo define. M05 deriva contexto; M04 gobierna deuda/Ruta.</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AVI-M05-019</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Plan de recuperación candidato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REFERENCIA PRINCIPAL DE FAMILIA</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F5</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“Recuperar equilibrio”. Activar plan requiere aceptación del usuario.</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AVI-M05-020</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Movimiento que puede distorsionar gasto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REASON / PENDING DQ</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movimiento”. Acción funcional DQ: corregir la distorsión.</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AVI-M05-021</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Ingreso puntual o no recurrente</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REASON / PENDING DQ</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movimiento”. Acción funcional: confirmar si el ingreso es recurrente.</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AVI-M05-022</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Compra puntual candidata</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RECLASIFICACIÓN ANALÍTICA</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movimiento”. Acción funcional: marcar compra puntual dentro del editor; no usar esa frase larga como botón.</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AVI-M05-023</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Gasto compartido o recuperable</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DQ</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movimiento”. Acción funcional: marcar compartido/por recuperar dentro del editor; no usar esa frase larga como botón.</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AVI-M05-024</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Extracción candidata de texto/voz/imagen/archivo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CONFIRMACIÓN</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“Confirmar” / “Corregir”. No consolidar extracción silenciosamente.</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AVI-M05-025</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Formato o archivo no válido</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ESTADO TÉCNICO LOCAL · SIN AUTONOMÍA</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“Reintentar” o “Subir archivo”. Acción funcional: corregir formato/archivo; no situación persistente.</w:t>
            </w:r>
          </w:p>
        </w:tc>
      </w:tr>
      <w:tr>
        <w:trPr>
          <w:cantSplit/>
        </w:trPr>
        <w:tc>
          <w:tcPr>
            <w:tcW w:type="dxa" w:w="129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AVI-M05-026</w:t>
            </w:r>
          </w:p>
        </w:tc>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Retiro de efectivo sin desglose</w:t>
            </w:r>
          </w:p>
        </w:tc>
        <w:tc>
          <w:tcPr>
            <w:tcW w:type="dxa" w:w="21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PENDING / DQ</w:t>
            </w:r>
          </w:p>
        </w:tc>
        <w:tc>
          <w:tcPr>
            <w:tcW w:type="dxa" w:w="151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F2</w:t>
            </w:r>
          </w:p>
        </w:tc>
        <w:tc>
          <w:tcPr>
            <w:tcW w:type="dxa" w:w="302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CTA visible: “Revisar movimiento”. Acción funcional: desglosar efectivo dentro del editor.</w:t>
            </w:r>
          </w:p>
        </w:tc>
      </w:tr>
    </w:tbl>
    <w:p>
      <w:pPr>
        <w:spacing w:after="40"/>
      </w:pPr>
    </w:p>
    <w:p>
      <w:pPr>
        <w:pStyle w:val="Heading1"/>
        <w:spacing w:before="280" w:after="160"/>
      </w:pPr>
      <w:r>
        <w:t>6. Información que otras pantallas necesitan recibir sin crear un aviso nuevo</w:t>
      </w:r>
    </w:p>
    <w:p>
      <w:pPr>
        <w:spacing w:after="100" w:line="259" w:lineRule="auto"/>
      </w:pPr>
      <w:r>
        <w:t>No todo lo que M05 calcula necesita convertirse en un aviso. Hay resultados que otras pantallas sí necesitan conocer para mostrar el contexto correcto —por ejemplo, que no existe presupuesto, que hay un plan activo o que el progreso real está disponible—. Esos resultados viajan como contexto de una familia o como resultado informativo; no compiten por prioridad ni crean una alerta adicional.</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44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Información de M05</w:t>
            </w:r>
          </w:p>
        </w:tc>
        <w:tc>
          <w:tcPr>
            <w:tcW w:type="dxa" w:w="201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Qué significa</w:t>
            </w:r>
          </w:p>
        </w:tc>
        <w:tc>
          <w:tcPr>
            <w:tcW w:type="dxa" w:w="576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Qué debe recibir otra pantalla</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presupuesto asignado</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Contexto de falta de información</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Debe poder proyectarse a M03/consumidores como acción “Asignar presupuesto”; no mostrar $0/0%.</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Presupuesto sugerido disponible</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Resultado disponible para mostrar</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No genera familia autónoma por sí solo; puede enriquecer la superficie M05/consumidora.</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Meta operacional activa</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Estado vigente</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No genera familia autónoma; se consume como contexto del presupuesto.</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Plan activo</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Estado del plan</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No duplicado ni familia nueva; el plan vivo se representa según estado.</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Progreso real disponible</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Resultado de progreso real</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Debe proyectarse a M03/consumidores; datos observados/períodos cerrados, no forecast.</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Objetivo cumplido</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Resultado positivo</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Puede actualizar contexto/progreso; no compite como alerta autónoma.</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Margen recuperado</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Resultado positivo</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Solo con evidencia observada; no equivale a “margen disponible” ni a ahorro inferido.</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Reserva M3_REACHED</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Actualización de cobertura</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Actualiza/resuelve LT_3M; no familia nueva.</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Reserva M6_REACHED</w:t>
            </w:r>
          </w:p>
        </w:tc>
        <w:tc>
          <w:tcPr>
            <w:tcW w:type="dxa" w:w="201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Actualización de cobertura</w:t>
            </w:r>
          </w:p>
        </w:tc>
        <w:tc>
          <w:tcPr>
            <w:tcW w:type="dxa" w:w="576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Actualiza la misma línea de respaldo; no familia nueva.</w:t>
            </w:r>
          </w:p>
        </w:tc>
      </w:tr>
    </w:tbl>
    <w:p>
      <w:pPr>
        <w:spacing w:after="40"/>
      </w:pPr>
    </w:p>
    <w:p>
      <w:pPr>
        <w:pStyle w:val="Heading1"/>
        <w:spacing w:before="280" w:after="160"/>
      </w:pPr>
      <w:r>
        <w:t>7. Dónde se muestra cada situación y quién decide su entrega</w:t>
      </w:r>
    </w:p>
    <w:p>
      <w:pPr>
        <w:spacing w:after="100" w:line="259" w:lineRule="auto"/>
      </w:pPr>
      <w:r>
        <w:t>M05 decide qué situación existe, qué tan prioritaria es dentro del propio Presupuesto Vivo y cuál es su acción. M03 decide si esa situación gana frente a señales de otros módulos y dónde se muestra globalmente. M02 conserva las preferencias de entrega del usuario. La matriz transversal vigente M05→M03 documenta esa frontera y evita duplicados.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232"/>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Dónde / quién consume</w:t>
            </w:r>
          </w:p>
        </w:tc>
        <w:tc>
          <w:tcPr>
            <w:tcW w:type="dxa" w:w="5184"/>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Qué recibe desde M05</w:t>
            </w:r>
          </w:p>
        </w:tc>
        <w:tc>
          <w:tcPr>
            <w:tcW w:type="dxa" w:w="2880"/>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pPr>
            <w:r>
              <w:rPr>
                <w:b/>
                <w:sz w:val="19"/>
              </w:rPr>
              <w:t>Límite de responsabilidad</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M05 · Presupuesto Vivo</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F1–F6 + estados/outputs</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Fuente completa de detalle, reason y acción.</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M03 · Home / Lo importante / Revisa y confirma</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Candidatos vigentes, `local_priority_band`, `m05_local_top_candidate`, CTA/destino y outputs compatibles</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M03 no recalcula M05; decide winner/ubicación y dedupe global.</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M02 · Perfil / Configurar mis avisos</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Estados de calidad/continuidad y preferencias de canal</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M02 no modifica trigger, prioridad local, severidad ni resolución M05.</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M04</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Derivaciones de deuda/mora AVI-M05-018</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M04 gobierna severidad, Ruta, acción y cierre.</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M06</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Derivaciones de pagos/compromisos AVI-M05-017 y frontera pago/compromiso</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M06 gobierna estado de compromiso/pago; M05 no duplica obligación.</w:t>
            </w:r>
          </w:p>
        </w:tc>
      </w:tr>
      <w:tr>
        <w:trPr>
          <w:cantSplit/>
        </w:trPr>
        <w:tc>
          <w:tcPr>
            <w:tcW w:type="dxa" w:w="2232"/>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Correo / notificación dispositivo</w:t>
            </w:r>
          </w:p>
        </w:tc>
        <w:tc>
          <w:tcPr>
            <w:tcW w:type="dxa" w:w="5184"/>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Solo familias/variantes con elegibilidad vigente en matriz transversal y preferencia/permiso válidos</w:t>
            </w:r>
          </w:p>
        </w:tc>
        <w:tc>
          <w:tcPr>
            <w:tcW w:type="dxa" w:w="2880"/>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jc w:val="left"/>
            </w:pPr>
            <w:r>
              <w:rPr>
                <w:sz w:val="19"/>
              </w:rPr>
            </w:r>
            <w:r>
              <w:rPr>
                <w:rFonts w:ascii="Calibri" w:hAnsi="Calibri"/>
                <w:b w:val="0"/>
                <w:i w:val="0"/>
                <w:color w:val="111827"/>
                <w:sz w:val="19"/>
              </w:rPr>
              <w:t>Sin fila o ante ambigüedad: no externalizar; fallback in-app.</w:t>
            </w:r>
          </w:p>
        </w:tc>
      </w:tr>
    </w:tbl>
    <w:p>
      <w:pPr>
        <w:spacing w:after="40"/>
      </w:pPr>
    </w:p>
    <w:p>
      <w:pPr>
        <w:pStyle w:val="Heading2"/>
        <w:spacing w:before="240" w:after="100"/>
      </w:pPr>
      <w:r>
        <w:t>7.1 Matriz transversal vigente M05→M03</w:t>
      </w:r>
    </w:p>
    <w:p>
      <w:pPr>
        <w:pStyle w:val="ListBullet"/>
        <w:spacing w:after="60"/>
      </w:pPr>
      <w:r>
        <w:t>Los 26 AVI-M05 anteriores permanecen como trazabilidad. La orquestación vigente consume F1–F6 y no 26 candidatos autónomos. La matriz transversal entregada con este paquete es la referencia operativa para esa relación.</w:t>
      </w:r>
    </w:p>
    <w:p>
      <w:pPr>
        <w:pStyle w:val="ListBullet"/>
        <w:spacing w:after="60"/>
      </w:pPr>
      <w:r>
        <w:rPr>
          <w:rFonts w:ascii="Calibri" w:hAnsi="Calibri"/>
          <w:b w:val="0"/>
          <w:i w:val="0"/>
          <w:color w:val="111827"/>
          <w:sz w:val="20"/>
        </w:rPr>
        <w:t>Los derechos/eligibilidades de canal de un AVI absorbido no se transfieren automáticamente a toda la familia; se conserva la condición más restrictiva compatible hasta recalibración explícita.</w:t>
      </w:r>
    </w:p>
    <w:p>
      <w:pPr>
        <w:pStyle w:val="ListBullet"/>
        <w:spacing w:after="60"/>
      </w:pPr>
      <w:r>
        <w:t>F6 no proviene de un AVI anterior. Ya figura en la matriz transversal vigente como familia M05 con proyección in-app/consumidor obligatoria; los canales externos permanecen bloqueados mientras no exista una habilitación explícita.</w:t>
      </w:r>
    </w:p>
    <w:p>
      <w:pPr>
        <w:pStyle w:val="ListBullet"/>
        <w:spacing w:after="60"/>
      </w:pPr>
      <w:r>
        <w:rPr>
          <w:rFonts w:ascii="Calibri" w:hAnsi="Calibri"/>
          <w:b w:val="0"/>
          <w:i w:val="0"/>
          <w:color w:val="111827"/>
          <w:sz w:val="20"/>
        </w:rPr>
        <w:t>M03 puede usar todas las prioridades locales/candidatos para decidir su prioridad global; M05 no fija cadencia, cooldown, cantidad visible ni competencia con M04/M06.</w:t>
      </w:r>
    </w:p>
    <w:p>
      <w:pPr>
        <w:pStyle w:val="Heading1"/>
        <w:spacing w:before="280" w:after="160"/>
      </w:pPr>
      <w:r>
        <w:rPr>
          <w:rFonts w:ascii="Calibri" w:hAnsi="Calibri"/>
          <w:b/>
          <w:i w:val="0"/>
          <w:color w:val="2F6B57"/>
          <w:sz w:val="36"/>
        </w:rPr>
        <w:t>8. Fronteras y decisiones fuera de M05</w:t>
      </w:r>
    </w:p>
    <w:p>
      <w:pPr>
        <w:pStyle w:val="ListBullet"/>
        <w:spacing w:after="60"/>
      </w:pPr>
      <w:r>
        <w:rPr>
          <w:rFonts w:ascii="Calibri" w:hAnsi="Calibri"/>
          <w:b w:val="0"/>
          <w:i w:val="0"/>
          <w:color w:val="111827"/>
          <w:sz w:val="20"/>
        </w:rPr>
        <w:t>Winner global, competencia intermodular, ubicación final en Home, cantidad visible, deduplicación global, cadencia y cooldown: owner M03/orquestación.</w:t>
      </w:r>
    </w:p>
    <w:p>
      <w:pPr>
        <w:pStyle w:val="ListBullet"/>
        <w:spacing w:after="60"/>
      </w:pPr>
      <w:r>
        <w:rPr>
          <w:rFonts w:ascii="Calibri" w:hAnsi="Calibri"/>
          <w:b w:val="0"/>
          <w:i w:val="0"/>
          <w:color w:val="111827"/>
          <w:sz w:val="20"/>
        </w:rPr>
        <w:t>Preferencias de correo/notificación y restauración de configuración: owner M02. El permiso del sistema operativo prevalece para notificación del dispositivo.</w:t>
      </w:r>
    </w:p>
    <w:p>
      <w:pPr>
        <w:pStyle w:val="ListBullet"/>
        <w:spacing w:after="60"/>
      </w:pPr>
      <w:r>
        <w:rPr>
          <w:rFonts w:ascii="Calibri" w:hAnsi="Calibri"/>
          <w:b w:val="0"/>
          <w:i w:val="0"/>
          <w:color w:val="111827"/>
          <w:sz w:val="20"/>
        </w:rPr>
        <w:t>AVI-M05-017: M06 gobierna el compromiso/pago y su cierre.</w:t>
      </w:r>
    </w:p>
    <w:p>
      <w:pPr>
        <w:pStyle w:val="ListBullet"/>
        <w:spacing w:after="60"/>
      </w:pPr>
      <w:r>
        <w:rPr>
          <w:rFonts w:ascii="Calibri" w:hAnsi="Calibri"/>
          <w:b w:val="0"/>
          <w:i w:val="0"/>
          <w:color w:val="111827"/>
          <w:sz w:val="20"/>
        </w:rPr>
        <w:t>AVI-M05-018: M04 gobierna deuda/mora, severidad, Ruta y cierre.</w:t>
      </w:r>
    </w:p>
    <w:p>
      <w:pPr>
        <w:pStyle w:val="ListBullet"/>
        <w:spacing w:after="60"/>
      </w:pPr>
      <w:r>
        <w:rPr>
          <w:rFonts w:ascii="Calibri" w:hAnsi="Calibri"/>
          <w:b w:val="0"/>
          <w:i w:val="0"/>
          <w:color w:val="111827"/>
          <w:sz w:val="20"/>
        </w:rPr>
        <w:t>Open Finance de tarjeta de crédito no facturada continúa diferido; Mis Avisos no puede inventar ese dato ni un trigger basado en él.</w:t>
      </w:r>
    </w:p>
    <w:p>
      <w:pPr>
        <w:pStyle w:val="ListBullet"/>
        <w:spacing w:after="60"/>
      </w:pPr>
      <w:r>
        <w:rPr>
          <w:rFonts w:ascii="Calibri" w:hAnsi="Calibri"/>
          <w:b w:val="0"/>
          <w:i w:val="0"/>
          <w:color w:val="111827"/>
          <w:sz w:val="20"/>
        </w:rPr>
        <w:t>Canales externos para F6 permanecen no habilitados hasta su incorporación explícita a la matriz transversal.</w:t>
      </w:r>
    </w:p>
    <w:p>
      <w:pPr>
        <w:pStyle w:val="Heading1"/>
        <w:spacing w:before="280" w:after="160"/>
      </w:pPr>
      <w:r>
        <w:rPr>
          <w:rFonts w:ascii="Calibri" w:hAnsi="Calibri"/>
          <w:b/>
          <w:i w:val="0"/>
          <w:color w:val="2F6B57"/>
          <w:sz w:val="36"/>
        </w:rPr>
        <w:t>9. Trazabilidad y autoridad de fuentes</w:t>
      </w:r>
    </w:p>
    <w:p>
      <w:pPr>
        <w:spacing w:after="100" w:line="259" w:lineRule="auto"/>
      </w:pPr>
      <w:r>
        <w:t>Este documento consume el contrato funcional M05 vigente, el Handoff UX de Figma 5.2 y la matriz transversal vigente M05→M03. Los AVI-M05 anteriores se conservan solo como trazabilidad; no recuperan autonomía por aparecer en la correspondencia.</w:t>
      </w:r>
    </w:p>
    <w:p>
      <w:pPr>
        <w:pStyle w:val="Heading2"/>
        <w:spacing w:before="240" w:after="100"/>
      </w:pPr>
      <w:r>
        <w:rPr>
          <w:rFonts w:ascii="Calibri" w:hAnsi="Calibri"/>
          <w:b/>
          <w:i w:val="0"/>
          <w:color w:val="2F6B57"/>
          <w:sz w:val="28"/>
        </w:rPr>
        <w:t>Compatibilidad y reglas no vigentes</w:t>
      </w:r>
    </w:p>
    <w:p>
      <w:pPr>
        <w:pStyle w:val="ListBullet"/>
        <w:spacing w:after="60"/>
      </w:pPr>
      <w:r>
        <w:rPr>
          <w:rFonts w:ascii="Calibri" w:hAnsi="Calibri"/>
          <w:b w:val="0"/>
          <w:i w:val="0"/>
          <w:color w:val="111827"/>
          <w:sz w:val="20"/>
        </w:rPr>
        <w:t>No reactivar $16.000, 3 movimientos/14 días, detector 4/2, &lt;40% como threshold Backend ni duración fija de 7 días.</w:t>
      </w:r>
    </w:p>
    <w:p>
      <w:pPr>
        <w:pStyle w:val="ListBullet"/>
        <w:spacing w:after="60"/>
      </w:pPr>
      <w:r>
        <w:rPr>
          <w:rFonts w:ascii="Calibri" w:hAnsi="Calibri"/>
          <w:b w:val="0"/>
          <w:i w:val="0"/>
          <w:color w:val="111827"/>
          <w:sz w:val="20"/>
        </w:rPr>
        <w:t>AVI-M05-010 y AVI-M05-011 no recuperan autonomía separada: D08 es una sola familia visible.</w:t>
      </w:r>
    </w:p>
    <w:p>
      <w:pPr>
        <w:pStyle w:val="ListBullet"/>
        <w:spacing w:after="60"/>
      </w:pPr>
      <w:r>
        <w:rPr>
          <w:rFonts w:ascii="Calibri" w:hAnsi="Calibri"/>
          <w:b w:val="0"/>
          <w:i w:val="0"/>
          <w:color w:val="111827"/>
          <w:sz w:val="20"/>
        </w:rPr>
        <w:t>“Margen estimado como ahorro” no equivale a ahorro realizado; el progreso real usa datos observados/períodos cerrados.</w:t>
      </w:r>
    </w:p>
    <w:p>
      <w:pPr>
        <w:pStyle w:val="ListBullet"/>
        <w:spacing w:after="60"/>
      </w:pPr>
      <w:r>
        <w:rPr>
          <w:rFonts w:ascii="Calibri" w:hAnsi="Calibri"/>
          <w:b w:val="0"/>
          <w:i w:val="0"/>
          <w:color w:val="111827"/>
          <w:sz w:val="20"/>
        </w:rPr>
        <w:t>PROY anti falso-verde se consume en F3 y no convierte D09 en forecast.</w:t>
      </w:r>
    </w:p>
    <w:p>
      <w:pPr>
        <w:pStyle w:val="ListBullet"/>
        <w:spacing w:after="60"/>
      </w:pPr>
      <w:r>
        <w:rPr>
          <w:rFonts w:ascii="Calibri" w:hAnsi="Calibri"/>
          <w:b w:val="0"/>
          <w:i w:val="0"/>
          <w:color w:val="111827"/>
          <w:sz w:val="20"/>
        </w:rPr>
        <w:t>Reserva usa ESSENTIAL_BASKET_MVP_REC_V1 y estados LT_3M/M3_REACHED/M6_REACHED/NOT_EVALUABLE; no afirmar fondo constituido.</w:t>
      </w:r>
    </w:p>
    <w:p>
      <w:pPr>
        <w:pStyle w:val="ListBullet"/>
        <w:spacing w:after="60"/>
      </w:pPr>
      <w:r>
        <w:t>La matriz transversal vigente no habilita un canal para una familia nueva o absorbida por simple herencia de un AVI anterior.</w:t>
      </w:r>
    </w:p>
    <w:p>
      <w:pPr>
        <w:pStyle w:val="Heading1"/>
        <w:spacing w:before="280" w:after="160"/>
      </w:pPr>
      <w:r>
        <w:rPr>
          <w:rFonts w:ascii="Calibri" w:hAnsi="Calibri"/>
          <w:b/>
          <w:i w:val="0"/>
          <w:color w:val="2F6B57"/>
          <w:sz w:val="36"/>
        </w:rPr>
        <w:t>10. Estado del contrato M05 · Mis Avisos</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448"/>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Elemento</w:t>
            </w:r>
          </w:p>
        </w:tc>
        <w:tc>
          <w:tcPr>
            <w:tcW w:type="dxa" w:w="7776"/>
            <w:shd w:fill="2F6B57"/>
            <w:tcMar>
              <w:top w:w="100" w:type="dxa"/>
              <w:start w:w="110" w:type="dxa"/>
              <w:bottom w:w="100" w:type="dxa"/>
              <w:end w:w="110" w:type="dxa"/>
            </w:tcMar>
            <w:tcBorders>
              <w:top w:val="single" w:sz="4" w:color="C8D7D1"/>
              <w:left w:val="single" w:sz="4" w:color="C8D7D1"/>
              <w:bottom w:val="single" w:sz="4" w:color="C8D7D1"/>
              <w:right w:val="single" w:sz="4" w:color="C8D7D1"/>
              <w:insideH w:val="single" w:sz="4" w:color="C8D7D1"/>
              <w:insideV w:val="single" w:sz="4" w:color="C8D7D1"/>
            </w:tcBorders>
            <w:vAlign w:val="center"/>
          </w:tcPr>
          <w:p>
            <w:pPr>
              <w:spacing w:after="40" w:before="0" w:line="240" w:lineRule="auto"/>
              <w:jc w:val="center"/>
            </w:pPr>
            <w:r>
              <w:rPr>
                <w:b/>
                <w:sz w:val="19"/>
              </w:rPr>
            </w:r>
            <w:r>
              <w:rPr>
                <w:rFonts w:ascii="Calibri" w:hAnsi="Calibri"/>
                <w:b/>
                <w:i w:val="0"/>
                <w:color w:val="FFFFFF"/>
                <w:sz w:val="19"/>
              </w:rPr>
              <w:t>Estado vigente</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Familias canónicas</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6 · F1 Completar información/calidad; F2 Revisar/confirmar movimiento; F3 Presupuesto requiere atención; F4 Patrón recurrente; F5 Recuperar equilibrio; F6 Fortalecer respaldo.</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pPr>
            <w:r>
              <w:rPr>
                <w:sz w:val="19"/>
              </w:rPr>
              <w:t>AVI-M05 anteriores</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26/26 conservados como correspondencia; ninguno queda sin tratamiento.</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Prioridad local</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Determinista por gates + bandas P1/P2/P3; `m05_local_top_candidate` y secundarios válidos.</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Proyección</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Toda señal/recomendación/estado relevante M05 puede llegar a M03 o consumidores; autonomía y canal se gobiernan por rol.</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Canales</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M02 + matriz transversal; M05 no habilita correo/push/cadencia/cooldown por inferencia.</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Frontera M03</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M03 decide winner global, superficie y competencia intermodular.</w:t>
            </w:r>
          </w:p>
        </w:tc>
      </w:tr>
      <w:tr>
        <w:trPr>
          <w:cantSplit/>
        </w:trPr>
        <w:tc>
          <w:tcPr>
            <w:tcW w:type="dxa" w:w="2448"/>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EAF3EF"/>
            <w:vAlign w:val="center"/>
          </w:tcPr>
          <w:p>
            <w:pPr>
              <w:spacing w:after="40" w:before="0" w:line="240" w:lineRule="auto"/>
              <w:jc w:val="left"/>
            </w:pPr>
            <w:r>
              <w:rPr>
                <w:sz w:val="19"/>
              </w:rPr>
            </w:r>
            <w:r>
              <w:rPr>
                <w:rFonts w:ascii="Calibri" w:hAnsi="Calibri"/>
                <w:b/>
                <w:i w:val="0"/>
                <w:color w:val="214D3F"/>
                <w:sz w:val="19"/>
              </w:rPr>
              <w:t>Fronteras M04/M06</w:t>
            </w:r>
          </w:p>
        </w:tc>
        <w:tc>
          <w:tcPr>
            <w:tcW w:type="dxa" w:w="7776"/>
            <w:tcMar>
              <w:top w:w="90" w:type="dxa"/>
              <w:start w:w="105" w:type="dxa"/>
              <w:bottom w:w="90" w:type="dxa"/>
              <w:end w:w="105" w:type="dxa"/>
            </w:tcMar>
            <w:tcBorders>
              <w:top w:val="single" w:sz="4" w:color="C8D7D1"/>
              <w:left w:val="single" w:sz="4" w:color="C8D7D1"/>
              <w:bottom w:val="single" w:sz="4" w:color="C8D7D1"/>
              <w:right w:val="single" w:sz="4" w:color="C8D7D1"/>
              <w:insideH w:val="single" w:sz="4" w:color="C8D7D1"/>
              <w:insideV w:val="single" w:sz="4" w:color="C8D7D1"/>
            </w:tcBorders>
            <w:shd w:fill="FFFFFF"/>
            <w:vAlign w:val="center"/>
          </w:tcPr>
          <w:p>
            <w:pPr>
              <w:spacing w:after="40" w:before="0" w:line="240" w:lineRule="auto"/>
            </w:pPr>
            <w:r>
              <w:rPr>
                <w:sz w:val="19"/>
              </w:rPr>
              <w:t>Ownership preservado para deuda/mora y pagos/compromisos.</w:t>
            </w:r>
          </w:p>
        </w:tc>
      </w:tr>
    </w:tbl>
    <w:p>
      <w:pPr>
        <w:spacing w:after="40"/>
      </w:pPr>
    </w:p>
    <w:sectPr w:rsidR="00FC693F" w:rsidRPr="0006063C" w:rsidSect="00034616">
      <w:headerReference w:type="default" r:id="rId9"/>
      <w:footerReference w:type="default" r:id="rId10"/>
      <w:pgSz w:w="12240" w:h="15840"/>
      <w:pgMar w:top="1037" w:right="1181" w:bottom="1037"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t xml:space="preserve">Walvy · M05 · v1.0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rPr>
        <w:rFonts w:ascii="Calibri" w:hAnsi="Calibri"/>
        <w:b/>
        <w:i w:val="0"/>
        <w:color w:val="2F6B57"/>
        <w:sz w:val="17"/>
      </w:rPr>
      <w:t>Walvy · M05 · Mis Avisos · Parte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14D3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14D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FCD4A6AF5D0146B0CDBDC1ECCDCBE7" ma:contentTypeVersion="14" ma:contentTypeDescription="Create a new document." ma:contentTypeScope="" ma:versionID="1eb56bd3e773741261de7a68ed67c2ad">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eba3b6e3112ef6a93f121c5b30cfa81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E80476-86C1-4C03-945B-E9B0E2404783}"/>
</file>

<file path=customXml/itemProps3.xml><?xml version="1.0" encoding="utf-8"?>
<ds:datastoreItem xmlns:ds="http://schemas.openxmlformats.org/officeDocument/2006/customXml" ds:itemID="{C85FFCA3-25A3-416E-A999-F16B64A51F7B}"/>
</file>

<file path=customXml/itemProps4.xml><?xml version="1.0" encoding="utf-8"?>
<ds:datastoreItem xmlns:ds="http://schemas.openxmlformats.org/officeDocument/2006/customXml" ds:itemID="{6BB98AA1-4F09-4185-A67F-FCF88BEA11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Walvy - Modulo 4 - Mis Avisos Parte II</dc:title>
  <dc:subject>M04 Deudas y Ruta Despeje - situaciones, lifecycle, acciones, resolucion y proyeccion</dc:subject>
  <dc:creator>Walvy</dc:creator>
  <cp:keywords>Walvy, M04, Mis Avisos, Ruta Despeje, lineage, señales</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