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WALVY</w:t>
      </w:r>
    </w:p>
    <w:p>
      <w:pPr>
        <w:pStyle w:val="Heading1"/>
      </w:pPr>
      <w:r>
        <w:t>M06 | Pagos / Compromisos</w:t>
      </w:r>
    </w:p>
    <w:p>
      <w:pPr>
        <w:pStyle w:val="Title"/>
      </w:pPr>
      <w:r>
        <w:t>Anexo BDD y reglas productivas</w:t>
      </w:r>
    </w:p>
    <w:p>
      <w:pPr>
        <w:pStyle w:val="Subtitle"/>
      </w:pPr>
      <w:r>
        <w:t>Modelo lógico, campos por uso y escenarios de aceptacion</w:t>
      </w:r>
    </w:p>
    <w:p>
      <w:r>
        <w:t>v1.0 | 13 de septiembre de 2026 | Entrega funcional candidata - no enviada</w:t>
      </w:r>
    </w:p>
    <w:p>
      <w:r>
        <w:t>Definiciones y respuestas de Producto. No acredita implementacion, pruebas runtime ni apertura nativa en Microsoft Office. Las dependencias y materializaciones pendientes se mantienen visibles.</w:t>
      </w:r>
    </w:p>
    <w:p>
      <w:pPr>
        <w:pStyle w:val="Heading1"/>
      </w:pPr>
      <w:r>
        <w:t>1. Proposito y uso del anexo</w:t>
      </w:r>
    </w:p>
    <w:p>
      <w:r>
        <w:t>Complementa las matrices originales respondidas. El repositorio de detalle es BDD_Interfaces_PD_M06_v1.0.xlsx: 75 TC originales, 49 CTEST complementarios, 14 interfaces, 7 familias canónicas Mis Avisos con 17 AVI históricos trazados y 50 activos. Estas cantidades describen el universo documental y no equivalen a pruebas realizadas.</w:t>
      </w:r>
    </w:p>
    <w:p>
      <w:pPr>
        <w:pStyle w:val="Heading1"/>
      </w:pPr>
      <w:r>
        <w:t>2. Principios de modelado funcional</w:t>
      </w:r>
    </w:p>
    <w:p>
      <w:r>
        <w:t>Entidades logicas: compromiso (instancia), candidato, registro de pago, asignacion o vinculo de conciliación, patrón de recurrencia, ciclo TC, evento de cambio y situación comunicable. Son roles funcionales; no se imponen tablas ni nombres fisicos.</w:t>
      </w:r>
    </w:p>
    <w:p>
      <w:r>
        <w:t>El catalogo se conserva: Borrador; Detectado; Pendiente; Próximo; Vencido; Pagado; Recurrente probable; Requiere revisión; Descartado; Duplicado probable; Sin datos suficientes. Sin datos suficientes puede representar una superficie sin base evaluable; no crear una deuda ficticia para almacenarlo.</w:t>
      </w:r>
    </w:p>
    <w:p>
      <w:r>
        <w:t>Confirmado es condición de consolidación; recurrencia confirmada es atributo/patrón, no otro estado del compromiso. Severidad Informativa/Atención/Urgente/Crítica es otro eje. D0/D1/D2 pertenecen a M04. El estado de entrega de un aviso no es estado de pago.</w:t>
      </w:r>
    </w:p>
    <w:p>
      <w:r>
        <w:t>Todo cambio guarda objeto estable, usuario propietario, version y motivo. Una incidencia de revisión no destruye el último registro confirmado: se conserva su linaje y se retira solo la elegibilidad de los derivados afectados hasta resolverla.</w:t>
      </w:r>
    </w:p>
    <w:p>
      <w:pPr>
        <w:pStyle w:val="Heading1"/>
      </w:pPr>
      <w:r>
        <w:t>3. Entidades funcionales</w:t>
      </w:r>
    </w:p>
    <w:tbl>
      <w:tblPr>
        <w:tblW w:type="auto" w:w="0"/>
        <w:jc w:val="center"/>
        <w:tblLayout w:type="fixed"/>
        <w:tblLook w:firstColumn="1" w:firstRow="1" w:lastColumn="0" w:lastRow="0" w:noHBand="0" w:noVBand="1" w:val="04A0"/>
      </w:tblPr>
      <w:tblGrid>
        <w:gridCol w:w="2163"/>
        <w:gridCol w:w="7715"/>
      </w:tblGrid>
      <w:tr>
        <w:trPr>
          <w:cantSplit/>
          <w:tblHeader/>
        </w:trPr>
        <w:tc>
          <w:tcPr>
            <w:tcW w:type="dxa" w:w="216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Entidad lógica</w:t>
            </w:r>
          </w:p>
        </w:tc>
        <w:tc>
          <w:tcPr>
            <w:tcW w:type="dxa" w:w="771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Funcion / frontera</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Compromiso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Instancia con identidad, fecha y estado propios; no deuda M04 por defecto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Candidato</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Propuesta revisable; no compromiso ni pago confirmado</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Pago y asignacion</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Hecho externo y relacion con obligacion/ciclo; idempotencia y reversibilidad</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Patrón recurrente</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Decision/frecuencia/ancla y version; no heredaPagado a futuras instancias</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CicloTC</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Período de obligacion, reconciliación y hechos para M04</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Evento/correlacion</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Cambio y outcome trazables; no nuevo hecho económico por retry</w:t>
            </w:r>
          </w:p>
        </w:tc>
      </w:tr>
      <w:tr>
        <w:trPr>
          <w:cantSplit/>
        </w:trPr>
        <w:tc>
          <w:tcPr>
            <w:tcW w:type="dxa" w:w="216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Situación</w:t>
            </w:r>
          </w:p>
        </w:tc>
        <w:tc>
          <w:tcPr>
            <w:tcW w:type="dxa" w:w="771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Necesidad comunicable con vigencia y resolucion; separada del estado de envio</w:t>
            </w:r>
          </w:p>
        </w:tc>
      </w:tr>
    </w:tbl>
    <w:p/>
    <w:p>
      <w:pPr>
        <w:pStyle w:val="Heading1"/>
      </w:pPr>
      <w:r>
        <w:t>4. Campos funcionales</w:t>
      </w:r>
    </w:p>
    <w:p>
      <w:r>
        <w:t>06_Esquemas del libro BDD identifica entidad/campo/tipo/restriccion/contrato/evidencia. 05_Datos_PD identifica finalidad y lifecycle de50 activos. No crear una tabla por cada activo ni interpretar los nombres logicos como esquema físico aprobado.</w:t>
      </w:r>
    </w:p>
    <w:tbl>
      <w:tblPr>
        <w:tblW w:type="auto" w:w="0"/>
        <w:jc w:val="center"/>
        <w:tblLayout w:type="fixed"/>
        <w:tblLook w:firstColumn="1" w:firstRow="1" w:lastColumn="0" w:lastRow="0" w:noHBand="0" w:noVBand="1" w:val="04A0"/>
      </w:tblPr>
      <w:tblGrid>
        <w:gridCol w:w="2451"/>
        <w:gridCol w:w="7427"/>
      </w:tblGrid>
      <w:tr>
        <w:trPr>
          <w:cantSplit/>
          <w:tblHeader/>
        </w:trPr>
        <w:tc>
          <w:tcPr>
            <w:tcW w:type="dxa" w:w="2451"/>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Grupo de campos</w:t>
            </w:r>
          </w:p>
        </w:tc>
        <w:tc>
          <w:tcPr>
            <w:tcW w:type="dxa" w:w="7427"/>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Regla por uso</w:t>
            </w:r>
          </w:p>
        </w:tc>
      </w:tr>
      <w:tr>
        <w:trPr>
          <w:cantSplit/>
        </w:trPr>
        <w:tc>
          <w:tcPr>
            <w:tcW w:type="dxa" w:w="2451"/>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Identidad/usuario/version</w:t>
            </w:r>
          </w:p>
        </w:tc>
        <w:tc>
          <w:tcPr>
            <w:tcW w:type="dxa" w:w="7427"/>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Asignados y validados por sistema; no acceso cruzado</w:t>
            </w:r>
          </w:p>
        </w:tc>
      </w:tr>
      <w:tr>
        <w:trPr>
          <w:cantSplit/>
        </w:trPr>
        <w:tc>
          <w:tcPr>
            <w:tcW w:type="dxa" w:w="2451"/>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Descripción/fecha</w:t>
            </w:r>
          </w:p>
        </w:tc>
        <w:tc>
          <w:tcPr>
            <w:tcW w:type="dxa" w:w="7427"/>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Mínimos de consolidación; borrador conserva datos incompletos</w:t>
            </w:r>
          </w:p>
        </w:tc>
      </w:tr>
      <w:tr>
        <w:trPr>
          <w:cantSplit/>
        </w:trPr>
        <w:tc>
          <w:tcPr>
            <w:tcW w:type="dxa" w:w="2451"/>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Monto/moneda/precision</w:t>
            </w:r>
          </w:p>
        </w:tc>
        <w:tc>
          <w:tcPr>
            <w:tcW w:type="dxa" w:w="7427"/>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Monto opcional; desconocido no cero; no sumar monedas incompatibles</w:t>
            </w:r>
          </w:p>
        </w:tc>
      </w:tr>
      <w:tr>
        <w:trPr>
          <w:cantSplit/>
        </w:trPr>
        <w:tc>
          <w:tcPr>
            <w:tcW w:type="dxa" w:w="2451"/>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Fecha pago/registro/período</w:t>
            </w:r>
          </w:p>
        </w:tc>
        <w:tc>
          <w:tcPr>
            <w:tcW w:type="dxa" w:w="7427"/>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No sustituir payment_date ausente por recorded_at</w:t>
            </w:r>
          </w:p>
        </w:tc>
      </w:tr>
      <w:tr>
        <w:trPr>
          <w:cantSplit/>
        </w:trPr>
        <w:tc>
          <w:tcPr>
            <w:tcW w:type="dxa" w:w="2451"/>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Patrón/ancla/calidad</w:t>
            </w:r>
          </w:p>
        </w:tc>
        <w:tc>
          <w:tcPr>
            <w:tcW w:type="dxa" w:w="7427"/>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Día inexistente ajustable solo con ancla conocida; guardar origen</w:t>
            </w:r>
          </w:p>
        </w:tc>
      </w:tr>
      <w:tr>
        <w:trPr>
          <w:cantSplit/>
        </w:trPr>
        <w:tc>
          <w:tcPr>
            <w:tcW w:type="dxa" w:w="2451"/>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Campos excluidos</w:t>
            </w:r>
          </w:p>
        </w:tc>
        <w:tc>
          <w:tcPr>
            <w:tcW w:type="dxa" w:w="7427"/>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M06-DAT-006 Número de cliente; M06-DAT-036 controllocal de alerta. No capturar/persistir/transmitir</w:t>
            </w:r>
          </w:p>
        </w:tc>
      </w:tr>
    </w:tbl>
    <w:p/>
    <w:p>
      <w:pPr>
        <w:pStyle w:val="Heading1"/>
      </w:pPr>
      <w:r>
        <w:t>5. Estados funcionales</w:t>
      </w:r>
    </w:p>
    <w:p>
      <w:pPr>
        <w:pStyle w:val="Heading2"/>
      </w:pPr>
      <w:r>
        <w:t>CT-M06-07 | Fechas, proximidad y envejecimiento</w:t>
      </w:r>
    </w:p>
    <w:p>
      <w:r>
        <w:t>La evaluacion usa business_date y período del calendario comun, no el reloj manipulable del dispositivo. Una fecha de vencimiento es fecha civil; una marca de tiempo se normaliza con zona horaria de negocio declarada en el contexto compartido. No deducir zona de negocio desde la zona horaria de este chat.</w:t>
      </w:r>
    </w:p>
    <w:p>
      <w:r>
        <w:t>N = 7 días calendario como valor vigente de D-M06-CALC-04, configurable y versionado. delta = fecha_vencimiento - business_date. Para compromiso confirmado no pagado: delta &lt; 0 -&gt; Vencido; 0 &lt;= delta &lt;= N -&gt; Próximo; delta &gt; N -&gt; Pendiente. Falta/ambiguedad de fecha -&gt; Requiere revisión o borrador segun origen.</w:t>
      </w:r>
    </w:p>
    <w:p>
      <w:r>
        <w:t>Se recalcula al cambiar fecha/confirmación/pago/reversion, al cambiar business_date, version de N o snapshot de datos. La pertenencia al mes se determina por vencimiento, no por fecha de carga ni fecha del pago. Un vencido de otro mes no desaparece de la lectura operativa por no entrar en el KPI mensual.</w:t>
      </w:r>
    </w:p>
    <w:p>
      <w:r>
        <w:t>aging_days = max(0, business_date - due_date) solo si fecha exacta y saldo/obligacion pendiente confirmados. Emitir tramos 0, 1-29, 30-59, 60-89, &gt;=90 con calidad y as_of. Unknown no es 0. M04 aplica su lectura de salud y D; M06 no la sustituye.</w:t>
      </w:r>
    </w:p>
    <w:p>
      <w:r>
        <w:t>El vencimiento mensual no se deriva del vencimiento final de un credito CMF. Un período conocido sin día exacto permite referencia mensual, no cálculo exacto de días de atraso.</w:t>
      </w:r>
    </w:p>
    <w:p>
      <w:r>
        <w:t>Soporte: CT-M06-07 | F3:T07-T08; BTR:02_Reglas_Walvy!42; M04BE:T23,T54; PDI:01_Matriz_Maestra!188 | CTEST-M06-016; CTEST-M06-017; CTEST-M06-018</w:t>
      </w:r>
    </w:p>
    <w:p>
      <w:pPr>
        <w:pStyle w:val="Heading1"/>
      </w:pPr>
      <w:r>
        <w:t>6. Reglas productivas vinculadas a BDD</w:t>
      </w:r>
    </w:p>
    <w:p>
      <w:r>
        <w:t>44 reglas en Reglas Walvy de la matriz respondida; 01_TC_Originales y02_BDD_Complemento definen Given/When/Then/resultado. La columna fuente del tercero se conserva como antecedente y no anula una precision vigente en la respuesta.</w:t>
      </w:r>
    </w:p>
    <w:p>
      <w:pPr>
        <w:pStyle w:val="Heading1"/>
      </w:pPr>
      <w:r>
        <w:t>7. Calidad, categorizacion y precedencia</w:t>
      </w:r>
    </w:p>
    <w:p>
      <w:pPr>
        <w:pStyle w:val="Heading2"/>
      </w:pPr>
      <w:r>
        <w:t>CT-M06-05 | Revisión, confirmación, rechazo y deduplicacion</w:t>
      </w:r>
    </w:p>
    <w:p>
      <w:r>
        <w:t>El candidato muestra datos detectados, origen, confianza y lo que falta. Confirmar, corregir y descartar son decisiones diferentes. Confirmar exige los mínimos; corregir prevalece para la vista operativa pero conserva el dato detectado; descartar cierra la misma propuesta sin regenerarla por un simple reintento.</w:t>
      </w:r>
    </w:p>
    <w:p>
      <w:r>
        <w:t>Tras confirmar una cuenta no forzar siempre Pendiente: resolver Pendiente/Próximo/Vencido segun fecha evaluable y calendario vigente. Pagado requiere una confirmación de pago completo o conciliación suficiente y autorizada, no el estado leido del archivo.</w:t>
      </w:r>
    </w:p>
    <w:p>
      <w:r>
        <w:t>Coincidencia técnica exacta: mismo usuario, source_event_id/source_record_id, fuente y version ya procesados devuelve el resultado anterior. Un source_record_id distinto no demuestra que sea otro hecho económico. La identidad técnica evita reintentos; la conciliación decide identidad económica.</w:t>
      </w:r>
    </w:p>
    <w:p>
      <w:r>
        <w:t>Para proponer una coincidencia usar los campos disponibles que exige F3: monto/moneda, fecha o período, glosa/descripción, categoria, provenance y referencia razonable. Exponer diferencias y candidatos competidores. Una fecha aproximada o similitud de texto solo propone revisión; no fija tolerancia numerica de autoconfirmacion ni usa confianza OCR como prueba de pago.</w:t>
      </w:r>
    </w:p>
    <w:p>
      <w:r>
        <w:t>Resolver duplicado ofrece conservar separados, vincular al mismo hecho o descartar el candidato. Vincular requiere identidad de usuario, decision explícita o referencia canónica ya confirmada; mantiene aliases/frecuencia/categoria validos y origen de los valores elegidos. Sin match suficiente permanece en revisión, nunca fusion opaca.</w:t>
      </w:r>
    </w:p>
    <w:p>
      <w:r>
        <w:t>Si dos confirmaciones concurrentes intentan el mismo efecto, la segunda recupera el resultado idempotente o recibe conflicto de version. No devuelve un segundo compromiso. Cambio de contenido con la misma clave requiere conflicto controlado, no sobreescritura silenciosa.</w:t>
      </w:r>
    </w:p>
    <w:p>
      <w:r>
        <w:t>Politica candidata DER-M06-MATCH-01 (no autoconfirmacion): normalizar texto para comparacion con NFKC, trim, espacios simples y casefold; conservar original. Una referencia canónica ya validada identifica el hecho. En otro caso recuperar la union de: misma descripción/proveedor normalizado; mismo monto exacto y moneda; o misma categoria con fecha en el mismo período civil informado. Excluir otro usuario, registro suprimido y tipos economicos incompatibles. Presentar cada diferencia de fecha/monto/origen; no fusionar. La coincidencia de una sola señal produce solo candidato de revisión, nunca certeza. Un dato faltante no cuenta como coincidencia.</w:t>
      </w:r>
    </w:p>
    <w:p>
      <w:r>
        <w:t>Orden de candidatos de vinculacion: referencia canónica; despues cantidad descendente de coincidencias disponibles (monto/moneda, día o período, descripción/proveedor, categoria); empate por diferencia absoluta de fecha cuando ambas fechas son exactas y luego ID estable. Orden no equivale a permiso de autovinculo. Una fecha de mes es una aproximacion de período, no una fecha inventada. Montos discrepantes, monedas distintas o varios matches conservan revisión hasta decision explícita.</w:t>
      </w:r>
    </w:p>
    <w:p>
      <w:r>
        <w:t>Recuperar un candidato descartado por error requiere acción explícita del usuario, ownership y dato aun retenido legitimamente. Se crea una nueva revisión del mismo candidato y se vuelve a evaluar calidad/deduplicacion; no resucitar como Pagado ni crear otro compromiso. No recuperar payload ya suprimido por PD. Fuente F2:T09R007 y F4:T10R004; no es nueva funcionalidad.</w:t>
      </w:r>
    </w:p>
    <w:p>
      <w:r>
        <w:t>La reutilizacion de Editar datos y Descartar distingue el objeto: compromiso, candidato, patrón o registro de pago. Pago unico rechaza el patrón recurrente, no elimina la instancia. Descartar candidato no equivale a borrar el pago real ni el movimiento bancario. El retorno muestra la cola vigente; confirmar un candidato no es una acción obligatoria para salir.</w:t>
      </w:r>
    </w:p>
    <w:p>
      <w:r>
        <w:t>Soporte: CT-M06-05 | F3:T06,T10-T11; F4:T10-T11,T13; M02II:T66-T68,T74; BTR:02_Reglas_Walvy | CTEST-M06-009; CTEST-M06-010; CTEST-M06-011; CTEST-M06-012</w:t>
      </w:r>
    </w:p>
    <w:p>
      <w:r>
        <w:t>El alta de subcategoria vuelve al formulario de origen con su nueva referencia seleccionada solo tras exito del catalogo compartido. Cancelar o error no crean subcategoria y conservan los datos de captura. Si cambia la categoria, invalidar solo una referencia hija incompatible. La persistencia del compromiso y la del catalogo son operaciones distintas: no simular que guardar el texto crea automaticamente ambas.</w:t>
      </w:r>
    </w:p>
    <w:p>
      <w:pPr>
        <w:pStyle w:val="Heading1"/>
      </w:pPr>
      <w:r>
        <w:t>8. Trazabilidad dato -&gt; regla -&gt; estado -&gt; superficie</w:t>
      </w:r>
    </w:p>
    <w:tbl>
      <w:tblPr>
        <w:tblW w:type="auto" w:w="0"/>
        <w:jc w:val="center"/>
        <w:tblLayout w:type="fixed"/>
        <w:tblLook w:firstColumn="1" w:firstRow="1" w:lastColumn="0" w:lastRow="0" w:noHBand="0" w:noVBand="1" w:val="04A0"/>
      </w:tblPr>
      <w:tblGrid>
        <w:gridCol w:w="1803"/>
        <w:gridCol w:w="4470"/>
        <w:gridCol w:w="3605"/>
      </w:tblGrid>
      <w:tr>
        <w:trPr>
          <w:cantSplit/>
          <w:tblHeader/>
        </w:trPr>
        <w:tc>
          <w:tcPr>
            <w:tcW w:type="dxa" w:w="1803"/>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w:t>
            </w:r>
          </w:p>
        </w:tc>
        <w:tc>
          <w:tcPr>
            <w:tcW w:type="dxa" w:w="4470"/>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Reglas / escenarios</w:t>
            </w:r>
          </w:p>
        </w:tc>
        <w:tc>
          <w:tcPr>
            <w:tcW w:type="dxa" w:w="3605"/>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Dato y superficie</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CT-M06-01</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M06-RGL-001; M06-RGL-033</w:t>
              <w:br/>
              <w:t>CTEST-M06-001</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Alcance, autoridad y contrato de dominio</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CT-M06-02</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M06-RGL-002; M06-RGL-006; M06-RGL-008; M06-RGL-009; M06-RGL-012; M06-RGL-017; M06-RGL-023; M06-RGL-025; M06-RGL-041</w:t>
              <w:br/>
              <w:t>CTEST-M06-002; CTEST-M06-003</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Modelo lógico y ejes que no deben confundirse</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CT-M06-03</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M06-RGL-002; M06-RGL-003; M06-RGL-004; M06-RGL-005; M06-RGL-044</w:t>
              <w:br/>
              <w:t>CTEST-M06-004; CTEST-M06-005; CTEST-M06-006</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Alta manual, datos mínimos y validación</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CT-M06-04</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M06-RGL-006; M06-RGL-007; M06-RGL-008; M06-RGL-020; M06-RGL-040</w:t>
              <w:br/>
              <w:t>CTEST-M06-007; CTEST-M06-008</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Entrada asistida e ingesta convergente</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CT-M06-05</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M06-RGL-007; M06-RGL-008; M06-RGL-009; M06-RGL-010; M06-RGL-011; M06-RGL-020; M06-RGL-021; M06-RGL-022; M06-RGL-023; M06-RGL-024</w:t>
              <w:br/>
              <w:t>CTEST-M06-009; CTEST-M06-010; CTEST-M06-011; CTEST-M06-012</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Revisión, confirmación, rechazo y deduplicacion</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CT-M06-06</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M06-RGL-017; M06-RGL-018; M06-RGL-019; M06-RGL-020; M06-RGL-021; M06-RGL-022; M06-RGL-024; M06-RGL-041</w:t>
              <w:br/>
              <w:t>CTEST-M06-013; CTEST-M06-014; CTEST-M06-015</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Pago externo, corrección y reversibilidad</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CT-M06-07</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M06-RGL-012; M06-RGL-013; M06-RGL-014; M06-RGL-038</w:t>
              <w:br/>
              <w:t>CTEST-M06-016; CTEST-M06-017; CTEST-M06-018</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Fechas, proximidad y envejecimiento</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CT-M06-08</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M06-RGL-025; M06-RGL-026; M06-RGL-027</w:t>
              <w:br/>
              <w:t>CTEST-M06-019; CTEST-M06-020; CTEST-M06-021</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Recurrencia e instancias independientes</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CT-M06-09</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M06-RGL-035; M06-RGL-036; M06-RGL-037</w:t>
              <w:br/>
              <w:t>CTEST-M06-022; CTEST-M06-023; CTEST-M06-024</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Resumen y colas: tres universos distintos</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CT-M06-10</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M06-RGL-014; M06-RGL-015; M06-RGL-016; M06-RGL-029; M06-RGL-031; M06-RGL-032; M06-RGL-039</w:t>
              <w:br/>
              <w:t>CTEST-M06-025; CTEST-M06-026; CTEST-M06-027</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Severidad local y lectura de flujo sin motores paralelos</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CT-M06-11</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M06-RGL-007; M06-RGL-020; M06-RGL-021; M06-RGL-031; M06-RGL-032; M06-RGL-033</w:t>
              <w:br/>
              <w:t>CTEST-M06-028; CTEST-M06-029; CTEST-M06-030</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Tarjeta de credito: separación de hechos y precision de fuente</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CT-M06-12</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M06-RGL-017; M06-RGL-019; M06-RGL-021; M06-RGL-032; M06-RGL-033</w:t>
              <w:br/>
              <w:t>CTEST-M06-031; CTEST-M06-032; CTEST-M06-033</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Ciclo reconciliado, parcialidad y hechos hacia M04</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CT-M06-13</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M06-RGL-009; M06-RGL-010; M06-RGL-011; M06-RGL-017; M06-RGL-019; M06-RGL-021; M06-RGL-024; M06-RGL-031</w:t>
              <w:br/>
              <w:t>CTEST-M06-034; CTEST-M06-035; CTEST-M06-036; CTEST-M06-037</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Sincronizacion M05-M06 y reconciliación sin doble efecto</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CT-M06-14</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M06-RGL-018; M06-RGL-019; M06-RGL-028; M06-RGL-029; M06-RGL-030; M06-RGL-034</w:t>
              <w:br/>
              <w:t>CTEST-M06-038; CTEST-M06-039; CTEST-M06-040; CTEST-M06-041</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Situaciones, avisos y preferencias: contrato con M02</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CT-M06-15</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M06-RGL-030; M06-RGL-031; M06-RGL-032; M06-RGL-033; M06-RGL-034; M06-RGL-042; M06-RGL-043</w:t>
              <w:br/>
              <w:t>CTEST-M06-042; CTEST-M06-043</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Home, Perfil, M01 y taxonomia compartida</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CT-M06-16</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M06-RGL-004; M06-RGL-005; M06-RGL-007; M06-RGL-019; M06-RGL-020; M06-RGL-041; M06-RGL-044</w:t>
              <w:br/>
              <w:t>CTEST-M06-044; CTEST-M06-045; CTEST-M06-046; CTEST-M06-047</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Protección de datos y ciclo de vida</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CT-M06-17</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M06-RGL-001; M06-RGL-005; M06-RGL-009; M06-RGL-017; M06-RGL-019; M06-RGL-024; M06-RGL-026; M06-RGL-027; M06-RGL-040; M06-RGL-041; M06-RGL-042; M06-RGL-043</w:t>
              <w:br/>
              <w:t>CTEST-M06-048</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Navegacion contractual y materializacion pendiente</w:t>
            </w:r>
          </w:p>
        </w:tc>
      </w:tr>
      <w:tr>
        <w:trPr>
          <w:cantSplit/>
        </w:trPr>
        <w:tc>
          <w:tcPr>
            <w:tcW w:type="dxa" w:w="1803"/>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CT-M06-18</w:t>
            </w:r>
          </w:p>
        </w:tc>
        <w:tc>
          <w:tcPr>
            <w:tcW w:type="dxa" w:w="4470"/>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br/>
              <w:t>CTEST-M06-049</w:t>
            </w:r>
          </w:p>
        </w:tc>
        <w:tc>
          <w:tcPr>
            <w:tcW w:type="dxa" w:w="3605"/>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Evidencia futura, criterios y responsabilidad de cierre</w:t>
            </w:r>
          </w:p>
        </w:tc>
      </w:tr>
    </w:tbl>
    <w:p/>
    <w:p>
      <w:pPr>
        <w:pStyle w:val="Heading1"/>
      </w:pPr>
      <w:r>
        <w:t>9. Superficies y dependencias intermodulares</w:t>
      </w:r>
    </w:p>
    <w:p>
      <w:pPr>
        <w:pStyle w:val="Heading2"/>
      </w:pPr>
      <w:r>
        <w:t>CT-M06-13 | Sincronizacion M05-M06 y reconciliación sin doble efecto</w:t>
      </w:r>
    </w:p>
    <w:p>
      <w:r>
        <w:t>M05 -&gt; M06: evento de movimiento detectado se recibe con propietario, identidad/version, período, naturaleza, datos conocidos, confianza y origen. Crear/actualizar candidato, no compromiso confirmado por la mera llegada. Confirmar/corregir/rechazar retorna decision correlacionada al productor.</w:t>
      </w:r>
    </w:p>
    <w:p>
      <w:r>
        <w:t>M06 -&gt; M05: un compromiso confirmado aporta expectativa pendiente, no gasto ejecutado. Un pago confirmado busca movimiento canónico: si existe, link; si hay hecho económico suficiente y no hay movimiento, provisional con clave de reconciliación; si no implica nuevo efecto, no-op. La aplicación de presupuesto/scope pertenece a M05.</w:t>
      </w:r>
    </w:p>
    <w:p>
      <w:r>
        <w:t>La importacion posterior enlaza el movimiento real y sustituye el provisional correspondiente sin agregar otro gasto. Si hay multiples matches o diferencias no resueltas, mantener revisión y un unico efecto reconocido; no elegir por proximidad arbitraria.</w:t>
      </w:r>
    </w:p>
    <w:p>
      <w:r>
        <w:t>Cada evento requiere event_id, producer, object_id, object_version, correlation/causation_id, user scope, effective_period, source_refs, quality y payload_type. El receptor deduplica event_id dentro del productor/usuario y registra outcome. Reintento idéntico devuelve outcome previo; contenido distinto con misma identidad es conflicto.</w:t>
      </w:r>
    </w:p>
    <w:p>
      <w:r>
        <w:t>Version antigua no pisa una nueva. El consumidor valida permiso y ownership, resuelve entrega fuera de orden contra version vigente y no repite efectos. El retorno incluye applied/no_op/pending_review/rejected/conflict y correlacion; un fallo técnico queda reintentable sin confirmar localmente un efecto remoto inexistente.</w:t>
      </w:r>
    </w:p>
    <w:p>
      <w:r>
        <w:t>Corregir o revertir genera nuevo evento que revierte solo el efecto ligado al original. Suprimir por PD invalida tambien colas/derivados y rechaza replay tardio con tombstone mínimo sin payload. Reconciliar paga/pendiente evita que la misma obligacion contribuya como gasto ejecutado y compromiso pendiente simultaneamente.</w:t>
      </w:r>
    </w:p>
    <w:p>
      <w:r>
        <w:t>No imponer microservicios, buses o outbox como producto nuevo. La implementacion debe acreditar efecto lógico unico frente a doble clic, reintento, concurrencia, caida entre persistencia y envio, entrega fuera de orden y recuperacion; el mecanismo técnico puede variar.</w:t>
      </w:r>
    </w:p>
    <w:p>
      <w:r>
        <w:t>Soporte: CT-M06-13 | M05BE:T08,P101-P103; M01:Anexos Producto!119,125; F5:T19-T20; PDI:01_Matriz_Maestra!210 | CTEST-M06-034; CTEST-M06-035; CTEST-M06-036; CTEST-M06-037</w:t>
      </w:r>
    </w:p>
    <w:p>
      <w:pPr>
        <w:pStyle w:val="Heading1"/>
      </w:pPr>
      <w:r>
        <w:t>10. Contrato canónico de cálculos y lifecycle</w:t>
      </w:r>
    </w:p>
    <w:p>
      <w:pPr>
        <w:pStyle w:val="Heading2"/>
      </w:pPr>
      <w:r>
        <w:t>CT-M06-06 | Pago externo, corrección y reversibilidad</w:t>
      </w:r>
    </w:p>
    <w:p>
      <w:r>
        <w:t>Registrar pago realizado declara un hecho ocurrido fuera de Walvy. No exige comprobante formal. El usuario confirma el compromiso afectado y los datos conocidos; no presentar la declaracion como validación bancaria. Un pago detectado sin decision/vinculo suficiente queda como probable en revisión.</w:t>
      </w:r>
    </w:p>
    <w:p>
      <w:r>
        <w:t>El usuario puede registrar manualmente pago completo o abonos parciales/multiples. Manual, detectado e importado pueden tener validaciones de entrada distintas; una vez aceptados/normalizados como el mismo hecho de pago reutilizan asignacion al compromiso/ciclo, saldo pendiente, conciliación, idempotencia, corrección/reversion y propagacion downstream. La provenance/origen se conserva; no crear un segundo motor por canal.</w:t>
      </w:r>
    </w:p>
    <w:p>
      <w:r>
        <w:t>Un abono parcial nunca liquida toda la obligacion por si solo. Si total exigible es conocido: remaining_amount=max(total_due-sum(active_valid_allocations),0), contabilizando cada asignacion una sola vez. Solo pago completo confirmado o suma conciliada suficiente permite Pagado. Con total desconocido se registra el hecho sin inventar saldo ni monto total.</w:t>
      </w:r>
    </w:p>
    <w:p>
      <w:r>
        <w:t>Corregir/deshacer emite una nueva revisión ligada a la anterior. Reconstruir estado y derivados desde hechos vigentes, no restaurar un color antiguo. Deshacer un pago vencido antes del registro vuelve a evaluar la fecha de hoy; puede volver Vencido.</w:t>
      </w:r>
    </w:p>
    <w:p>
      <w:r>
        <w:t>Revertir elimina solo la asignacion o efecto provisional producido por ese registro, no un movimiento bancario autentico ni otro pago. Conservar historial de la corrección con mínima información, invalidar señales resueltas y recalcular M05/M04/Home cuando corresponda.</w:t>
      </w:r>
    </w:p>
    <w:p>
      <w:r>
        <w:t>Una acción de lectura, abrir un detalle, apagar alertas o visitar M04 no equivale a pago ni a resolucion. Repetir la misma confirmación/reversion no genera un segundo efecto.</w:t>
      </w:r>
    </w:p>
    <w:p>
      <w:r>
        <w:t>La confirmación manual de pago completo puede existir con monto no informado: settle_kind=full_user_declared, recorded_at y origen manual. Permite Pagado como declaracion del usuario, pero no inventa monto pagado ni crea gasto provisional cuantificado M05. Un abono parcial manual/detectado/importado conserva saldo/estado parcial hasta cierre suficiente.</w:t>
      </w:r>
    </w:p>
    <w:p>
      <w:r>
        <w:t>payment_date (cuando ocurrio), recorded_at (cuando se registro) y source_period son campos distintos. Falta payment_date no se completa con recorded_at. Corregir el dato o la precision no borra el registro anterior salvo proceso PD aplicable.</w:t>
      </w:r>
    </w:p>
    <w:p>
      <w:r>
        <w:t>El resultado visible acompana a la persistencia: detalle, saldo, lista, resumen y situaciones se recalculan desde hechos vigentes. Un snackbar aislado no sustituye ese postestado. El abono parcial conserva Vencido y su necesidad accionable mientras subsista saldo pendiente cierto; registrar un pago, corregirlo o entrar al detalle no cierra por si solo la situación.</w:t>
      </w:r>
    </w:p>
    <w:p>
      <w:r>
        <w:t>Soporte: CT-M06-06 | F3:T09,T10,T32,T37; F4:T09-T10; M05BE:T08,P101-P103; PDI:01_Matriz_Maestra!211-217 | CTEST-M06-013; CTEST-M06-014; CTEST-M06-015</w:t>
      </w:r>
    </w:p>
    <w:p>
      <w:r>
        <w:t>07_Cálculos explícita input, formula, unidad, período, no evaluable, redondeo, bordes, trigger y owner. La guia Backend presenta esos mismos oraculos; no contiene un segundo motor.</w:t>
      </w:r>
    </w:p>
    <w:p>
      <w:pPr>
        <w:pStyle w:val="Heading1"/>
      </w:pPr>
      <w:r>
        <w:t>11. Recurrencia e instancias</w:t>
      </w:r>
    </w:p>
    <w:p>
      <w:pPr>
        <w:pStyle w:val="Heading2"/>
      </w:pPr>
      <w:r>
        <w:t>CT-M06-08 | Recurrencia e instancias independientes</w:t>
      </w:r>
    </w:p>
    <w:p>
      <w:r>
        <w:t>Recurrencia probable no equivale a patrón confirmado. Mostrar el fundamento recibido de la capacidad transversal (ocurrencias distintas, fechas/períodos, glosa, monto, categoria y regla/version) y permitir confirmar o indicar que no se repite. Una sola ocurrencia no demuestra repeticion salvo declaracion explícita del usuario.</w:t>
      </w:r>
    </w:p>
    <w:p>
      <w:r>
        <w:t>La inferencia transversal no es un motor nuevo M06. Cuando hay patrón declarado o confirmado, M06 conserva frecuencia permitida (mensual/anual/unico), fecha ancla y decision. Cuando solo hay candidatos, no crea obligaciones futuras definitivas. Rechazar preserva el caso puntual y evita insistir por reintentos de los mismos datos.</w:t>
      </w:r>
    </w:p>
    <w:p>
      <w:r>
        <w:t>La generacion es idempotente por usuario + patrón + período/ocurrencia; la revisión del patrón no crea una segunda instancia del mismo período. Cada instancia conserva identidad, fecha y estado propios; ninguna nace Pagado por copiar un pago anterior.</w:t>
      </w:r>
    </w:p>
    <w:p>
      <w:r>
        <w:t>Corregir una instancia no reescribe pagos pasados ni el resto de la serie por defecto. Un cambio explicito del patrón crea una version y revalida solo instancias futuras dependientes sin borrar hechos confirmados. Un cambio material o dato contradictorio vuelve a revisión antes de generar.</w:t>
      </w:r>
    </w:p>
    <w:p>
      <w:r>
        <w:t>Si el ancla conocida produce un día inexistente en el período, usar el último día civil valido de ese período y preservar el ancla original para las siguientes ocurrencias. Registrar calendar_adjusted=true y adjustment_reason; la fecha es ajustada por calendario, no una fecha inferida por falta de datos. Ej.: ancla 31 -&gt; febrero 28/29 -&gt; marzo vuelve a 31; ancla anual 29-feb -&gt; 28-feb en ano no bisiesto y 29-feb cuando vuelva a existir.</w:t>
      </w:r>
    </w:p>
    <w:p>
      <w:r>
        <w:t>Si la recurrencia/patrón es probable o confirmado pero el día/ancla no esta suficientemente determinado, no usar fin de mes por defecto: effective_due_date permanece null/no evaluable, requires_review=true y se solicita Confirmar fecha/Completar fecha. Sin fecha exacta no habilitar aging, proximidad o mora firme.</w:t>
      </w:r>
    </w:p>
    <w:p>
      <w:r>
        <w:t>No introducir posponer, recordatorios avanzados por compromiso, cancelacion comercial de suscripciones ni prediccion libre. La confirmación local del patrón no cancela un servicio externo.</w:t>
      </w:r>
    </w:p>
    <w:p>
      <w:r>
        <w:t>Contrato lógico mínimo: pattern_id, occurrence_id, pattern_status, frequency, anchor_day, anchor_month cuando anual, anchor_precision, anchor_source, source_occurrence_ids, observed_dates_or_periods, confidence_or_quality, provenance, rule_version, occurrence_period, effective_due_date, calendar_adjusted, adjustment_reason, due_date_precision, requires_review y missing_fields. La capacidad productora conserva sus mecanismos internos; Backend no infiere campos faltantes.</w:t>
      </w:r>
    </w:p>
    <w:p>
      <w:r>
        <w:t>Patrón manual/confirmado con fecha ancla valida: mensual avanza en meses civiles desde el ancla original; anual conserva mes/día y avanza en anos civiles. Generar solo la instancia del período solicitado o la proxima necesaria, idempotente por patrón/ocurrencia; no materializar una serie infinita ni inventar horizonte financiero.</w:t>
      </w:r>
    </w:p>
    <w:p>
      <w:r>
        <w:t>Soporte: CT-M06-08 | F3:T12,T34-T36; F5:T20; BTR:02_Reglas_Walvy; PDI:01_Matriz_Maestra | CTEST-M06-019; CTEST-M06-020; CTEST-M06-021</w:t>
      </w:r>
    </w:p>
    <w:p>
      <w:pPr>
        <w:pStyle w:val="Heading1"/>
      </w:pPr>
      <w:r>
        <w:t>12. Tarjeta de credito y ciclo reconciliado</w:t>
      </w:r>
    </w:p>
    <w:p>
      <w:pPr>
        <w:pStyle w:val="Heading2"/>
      </w:pPr>
      <w:r>
        <w:t>CT-M06-11 | Tarjeta de credito: separación de hechos y precision de fuente</w:t>
      </w:r>
    </w:p>
    <w:p>
      <w:r>
        <w:t>Separar: cuota facturada del período -&gt; gasto M05; cuotas futuras identificadas -&gt; compromisos M06; total facturado/vencimiento/mínimo -&gt; obligacion del ciclo M06; pago de cartola -&gt; estado de pago M06, sin nuevo gasto M05. No sumar otra vez el total facturado a sus componentes como compromisos economicos equivalentes.</w:t>
      </w:r>
    </w:p>
    <w:p>
      <w:r>
        <w:t>El mínimo es un dato de control, no pago recomendado ni saldo total de la obligacion. Mínimo cero no equivale a cartola pagada; total facturado, deuda total de tarjeta, cupo usado y saldo futuro son conceptos distintos.</w:t>
      </w:r>
    </w:p>
    <w:p>
      <w:r>
        <w:t>Monto pagado del período anterior textual tiene prioridad para ese monto: conservar valor absoluto para cálculo y signo original en metadata restringida. Buscar MONTO CANCELADO coincidente o suma coherente dentro del período para fechas. Si intervienen varios pagos, conservar sus fechas y período; no inventar una fecha unica para el monto agregado.</w:t>
      </w:r>
    </w:p>
    <w:p>
      <w:r>
        <w:t>Sin movimiento fechado, conservar período/mes de referencia: no estimar un día. Grafica histórica es respaldo de menor precision, no reemplazo del texto. Ausencia de monto/fecha -&gt; No informado y revisión dirigida.</w:t>
      </w:r>
    </w:p>
    <w:p>
      <w:r>
        <w:t>Documento TC mas especifico gobierna datos de su ciclo frente a resumen menos preciso; no convertir madurez final de un credito en vencimiento mensual. Conflictos materiales se revisan; conservar versiones/provenance y no resolverlos por el último archivo recibido sin considerar período.</w:t>
      </w:r>
    </w:p>
    <w:p>
      <w:r>
        <w:t>Open Finance TC no facturado permanece DIFERIDO_EXPLICITO/NO_EVALUABLE. No tiene un fallback que convierta consumos no facturados en obligaciones ciertas; se requiere contrato reproducible del productor para activar ese alcance.</w:t>
      </w:r>
    </w:p>
    <w:p>
      <w:r>
        <w:t>Para evitar doble exigible, cada cuota facturada/futura enlaza obligation_root y cycle_id o período. El total facturado es el exigible del ciclo: no sumarlo otra vez junto con sus componentes como compromiso independiente en la proyeccion. El usuario puede ver detalle y total sin que ambos se cuenten como dos pagos pendientes. Total/mínimo/cupo/deuda total son magnitudes distintas.</w:t>
      </w:r>
    </w:p>
    <w:p>
      <w:r>
        <w:t>La asignacion a gasto de cuota facturada conserva período de facturacion; la fecha de pago de la cartola no traslada ese gasto al período del pago. Si no puede identificarse ciclo/período con suficiencia, mantener provisional o revisión bajo M05, nunca inventar fecha.</w:t>
      </w:r>
    </w:p>
    <w:p>
      <w:r>
        <w:t>Nota de credito o ajuste TC: enlazar al movimiento/ciclo original y distinguir si ya esta incluido en el total facturado. Si esta incluido, no restarlo nuevamente. Un ajuste posterior confirmado puede actualizar la obligacion una sola vez con provenance y version; relacion dudosa -&gt; revisión. No convertir la nota de credito en ingreso liquido ni mejorar capacidad de ahorro de caja desde M06; M05 gobierna su tratamiento.</w:t>
      </w:r>
    </w:p>
    <w:p>
      <w:r>
        <w:t>Referencia intermodular exclusivamente: M06 no incorpora soporte, parser ni ruta CMF/SFA. Si M04 entrega hechos documentales ya gobernados, conserva la precedencia de su contrato: para deuda no TC, el documento es fuente principal salvo instrumento especifico mas preciso; para TC con cartola, es contraste/fallback y no reemplaza ciclo mensual. En el owner M04, sin cartola el dato solo aporta referencia parcial: no inventar Próximo vencimiento mensual, último pago, cuota actual/total, pago mínimo TC ni movimientos unitarios. Vencimiento final de credito conserva label distinto. La identidad de deuda se concilia con M04; no crear dos deudas por informe CMF y cartola.</w:t>
      </w:r>
    </w:p>
    <w:p>
      <w:r>
        <w:t>Mora reportada en documento autorizado puede producir una señal de revisión/evaluacion M04 con tramo/monto y calidad; no implica activacion de Ruta, reporte comercial externo ni certificacion juridica. Último pago y fecha no se obtienen de CMF. Un documento sin granularidad de movimientos no produce gasto M05 por inferencia.</w:t>
      </w:r>
    </w:p>
    <w:p>
      <w:r>
        <w:t>Precedencia de alcance: M06-DOC-001/M06-DOC-002 excluyen compatibilidad especifica CMF/SFA del MVP M06. Las menciones historicas del Anexo TC sobre lectura CMF solo se conservan como provenance/contrato del owner M04; no habilitan una nueva entrada M06. Un hecho recibido de M04 se valida como payload de dominio, no como documento CMF abierto por M06.</w:t>
      </w:r>
    </w:p>
    <w:p>
      <w:r>
        <w:t>Soporte: CT-M06-11 | TC:T03-T13; M05BE:T08; M04BE:T16,T52; PDI:01_Matriz_Maestra!204-213 | CTEST-M06-028; CTEST-M06-029; CTEST-M06-030</w:t>
      </w:r>
    </w:p>
    <w:p>
      <w:pPr>
        <w:pStyle w:val="Heading2"/>
      </w:pPr>
      <w:r>
        <w:t>CT-M06-12 | Ciclo reconciliado, parcialidad y hechos hacia M04</w:t>
      </w:r>
    </w:p>
    <w:p>
      <w:r>
        <w:t>Un ciclo tiene identidad de obligacion, período y estado de reconciliación. Aportes/pagos se asignan una sola vez. pagado_ciclo = suma de asignaciones vigentes, conocidas y en la misma moneda/ciclo. saldo_pendiente = max(total_exigible - pagado_ciclo, 0) solo cuando ambos terminos son evaluables.</w:t>
      </w:r>
    </w:p>
    <w:p>
      <w:r>
        <w:t>Si 0 &lt; pagado_ciclo &lt; total_exigible existe un hecho parcial; antes del cierre reconciliado es no concluyente para deterioro final. Al cierre, M04 interpreta parcial/mínimo/saldo arrastrado aislado o recurrente; M06 entrega los hechos, no D1/D2 calculados por su cuenta.</w:t>
      </w:r>
    </w:p>
    <w:p>
      <w:r>
        <w:t>Un pago posterior completo o regularizacion invalida las señales anteriores pertinentes y dispara revaluacion del owner. No mantener D deteriorado por una fotografia superada. Un ciclo con varios nombres de deterioro sigue siendo un ciclo, no tres recurrencias.</w:t>
      </w:r>
    </w:p>
    <w:p>
      <w:r>
        <w:t>Unknown/contradicción en total, moneda, fecha o asignacion -&gt; evaluacion no concluyente y tarea de revisión acotada. Un sobrepago conocido no produce saldo negativo ni ingreso M05 por defecto; registrar diferencia para conciliación.</w:t>
      </w:r>
    </w:p>
    <w:p>
      <w:r>
        <w:t>mora_confirmada para el Estado Financiero canónico exige obligacion vencida, saldo pendiente confirmado y evidencia suficiente. Emitir explicacion, fecha evaluada y version; no inferir mora confirmada de falta de datos ni de un mínimo informativo.</w:t>
      </w:r>
    </w:p>
    <w:p>
      <w:r>
        <w:t>Payload mínimo a M04: obligation_id, cycle_id/period, due_date_precision, evaluation_date, aging_days/band o unknown, due_amount/paid_amount/remaining_amount cuando conocidos, currency, payment_kind/final_cycle_facts, reconciled flag, recurrence_evidence, quality, source_refs y version. Los nombres son logicos; el contrato físico debe mapearlos sin perdida.</w:t>
      </w:r>
    </w:p>
    <w:p>
      <w:r>
        <w:t>Soporte: CT-M06-12 | M04BE:T16,T23,T52,T54; M04BDD:reglas ciclo reconciliado; TC:T12-T13; M01:Anexos Producto!121 | CTEST-M06-031; CTEST-M06-032; CTEST-M06-033</w:t>
      </w:r>
    </w:p>
    <w:p>
      <w:pPr>
        <w:pStyle w:val="Heading1"/>
      </w:pPr>
      <w:r>
        <w:t>13. Mis Avisos M06 | contrato lógico</w:t>
      </w:r>
    </w:p>
    <w:p>
      <w:r>
        <w:t>04_Mis_Avisos conserva17 IDs con trigger, comportamiento, CTA, resolucion, canal y absorcion. Leer Mis Avisos ParteII para la ficha operativa. 013/014 no son avisos independientes; 017 no concluye deterioro final por parcial pre-cierre. Control local de alerta retirado.</w:t>
      </w:r>
    </w:p>
    <w:p>
      <w:pPr>
        <w:pStyle w:val="Heading1"/>
      </w:pPr>
      <w:r>
        <w:t>14. Pendientes y límites técnicos vigentes</w:t>
      </w:r>
    </w:p>
    <w:p>
      <w:r>
        <w:t>Sin A5 M06 nueva identificada. Pendientes de entrega: PD-M6-02/08 Figma y PD-M6-04 M03/M02. Los nombres fisicos, stores/TTL, rendimiento y evidencia de implementacion corresponden a sus owners, con condiciones explicitas; no habilitan nueva semantica.</w:t>
      </w:r>
    </w:p>
    <w:p>
      <w:pPr>
        <w:pStyle w:val="Heading1"/>
      </w:pPr>
      <w:r>
        <w:t>15. Guardrails productivos</w:t>
      </w:r>
    </w:p>
    <w:p>
      <w:pPr>
        <w:pStyle w:val="Heading2"/>
      </w:pPr>
      <w:r>
        <w:t>CT-M06-16 | Protección de datos y ciclo de vida</w:t>
      </w:r>
    </w:p>
    <w:p>
      <w:r>
        <w:t>El inventario PD conserva cada uno de los 50 IDs M06 de la fuente, incluida la exclusion de M06-DAT-006, y agrega los datos operativos nuevos solo si no caben en un activo existente. Familias, finalidad, fuente, owner, consumidor, necesidad, clasificación, persistencia, lifecycle, acceso, exposicion y evidencia estan en PD_BASELINE_M06.</w:t>
      </w:r>
    </w:p>
    <w:p>
      <w:r>
        <w:t>Confidencial es la clasificación interna de los datos funcionales/derivados segun inventario; el original documental es Restringido. No afirmar que todo dato financiero sea automaticamente sensible en sentido juridico. No se inventa una base legal, consentimiento nuevo ni un plazo normativo.</w:t>
      </w:r>
    </w:p>
    <w:p>
      <w:r>
        <w:t>Aplicar segregacion por usuario y autorización por objeto en lectura/escritura/export/retorno/eventos. El soporte opera metadata mínima y no tiene acceso financiero individual ordinario. Protección en transito y reposo, secretos fuera de código/logs y permisos mínimos segun responsabilidades acordadas.</w:t>
      </w:r>
    </w:p>
    <w:p>
      <w:r>
        <w:t>El original financiero se procesa por K-read fuera del repositorio funcional Walvy; eliminar cuando deje de ser necesario y como maximo en 24 horas segun politica interna. No convertir 24h en TTL de almacenamiento Walvy. Persistir solo referencia mínima explicativa; la evidencia del proveedor debe incluir stores, buffers, logs, backups y borrado.</w:t>
      </w:r>
    </w:p>
    <w:p>
      <w:r>
        <w:t>Mientras hay derecho de acceso/licencia vigente, conservar lo necesario por finalidad. Al fin efectivo, congelar tratamiento funcional y aplicar ventana interna de recuperacion hasta 90 días; simple inactividad no la inicia. Solicitud de supresión confirmada ejecuta cese/supresión sin esperar esa ventana.</w:t>
      </w:r>
    </w:p>
    <w:p>
      <w:r>
        <w:t>La supresión alcanza compromisos/candidatos/pagos, derivados, historial, cache, indices, colas y proyecciones que contengan datos personales. Un mínimo marcador técnico de supresión/replay sin payload puede impedir resurreccion; no justificar con el historial retener todos los datos indefinidamente.</w:t>
      </w:r>
    </w:p>
    <w:p>
      <w:r>
        <w:t>Aplicación movil no persiste documentos ni payload financiero en logs, notificaciones, errores, analitica o portapapeles automático. Cache sensible, si es necesaria, queda autenticada, acotada a sesion/usuario, invalidada en cierre de sesion, cambio de cuenta, revocacion/supresión y cambio material; sin prometer modo offline no definido.</w:t>
      </w:r>
    </w:p>
    <w:p>
      <w:r>
        <w:t>Trazabilidad funcional explicativa y logging técnico son capas distintas. La primera conserva hechos mínimos y correcciones segun lifecycle; el segundo solo actor seudonimo/correlacion/acción/resultado/version sin documentos, glosas completas, montos innecesarios, tokens ni secretos.</w:t>
      </w:r>
    </w:p>
    <w:p>
      <w:r>
        <w:t>Responsabilidades: Kabeli acredita lógica/API/cliente/integracion; Walvy infraestructura y backups/restore; K-read tratamiento externo. No se declara ninguno cumplido sin evidencia. Una restauracion debe reaplicar supresiones antes de reactivar lectura o eventos.</w:t>
      </w:r>
    </w:p>
    <w:p>
      <w:r>
        <w:t>La prevencion de reaparicion tras supresión exige validar cuenta/permiso/consentimiento y existencia de version vigente antes de consumir un evento. Un update tardio nunca crea implicitamente el objeto borrado. Una marca técnica de supresión, si se usa, no contiene payload financiero ni justifica retención indefinida; su necesidad y TTL se documentan bajo la politica PD existente. La restauracion de backup debe reaplicar las ordenes de supresión antes de habilitar lectura o cálculos.</w:t>
      </w:r>
    </w:p>
    <w:p>
      <w:r>
        <w:t>Los TTL de cache, colas, reintentos, enlaces temporales y logs son configuraciones técnicas inventariadas y acotadas a finalidad; no heredan 90 días ni 24 horas indiscriminadamente. La evidencia futura debe mostrar el valor efectivo y su justificacion por store. No se declara cumplimiento legal ni aprobacion de subencargados mediante este candidato.</w:t>
      </w:r>
    </w:p>
    <w:p>
      <w:r>
        <w:t>Computo técnico del maximo: expiration_at = effective_access_end_at + 90 días, segun el reloj/convencion de días del owner PD. Antes de expiration_at el tratamiento permanece congelado para recuperacion; en expiration_at o despues termina esa ventana y aplica supresión segun politica. Nunca sumar un día por contar fechas inclusivas. Solicitud de supresión confirmada prevalece desde su efectividad, sin esperar expiration_at. El ejemplo documental usa tiempo transcurrido y no decide una nueva base juridica.</w:t>
      </w:r>
    </w:p>
    <w:p>
      <w:r>
        <w:t>Soporte: CT-M06-16 | PDI:01_Matriz_Maestra!185-234; PDL; PDT; BTEC:TEC-M6-001,020..024 | CTEST-M06-044; CTEST-M06-045; CTEST-M06-046; CTEST-M06-047</w:t>
      </w:r>
    </w:p>
    <w:sectPr w:rsidR="00FC693F" w:rsidRPr="0006063C" w:rsidSect="00034616">
      <w:headerReference w:type="default" r:id="rId9"/>
      <w:footerReference w:type="default" r:id="rId10"/>
      <w:pgSz w:w="12240" w:h="15840"/>
      <w:pgMar w:top="1037" w:right="1181" w:bottom="1037" w:left="1181"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8"/>
      </w:rPr>
      <w:t xml:space="preserve">Walvy | M06 | v1.0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left"/>
    </w:pPr>
    <w:r>
      <w:t>Walvy | M06 | Anexo BDD y reglas productivas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tab"/>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6B5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B5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14D3F"/>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14D3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8FCD4A6AF5D0146B0CDBDC1ECCDCBE7" ma:contentTypeVersion="14" ma:contentTypeDescription="Create a new document." ma:contentTypeScope="" ma:versionID="1eb56bd3e773741261de7a68ed67c2ad">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eba3b6e3112ef6a93f121c5b30cfa81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6E80476-86C1-4C03-945B-E9B0E2404783}"/>
</file>

<file path=customXml/itemProps3.xml><?xml version="1.0" encoding="utf-8"?>
<ds:datastoreItem xmlns:ds="http://schemas.openxmlformats.org/officeDocument/2006/customXml" ds:itemID="{C85FFCA3-25A3-416E-A999-F16B64A51F7B}"/>
</file>

<file path=customXml/itemProps4.xml><?xml version="1.0" encoding="utf-8"?>
<ds:datastoreItem xmlns:ds="http://schemas.openxmlformats.org/officeDocument/2006/customXml" ds:itemID="{6BB98AA1-4F09-4185-A67F-FCF88BEA110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BDD y reglas productivas</dc:title>
  <dc:subject>Walvy M06 - entrega funcional v1.0</dc:subject>
  <dc:creator>Walvy</dc:creator>
  <cp:keywords>Walvy, M04, Mis Avisos, Ruta Despeje, lineage, señales</cp:keywords>
  <dc:description>Proyeccion documental; no certificacion de implementacion.</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y fmtid="{D5CDD505-2E9C-101B-9397-08002B2CF9AE}" pid="3" name="MediaServiceImageTags">
    <vt:lpwstr/>
  </property>
</Properties>
</file>