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M06</w:t>
        <w:br/>
        <w:t>Pagos / Compromisos</w:t>
      </w:r>
    </w:p>
    <w:p>
      <w:pPr>
        <w:pStyle w:val="Subtitle"/>
      </w:pPr>
      <w:r>
        <w:rPr>
          <w:rFonts w:ascii="Calibri" w:hAnsi="Calibri"/>
        </w:rPr>
        <w:t>v1.0 | 13 septiembre 2026 | Entrega funcional candidata - no enviada</w:t>
      </w:r>
    </w:p>
    <w:p>
      <w:r>
        <w:rPr>
          <w:rFonts w:ascii="Calibri" w:hAnsi="Calibri"/>
        </w:rPr>
        <w:t>Propósito. Organizar compromisos, registrar pagos realizados fuera de Walvy y mantener una lectura coherente con Presupuesto Vivo, Deudas, Home y Perfil. Este documento no habilita pagos dentro de la aplicación.</w:t>
      </w:r>
    </w:p>
    <w:p>
      <w:pPr>
        <w:pStyle w:val="Heading1"/>
      </w:pPr>
      <w:r>
        <w:rPr>
          <w:rFonts w:ascii="Calibri" w:hAnsi="Calibri"/>
        </w:rPr>
        <w:t>Estado y lectura del contrato</w:t>
      </w:r>
    </w:p>
    <w:p>
      <w:r>
        <w:rPr>
          <w:rFonts w:ascii="Calibri" w:hAnsi="Calibri"/>
        </w:rPr>
        <w:t>En esta entrega se preservan las matrices originales RESPUESTA_WALVY de 59 variantes y 23 controles. Mis Avisos adopta el Artifact Contract aprobado de M04/M05: las familias canónicas M06 activas y los 17 AVI-M06 se conservan como correspondencia/lineage, no como fichas autónomas. M06-DAT-036 queda excluido por D-M06-ALERTA-MVP-01 y AVI-M06-017 permanece derivación de hechos hacia M04.</w:t>
      </w:r>
    </w:p>
    <w:p>
      <w:r>
        <w:rPr>
          <w:rFonts w:ascii="Calibri" w:hAnsi="Calibri"/>
        </w:rPr>
        <w:t>El recorrido completo de Producto está incorporado. Las decisiones sobre recurrencia, pagos parciales y retiro de Activar alerta permanecen cerradas. Se consolidan 15 ajustes Figma pendientes de materialización, sin nuevas decisiones Producto identificadas. El documento no certifica implementación, cumplimiento legal ni apertura nativa en Office.</w:t>
      </w:r>
    </w:p>
    <w:p>
      <w:r>
        <w:rPr>
          <w:rFonts w:ascii="Calibri" w:hAnsi="Calibri"/>
        </w:rPr>
        <w:t>Leer este contrato junto con Matriz de Trazabilidad, Matriz de Validación Técnica, BDD/Interfaces/PD y Mis Avisos Parte II v1.0. Los IDs originales se conservan. Las matrices permiten devolver evidencia sin confundir especificación con prueba realizada.</w:t>
      </w:r>
    </w:p>
    <w:p>
      <w:r>
        <w:rPr>
          <w:rFonts w:ascii="Calibri" w:hAnsi="Calibri"/>
        </w:rPr>
        <w:t>Autoridad. Las decisiones vigentes y contratos del módulo owner prevalecen dentro de su dominio. Discovery conserva cada obligación histórica con tratamiento auditable. Las derivaciones técnicas completan mecanismos sin crear una nueva intención Producto. Home es contrato consumidor, no módulo formalmente cerrado 2.0.</w:t>
      </w:r>
    </w:p>
    <w:p>
      <w:pPr>
        <w:pStyle w:val="Heading1"/>
      </w:pPr>
      <w:r>
        <w:rPr>
          <w:rFonts w:ascii="Calibri" w:hAnsi="Calibri"/>
        </w:rPr>
        <w:t>Mapa de lectura</w:t>
      </w:r>
    </w:p>
    <w:p>
      <w:r>
        <w:rPr>
          <w:rFonts w:ascii="Calibri" w:hAnsi="Calibri"/>
        </w:rPr>
        <w:t>01 Alcance, autoridad y contrato de dominio / 02 Modelo lógico y ejes que no deben confundirse / 03 Alta manual, datos mínimos y validación / 04 Entrada asistida e ingesta convergente / 05 Revisión, confirmación, rechazo y deduplicación</w:t>
      </w:r>
    </w:p>
    <w:p>
      <w:r>
        <w:rPr>
          <w:rFonts w:ascii="Calibri" w:hAnsi="Calibri"/>
        </w:rPr>
        <w:t>06 Pago externo, corrección y reversibilidad / 07 Fechas, proximidad y envejecimiento / 08 Recurrencia e instancias independientes / 09 Resumen y colas: tres universos distintos / 10 Severidad local y lectura de flujo sin motores paralelos</w:t>
      </w:r>
    </w:p>
    <w:p>
      <w:r>
        <w:rPr>
          <w:rFonts w:ascii="Calibri" w:hAnsi="Calibri"/>
        </w:rPr>
        <w:t>11 Tarjeta de crédito: separación de hechos y precisión de fuente / 12 Ciclo reconciliado, parcialidad y hechos hacia M04 / 13 Sincronización M05-M06 y reconciliación sin doble efecto / 14 Situaciones, avisos y preferencias: contrato con M02 / 15 Home, Perfil, M01 y taxonomía compartida</w:t>
      </w:r>
    </w:p>
    <w:p>
      <w:r>
        <w:rPr>
          <w:rFonts w:ascii="Calibri" w:hAnsi="Calibri"/>
        </w:rPr>
        <w:t>16 Protección de datos y ciclo de vida / 17 Navegación contractual y materialización pendiente / 18 Evidencia futura, criterios y responsabilidad de cierre</w:t>
      </w:r>
    </w:p>
    <w:p>
      <w:r>
        <w:rPr>
          <w:rFonts w:ascii="Calibri" w:hAnsi="Calibri"/>
        </w:rPr>
        <w:br w:type="page"/>
      </w:r>
    </w:p>
    <w:p>
      <w:pPr>
        <w:pStyle w:val="Heading1"/>
      </w:pPr>
      <w:r>
        <w:rPr>
          <w:rFonts w:ascii="Calibri" w:hAnsi="Calibri"/>
        </w:rPr>
        <w:t>CT-M06-01 | Alcance, autoridad y contrato de dominio</w:t>
      </w:r>
    </w:p>
    <w:p>
      <w:r>
        <w:rPr>
          <w:rFonts w:ascii="Calibri" w:hAnsi="Calibri"/>
        </w:rPr>
        <w:t>M06 organiza compromisos y registra hechos de pago realizados fuera de Walvy. No ejecuta transferencias, pagos, wallet, débitos, renegociación ni contratación financiera. Registrar no equivale a certificar un pago bancario.</w:t>
      </w:r>
    </w:p>
    <w:p>
      <w:r>
        <w:rPr>
          <w:rFonts w:ascii="Calibri" w:hAnsi="Calibri"/>
        </w:rPr>
        <w:t>La ingesta, captura asistida, categorización, autenticación, preferencias y presupuesto son capacidades o dominios compartidos. M06 valida el uso en su dominio, sin reconstruir esos motores ni crear semaforos financieros paralelos.</w:t>
      </w:r>
    </w:p>
    <w:p>
      <w:r>
        <w:rPr>
          <w:rFonts w:ascii="Calibri" w:hAnsi="Calibri"/>
        </w:rPr>
        <w:t>Cada regla usa decisiones vigentes corroboradas, fuentes de dominio owner y derivaciones identificadas. Los archivos v1.0 permanecen intactos. Este contrato no acredita implementacion runtime, aprobacion visual ni envio externo.</w:t>
      </w:r>
    </w:p>
    <w:p>
      <w:pPr>
        <w:pStyle w:val="Caption"/>
      </w:pPr>
      <w:r>
        <w:rPr>
          <w:rFonts w:ascii="Calibri" w:hAnsi="Calibri"/>
        </w:rPr>
        <w:t>Reglas: M06-RGL-001, M06-RGL-033 | Casos: CTEST-M06-001</w:t>
      </w:r>
    </w:p>
    <w:p>
      <w:pPr>
        <w:pStyle w:val="Caption"/>
      </w:pPr>
      <w:r>
        <w:rPr>
          <w:rFonts w:ascii="Calibri" w:hAnsi="Calibri"/>
        </w:rPr>
        <w:t>Provenance: RECTOR:P008-P040; F1:T02-T07; EXEC; BTR:02_Reglas_Walvy!5</w:t>
      </w:r>
    </w:p>
    <w:p>
      <w:pPr>
        <w:pStyle w:val="Heading1"/>
      </w:pPr>
      <w:r>
        <w:rPr>
          <w:rFonts w:ascii="Calibri" w:hAnsi="Calibri"/>
        </w:rPr>
        <w:t>CT-M06-02 | Modelo lógico y ejes que no deben confundirse</w:t>
      </w:r>
    </w:p>
    <w:p>
      <w:r>
        <w:rPr>
          <w:rFonts w:ascii="Calibri" w:hAnsi="Calibri"/>
        </w:rPr>
        <w:t>Entidades logicas: compromiso (instancia), candidato, registro de pago, asignación o vinculo de conciliación, patrón de recurrencia, ciclo TC, evento de cambio y situación comunicable. Son roles funcionales; no se imponen tablas ni nombres físicos.</w:t>
      </w:r>
    </w:p>
    <w:p>
      <w:r>
        <w:rPr>
          <w:rFonts w:ascii="Calibri" w:hAnsi="Calibri"/>
        </w:rPr>
        <w:t>El catálogo se conserva: Borrador; Detectado; Pendiente; Próximo; Vencido; Pagado; Recurrente probable; Requiere revisión; Descartado; Duplicado probable; Sin datos suficientes. Sin datos suficientes puede representar una superficie sin base evaluable; no crear una deuda ficticia para almacenarlo.</w:t>
      </w:r>
    </w:p>
    <w:p>
      <w:r>
        <w:rPr>
          <w:rFonts w:ascii="Calibri" w:hAnsi="Calibri"/>
        </w:rPr>
        <w:t>Confirmado es condición de consolidación; recurrencia confirmada es atributo/patrón, no otro estado del compromiso. Severidad Informativa/Atención/Urgente/Crítica es otro eje. D0/D1/D2 pertenecen a M04. El estado de entrega de un aviso no es estado de pago.</w:t>
      </w:r>
    </w:p>
    <w:p>
      <w:r>
        <w:rPr>
          <w:rFonts w:ascii="Calibri" w:hAnsi="Calibri"/>
        </w:rPr>
        <w:t>Todo cambio guarda objeto estable, usuario propietario, versión y motivo. Una incidencia de revisión no destruye el último registro confirmado: se conserva su linaje y se retira solo la elegibilidad de los derivados afectados hasta resolverla.</w:t>
      </w:r>
    </w:p>
    <w:p>
      <w:pPr>
        <w:pStyle w:val="Caption"/>
      </w:pPr>
      <w:r>
        <w:rPr>
          <w:rFonts w:ascii="Calibri" w:hAnsi="Calibri"/>
        </w:rPr>
        <w:t>Reglas: M06-RGL-002, M06-RGL-006, M06-RGL-008, M06-RGL-009, M06-RGL-012, M06-RGL-017, M06-RGL-023, M06-RGL-025, M06-RGL-041 | Casos: CTEST-M06-002, CTEST-M06-003</w:t>
      </w:r>
    </w:p>
    <w:p>
      <w:pPr>
        <w:pStyle w:val="Caption"/>
      </w:pPr>
      <w:r>
        <w:rPr>
          <w:rFonts w:ascii="Calibri" w:hAnsi="Calibri"/>
        </w:rPr>
        <w:t>Provenance: F1:T08-T09; F3:T03-T04; BTR:02_Reglas_Walvy; PDI:01_Matriz_Maestra</w:t>
      </w:r>
    </w:p>
    <w:p>
      <w:pPr>
        <w:pStyle w:val="Heading1"/>
      </w:pPr>
      <w:r>
        <w:rPr>
          <w:rFonts w:ascii="Calibri" w:hAnsi="Calibri"/>
        </w:rPr>
        <w:t>CT-M06-03 | Alta manual, datos mínimos y validación</w:t>
      </w:r>
    </w:p>
    <w:p>
      <w:r>
        <w:rPr>
          <w:rFonts w:ascii="Calibri" w:hAnsi="Calibri"/>
        </w:rPr>
        <w:t>Para un compromiso activo se requiere descripción o identificador comprensible no vacio, fecha aplicable exacta y origen. El ID interno y el propietario los asigna el sistema. Descripción vacia tras recortar espacios o fecha inexistente impiden la consolidación; conservar borrador recuperable, no simular éxito.</w:t>
      </w:r>
    </w:p>
    <w:p>
      <w:r>
        <w:rPr>
          <w:rFonts w:ascii="Calibri" w:hAnsi="Calibri"/>
        </w:rPr>
        <w:t>Monto es opcional: conocido, estimado o pendiente. No convertir null en cero. Cero explícito se preserva como valor informado, no demuestra pago ni deuda condonada. Valores negativos no se convierten silenciosamente en compromisos; revisar naturaleza del dato. La excepción de signo del último pago TC se documenta en CT-M06-11.</w:t>
      </w:r>
    </w:p>
    <w:p>
      <w:r>
        <w:rPr>
          <w:rFonts w:ascii="Calibri" w:hAnsi="Calibri"/>
        </w:rPr>
        <w:t>Monto conocido conserva moneda y precisión decimal; no sumar monedas incompatibles ni usar float binario como oráculo monetario. Montos estimados se etiquetan y no habilitan una conclusión económica fuerte sin el resto de la calidad exigible.</w:t>
      </w:r>
    </w:p>
    <w:p>
      <w:r>
        <w:rPr>
          <w:rFonts w:ascii="Calibri" w:hAnsi="Calibri"/>
        </w:rPr>
        <w:t>Número de cliente está excluido del MVP: no solicitar, no persistir ni reenviar. La referencia técnica de origen no debe usarse para ocultar ese dato excluido. Categoría/subcategoría son referencias al catálogo gobernado; no inventar valores ante un faltante.</w:t>
      </w:r>
    </w:p>
    <w:p>
      <w:r>
        <w:rPr>
          <w:rFonts w:ascii="Calibri" w:hAnsi="Calibri"/>
        </w:rPr>
        <w:t>Guardar y cancelar tienen efectos distintos: guardar valida y consolida una vez; cancelar retorna al origen sin nuevos efectos. La edición registra delta, conserva provenance y recalcula consumidores afectados, sin reescribir retroactivamente la fuente.</w:t>
      </w:r>
    </w:p>
    <w:p>
      <w:r>
        <w:rPr>
          <w:rFonts w:ascii="Calibri" w:hAnsi="Calibri"/>
        </w:rPr>
        <w:t>La fecha estimada con día civil explícito puede guardarse como estimada para revisión y anticipación identificada; no habilita aging exacto ni mora confirmada. Una fecha exacta confiable es necesaria para clasificación temporal firme. La precisión y la confianza se guardan por separado; un dato estimado no se convierte en real por guardarlo.</w:t>
      </w:r>
    </w:p>
    <w:p>
      <w:r>
        <w:rPr>
          <w:rFonts w:ascii="Calibri" w:hAnsi="Calibri"/>
        </w:rPr>
        <w:t>Guardar y agregar otro compromiso persiste exclusivamente el registro actual en su estado valido de borrador o consolidado y abre un formulario nuevo; cancelar ese segundo formulario no revierte el primero. No repetir la persistencia por doble clic ni retener datos del objeto anterior como nueva cuenta.</w:t>
      </w:r>
    </w:p>
    <w:p>
      <w:pPr/>
      <w:r>
        <w:rPr>
          <w:rFonts w:ascii="Calibri" w:hAnsi="Calibri"/>
        </w:rPr>
        <w:t>El borrador conserva datos de negocio aportados aunque falte descripcion o fecha; no forma parte del universo mensual activo. Guardar pendiente explicita esa salida; Guardar consolida solo con minimos de cuenta activa. Un formulario sin ningun dato de negocio no produce alta ni mensaje de exito. Validaciones de campos y errores quedan localizadas, sin transformar valores invalidos en valores aceptados.</w:t>
      </w:r>
    </w:p>
    <w:p>
      <w:pPr/>
      <w:r>
        <w:rPr>
          <w:rFonts w:ascii="Calibri" w:hAnsi="Calibri"/>
        </w:rPr>
        <w:t>Los asteriscos no mezclan minimos de consolidacion con datos opcionales o necesarios para un calculo posterior. El origen manual se asigna por sistema, no se exige un Numero de cliente. Guardar y agregar otro puede conservar primero un borrador recuperable o un compromiso valido segun el caso, y solo despues abrir un formulario limpio.</w:t>
      </w:r>
    </w:p>
    <w:p>
      <w:pPr>
        <w:pStyle w:val="Caption"/>
      </w:pPr>
      <w:r>
        <w:rPr>
          <w:rFonts w:ascii="Calibri" w:hAnsi="Calibri"/>
        </w:rPr>
        <w:t>Reglas: M06-RGL-002, M06-RGL-003, M06-RGL-004, M06-RGL-005, M06-RGL-044 | Casos: CTEST-M06-004, CTEST-M06-005, CTEST-M06-006</w:t>
      </w:r>
    </w:p>
    <w:p>
      <w:pPr>
        <w:pStyle w:val="Caption"/>
      </w:pPr>
      <w:r>
        <w:rPr>
          <w:rFonts w:ascii="Calibri" w:hAnsi="Calibri"/>
        </w:rPr>
        <w:t>Provenance: F1:T23; F3:T03,T05; F5:T18; BTR:02_Reglas_Walvy; PDI:01_Matriz_Maestra</w:t>
      </w:r>
    </w:p>
    <w:p>
      <w:pPr>
        <w:pStyle w:val="Heading1"/>
      </w:pPr>
      <w:r>
        <w:rPr>
          <w:rFonts w:ascii="Calibri" w:hAnsi="Calibri"/>
        </w:rPr>
        <w:t>CT-M06-04 | Entrada asistida e ingesta convergente</w:t>
      </w:r>
    </w:p>
    <w:p>
      <w:r>
        <w:rPr>
          <w:rFonts w:ascii="Calibri" w:hAnsi="Calibri"/>
        </w:rPr>
        <w:t>Entradas permitidas: manual; voz/texto asistidos; archivo financiero autorizado; movimiento M05; completitud dirigida M01; referencia de deuda M04; patrón transversal. Todas terminan en el mismo dominio de candidato/compromiso, con origen, regla/versión, confianza y acción verificable.</w:t>
      </w:r>
    </w:p>
    <w:p>
      <w:r>
        <w:rPr>
          <w:rFonts w:ascii="Calibri" w:hAnsi="Calibri"/>
        </w:rPr>
        <w:t>La confirmación de carga, lectura o clasificación no confirma un compromiso ni un pago. Los resultados incompletos o ambiguos quedan en revisión. Una lectura parcial usable conserva datos válidos y marca campos pendientes; no se inventa fecha, monto, contraparte ni categoría.</w:t>
      </w:r>
    </w:p>
    <w:p>
      <w:r>
        <w:rPr>
          <w:rFonts w:ascii="Calibri" w:hAnsi="Calibri"/>
        </w:rPr>
        <w:t>Consumir estados de admisión/proceso: recibido/subiendo, procesando, leido, no leido/no procesable/error, y macroestado cuando corresponda. Reintentar usa la misma identidad de carga; reemplazar crea una nueva versión relacionada; cancelar no consolida resultados tardios.</w:t>
      </w:r>
    </w:p>
    <w:p>
      <w:r>
        <w:rPr>
          <w:rFonts w:ascii="Calibri" w:hAnsi="Calibri"/>
        </w:rPr>
        <w:t>La admisión valida autorización, tipo real de contenido, límites de la capacidad transversal vigente y tratamiento seguro de errores; no fijar un límite M06 independiente por analogia. La configuración y evidencia del motor corresponden a su owner; M06 exige la respuesta de admisión y un fallback manual.</w:t>
      </w:r>
    </w:p>
    <w:p>
      <w:r>
        <w:rPr>
          <w:rFonts w:ascii="Calibri" w:hAnsi="Calibri"/>
        </w:rPr>
        <w:t>No se activa una integración CMF/SFA ni Open Finance por haber descrito campos compatibles. Mantener fuente documental genérica autorizada. K-read no convierte Walvy en repositorio de originales; ver CT-M06-16.</w:t>
      </w:r>
    </w:p>
    <w:p>
      <w:r>
        <w:rPr>
          <w:rFonts w:ascii="Calibri" w:hAnsi="Calibri"/>
        </w:rPr>
        <w:t>Documento protegido: solicitar la clave solo al componente autorizado de apertura, en memoria transitoria y sin persistencia, logs, eventos, analítica ni checkpoints. Si falla, permitir corregir o reemplazar; nunca enviar la clave en el payload funcional M06. El motor compartido conserva sus reglas de apertura existentes; M06 no incorpora un motor de contraseñas distinto.</w:t>
      </w:r>
    </w:p>
    <w:p>
      <w:r>
        <w:rPr>
          <w:rFonts w:ascii="Calibri" w:hAnsi="Calibri"/>
        </w:rPr>
        <w:t>Siguiente no confirma pagos: puede continuar con al menos un resultado interpretable o compromiso manual válido, identificando expresamente los archivos pendientes/fallidos y excluyendolos de conclusiones. No se presenta un análisis completo de un archivo bloqueado. Si no hay ningún insumo usable, ofrecer resolver/retirar archivo o ingreso manual, sin éxito ficticio. El contador de carga cuenta archivos activos admitidos, incluidos bloqueados; al retirar uno deja de contar. Un archivo rechazado en admisión no cuenta.</w:t>
      </w:r>
    </w:p>
    <w:p>
      <w:r>
        <w:rPr>
          <w:rFonts w:ascii="Calibri" w:hAnsi="Calibri"/>
        </w:rPr>
        <w:t>Los valores 15 documentos y 30 MB aparecen en la imagen autorizada como parámetros visuales, no como política transversal demostrada. El adaptador consume límite/tipos/versión de la capacidad comun y refleja los valores efectivos; la consultora debe devolver esa configuración antes de certificar admisión. No exigir 15/30 como regla nueva M06 ni copiar otro módulo por analogia. La falta de configuración impide la admisión productiva dependiente, no el registro manual.</w:t>
      </w:r>
    </w:p>
    <w:p>
      <w:pPr>
        <w:pStyle w:val="Caption"/>
      </w:pPr>
      <w:r>
        <w:rPr>
          <w:rFonts w:ascii="Calibri" w:hAnsi="Calibri"/>
        </w:rPr>
        <w:t>Reglas: M06-RGL-006, M06-RGL-007, M06-RGL-008, M06-RGL-020, M06-RGL-040 | Casos: CTEST-M06-007, CTEST-M06-008</w:t>
      </w:r>
    </w:p>
    <w:p>
      <w:pPr>
        <w:pStyle w:val="Caption"/>
      </w:pPr>
      <w:r>
        <w:rPr>
          <w:rFonts w:ascii="Calibri" w:hAnsi="Calibri"/>
        </w:rPr>
        <w:t>Provenance: RECTOR; F5:T17-T20,T23-T25; F3:T06,T13; PDT; BTR:02_Reglas_Walvy</w:t>
      </w:r>
    </w:p>
    <w:p>
      <w:pPr>
        <w:pStyle w:val="Heading1"/>
      </w:pPr>
      <w:r>
        <w:rPr>
          <w:rFonts w:ascii="Calibri" w:hAnsi="Calibri"/>
        </w:rPr>
        <w:t>CT-M06-05 | Revisión, confirmación, rechazo y deduplicación</w:t>
      </w:r>
    </w:p>
    <w:p>
      <w:r>
        <w:rPr>
          <w:rFonts w:ascii="Calibri" w:hAnsi="Calibri"/>
        </w:rPr>
        <w:t>El candidato muestra datos detectados, origen, confianza y lo que falta. Confirmar, corregir y descartar son decisiones diferentes. Confirmar exige los mínimos; corregir prevalece para la vista operativa pero conserva el dato detectado; descartar cierra la misma propuesta sin regenerarla por un simple reintento.</w:t>
      </w:r>
    </w:p>
    <w:p>
      <w:r>
        <w:rPr>
          <w:rFonts w:ascii="Calibri" w:hAnsi="Calibri"/>
        </w:rPr>
        <w:t>Tras confirmar una cuenta no forzar siempre Pendiente: resolver Pendiente/Próximo/Vencido según fecha evaluable y calendario vigente. Pagado requiere una confirmación de pago completo o conciliación suficiente y autorizada, no el estado leido del archivo.</w:t>
      </w:r>
    </w:p>
    <w:p>
      <w:r>
        <w:rPr>
          <w:rFonts w:ascii="Calibri" w:hAnsi="Calibri"/>
        </w:rPr>
        <w:t>Coincidencia técnica exacta: mismo usuario, source_event_id/source_record_id, fuente y versión ya procesados devuelve el resultado anterior. Un source_record_id distinto no demuestra que sea otro hecho económico. La identidad técnica evita reintentos; la conciliación decide identidad económica.</w:t>
      </w:r>
    </w:p>
    <w:p>
      <w:r>
        <w:rPr>
          <w:rFonts w:ascii="Calibri" w:hAnsi="Calibri"/>
        </w:rPr>
        <w:t>Para proponer una coincidencia usar los campos disponibles que exige F3: monto/moneda, fecha o período, glosa/descripción, categoría, provenance y referencia razonable. Exponer diferencias y candidatos competidores. Una fecha aproximada o similitud de texto solo propone revisión; no fija tolerancia numérica de autoconfirmación ni usa confianza OCR como prueba de pago.</w:t>
      </w:r>
    </w:p>
    <w:p>
      <w:r>
        <w:rPr>
          <w:rFonts w:ascii="Calibri" w:hAnsi="Calibri"/>
        </w:rPr>
        <w:t>Resolver duplicado ofrece conservar separados, vincular al mismo hecho o descartar el candidato. Vincular requiere identidad de usuario, decisión explicita o referencia canónica ya confirmada; mantiene aliases/frecuencia/categoría válidos y origen de los valores elegidos. Sin match suficiente permanece en revisión, nunca fusión opaca.</w:t>
      </w:r>
    </w:p>
    <w:p>
      <w:r>
        <w:rPr>
          <w:rFonts w:ascii="Calibri" w:hAnsi="Calibri"/>
        </w:rPr>
        <w:t>Si dos confirmaciones concurrentes intentan el mismo efecto, la segunda recupera el resultado idempotente o recibe conflicto de versión. No devuelve un segundo compromiso. Cambio de contenido con la misma clave requiere conflicto controlado, no sobreescritura silenciosa.</w:t>
      </w:r>
    </w:p>
    <w:p>
      <w:r>
        <w:rPr>
          <w:rFonts w:ascii="Calibri" w:hAnsi="Calibri"/>
        </w:rPr>
        <w:t>Política candidata DER-M06-MATCH-01 (no autoconfirmación): normalizar texto para comparación con NFKC, trim, espacios simples y casefold; conservar original. Una referencia canónica ya validada identifica el hecho. En otro caso recuperar la union de: misma descripción/proveedor normalizado; mismo monto exacto y moneda; o misma categoría con fecha en el mismo período civil informado. Excluir otro usuario, registro suprimido y tipos económicos incompatibles. Presentar cada diferencia de fecha/monto/origen; no fusionar. La coincidencia de una sola señal produce solo candidato de revisión, nunca certeza. Un dato faltante no cuenta como coincidencia.</w:t>
      </w:r>
    </w:p>
    <w:p>
      <w:r>
        <w:rPr>
          <w:rFonts w:ascii="Calibri" w:hAnsi="Calibri"/>
        </w:rPr>
        <w:t>Orden de candidatos de vinculación: referencia canónica; después cantidad descendente de coincidencias disponibles (monto/moneda, día o período, descripción/proveedor, categoría); empate por diferencia absoluta de fecha cuando ambas fechas son exactas y luego ID estable. Orden no equivale a permiso de autovinculo. Una fecha de mes es una aproximación de período, no una fecha inventada. Montos discrepantes, monedas distintas o varios matches conservan revisión hasta decisión explicita.</w:t>
      </w:r>
    </w:p>
    <w:p>
      <w:r>
        <w:rPr>
          <w:rFonts w:ascii="Calibri" w:hAnsi="Calibri"/>
        </w:rPr>
        <w:t>Recuperar un candidato descartado por error requiere acción explicita del usuario, ownership y dato aun retenido legítimamente. Se crea una nueva revisión del mismo candidato y se vuelve a evaluar calidad/deduplicación; no resucitar como Pagado ni crear otro compromiso. No recuperar payload ya suprimido por PD. Fuente F2:T09R007 y F4:T10R004; no es nueva funcionalidad.</w:t>
      </w:r>
    </w:p>
    <w:p>
      <w:pPr/>
      <w:r>
        <w:rPr>
          <w:rFonts w:ascii="Calibri" w:hAnsi="Calibri"/>
        </w:rPr>
        <w:t>La reutilizacion de Editar datos y Descartar distingue el objeto: compromiso, candidato, patron o registro de pago. Pago unico rechaza el patron recurrente, no elimina la instancia. Descartar candidato no equivale a borrar el pago real ni el movimiento bancario. El retorno muestra la cola vigente; confirmar un candidato no es una accion obligatoria para salir.</w:t>
      </w:r>
    </w:p>
    <w:p>
      <w:pPr>
        <w:pStyle w:val="Caption"/>
      </w:pPr>
      <w:r>
        <w:rPr>
          <w:rFonts w:ascii="Calibri" w:hAnsi="Calibri"/>
        </w:rPr>
        <w:t>Reglas: M06-RGL-007, M06-RGL-008, M06-RGL-009, M06-RGL-010, M06-RGL-011, M06-RGL-020, M06-RGL-021, M06-RGL-022, M06-RGL-023, M06-RGL-024 | Casos: CTEST-M06-009, CTEST-M06-010, CTEST-M06-011, CTEST-M06-012</w:t>
      </w:r>
    </w:p>
    <w:p>
      <w:pPr>
        <w:pStyle w:val="Caption"/>
      </w:pPr>
      <w:r>
        <w:rPr>
          <w:rFonts w:ascii="Calibri" w:hAnsi="Calibri"/>
        </w:rPr>
        <w:t>Provenance: F3:T06,T10-T11; F4:T10-T11,T13; M02II:T66-T68,T74; BTR:02_Reglas_Walvy</w:t>
      </w:r>
    </w:p>
    <w:p>
      <w:pPr>
        <w:pStyle w:val="Heading1"/>
      </w:pPr>
      <w:r>
        <w:rPr>
          <w:rFonts w:ascii="Calibri" w:hAnsi="Calibri"/>
        </w:rPr>
        <w:t>CT-M06-06 | Pago externo, corrección y reversibilidad</w:t>
      </w:r>
    </w:p>
    <w:p>
      <w:r>
        <w:rPr>
          <w:rFonts w:ascii="Calibri" w:hAnsi="Calibri"/>
        </w:rPr>
        <w:t>Registrar pago realizado declara un hecho ocurrido fuera de Walvy. No exige comprobante formal. El usuario confirma el compromiso afectado y los datos conocidos; no presentar la declaración como validación bancaria. Un pago detectado sin decisión/vinculo suficiente queda como probable en revisión.</w:t>
      </w:r>
    </w:p>
    <w:p>
      <w:r>
        <w:rPr>
          <w:rFonts w:ascii="Calibri" w:hAnsi="Calibri"/>
        </w:rPr>
        <w:t>El usuario puede registrar manualmente pago completo o abonos parciales/multiples. Manual, detectado e importado pueden tener validaciones de entrada distintas; una vez aceptados/normalizados como el mismo hecho reutilizan asignacion al compromiso/ciclo, saldo pendiente, idempotencia, correccion/reversion y propagacion. La provenance/origen se conserva y un parcial no liquida toda la obligacion.</w:t>
      </w:r>
    </w:p>
    <w:p>
      <w:r>
        <w:rPr>
          <w:rFonts w:ascii="Calibri" w:hAnsi="Calibri"/>
        </w:rPr>
        <w:t>Corregir/deshacer emite una nueva revisión ligada a la anterior. Reconstruir estado y derivados desde hechos vigentes, no restaurar un color antiguo. Deshacer un pago vencido antes del registro vuelve a evaluar la fecha de hoy; puede volver Vencido.</w:t>
      </w:r>
    </w:p>
    <w:p>
      <w:r>
        <w:rPr>
          <w:rFonts w:ascii="Calibri" w:hAnsi="Calibri"/>
        </w:rPr>
        <w:t>Revertir elimina solo la asignación o efecto provisional producido por ese registro, no un movimiento bancario auténtico ni otro pago. Conservar historial de la corrección con mínima información, invalidar señales resueltas y recalcular M05/M04/Home cuando corresponda.</w:t>
      </w:r>
    </w:p>
    <w:p>
      <w:r>
        <w:rPr>
          <w:rFonts w:ascii="Calibri" w:hAnsi="Calibri"/>
        </w:rPr>
        <w:t>Una acción de lectura, abrir un detalle, apagar alertas o visitar M04 no equivale a pago ni a resolución. Repetir la misma confirmación/reversión no genera un segundo efecto.</w:t>
      </w:r>
    </w:p>
    <w:p>
      <w:r>
        <w:rPr>
          <w:rFonts w:ascii="Calibri" w:hAnsi="Calibri"/>
        </w:rPr>
        <w:t>La confirmacion manual de pago completo puede existir con monto no informado: settle_kind=full_user_declared, recorded_at y origen manual. Para un abono parcial se registra el monto efectivamente pagado y su fecha/precision disponible; si el total es conocido se recalcula saldo restante sin duplicar asignaciones. Un parcial nunca se transforma silenciosamente en pago completo.</w:t>
      </w:r>
    </w:p>
    <w:p>
      <w:r>
        <w:rPr>
          <w:rFonts w:ascii="Calibri" w:hAnsi="Calibri"/>
        </w:rPr>
        <w:t>payment_date (cuando ocurrió), recorded_at (cuando se registro) y source_period son campos distintos. Falta payment_date no se completa con recorded_at. Corregir el dato o la precisión no borra el registro anterior salvo proceso PD aplicable.</w:t>
      </w:r>
    </w:p>
    <w:p>
      <w:pPr/>
      <w:r>
        <w:rPr>
          <w:rFonts w:ascii="Calibri" w:hAnsi="Calibri"/>
        </w:rPr>
        <w:t>El resultado visible acompana a la persistencia: detalle, saldo, lista, resumen y situaciones se recalculan desde hechos vigentes. Un snackbar aislado no sustituye ese postestado. El abono parcial conserva Vencido y su necesidad accionable mientras subsista saldo pendiente cierto; registrar un pago, corregirlo o entrar al detalle no cierra por si solo la situacion.</w:t>
      </w:r>
    </w:p>
    <w:p>
      <w:pPr>
        <w:pStyle w:val="Caption"/>
      </w:pPr>
      <w:r>
        <w:rPr>
          <w:rFonts w:ascii="Calibri" w:hAnsi="Calibri"/>
        </w:rPr>
        <w:t>Reglas: M06-RGL-017, M06-RGL-018, M06-RGL-019, M06-RGL-020, M06-RGL-021, M06-RGL-022, M06-RGL-024, M06-RGL-041 | Casos: CTEST-M06-013, CTEST-M06-014, CTEST-M06-015</w:t>
      </w:r>
    </w:p>
    <w:p>
      <w:pPr>
        <w:pStyle w:val="Caption"/>
      </w:pPr>
      <w:r>
        <w:rPr>
          <w:rFonts w:ascii="Calibri" w:hAnsi="Calibri"/>
        </w:rPr>
        <w:t>Provenance: F3:T09,T10,T32,T37; F4:T09-T10; M05BE:T08,P101-P103; PDI:01_Matriz_Maestra!211-217</w:t>
      </w:r>
    </w:p>
    <w:p>
      <w:pPr>
        <w:pStyle w:val="Heading1"/>
      </w:pPr>
      <w:r>
        <w:rPr>
          <w:rFonts w:ascii="Calibri" w:hAnsi="Calibri"/>
        </w:rPr>
        <w:t>CT-M06-07 | Fechas, proximidad y envejecimiento</w:t>
      </w:r>
    </w:p>
    <w:p>
      <w:r>
        <w:rPr>
          <w:rFonts w:ascii="Calibri" w:hAnsi="Calibri"/>
        </w:rPr>
        <w:t>La evaluación usa business_date y período del calendario comun, no el reloj manipulable del dispositivo. Una fecha de vencimiento es fecha civil; una marca de tiempo se normaliza con zona horaria de negocio declarada en el contexto compartido. No deducir zona de negocio desde la zona horaria de este chat.</w:t>
      </w:r>
    </w:p>
    <w:p>
      <w:r>
        <w:rPr>
          <w:rFonts w:ascii="Calibri" w:hAnsi="Calibri"/>
        </w:rPr>
        <w:t>N = 7 días calendario como valor vigente de D-M06-CALC-04, configurable y versionado. delta = fecha_vencimiento - business_date. Para compromiso confirmado no pagado: delta &lt; 0 -&gt; Vencido; 0 &lt;= delta &lt;= N -&gt; Próximo; delta &gt; N -&gt; Pendiente. Falta/ambiguedad de fecha -&gt; Requiere revisión o borrador según origen.</w:t>
      </w:r>
    </w:p>
    <w:p>
      <w:r>
        <w:rPr>
          <w:rFonts w:ascii="Calibri" w:hAnsi="Calibri"/>
        </w:rPr>
        <w:t>Se recalcula al cambiar fecha/confirmación/pago/reversión, al cambiar business_date, versión de N o snapshot de datos. La pertenencia al mes se determina por vencimiento, no por fecha de carga ni fecha del pago. Un vencido de otro mes no desaparece de la lectura operativa por no entrar en el KPI mensual.</w:t>
      </w:r>
    </w:p>
    <w:p>
      <w:r>
        <w:rPr>
          <w:rFonts w:ascii="Calibri" w:hAnsi="Calibri"/>
        </w:rPr>
        <w:t>aging_days = max(0, business_date - due_date) solo si fecha exacta y saldo/obligación pendiente confirmados. Emitir tramos 0, 1-29, 30-59, 60-89, &gt;=90 con calidad y as_of. Unknown no es 0. M04 aplica su lectura de salud y D; M06 no la sustituye.</w:t>
      </w:r>
    </w:p>
    <w:p>
      <w:r>
        <w:rPr>
          <w:rFonts w:ascii="Calibri" w:hAnsi="Calibri"/>
        </w:rPr>
        <w:t>El vencimiento mensual no se deriva del vencimiento final de un crédito CMF. Un período conocido sin día exacto permite referencia mensual, no cálculo exacto de días de atraso.</w:t>
      </w:r>
    </w:p>
    <w:p>
      <w:pPr>
        <w:pStyle w:val="Caption"/>
      </w:pPr>
      <w:r>
        <w:rPr>
          <w:rFonts w:ascii="Calibri" w:hAnsi="Calibri"/>
        </w:rPr>
        <w:t>Reglas: M06-RGL-012, M06-RGL-013, M06-RGL-014, M06-RGL-038 | Casos: CTEST-M06-016, CTEST-M06-017, CTEST-M06-018</w:t>
      </w:r>
    </w:p>
    <w:p>
      <w:pPr>
        <w:pStyle w:val="Caption"/>
      </w:pPr>
      <w:r>
        <w:rPr>
          <w:rFonts w:ascii="Calibri" w:hAnsi="Calibri"/>
        </w:rPr>
        <w:t>Provenance: F3:T07-T08; BTR:02_Reglas_Walvy!42; M04BE:T23,T54; PDI:01_Matriz_Maestra!188</w:t>
      </w:r>
    </w:p>
    <w:p>
      <w:pPr>
        <w:pStyle w:val="Heading1"/>
      </w:pPr>
      <w:r>
        <w:rPr>
          <w:rFonts w:ascii="Calibri" w:hAnsi="Calibri"/>
        </w:rPr>
        <w:t>CT-M06-08 | Recurrencia e instancias independientes</w:t>
      </w:r>
    </w:p>
    <w:p>
      <w:r>
        <w:rPr>
          <w:rFonts w:ascii="Calibri" w:hAnsi="Calibri"/>
        </w:rPr>
        <w:t>Recurrencia probable no equivale a patrón confirmado. Mostrar el fundamento recibido de la capacidad transversal (ocurrencias distintas, fechas/períodos, glosa, monto, categoría y regla/versión) y permitir confirmar o indicar que no se repite. Una sola ocurrencia no demuestra repetición.</w:t>
      </w:r>
    </w:p>
    <w:p>
      <w:r>
        <w:rPr>
          <w:rFonts w:ascii="Calibri" w:hAnsi="Calibri"/>
        </w:rPr>
        <w:t>La inferencia transversal no es un motor nuevo M06. Cuando hay patrón declarado o confirmado, M06 conserva frecuencia permitida (mensual/anual/único), fecha ancla y decisión. Cuando solo hay candidatos, no crea obligaciones futuras definitivas. Rechazar preserva el caso puntual y evita insistir por reintentos de los mismos datos.</w:t>
      </w:r>
    </w:p>
    <w:p>
      <w:r>
        <w:rPr>
          <w:rFonts w:ascii="Calibri" w:hAnsi="Calibri"/>
        </w:rPr>
        <w:t>La generación es idempotente por usuario + patrón + período/ocurrencia; la revisión del patrón no crea una segunda instancia del mismo período. Cada instancia conserva identidad, fecha y estado propios; ninguna nace Pagado por copiar un pago anterior.</w:t>
      </w:r>
    </w:p>
    <w:p>
      <w:r>
        <w:rPr>
          <w:rFonts w:ascii="Calibri" w:hAnsi="Calibri"/>
        </w:rPr>
        <w:t>Corregir una instancia no reescribe pagos pasados ni el resto de la serie por defecto. Un cambio explícito del patrón crea una versión y revalida solo instancias futuras dependientes sin borrar hechos confirmados. Un cambio material o dato contradictorio vuelve a revisión antes de generar.</w:t>
      </w:r>
    </w:p>
    <w:p>
      <w:r>
        <w:rPr>
          <w:rFonts w:ascii="Calibri" w:hAnsi="Calibri"/>
        </w:rPr>
        <w:t>Si el ancla conocida cae en un dia inexistente del periodo, usar el ultimo dia civil valido preservando el ancla original. La ocurrencia queda marcada como ajustada por calendario, no como fecha inferida por falta de datos. Si el dia/ancla no esta suficientemente determinado, no inventar fecha: mantener revision y solicitar Confirmar/Completar fecha.</w:t>
      </w:r>
    </w:p>
    <w:p>
      <w:r>
        <w:rPr>
          <w:rFonts w:ascii="Calibri" w:hAnsi="Calibri"/>
        </w:rPr>
        <w:t>No introducir posponer, recordatorios avanzados por compromiso, cancelación comercial de suscripciones ni predicción libre. La confirmación local del patrón no cancela un servicio externo.</w:t>
      </w:r>
    </w:p>
    <w:p>
      <w:r>
        <w:rPr>
          <w:rFonts w:ascii="Calibri" w:hAnsi="Calibri"/>
        </w:rPr>
        <w:t>Contrato del productor transversal para recurrencia detectada: pattern_candidate_id, source_event_ids distintos, observed_dates o períodos y su precisión, campos comparados, frecuencia propuesta, rule_version y confidence. M06 valida que la frecuencia sea mensual/anual y que haya al menos dos ocurrencias económicas distintas compatibles con esa hipótesis antes de presentar Recurrente probable; esto no obliga al productor a usar un detector específico ni confirma el patrón. Una sola ocurrencia puede ser compromiso puntual o declaración manual explicita de recurrencia; nunca evidencia histórica de repetición.</w:t>
      </w:r>
    </w:p>
    <w:p>
      <w:r>
        <w:rPr>
          <w:rFonts w:ascii="Calibri" w:hAnsi="Calibri"/>
        </w:rPr>
        <w:t>Patron manual/confirmado con ancla valida: mensual avanza desde el ancla original y anual conserva mes/dia. Una ancla 31 usa 28/29 en febrero y vuelve a 31 cuando exista; 29-feb anual usa 28-feb en no bisiesto y recupera 29-feb cuando exista. Si la ancla es desconocida, effective_due_date queda no evaluable hasta confirmacion. Generacion idempotente; no serie infinita.</w:t>
      </w:r>
    </w:p>
    <w:p>
      <w:r>
        <w:rPr>
          <w:rFonts w:ascii="Calibri" w:hAnsi="Calibri"/>
        </w:rPr>
        <w:t>Decision cerrada: D-M06-REC-CALENDAR-01; REASK=NO. Queda solo verificacion de materializacion en walkthrough.</w:t>
      </w:r>
    </w:p>
    <w:p>
      <w:pPr>
        <w:pStyle w:val="Caption"/>
      </w:pPr>
      <w:r>
        <w:rPr>
          <w:rFonts w:ascii="Calibri" w:hAnsi="Calibri"/>
        </w:rPr>
        <w:t>Reglas: M06-RGL-025, M06-RGL-026, M06-RGL-027 | Casos: CTEST-M06-019, CTEST-M06-020, CTEST-M06-021</w:t>
      </w:r>
    </w:p>
    <w:p>
      <w:pPr>
        <w:pStyle w:val="Caption"/>
      </w:pPr>
      <w:r>
        <w:rPr>
          <w:rFonts w:ascii="Calibri" w:hAnsi="Calibri"/>
        </w:rPr>
        <w:t>Provenance: F3:T12,T34-T36; F5:T20; BTR:02_Reglas_Walvy; PDI:01_Matriz_Maestra</w:t>
      </w:r>
    </w:p>
    <w:p>
      <w:pPr>
        <w:pStyle w:val="Heading1"/>
      </w:pPr>
      <w:r>
        <w:rPr>
          <w:rFonts w:ascii="Calibri" w:hAnsi="Calibri"/>
        </w:rPr>
        <w:t>CT-M06-09 | Resumen y colas: tres universos distintos</w:t>
      </w:r>
    </w:p>
    <w:p>
      <w:r>
        <w:rPr>
          <w:rFonts w:ascii="Calibri" w:hAnsi="Calibri"/>
        </w:rPr>
        <w:t>U_mes = IDs canónicos distintos de compromisos confirmados con vencimiento en el mes visible y estado Pendiente, Próximo, Vencido o Pagado. Excluir borrador, detectado, revisión, duplicado probable, descartado y patrón sin instancia. Una relación o alias adicional no agrega otro compromiso.</w:t>
      </w:r>
    </w:p>
    <w:p>
      <w:r>
        <w:rPr>
          <w:rFonts w:ascii="Calibri" w:hAnsi="Calibri"/>
        </w:rPr>
        <w:t>Compromisos del mes = |U_mes|. Vencidos del mes = elementos Vencido de U_mes. Compromisos al día = (|U_mes| - vencidos)/|U_mes| * 100. Pagado es solo un subconjunto de al día: también cuentan Pendiente/Próximo no vencidos. Con denominador cero: sin porcentaje, nunca 0% ni 100%.</w:t>
      </w:r>
    </w:p>
    <w:p>
      <w:r>
        <w:rPr>
          <w:rFonts w:ascii="Calibri" w:hAnsi="Calibri"/>
        </w:rPr>
        <w:t>Calcular con precisión completa y mostrar entero con redondeo decimal convencional, sin redondear los umbrales antes de clasificar. El ejemplo visual 29% no es fuente de fórmula.</w:t>
      </w:r>
    </w:p>
    <w:p>
      <w:r>
        <w:rPr>
          <w:rFonts w:ascii="Calibri" w:hAnsi="Calibri"/>
        </w:rPr>
        <w:t>Detectados por revisar = candidatos únicos vivos Detectado/Requiere revisión que requieren acción de confirmación, sin limitar al mes; no sumar los grupos especializados de duplicado, recurrencia probable ni pago realizado probable. Es una cola distinta del denominador de compromisos.</w:t>
      </w:r>
    </w:p>
    <w:p>
      <w:r>
        <w:rPr>
          <w:rFonts w:ascii="Calibri" w:hAnsi="Calibri"/>
        </w:rPr>
        <w:t>Un resumen vacio no declara salud perfecta, ausencia de deudas ni falta de urgencias de otros períodos. Mostrar diferencia entre sin registros, sin compromisos en el período, sin próximos y datos insuficientes, con CTA de registro/revisión seguro.</w:t>
      </w:r>
    </w:p>
    <w:p>
      <w:r>
        <w:rPr>
          <w:rFonts w:ascii="Calibri" w:hAnsi="Calibri"/>
        </w:rPr>
        <w:t>Un pago completo confirmado después del vencimiento deja de ser Vencido en el snapshot actual, aunque el historial conserve que estuvo atrasado. Compromisos al día no es una tasa histórica de puntualidad. No cambiar su fórmula para premiar o penalizar fechas pasadas.</w:t>
      </w:r>
    </w:p>
    <w:p>
      <w:r>
        <w:rPr>
          <w:rFonts w:ascii="Calibri" w:hAnsi="Calibri"/>
        </w:rPr>
        <w:t>El ejemplo visual con 17 confirmados, 2 vencidos, 10 próximos y 5 pagados debe mostrar 15/17 = 88% al día, no 5/17 = 29%. El ejemplo no cambia la fórmula corroborada D-M06-CALC-02.</w:t>
      </w:r>
    </w:p>
    <w:p>
      <w:pPr/>
      <w:r>
        <w:rPr>
          <w:rFonts w:ascii="Calibri" w:hAnsi="Calibri"/>
        </w:rPr>
        <w:t>El resumen y sus subcontadores usan la misma U_mes: Pendientes + Proximos + Vencidos + Pagados = total. Los bloques de accion pueden incluir otras fechas o colas y deben explicitar su alcance; no se suman al resumen como si compartieran denominador. Los numeros de Figma son ejemplos, nunca constantes de contrato. Confirmados es condicion del agregado, no un estado temporal nuevo; el label de consulta puede ser Compromisos del mes.</w:t>
      </w:r>
    </w:p>
    <w:p>
      <w:pPr>
        <w:pStyle w:val="Caption"/>
      </w:pPr>
      <w:r>
        <w:rPr>
          <w:rFonts w:ascii="Calibri" w:hAnsi="Calibri"/>
        </w:rPr>
        <w:t>Reglas: M06-RGL-035, M06-RGL-036, M06-RGL-037 | Casos: CTEST-M06-022, CTEST-M06-023, CTEST-M06-024</w:t>
      </w:r>
    </w:p>
    <w:p>
      <w:pPr>
        <w:pStyle w:val="Caption"/>
      </w:pPr>
      <w:r>
        <w:rPr>
          <w:rFonts w:ascii="Calibri" w:hAnsi="Calibri"/>
        </w:rPr>
        <w:t>Provenance: BTR:02_Reglas_Walvy!39-41; PDI:01_Matriz_Maestra!196-201</w:t>
      </w:r>
    </w:p>
    <w:p>
      <w:pPr>
        <w:pStyle w:val="Heading1"/>
      </w:pPr>
      <w:r>
        <w:rPr>
          <w:rFonts w:ascii="Calibri" w:hAnsi="Calibri"/>
        </w:rPr>
        <w:t>CT-M06-10 | Severidad local y lectura de flujo sin motores paralelos</w:t>
      </w:r>
    </w:p>
    <w:p>
      <w:r>
        <w:rPr>
          <w:rFonts w:ascii="Calibri" w:hAnsi="Calibri"/>
        </w:rPr>
        <w:t>M06 consume ratio mensual normalizado y contexto de deterioro con fuente, período, calidad, evaluación y versión. No recalcula presupuesto desde gastos crudos ni suma liquidez financiada, ahorro acumulado o patrimonio como ingreso para mejorar el ratio. Ratio no evaluable se conserva como tal, nunca se reemplaza por cero.</w:t>
      </w:r>
    </w:p>
    <w:p>
      <w:r>
        <w:rPr>
          <w:rFonts w:ascii="Calibri" w:hAnsi="Calibri"/>
        </w:rPr>
        <w:t>Bandas históricas M06 de lectura operativa: &lt;50%, 50-&lt;80%, 80-&lt;90%, 90-&lt;100%, 100-&lt;110%, &gt;=110%. El 80% es preventivo; no activa Ruta Despeje. Las bandas no sustituyen el Estado Financiero único M01 ni C/K/D de M04.</w:t>
      </w:r>
    </w:p>
    <w:p>
      <w:r>
        <w:rPr>
          <w:rFonts w:ascii="Calibri" w:hAnsi="Calibri"/>
        </w:rPr>
        <w:t>Con fecha confiable, Próximo tiene base Atención y Vencido base Urgente. La escalada económica requiere datos suficientes: Próximo puede escalar a Urgente con ratio &gt;=90% o deterioro confirmado pertinente; Vencido puede escalar a Crítica con ratio &gt;=110% o deterioro confirmado que la justifique. No usar monto CLP aislado ni un dato inferido sin validación para escalar.</w:t>
      </w:r>
    </w:p>
    <w:p>
      <w:r>
        <w:rPr>
          <w:rFonts w:ascii="Calibri" w:hAnsi="Calibri"/>
        </w:rPr>
        <w:t>Baja confianza o contradicción en fecha/identidad impide una alerta temporal concluyente. Falta de monto impide escalada que depende del impacto de ese monto, pero no borra un vencimiento cierto. La evidencia de deterioro debe pertenecer a la misma obligación/ciclo/período; un parcial previo al cierre no es deterioro final.</w:t>
      </w:r>
    </w:p>
    <w:p>
      <w:r>
        <w:rPr>
          <w:rFonts w:ascii="Calibri" w:hAnsi="Calibri"/>
        </w:rPr>
        <w:t>Para mensajes de flujo: 80-&lt;90% preventivo; 90-&lt;110% revisión prioritaria; &gt;=110% criticidad solo si base suficiente. Persistencia estructural exige al menos dos ciclos evaluables; registros duplicados del mismo ciclo no cuentan como recurrencia.</w:t>
      </w:r>
    </w:p>
    <w:p>
      <w:r>
        <w:rPr>
          <w:rFonts w:ascii="Calibri" w:hAnsi="Calibri"/>
        </w:rPr>
        <w:t>Home prioriza señales recibidas; M04 evalua deuda bajo presión y su elegibilidad. M06 puede derivar a revisión de deuda pero nunca activar Ruta, seleccionar deuda prioritaria ni prometer un pago sugerido.</w:t>
      </w:r>
    </w:p>
    <w:p>
      <w:r>
        <w:rPr>
          <w:rFonts w:ascii="Calibri" w:hAnsi="Calibri"/>
        </w:rPr>
        <w:t>Entrada de escalada por deuda: señal vigente del owner M04 ligada a la misma obligación/ciclo y con motivo trazable de deterioro, as_of, versión y quality sufficient. Se acepta solo la elegibilidad de escalada entregada por ese owner, no cualquier deuda asociada ni D deducido localmente. Si falta dicha señal, la escalada solo puede apoyarse en ratio mensual canónico confiable; de lo contrario permanece la base temporal/revisión. Un ciclo parcial no reconciliado no satisface esta via.</w:t>
      </w:r>
    </w:p>
    <w:p>
      <w:r>
        <w:rPr>
          <w:rFonts w:ascii="Calibri" w:hAnsi="Calibri"/>
        </w:rPr>
        <w:t>Prioridad local de propuestas: Crítica P0; Urgente P1; Atención P2; Informativa accionable P3, con la especificidad del catálogo M02 prevaleciendo. No todas las filas informativas generan situación comunicable. Dentro de la misma familia/severidad, vencimiento más antiguo primero y luego ID estable; el selector Home/M02 conserva la decisión global.</w:t>
      </w:r>
    </w:p>
    <w:p>
      <w:r>
        <w:rPr>
          <w:rFonts w:ascii="Calibri" w:hAnsi="Calibri"/>
        </w:rPr>
        <w:t>DER-M06-100-01: ratio exactamente 100% implica egresos proyectados iguales a ingresos y margen cero; no saldo negativo aritmético. Solo &gt;100% implica déficit proyectado. Se preservan fronteras de acción 90/100/110 y no se crea un semáforo owner nuevo. La etiqueta histórica Flujo negativo desde 100 se precisa para no contradecir la fórmula canónica.</w:t>
      </w:r>
    </w:p>
    <w:p>
      <w:pPr/>
      <w:r>
        <w:rPr>
          <w:rFonts w:ascii="Calibri" w:hAnsi="Calibri"/>
        </w:rPr>
        <w:t>El bloque Vinculado a Ruta Despeje requiere simultaneamente route_status=active y relacion vigente de este compromiso con esa Ruta, ambos informados por M04. La elegibilidad sin activacion no satisface ese badge. Una accion de entrada elegible, si M04 la devuelve, usa su CTA/destino propios sin declararse Vinculado. Sin estado confiable/relacion o sin elegibilidad se conserva la accion M06 y no se inventa una Ruta.</w:t>
      </w:r>
    </w:p>
    <w:p>
      <w:pPr/>
      <w:r>
        <w:rPr>
          <w:rFonts w:ascii="Calibri" w:hAnsi="Calibri"/>
        </w:rPr>
        <w:t>La paleta representa estado o severidad local explicitados y emplea tokens del sistema de diseno; no introduce umbrales nuevos de color basados en el porcentaje de pagos. Sin vencidos no acredita salud global verde. Origen, confianza y suficiencia son ejes distintos, aunque compartan espacio de detalle.</w:t>
      </w:r>
    </w:p>
    <w:p>
      <w:pPr>
        <w:pStyle w:val="Caption"/>
      </w:pPr>
      <w:r>
        <w:rPr>
          <w:rFonts w:ascii="Calibri" w:hAnsi="Calibri"/>
        </w:rPr>
        <w:t>Reglas: M06-RGL-014, M06-RGL-015, M06-RGL-016, M06-RGL-029, M06-RGL-031, M06-RGL-032, M06-RGL-039 | Casos: CTEST-M06-025, CTEST-M06-026, CTEST-M06-027</w:t>
      </w:r>
    </w:p>
    <w:p>
      <w:pPr>
        <w:pStyle w:val="Caption"/>
      </w:pPr>
      <w:r>
        <w:rPr>
          <w:rFonts w:ascii="Calibri" w:hAnsi="Calibri"/>
        </w:rPr>
        <w:t>Provenance: F3:T04,T07,T08,T17-T18; BTR:02_Reglas_Walvy!19-20,43; M01:Anexos Producto!108-131; M02II:T79</w:t>
      </w:r>
    </w:p>
    <w:p>
      <w:pPr>
        <w:pStyle w:val="Heading1"/>
      </w:pPr>
      <w:r>
        <w:rPr>
          <w:rFonts w:ascii="Calibri" w:hAnsi="Calibri"/>
        </w:rPr>
        <w:t>CT-M06-11 | Tarjeta de crédito: separación de hechos y precisión de fuente</w:t>
      </w:r>
    </w:p>
    <w:p>
      <w:r>
        <w:rPr>
          <w:rFonts w:ascii="Calibri" w:hAnsi="Calibri"/>
        </w:rPr>
        <w:t>Separar: cuota facturada del período -&gt; gasto M05; cuotas futuras identificadas -&gt; compromisos M06; total facturado/vencimiento/mínimo -&gt; obligación del ciclo M06; pago de cartola -&gt; estado de pago M06, sin nuevo gasto M05. No sumar otra vez el total facturado a sus componentes como compromisos económicos equivalentes.</w:t>
      </w:r>
    </w:p>
    <w:p>
      <w:r>
        <w:rPr>
          <w:rFonts w:ascii="Calibri" w:hAnsi="Calibri"/>
        </w:rPr>
        <w:t>El mínimo es un dato de control, no pago recomendado ni saldo total de la obligación. Mínimo cero no equivale a cartola pagada; total facturado, deuda total de tarjeta, cupo usado y saldo futuro son conceptos distintos.</w:t>
      </w:r>
    </w:p>
    <w:p>
      <w:r>
        <w:rPr>
          <w:rFonts w:ascii="Calibri" w:hAnsi="Calibri"/>
        </w:rPr>
        <w:t>Monto pagado del período anterior textual tiene prioridad para ese monto: conservar valor absoluto para cálculo y signo original en metadata restringida. Buscar MONTO CANCELADO coincidente o suma coherente dentro del período para fechas. Si intervienen varios pagos, conservar sus fechas y período; no inventar una fecha única para el monto agregado.</w:t>
      </w:r>
    </w:p>
    <w:p>
      <w:r>
        <w:rPr>
          <w:rFonts w:ascii="Calibri" w:hAnsi="Calibri"/>
        </w:rPr>
        <w:t>Sin movimiento fechado, conservar período/mes de referencia: no estimar un día. Grafica histórica es respaldo de menor precisión, no reemplazo del texto. Ausencia de monto/fecha -&gt; No informado y revisión dirigida.</w:t>
      </w:r>
    </w:p>
    <w:p>
      <w:r>
        <w:rPr>
          <w:rFonts w:ascii="Calibri" w:hAnsi="Calibri"/>
        </w:rPr>
        <w:t>Documento TC más específico gobierna datos de su ciclo frente a resumen menos preciso; no convertir madurez final de un crédito en vencimiento mensual. Conflictos materiales se revisan; conservar versiones/provenance y no resolverlos por el último archivo recibido sin considerar período.</w:t>
      </w:r>
    </w:p>
    <w:p>
      <w:r>
        <w:rPr>
          <w:rFonts w:ascii="Calibri" w:hAnsi="Calibri"/>
        </w:rPr>
        <w:t>Open Finance TC no facturado permanece DIFERIDO_EXPLICITO/NO_EVALUABLE. No tiene un fallback que convierta consumos no facturados en obligaciones ciertas; se requiere contrato reproducible del productor para activar ese alcance.</w:t>
      </w:r>
    </w:p>
    <w:p>
      <w:r>
        <w:rPr>
          <w:rFonts w:ascii="Calibri" w:hAnsi="Calibri"/>
        </w:rPr>
        <w:t>Para evitar doble exigible, cada cuota facturada/futura enlaza obligation_root y cycle_id o período. El total facturado es el exigible del ciclo: no sumarlo otra vez junto con sus componentes como compromiso independiente en la proyección. El usuario puede ver detalle y total sin que ambos se cuenten como dos pagos pendientes. Total/mínimo/cupo/deuda total son magnitudes distintas.</w:t>
      </w:r>
    </w:p>
    <w:p>
      <w:r>
        <w:rPr>
          <w:rFonts w:ascii="Calibri" w:hAnsi="Calibri"/>
        </w:rPr>
        <w:t>La asignación a gasto de cuota facturada conserva período de facturación; la fecha de pago de la cartola no traslada ese gasto al período del pago. Si no puede identificarse ciclo/período con suficiencia, mantener provisional o revisión bajo M05, nunca inventar fecha.</w:t>
      </w:r>
    </w:p>
    <w:p>
      <w:r>
        <w:rPr>
          <w:rFonts w:ascii="Calibri" w:hAnsi="Calibri"/>
        </w:rPr>
        <w:t>Nota de crédito o ajuste TC: enlazar al movimiento/ciclo original y distinguir si ya está incluido en el total facturado. Si está incluido, no restarlo nuevamente. Un ajuste posterior confirmado puede actualizar la obligación una sola vez con provenance y versión; relación dudosa -&gt; revisión. No convertir la nota de crédito en ingreso líquido ni mejorar capacidad de ahorro de caja desde M06; M05 gobierna su tratamiento.</w:t>
      </w:r>
    </w:p>
    <w:p>
      <w:r>
        <w:rPr>
          <w:rFonts w:ascii="Calibri" w:hAnsi="Calibri"/>
        </w:rPr>
        <w:t>Referencia intermodular exclusivamente: M06 no incorpora soporte, parser ni ruta CMF/SFA. Si M04 entrega hechos documentales ya gobernados, conserva la precedencia de su contrato: para deuda no TC, el documento es fuente principal salvo instrumento específico más preciso; para TC con cartola, es contraste/fallback y no reemplaza ciclo mensual. En el owner M04, sin cartola el dato solo aporta referencia parcial: no inventar próximo vencimiento mensual, último pago, cuota actual/total, pago mínimo TC ni movimientos unitarios. Vencimiento final de crédito conserva label distinto. La identidad de deuda se concilia con M04; no crear dos deudas por informe CMF y cartola.</w:t>
      </w:r>
    </w:p>
    <w:p>
      <w:r>
        <w:rPr>
          <w:rFonts w:ascii="Calibri" w:hAnsi="Calibri"/>
        </w:rPr>
        <w:t>Mora reportada en documento autorizado puede producir una señal de revisión/evaluación M04 con tramo/monto y calidad; no implica activación de Ruta, reporte comercial externo ni certificación jurídica. Último pago y fecha no se obtienen de CMF. Un documento sin granularidad de movimientos no produce gasto M05 por inferencia.</w:t>
      </w:r>
    </w:p>
    <w:p>
      <w:r>
        <w:rPr>
          <w:rFonts w:ascii="Calibri" w:hAnsi="Calibri"/>
        </w:rPr>
        <w:t>Precedencia de alcance: M06-DOC-001/M06-DOC-002 excluyen compatibilidad específica CMF/SFA del MVP M06. Las menciones históricas del Anexo TC sobre lectura CMF solo se conservan como provenance/contrato del owner M04; no habilitan una nueva entrada M06. Un hecho recibido de M04 se válida como payload de dominio, no como documento CMF abierto por M06.</w:t>
      </w:r>
    </w:p>
    <w:p>
      <w:pPr>
        <w:pStyle w:val="Caption"/>
      </w:pPr>
      <w:r>
        <w:rPr>
          <w:rFonts w:ascii="Calibri" w:hAnsi="Calibri"/>
        </w:rPr>
        <w:t>Reglas: M06-RGL-007, M06-RGL-020, M06-RGL-021, M06-RGL-031, M06-RGL-032, M06-RGL-033 | Casos: CTEST-M06-028, CTEST-M06-029, CTEST-M06-030</w:t>
      </w:r>
    </w:p>
    <w:p>
      <w:pPr>
        <w:pStyle w:val="Caption"/>
      </w:pPr>
      <w:r>
        <w:rPr>
          <w:rFonts w:ascii="Calibri" w:hAnsi="Calibri"/>
        </w:rPr>
        <w:t>Provenance: TC:T03-T13; M05BE:T08; M04BE:T16,T52; PDI:01_Matriz_Maestra!204-213</w:t>
      </w:r>
    </w:p>
    <w:p>
      <w:pPr>
        <w:pStyle w:val="Heading1"/>
      </w:pPr>
      <w:r>
        <w:rPr>
          <w:rFonts w:ascii="Calibri" w:hAnsi="Calibri"/>
        </w:rPr>
        <w:t>CT-M06-12 | Ciclo reconciliado, parcialidad y hechos hacia M04</w:t>
      </w:r>
    </w:p>
    <w:p>
      <w:r>
        <w:rPr>
          <w:rFonts w:ascii="Calibri" w:hAnsi="Calibri"/>
        </w:rPr>
        <w:t>Un ciclo tiene identidad de obligación, período y estado de reconciliación. Aportes/pagos se asignan una sola vez. pagado_ciclo = suma de asignaciones vigentes, conocidas y en la misma moneda/ciclo. saldo_pendiente = max(total_exigible - pagado_ciclo, 0) solo cuando ambos terminos son evaluables.</w:t>
      </w:r>
    </w:p>
    <w:p>
      <w:r>
        <w:rPr>
          <w:rFonts w:ascii="Calibri" w:hAnsi="Calibri"/>
        </w:rPr>
        <w:t>Si 0 &lt; pagado_ciclo &lt; total_exigible existe un hecho parcial; antes del cierre reconciliado es no concluyente para deterioro final. Al cierre, M04 interpreta parcial/mínimo/saldo arrastrado aislado o recurrente; M06 entrega los hechos, no D1/D2 calculados por su cuenta.</w:t>
      </w:r>
    </w:p>
    <w:p>
      <w:r>
        <w:rPr>
          <w:rFonts w:ascii="Calibri" w:hAnsi="Calibri"/>
        </w:rPr>
        <w:t>Un pago posterior completo o regularización invalida las señales anteriores pertinentes y dispara revaluación del owner. No mantener D deteriorado por una fotografia superada. Un ciclo con varios nombres de deterioro sigue siendo un ciclo, no tres recurrencias.</w:t>
      </w:r>
    </w:p>
    <w:p>
      <w:r>
        <w:rPr>
          <w:rFonts w:ascii="Calibri" w:hAnsi="Calibri"/>
        </w:rPr>
        <w:t>Unknown/contradicción en total, moneda, fecha o asignación -&gt; evaluación no concluyente y tarea de revisión acotada. Un sobrepago conocido no produce saldo negativo ni ingreso M05 por defecto; registrar diferencia para conciliación.</w:t>
      </w:r>
    </w:p>
    <w:p>
      <w:r>
        <w:rPr>
          <w:rFonts w:ascii="Calibri" w:hAnsi="Calibri"/>
        </w:rPr>
        <w:t>mora_confirmada para el Estado Financiero canónico exige obligación vencida, saldo pendiente confirmado y evidencia suficiente. Emitir explicación, fecha evaluada y versión; no inferir mora confirmada de falta de datos ni de un mínimo informativo.</w:t>
      </w:r>
    </w:p>
    <w:p>
      <w:r>
        <w:rPr>
          <w:rFonts w:ascii="Calibri" w:hAnsi="Calibri"/>
        </w:rPr>
        <w:t>Payload mínimo a M04: obligation_id, cycle_id/period, due_date_precision, evaluation_date, aging_days/band o unknown, due_amount/paid_amount/remaining_amount cuando conocidos, currency, payment_kind/final_cycle_facts, reconciled flag, recurrence_evidence, quality, source_refs y versión. Los nombres son lógicos; el contrato físico debe mapearlos sin pérdida.</w:t>
      </w:r>
    </w:p>
    <w:p>
      <w:pPr>
        <w:pStyle w:val="Caption"/>
      </w:pPr>
      <w:r>
        <w:rPr>
          <w:rFonts w:ascii="Calibri" w:hAnsi="Calibri"/>
        </w:rPr>
        <w:t>Reglas: M06-RGL-017, M06-RGL-019, M06-RGL-021, M06-RGL-032, M06-RGL-033 | Casos: CTEST-M06-031, CTEST-M06-032, CTEST-M06-033</w:t>
      </w:r>
    </w:p>
    <w:p>
      <w:pPr>
        <w:pStyle w:val="Caption"/>
      </w:pPr>
      <w:r>
        <w:rPr>
          <w:rFonts w:ascii="Calibri" w:hAnsi="Calibri"/>
        </w:rPr>
        <w:t>Provenance: M04BE:T16,T23,T52,T54; M04BDD:reglas ciclo reconciliado; TC:T12-T13; M01:Anexos Producto!121</w:t>
      </w:r>
    </w:p>
    <w:p>
      <w:pPr>
        <w:pStyle w:val="Heading1"/>
      </w:pPr>
      <w:r>
        <w:rPr>
          <w:rFonts w:ascii="Calibri" w:hAnsi="Calibri"/>
        </w:rPr>
        <w:t>CT-M06-13 | Sincronización M05-M06 y reconciliación sin doble efecto</w:t>
      </w:r>
    </w:p>
    <w:p>
      <w:r>
        <w:rPr>
          <w:rFonts w:ascii="Calibri" w:hAnsi="Calibri"/>
        </w:rPr>
        <w:t>M05 -&gt; M06: evento de movimiento detectado se recibe con propietario, identidad/versión, período, naturaleza, datos conocidos, confianza y origen. Crear/actualizar candidato, no compromiso confirmado por la mera llegada. Confirmar/corregir/rechazar retorna decisión correlacionada al productor.</w:t>
      </w:r>
    </w:p>
    <w:p>
      <w:r>
        <w:rPr>
          <w:rFonts w:ascii="Calibri" w:hAnsi="Calibri"/>
        </w:rPr>
        <w:t>M06 -&gt; M05: un compromiso confirmado aporta expectativa pendiente, no gasto ejecutado. Un pago confirmado busca movimiento canónico: si existe, link; si hay hecho económico suficiente y no hay movimiento, provisional con clave de reconciliación; si no implica nuevo efecto, no-op. La aplicación de presupuesto/scope pertenece a M05.</w:t>
      </w:r>
    </w:p>
    <w:p>
      <w:r>
        <w:rPr>
          <w:rFonts w:ascii="Calibri" w:hAnsi="Calibri"/>
        </w:rPr>
        <w:t>La importación posterior enlaza el movimiento real y sustituye el provisional correspondiente sin agregar otro gasto. Si hay múltiples matches o diferencias no resueltas, mantener revisión y un único efecto reconocido; no elegir por proximidad arbitraria.</w:t>
      </w:r>
    </w:p>
    <w:p>
      <w:r>
        <w:rPr>
          <w:rFonts w:ascii="Calibri" w:hAnsi="Calibri"/>
        </w:rPr>
        <w:t>Cada evento requiere event_id, producer, object_id, object_version, correlation/causation_id, user scope, effective_period, source_refs, quality y payload_type. El receptor deduplica event_id dentro del productor/usuario y registra outcome. Reintento identico devuelve outcome previo; contenido distinto con misma identidad es conflicto.</w:t>
      </w:r>
    </w:p>
    <w:p>
      <w:r>
        <w:rPr>
          <w:rFonts w:ascii="Calibri" w:hAnsi="Calibri"/>
        </w:rPr>
        <w:t>Versión antigua no pisa una nueva. El consumidor valida permiso y ownership, resuelve entrega fuera de orden contra versión vigente y no repite efectos. El retorno incluye applied/no_op/pending_review/rejected/conflict y correlación; un fallo técnico queda reintentable sin confirmar localmente un efecto remoto inexistente.</w:t>
      </w:r>
    </w:p>
    <w:p>
      <w:r>
        <w:rPr>
          <w:rFonts w:ascii="Calibri" w:hAnsi="Calibri"/>
        </w:rPr>
        <w:t>Corregir o revertir genera nuevo evento que revierte solo el efecto ligado al original. Suprimir por PD invalida también colas/derivados y rechaza replay tardío con tombstone mínimo sin payload. Reconciliar paga/pendiente evita que la misma obligación contribuya como gasto ejecutado y compromiso pendiente simultaneamente.</w:t>
      </w:r>
    </w:p>
    <w:p>
      <w:r>
        <w:rPr>
          <w:rFonts w:ascii="Calibri" w:hAnsi="Calibri"/>
        </w:rPr>
        <w:t>No imponer microservicios, buses o outbox como producto nuevo. La implementación debe acreditar efecto lógico único frente a doble clic, reintento, concurrencia, caida entre persistencia y envio, entrega fuera de orden y recuperación; el mecanismo técnico puede variar.</w:t>
      </w:r>
    </w:p>
    <w:p>
      <w:pPr>
        <w:pStyle w:val="Caption"/>
      </w:pPr>
      <w:r>
        <w:rPr>
          <w:rFonts w:ascii="Calibri" w:hAnsi="Calibri"/>
        </w:rPr>
        <w:t>Reglas: M06-RGL-009, M06-RGL-010, M06-RGL-011, M06-RGL-017, M06-RGL-019, M06-RGL-021, M06-RGL-024, M06-RGL-031 | Casos: CTEST-M06-034, CTEST-M06-035, CTEST-M06-036, CTEST-M06-037</w:t>
      </w:r>
    </w:p>
    <w:p>
      <w:pPr>
        <w:pStyle w:val="Caption"/>
      </w:pPr>
      <w:r>
        <w:rPr>
          <w:rFonts w:ascii="Calibri" w:hAnsi="Calibri"/>
        </w:rPr>
        <w:t>Provenance: M05BE:T08,P101-P103; M01:Anexos Producto!119,125; F5:T19-T20; PDI:01_Matriz_Maestra!210</w:t>
      </w:r>
    </w:p>
    <w:p>
      <w:pPr>
        <w:pStyle w:val="Heading1"/>
      </w:pPr>
      <w:r>
        <w:rPr>
          <w:rFonts w:ascii="Calibri" w:hAnsi="Calibri"/>
        </w:rPr>
        <w:t>CT-M06-14 | Situaciones, avisos y preferencias: contrato con M02</w:t>
      </w:r>
    </w:p>
    <w:p>
      <w:r>
        <w:rPr>
          <w:rFonts w:ascii="Calibri" w:hAnsi="Calibri"/>
        </w:rPr>
        <w:t>Separar evento, estado de dominio, situación pendiente y comunicación. Una situación nace cuando una regla produce necesidad accionable; se actualiza al cambiar hechos y se cierra solo cuando la condición desaparece o la acción queda efectivamente resuelta. Abrir, leer, visitar o desactivar canal no la cierra.</w:t>
      </w:r>
    </w:p>
    <w:p>
      <w:r>
        <w:rPr>
          <w:rFonts w:ascii="Calibri" w:hAnsi="Calibri"/>
        </w:rPr>
        <w:t>M06 produce candidatas con razón, prioridad propuesta, versión, vigencia, CTA/destino y criterio de resolución. El selector transversal conserva una prioridad activa; M06 no impone un ganador global ni replica las reglas de M04/M05.</w:t>
      </w:r>
    </w:p>
    <w:p>
      <w:r>
        <w:rPr>
          <w:rFonts w:ascii="Calibri" w:hAnsi="Calibri"/>
        </w:rPr>
        <w:t>D-M06-ALERTA-MVP-01: el MVP no expone el control local `Activar alerta` ni un recordatorio individual adicional. `Recordarme este pago` queda en backlog. Esta decision no altera el estado ni las señales de dominio, no suprime avisos automaticos y no modifica preferencias, consentimiento o permisos M02.</w:t>
      </w:r>
    </w:p>
    <w:p>
      <w:r>
        <w:rPr>
          <w:rFonts w:ascii="Calibri" w:hAnsi="Calibri"/>
        </w:rPr>
        <w:t>Mis Avisos se organiza en 7 familias canónicas activas F1–F7. Los 17 AVI-M06 se conservan como correspondencia histórica: 7 referencias principales y 10 variantes/state/reason/pending/contexto/derivaciones sin autonomía. AVI-M06-002/010 se absorben en F2; 007/013 en F4; 014 en F6; 004/012/016 no son familias; 011 es quality reason; 017 es derivación hacia M04.</w:t>
      </w:r>
    </w:p>
    <w:p>
      <w:r>
        <w:rPr>
          <w:rFonts w:ascii="Calibri" w:hAnsi="Calibri"/>
        </w:rPr>
        <w:t>Para proximidad/vencimiento/criticidad (005/006/007), el hito inicial es la transición válida a la situación; requiere compromiso confirmado, fecha exacta, prioridad transversal activa, dato suficiente y canal autorizado. No existe recordatorio individual adicional en este MVP. Se conserva N=7 y se comprueba estado nuevamente inmediatamente antes de entregar.</w:t>
      </w:r>
    </w:p>
    <w:p>
      <w:r>
        <w:rPr>
          <w:rFonts w:ascii="Calibri" w:hAnsi="Calibri"/>
        </w:rPr>
        <w:t>Recomendada limita reiteración: vencida/crítica/vencimiento hoy máximo una cada 24h; accionable sin urgencia inmediata cada 3 días; preventiva cada 7 días. Cada 3 días y Semanalmente limitan reiteración de la misma prioridad; Solo una vez permite inicial, no repetición. Un límite cumplido no obliga a enviar.</w:t>
      </w:r>
    </w:p>
    <w:p>
      <w:r>
        <w:rPr>
          <w:rFonts w:ascii="Calibri" w:hAnsi="Calibri"/>
        </w:rPr>
        <w:t>Un ciclo comunicacional elige un canal principal. Para urgencia temporal se recomienda dispositivo; correo solo en un ciclo posterior si catálogo/consentimiento/preferencias lo permiten. Sin canal elegible queda in-app. No duplicar push+correo ni compensar un canal bloqueado aumentando intentos.</w:t>
      </w:r>
    </w:p>
    <w:p>
      <w:r>
        <w:rPr>
          <w:rFonts w:ascii="Calibri" w:hAnsi="Calibri"/>
        </w:rPr>
        <w:t>Dedupe comunicacional: usuario + situación + versión/transición relevante + ciclo comunicacional + canal/outcome. Un cambio de versión técnico sin cambio de necesidad no renueva el aviso inicial; una escalada real reevalua prioridad pero no habilita duplicar el mismo hecho equivalente.</w:t>
      </w:r>
    </w:p>
    <w:p>
      <w:r>
        <w:rPr>
          <w:rFonts w:ascii="Calibri" w:hAnsi="Calibri"/>
        </w:rPr>
        <w:t>El contenido externo es genérico y minimizado, sin monto, institución, glosa ni detalles financieros en pantalla bloqueada. Un deep link autentica y autoriza el objeto al abrir; si ya está resuelto, mostrar estado vigente sin ejecutar la acción antigua.</w:t>
      </w:r>
    </w:p>
    <w:p>
      <w:r>
        <w:rPr>
          <w:rFonts w:ascii="Calibri" w:hAnsi="Calibri"/>
        </w:rPr>
        <w:t>M06 no decide el winner Home ni habilita canal externo por inferencia. M06 publica familia/situación suficiente con estado/hecho, prioridad local, CTA/destino, vigencia, resolución y quality/provenance; M03/Home orquesta competencia/superficie y M02 gobierna consentimiento, canal, cadencia y dedupe. La dependencia histórica de entrega externa AVI-M06-003/004 se conserva como lineage: afecta la variante F2 y un state no autónomo, no crea dos familias adicionales.</w:t>
      </w:r>
    </w:p>
    <w:p>
      <w:r>
        <w:rPr>
          <w:rFonts w:ascii="Calibri" w:hAnsi="Calibri"/>
        </w:rPr>
        <w:t>Ventana externa de 005: mientras el compromiso confirmado permanezca Proximo (0 &lt;= delta &lt;= N); 006: mientras Vencido y no Critico confiable; 007: mientras persista la criticidad confiable de Vencido. Cambiar de ventana sustituye la familia anterior para el mismo objeto. La nueva prioridad activa puede originar aviso inicial; reevaluacion sin cambio de necesidad no renueva el hito. Ante pago, correccion, descarte o supresion, reevaluar el predicado: cerrar solo si la necesidad desaparece o queda efectivamente resuelta. Un abono parcial con deuda vigente no cierra el aviso de vencimiento; cambia familia solo cuando corresponde al nuevo estado.</w:t>
      </w:r>
    </w:p>
    <w:p>
      <w:r>
        <w:rPr>
          <w:rFonts w:ascii="Calibri" w:hAnsi="Calibri"/>
        </w:rPr>
        <w:t>Para F3/F4, la entrega externa consume el contrato M02 vigente y la condición se revalida antes de enviar. Para la variante histórica AVI-M06-003 y el state AVI-M06-004, M06 no habilita entrega externa por inferencia: la decisión pertenece a M03/M02. El resto del contrato local M06 no espera esa dependencia.</w:t>
      </w:r>
    </w:p>
    <w:p>
      <w:r>
        <w:rPr>
          <w:rFonts w:ascii="Calibri" w:hAnsi="Calibri"/>
        </w:rPr>
        <w:t>Para Recomendada, 005 con delta=0 usa límite 24h; con delta&gt;0 es accionable proxima y usa 3 días. 006/007 usan 24h. La cadencia corre desde el último envio efectivo equivalente; un intento fallido no confirma entrega ni autoriza otro canal simultaneo. Un mismo ciclo de entrega tiene una identidad de intento/outcome persistida. Cambio de preferencia no crea necesidad nueva ni reinicia indebidamente contadores.</w:t>
      </w:r>
    </w:p>
    <w:p>
      <w:r>
        <w:rPr>
          <w:rFonts w:ascii="Calibri" w:hAnsi="Calibri"/>
        </w:rPr>
        <w:t>Esta definición completa exclusivamente el lado productor M06 de las condiciones pendientes de M02; no cambia sus preferencias ni edita su catálogo fuente. La implementación debe enlazar ambas versiones y demostrar supresión antes de habilitar envios. Gate B permanece sin evaluar.</w:t>
      </w:r>
    </w:p>
    <w:p>
      <w:r>
        <w:rPr>
          <w:rFonts w:ascii="Calibri" w:hAnsi="Calibri"/>
        </w:rPr>
        <w:t>No ejecutar una entrega opcional adicional atribuida al control local: D-M06-ALERTA-MVP-01 retira/oculta `Activar alerta` del MVP y difiere `Recordarme este pago`. Los avisos automáticos 005/006/007 mantienen su contrato M02 y no dependen de esa capacidad futura.</w:t>
      </w:r>
    </w:p>
    <w:p>
      <w:pPr/>
      <w:r>
        <w:rPr>
          <w:rFonts w:ascii="Calibri" w:hAnsi="Calibri"/>
        </w:rPr>
        <w:t>La deduplicacion in-app se evalua para la superficie actual: si el mismo objeto, necesidad y accion ya se resuelven en un bloque visible equivalente, no duplicar un banner. Un contador o una card colapsada que no permite resolver la necesidad no equivale automaticamente a resolucion visible. La supresion de esa presentacion no cierra Situation, no desactiva avisos externos y no suplanta el winner transversal M03/M02.</w:t>
      </w:r>
    </w:p>
    <w:p>
      <w:r>
        <w:rPr>
          <w:rFonts w:ascii="Calibri" w:hAnsi="Calibri"/>
        </w:rPr>
        <w:t>Frontera vigente: sin decisiones Producto nuevas; 15 ajustes Figma documentados y pendientes de materialización. Winner/superficie y entrega externa condicionada conservan ownership M03/M02. Implementación y compatibilidad nativa requieren evidencia.</w:t>
      </w:r>
    </w:p>
    <w:p>
      <w:pPr>
        <w:pStyle w:val="Caption"/>
      </w:pPr>
      <w:r>
        <w:rPr>
          <w:rFonts w:ascii="Calibri" w:hAnsi="Calibri"/>
        </w:rPr>
        <w:t>Reglas: M06-RGL-018, M06-RGL-019, M06-RGL-028, M06-RGL-029, M06-RGL-030, M06-RGL-034 | Casos: CTEST-M06-038, CTEST-M06-039, CTEST-M06-040, CTEST-M06-041</w:t>
      </w:r>
    </w:p>
    <w:p>
      <w:pPr>
        <w:pStyle w:val="Caption"/>
      </w:pPr>
      <w:r>
        <w:rPr>
          <w:rFonts w:ascii="Calibri" w:hAnsi="Calibri"/>
        </w:rPr>
        <w:t>Provenance: M02I:P159-P180,T13-T14,T18-T24; M02II:T65-T81; PDI:01_Matriz_Maestra!220; BTR:04_Pendientes_Dependencias</w:t>
      </w:r>
    </w:p>
    <w:p>
      <w:pPr>
        <w:pStyle w:val="Heading1"/>
      </w:pPr>
      <w:r>
        <w:rPr>
          <w:rFonts w:ascii="Calibri" w:hAnsi="Calibri"/>
        </w:rPr>
        <w:t>CT-M06-15 | Home, Perfil, M01 y taxonomía compartida</w:t>
      </w:r>
    </w:p>
    <w:p>
      <w:r>
        <w:rPr>
          <w:rFonts w:ascii="Calibri" w:hAnsi="Calibri"/>
        </w:rPr>
        <w:t>Home consume necesidad/estado vigente y devuelve navegación al objeto M06; no confirma pagos ni crea recurrencias dentro del dashboard. Un retorno conserva contexto de período/filtro, pero siempre consulta estado vigente antes de habilitar una acción.</w:t>
      </w:r>
    </w:p>
    <w:p>
      <w:r>
        <w:rPr>
          <w:rFonts w:ascii="Calibri" w:hAnsi="Calibri"/>
        </w:rPr>
        <w:t>M01 puede solicitar completar un dato de compromiso/pago/recurrencia en el owner M06 y recibir un retorno confirmado/corregido/cancelado. No crear otro formulario de compromisos dentro de onboarding. El resultado invalida el snapshot de diagnostico afectado, no un semáforo nuevo.</w:t>
      </w:r>
    </w:p>
    <w:p>
      <w:r>
        <w:rPr>
          <w:rFonts w:ascii="Calibri" w:hAnsi="Calibri"/>
        </w:rPr>
        <w:t>El aporte a M01/M05 distingue pendientes no ejecutados, vinculos a movimientos ejecutados y calidad/cobertura. Exponer subtotal conocido y cantidad de montos desconocidos; no presentar un total completo cuando falta monto. La proyección restante y el Estado Financiero son responsabilidad de sus owners.</w:t>
      </w:r>
    </w:p>
    <w:p>
      <w:r>
        <w:rPr>
          <w:rFonts w:ascii="Calibri" w:hAnsi="Calibri"/>
        </w:rPr>
        <w:t>Perfil recibe señal mínima de calidad/completitud con motivo y destino; no copia documentos, montos, glosas ni historial de pagos. Sus propias reglas deciden la materialización.</w:t>
      </w:r>
    </w:p>
    <w:p>
      <w:r>
        <w:rPr>
          <w:rFonts w:ascii="Calibri" w:hAnsi="Calibri"/>
        </w:rPr>
        <w:t>Categoría y subcategoría referencian IDs/versión del catálogo compartido. Nueva subcategoría requiere parent permitido, unicidad normalizada por usuario y catálogo, autorización y estado gobernado; no crea categoría maestra global. Mientras no exista decisión del catálogo, conservar sugerencia pendiente, no ID ficticio.</w:t>
      </w:r>
    </w:p>
    <w:p>
      <w:r>
        <w:rPr>
          <w:rFonts w:ascii="Calibri" w:hAnsi="Calibri"/>
        </w:rPr>
        <w:t>Subcategorías personalizadas: aplicar TX-007 del catálogo compartido, máximo 5 activas por categoría y usuario. Con 4 activas puede crearse la quinta; con 5, informar el límite y no crear una sexta. Editar una existente no consume otro cupo; reactivarla cuenta como activa. Una categoría o usuario distinto tiene su propio conteo. La capacidad transversal valida unicidad, permiso y cupo de forma atómica: dos altas concurrentes no pueden superar 5; un reintento no consume dos cupos. M06 conserva el formulario y explica el resultado, sin eliminar otra subcategoría ni cambiar la taxonomía global. Esta precisión no autoriza la promoción de sugerencias a categorías globales. Fuente: CAT:03_reglas_clasificacion!11 (TX-007); 05_modelo_bbdd!12/19; 07_mvp_vs_backlog!6.</w:t>
      </w:r>
    </w:p>
    <w:p>
      <w:r>
        <w:rPr>
          <w:rFonts w:ascii="Calibri" w:hAnsi="Calibri"/>
        </w:rPr>
        <w:t>Guardar filtros aplica los filtros expuestos y retorna; no prueba persistencia entre sesiones o dispositivos. El filtro no cambia los objetos, la cola de detección ni la prioridad transversal fuera de su superficie.</w:t>
      </w:r>
    </w:p>
    <w:p>
      <w:r>
        <w:rPr>
          <w:rFonts w:ascii="Calibri" w:hAnsi="Calibri"/>
        </w:rPr>
        <w:t>El subtotal de compromisos pendientes considera solo porción no ejecutada en el período objetivo, identidad canónica y moneda compatible. Un pago real/provisional ya reconocido como ejecutado no se suma de nuevo como pendiente. M06 entrega known_sum, unknown_amount_count, coverage_status, source_version y links; no sustituye el motor de proyección M05 ni inventa el total mensual cuando quedan desconocidos.</w:t>
      </w:r>
    </w:p>
    <w:p>
      <w:r>
        <w:rPr>
          <w:rFonts w:ascii="Calibri" w:hAnsi="Calibri"/>
        </w:rPr>
        <w:t>Filtro avanzado: mostrar solo categorías, estados de dato y relaciones/contextos presentes en registros accesibles. Dentro de una familia, selección múltiple usa OR; entre familias y rango/estado básico usa AND. Guardar aplica atómica y localmente; Cancelar conserva selección previa. Quitar el chip avanzado limpia solo filtros avanzados. Rango civil incluye extremos; ausencia de fecha excluye solo del filtro de fecha, no borra el registro. Esta es derivación técnica del filtro expuesto, no un nuevo atributo de dominio.</w:t>
      </w:r>
    </w:p>
    <w:p>
      <w:pPr/>
      <w:r>
        <w:rPr>
          <w:rFonts w:ascii="Calibri" w:hAnsi="Calibri"/>
        </w:rPr>
        <w:t>El alta de subcategoria vuelve al formulario de origen con su nueva referencia seleccionada solo tras exito del catalogo compartido. Cancelar o error no crean subcategoria y conservan los datos de captura. Si cambia la categoria, invalidar solo una referencia hija incompatible. La persistencia del compromiso y la del catalogo son operaciones distintas: no simular que guardar el texto crea automaticamente ambas.</w:t>
      </w:r>
    </w:p>
    <w:p>
      <w:pPr>
        <w:pStyle w:val="Caption"/>
      </w:pPr>
      <w:r>
        <w:rPr>
          <w:rFonts w:ascii="Calibri" w:hAnsi="Calibri"/>
        </w:rPr>
        <w:t>Reglas: M06-RGL-030, M06-RGL-031, M06-RGL-032, M06-RGL-033, M06-RGL-034, M06-RGL-042, M06-RGL-043 | Casos: CTEST-M06-042, CTEST-M06-043</w:t>
      </w:r>
    </w:p>
    <w:p>
      <w:pPr>
        <w:pStyle w:val="Caption"/>
      </w:pPr>
      <w:r>
        <w:rPr>
          <w:rFonts w:ascii="Calibri" w:hAnsi="Calibri"/>
        </w:rPr>
        <w:t>Provenance: HOME; M01:Reglas Walvy!15;Anexos Producto!119-131; M05BE:T02,T08; CAT:03_reglas_clasificacion!111;06_enums_catalogos!72</w:t>
      </w:r>
    </w:p>
    <w:p>
      <w:pPr>
        <w:pStyle w:val="Heading1"/>
      </w:pPr>
      <w:r>
        <w:rPr>
          <w:rFonts w:ascii="Calibri" w:hAnsi="Calibri"/>
        </w:rPr>
        <w:t>CT-M06-16 | Protección de datos y ciclo de vida</w:t>
      </w:r>
    </w:p>
    <w:p>
      <w:r>
        <w:rPr>
          <w:rFonts w:ascii="Calibri" w:hAnsi="Calibri"/>
        </w:rPr>
        <w:t>El inventario PD conserva cada uno de los 50 IDs M06 de la fuente, incluida la exclusión de M06-DAT-006, y agrega los datos operativos nuevos solo si no caben en un activo existente. Familias, finalidad, fuente, owner, consumidor, necesidad, clasificación, persistencia, lifecycle, acceso, exposición y evidencia estan en PD_BASELINE_M06.</w:t>
      </w:r>
    </w:p>
    <w:p>
      <w:r>
        <w:rPr>
          <w:rFonts w:ascii="Calibri" w:hAnsi="Calibri"/>
        </w:rPr>
        <w:t>Confidencial es la clasificación interna de los datos funcionales/derivados según inventario; el original documental es Restringido. No afirmar que todo dato financiero sea automáticamente sensible en sentido jurídico. No se inventa una base legal, consentimiento nuevo ni un plazo normativo.</w:t>
      </w:r>
    </w:p>
    <w:p>
      <w:r>
        <w:rPr>
          <w:rFonts w:ascii="Calibri" w:hAnsi="Calibri"/>
        </w:rPr>
        <w:t>Aplicar segregación por usuario y autorización por objeto en lectura/escritura/export/retorno/eventos. El soporte opera metadata mínima y no tiene acceso financiero individual ordinario. Protección en transito y reposo, secretos fuera de código/logs y permisos mínimos según responsabilidades acordadas.</w:t>
      </w:r>
    </w:p>
    <w:p>
      <w:r>
        <w:rPr>
          <w:rFonts w:ascii="Calibri" w:hAnsi="Calibri"/>
        </w:rPr>
        <w:t>El original financiero se procesa por K-read fuera del repositorio funcional Walvy; eliminar cuando deje de ser necesario y como máximo en 24 horas según política interna. No convertir 24h en TTL de almacenamiento Walvy. Persistir solo referencia mínima explicativa; la evidencia del proveedor debe incluir stores, buffers, logs, backups y borrado.</w:t>
      </w:r>
    </w:p>
    <w:p>
      <w:r>
        <w:rPr>
          <w:rFonts w:ascii="Calibri" w:hAnsi="Calibri"/>
        </w:rPr>
        <w:t>Mientras hay derecho de acceso/licencia vigente, conservar lo necesario por finalidad. Al fin efectivo, congelar tratamiento funcional y aplicar ventana interna de recuperación hasta 90 días; simple inactividad no la inicia. Solicitud de supresión confirmada ejecuta cese/supresión sin esperar esa ventana.</w:t>
      </w:r>
    </w:p>
    <w:p>
      <w:r>
        <w:rPr>
          <w:rFonts w:ascii="Calibri" w:hAnsi="Calibri"/>
        </w:rPr>
        <w:t>La supresión alcanza compromisos/candidatos/pagos, derivados, historial, cache, índices, colas y proyecciones que contengan datos personales. Un mínimo marcador técnico de supresión/replay sin payload puede impedir resurrección; no justificar con el historial retener todos los datos indefinidamente.</w:t>
      </w:r>
    </w:p>
    <w:p>
      <w:r>
        <w:rPr>
          <w:rFonts w:ascii="Calibri" w:hAnsi="Calibri"/>
        </w:rPr>
        <w:t>Aplicación móvil no persiste documentos ni payload financiero en logs, notificaciones, errores, analítica o portapapeles automático. Cache sensible, si es necesaria, queda autenticada, acotada a sesión/usuario, invalidada en cierre de sesión, cambio de cuenta, revocación/supresión y cambio material; sin prometer modo offline no definido.</w:t>
      </w:r>
    </w:p>
    <w:p>
      <w:r>
        <w:rPr>
          <w:rFonts w:ascii="Calibri" w:hAnsi="Calibri"/>
        </w:rPr>
        <w:t>Trazabilidad funcional explicativa y logging técnico son capas distintas. La primera conserva hechos mínimos y correcciones según lifecycle; el segundo solo actor seudónimo/correlación/acción/resultado/versión sin documentos, glosas completas, montos innecesarios, tokens ni secretos.</w:t>
      </w:r>
    </w:p>
    <w:p>
      <w:r>
        <w:rPr>
          <w:rFonts w:ascii="Calibri" w:hAnsi="Calibri"/>
        </w:rPr>
        <w:t>Responsabilidades: Kabeli acredita lógica/API/cliente/integración; Walvy infraestructura y backups/restore; K-read tratamiento externo. No se declara ninguno cumplido sin evidencia. Una restauración debe reaplicar supresiones antes de reactivar lectura o eventos.</w:t>
      </w:r>
    </w:p>
    <w:p>
      <w:r>
        <w:rPr>
          <w:rFonts w:ascii="Calibri" w:hAnsi="Calibri"/>
        </w:rPr>
        <w:t>La prevención de reaparición tras supresión exige validar cuenta/permiso/consentimiento y existencia de versión vigente antes de consumir un evento. Un update tardío nunca crea implícitamente el objeto borrado. Una marca técnica de supresión, si se usa, no contiene payload financiero ni justifica retención indefinida; su necesidad y TTL se documentan bajo la política PD existente. La restauración de backup debe reaplicar las órdenes de supresión antes de habilitar lectura o cálculos.</w:t>
      </w:r>
    </w:p>
    <w:p>
      <w:r>
        <w:rPr>
          <w:rFonts w:ascii="Calibri" w:hAnsi="Calibri"/>
        </w:rPr>
        <w:t>Los TTL de cache, colas, reintentos, enlaces temporales y logs son configuraciones técnicas inventariadas y acotadas a finalidad; no heredan 90 días ni 24 horas indiscriminadamente. La evidencia futura debe mostrar el valor efectivo y su justificación por store. No se declara cumplimiento legal ni aprobación de subencargados mediante este candidato.</w:t>
      </w:r>
    </w:p>
    <w:p>
      <w:r>
        <w:rPr>
          <w:rFonts w:ascii="Calibri" w:hAnsi="Calibri"/>
        </w:rPr>
        <w:t>Cómputo técnico del máximo: expiration_at = effective_access_end_at + 90 días, según el reloj/convención de días del owner PD. Antes de expiration_at el tratamiento permanece congelado para recuperación; en expiration_at o después termina esa ventana y aplica supresión según política. Nunca sumar un día por contar fechas inclusivas. Solicitud de supresión confirmada prevalece desde su efectividad, sin esperar expiration_at. El ejemplo documental usa tiempo transcurrido y no decide una nueva base jurídica.</w:t>
      </w:r>
    </w:p>
    <w:p>
      <w:pPr>
        <w:pStyle w:val="Caption"/>
      </w:pPr>
      <w:r>
        <w:rPr>
          <w:rFonts w:ascii="Calibri" w:hAnsi="Calibri"/>
        </w:rPr>
        <w:t>Reglas: M06-RGL-004, M06-RGL-005, M06-RGL-007, M06-RGL-019, M06-RGL-020, M06-RGL-041, M06-RGL-044 | Casos: CTEST-M06-044, CTEST-M06-045, CTEST-M06-046, CTEST-M06-047</w:t>
      </w:r>
    </w:p>
    <w:p>
      <w:pPr>
        <w:pStyle w:val="Caption"/>
      </w:pPr>
      <w:r>
        <w:rPr>
          <w:rFonts w:ascii="Calibri" w:hAnsi="Calibri"/>
        </w:rPr>
        <w:t>Provenance: PDI:01_Matriz_Maestra!185-234; PDL; PDT; BTEC:TEC-M6-001,020..024</w:t>
      </w:r>
    </w:p>
    <w:p>
      <w:pPr>
        <w:pStyle w:val="Heading1"/>
      </w:pPr>
      <w:r>
        <w:rPr>
          <w:rFonts w:ascii="Calibri" w:hAnsi="Calibri"/>
        </w:rPr>
        <w:t>CT-M06-17 | Navegación contractual y materialización pendiente</w:t>
      </w:r>
    </w:p>
    <w:p>
      <w:r>
        <w:rPr>
          <w:rFonts w:ascii="Calibri" w:hAnsi="Calibri"/>
        </w:rPr>
        <w:t>El PlainText expandido candidato conserva M6-SCR-01..11 como roles: hub, detalle, registro, candidato, pago externo, corrección, fuente, duplicado, recurrencia, conjunto de estados y historial. M6-SCR-10 no se exige como pantalla independiente.</w:t>
      </w:r>
    </w:p>
    <w:p>
      <w:r>
        <w:rPr>
          <w:rFonts w:ascii="Calibri" w:hAnsi="Calibri"/>
        </w:rPr>
        <w:t>Cada ruta identifica entrada/contexto, campos visibles, acción primaria, cancelación, éxito, fallo y retorno. Ninguna acción navega como si hubiera confirmado cuando la persistencia fallo. Abrir un detalle no cambia estado.</w:t>
      </w:r>
    </w:p>
    <w:p>
      <w:r>
        <w:rPr>
          <w:rFonts w:ascii="Calibri" w:hAnsi="Calibri"/>
        </w:rPr>
        <w:t>La fuente visual de esta revision es el Figma/export exacto aportado por el PO el 12-09-2026. OLD y artefactos llamados Wireframe quedan excluidos para este cierre. El recorrido PO completo contrasta estados, recurrencia, abonos y retornos; sus 15 ajustes se registran sin volver a Discovery ni alterar las decisiones aprobadas.</w:t>
      </w:r>
    </w:p>
    <w:p>
      <w:r>
        <w:rPr>
          <w:rFonts w:ascii="Calibri" w:hAnsi="Calibri"/>
        </w:rPr>
        <w:t>Un gap visual no cambia la regla funcional. Quedan separados contrato definido, representación observada y evidencia futura. No se afirma cobertura visual completa, aprobación de Figma ni habilitación de generación de mockups.</w:t>
      </w:r>
    </w:p>
    <w:p>
      <w:r>
        <w:rPr>
          <w:rFonts w:ascii="Calibri" w:hAnsi="Calibri"/>
        </w:rPr>
        <w:t>La matriz de rutas incluye recuperacion de descarte, retorno por cancelacion, origen consultable sin originales, error parcial de ingesta y navegacion tras cambio concurrente. Una ruta textual completa no certifica que la imagen o el build la materialicen. Las diferencias detectadas en el recorrido completo quedan como solicitudes de materializacion, sin inventar frames observados.</w:t>
      </w:r>
    </w:p>
    <w:p>
      <w:pPr/>
      <w:r>
        <w:rPr>
          <w:rFonts w:ascii="Calibri" w:hAnsi="Calibri"/>
        </w:rPr>
        <w:t>El recorrido PO del 12-09-2026 esta completo; la inspeccion visual no certifica navegacion ejecutable. Se consolidan 15 solicitudes en la matriz de ajustes Figma, todas propuestas y pendientes de materializacion. Los conectores faltantes se definen como destino/retorno contractual, no como evidencia de una pantalla o backend inexistentes.</w:t>
      </w:r>
    </w:p>
    <w:p>
      <w:pPr/>
      <w:r>
        <w:rPr>
          <w:rFonts w:ascii="Calibri" w:hAnsi="Calibri"/>
        </w:rPr>
        <w:t>Reusar los sheets de detalle/editar datos/descartar con contexto de objeto, modo, ID, version, periodo y filtros. Ver historial, Ver detalle, Revisar y Ver mas resuelven su destino segun el objeto/cola; Cancelar mantiene dominio y consulta previa. Un deep link o retorno revalida acceso y carga version vigente antes de ofrecer una accion.</w:t>
      </w:r>
    </w:p>
    <w:p>
      <w:pPr>
        <w:pStyle w:val="Caption"/>
      </w:pPr>
      <w:r>
        <w:rPr>
          <w:rFonts w:ascii="Calibri" w:hAnsi="Calibri"/>
        </w:rPr>
        <w:t>Reglas: M06-RGL-001, M06-RGL-005, M06-RGL-009, M06-RGL-017, M06-RGL-019, M06-RGL-024, M06-RGL-026, M06-RGL-027, M06-RGL-040, M06-RGL-041, M06-RGL-042, M06-RGL-043 | Casos: CTEST-M06-048</w:t>
      </w:r>
    </w:p>
    <w:p>
      <w:pPr>
        <w:pStyle w:val="Caption"/>
      </w:pPr>
      <w:r>
        <w:rPr>
          <w:rFonts w:ascii="Calibri" w:hAnsi="Calibri"/>
        </w:rPr>
        <w:t>Provenance: PT:L0335-L0940; F4:T05-T16; F5:T08,T23-T25</w:t>
      </w:r>
    </w:p>
    <w:p>
      <w:pPr>
        <w:pStyle w:val="Heading1"/>
      </w:pPr>
      <w:r>
        <w:rPr>
          <w:rFonts w:ascii="Calibri" w:hAnsi="Calibri"/>
        </w:rPr>
        <w:t>CT-M06-18 | Evidencia futura, criterios y responsabilidad de cierre</w:t>
      </w:r>
    </w:p>
    <w:p>
      <w:r>
        <w:rPr>
          <w:rFonts w:ascii="Calibri" w:hAnsi="Calibri"/>
        </w:rPr>
        <w:t>Gate A evalua si los 28 controles cubren el contrato, riesgos e interfaces; Gate B evalua implementación y evidencia. El candidato no convierte una prueba de oráculo documental en prueba Android/iOS, API real, seguridad del build o cumplimiento legal.</w:t>
      </w:r>
    </w:p>
    <w:p>
      <w:r>
        <w:rPr>
          <w:rFonts w:ascii="Calibri" w:hAnsi="Calibri"/>
        </w:rPr>
        <w:t>Por control, la devolución debe incluir implementación, commit/build/config, ambiente/plataforma, fixture y precondiciones, pasos, resultado esperado/observado, evidencia raw accesible y fecha; indicar dependencias y defectos conocidos. Un resumen PASS sin evidencia no acredita cumplimiento.</w:t>
      </w:r>
    </w:p>
    <w:p>
      <w:r>
        <w:rPr>
          <w:rFonts w:ascii="Calibri" w:hAnsi="Calibri"/>
        </w:rPr>
        <w:t>Rendimiento conserva el objetivo de referencia p95 &lt;= 2s en endpoints críticos bajo escenario acordado; concurrencia e infraestructura deben acordarse y documentarse antes de la prueba. Las redacciones alternativas del anexo no se convierten en dos obligaciones concurrentes. Cobertura core 80% es meta/cierre global según el instrumento aprobado, no PASS automático M06 por número de tests.</w:t>
      </w:r>
    </w:p>
    <w:p>
      <w:r>
        <w:rPr>
          <w:rFonts w:ascii="Calibri" w:hAnsi="Calibri"/>
        </w:rPr>
        <w:t>El ejemplar contractual consultado contiene marcadores incompletos; este análisis no acredita firma, exigibilidad ni aceptación legal. Las reglas funcionales vigentes se sostienen en contratos de módulos y decisiones, no en inferir la firma de ese archivo.</w:t>
      </w:r>
    </w:p>
    <w:p>
      <w:r>
        <w:rPr>
          <w:rFonts w:ascii="Calibri" w:hAnsi="Calibri"/>
        </w:rPr>
        <w:t>La version de entrega contiene las superficies necesarias para implementar, responder y aportar evidencia; excluye conversaciones, whitelists y checkpoints internos. Las decisiones Producto M06 y el recorrido estan cerrados en su alcance documental. Remediaciones Figma, compatibilidad nativa Office y evidencia runtime permanecen separadas y no se acreditan por este paquete.</w:t>
      </w:r>
    </w:p>
    <w:p>
      <w:pPr>
        <w:pStyle w:val="Caption"/>
      </w:pPr>
      <w:r>
        <w:rPr>
          <w:rFonts w:ascii="Calibri" w:hAnsi="Calibri"/>
        </w:rPr>
        <w:t>Controles técnicos, sin regla funcional nueva | Casos: CTEST-M06-049</w:t>
      </w:r>
    </w:p>
    <w:p>
      <w:pPr>
        <w:pStyle w:val="Caption"/>
      </w:pPr>
      <w:r>
        <w:rPr>
          <w:rFonts w:ascii="Calibri" w:hAnsi="Calibri"/>
        </w:rPr>
        <w:t>Provenance: BTEC; ANNEX:Anexos 2-4; SERVICE:referencia no firma</w:t>
      </w:r>
    </w:p>
    <w:p>
      <w:pPr>
        <w:pStyle w:val="Heading1"/>
      </w:pPr>
      <w:r>
        <w:rPr>
          <w:rFonts w:ascii="Calibri" w:hAnsi="Calibri"/>
        </w:rPr>
        <w:t>A. Decisiones Producto consolidadas</w:t>
      </w:r>
    </w:p>
    <w:p>
      <w:pPr>
        <w:pStyle w:val="Heading2"/>
      </w:pPr>
      <w:r>
        <w:rPr>
          <w:rFonts w:ascii="Calibri" w:hAnsi="Calibri"/>
        </w:rPr>
        <w:t>D-M06-REC-CALENDAR-01 | CERRADA 2026-09-12 · Recurrencia y fecha inexistente</w:t>
      </w:r>
    </w:p>
    <w:p>
      <w:r>
        <w:rPr>
          <w:rFonts w:ascii="Calibri" w:hAnsi="Calibri"/>
        </w:rPr>
        <w:t>Caso funcional: si Walvy conoce el ancla pero el dia no existe, ajusta solo esa ocurrencia; si no conoce con suficiente certeza el dia/ancla, pide el dato faltante.</w:t>
      </w:r>
    </w:p>
    <w:p>
      <w:r>
        <w:rPr>
          <w:rFonts w:ascii="Calibri" w:hAnsi="Calibri"/>
        </w:rPr>
        <w:t>Decision vigente: usar ultimo dia valido preservando ancla original cuando el dia conocido no existe. Si ancla/dia es insuficiente, no inventar fecha y mostrar Confirmar/Completar fecha.</w:t>
      </w:r>
    </w:p>
    <w:p>
      <w:r>
        <w:rPr>
          <w:rFonts w:ascii="Calibri" w:hAnsi="Calibri"/>
        </w:rPr>
        <w:t>Estado: aprobada por Producto; no requiere nueva confirmación.</w:t>
      </w:r>
    </w:p>
    <w:p>
      <w:r>
        <w:rPr>
          <w:rFonts w:ascii="Calibri" w:hAnsi="Calibri"/>
        </w:rPr>
        <w:t>Impacto: fecha efectiva, proximidad y vencimiento de la ocurrencia; no cambia el patron original.</w:t>
      </w:r>
    </w:p>
    <w:p>
      <w:r>
        <w:rPr>
          <w:rFonts w:ascii="Calibri" w:hAnsi="Calibri"/>
        </w:rPr>
        <w:t>Bloqueo funcional: ninguno por esta decisión. La materialización del flujo queda solicitada en la matriz UX.</w:t>
      </w:r>
    </w:p>
    <w:p>
      <w:r>
        <w:rPr>
          <w:rFonts w:ascii="Calibri" w:hAnsi="Calibri"/>
        </w:rPr>
        <w:t>No bloquea: todo el contrato documental M06.</w:t>
      </w:r>
    </w:p>
    <w:p>
      <w:r>
        <w:rPr>
          <w:rFonts w:ascii="Calibri" w:hAnsi="Calibri"/>
        </w:rPr>
        <w:t>Fuentes revisadas: F3:T12/T34-T36; D-CL-M06-01; F5:T20; PDI:M06-DAT-009/034/035; M02II:T73; RFC5545/7529 y Stripe (benchmark, no decisión Walvy).</w:t>
      </w:r>
    </w:p>
    <w:p>
      <w:r>
        <w:rPr>
          <w:rFonts w:ascii="Calibri" w:hAnsi="Calibri"/>
        </w:rPr>
        <w:t>Backend puede inferir = No: debe recibir/guardar ancla, precision, fecha efectiva, ajuste de calendario y faltantes de forma explicita.</w:t>
      </w:r>
    </w:p>
    <w:p>
      <w:pPr>
        <w:pStyle w:val="Heading2"/>
      </w:pPr>
      <w:r>
        <w:rPr>
          <w:rFonts w:ascii="Calibri" w:hAnsi="Calibri"/>
        </w:rPr>
        <w:t>D-M06-OWN-AVISOS-01 | RECLASIFICADA 2026-09-12 · A5-M06-02 no pertenece a M06</w:t>
      </w:r>
    </w:p>
    <w:p>
      <w:r>
        <w:rPr>
          <w:rFonts w:ascii="Calibri" w:hAnsi="Calibri"/>
        </w:rPr>
        <w:t>Caso funcional: M06 detecta una situacion de pago; decidir si gana Home o se envia por push/correo pertenece a los owners transversales, no al modulo de pagos.</w:t>
      </w:r>
    </w:p>
    <w:p>
      <w:r>
        <w:rPr>
          <w:rFonts w:ascii="Calibri" w:hAnsi="Calibri"/>
        </w:rPr>
        <w:t>Decision vigente: M06 produce estado/situacion local y CTA; M03/Home decide winner/superficie; M02 canal/cadencia/preferencias/dedupe.</w:t>
      </w:r>
    </w:p>
    <w:p>
      <w:r>
        <w:rPr>
          <w:rFonts w:ascii="Calibri" w:hAnsi="Calibri"/>
        </w:rPr>
        <w:t>Estado: DERIVED_DETERMINISTIC; REASK=NO en M06.</w:t>
      </w:r>
    </w:p>
    <w:p>
      <w:r>
        <w:rPr>
          <w:rFonts w:ascii="Calibri" w:hAnsi="Calibri"/>
        </w:rPr>
        <w:t>Impacto: la dependencia externa histórica AVI-M06-003/004 permanece en M03/M02; en el modelo activo no crea familias nuevas. M06 no habilita delivery externo por inferencia.</w:t>
      </w:r>
    </w:p>
    <w:p>
      <w:r>
        <w:rPr>
          <w:rFonts w:ascii="Calibri" w:hAnsi="Calibri"/>
        </w:rPr>
        <w:t>Bloquea: no bloquea contrato local M06.</w:t>
      </w:r>
    </w:p>
    <w:p>
      <w:r>
        <w:rPr>
          <w:rFonts w:ascii="Calibri" w:hAnsi="Calibri"/>
        </w:rPr>
        <w:t>No bloquea: fichas in-app, estados, pagos, proximidad/vencimiento y avisos automaticos ya definidos.</w:t>
      </w:r>
    </w:p>
    <w:p>
      <w:r>
        <w:rPr>
          <w:rFonts w:ascii="Calibri" w:hAnsi="Calibri"/>
        </w:rPr>
        <w:t>Fuentes revisadas: M02I:T13/T14/T19-T23,P170-P180; M02II:T67-T71 (externo explícitamente condicionado); BTR:BD-M06-AVISOS-01; F1:M6-D07.</w:t>
      </w:r>
    </w:p>
    <w:p>
      <w:r>
        <w:rPr>
          <w:rFonts w:ascii="Calibri" w:hAnsi="Calibri"/>
        </w:rPr>
        <w:t>Backend puede inferir = No: M06 no decide winner global ni canal externo.</w:t>
      </w:r>
    </w:p>
    <w:p>
      <w:pPr>
        <w:pStyle w:val="Heading2"/>
      </w:pPr>
      <w:r>
        <w:rPr>
          <w:rFonts w:ascii="Calibri" w:hAnsi="Calibri"/>
        </w:rPr>
        <w:t>D-M06-ALERTA-MVP-01 | CERRADA · Opción B</w:t>
      </w:r>
    </w:p>
    <w:p>
      <w:r>
        <w:rPr>
          <w:rFonts w:ascii="Calibri" w:hAnsi="Calibri"/>
        </w:rPr>
        <w:t>Motivo: el recordatorio individual no tiene un comportamiento adicional definido para el MVP. Producto aprobó retirar el control; esta decisión no suprime las alertas automáticas por reglas ni modifica las preferencias globales M02.</w:t>
      </w:r>
    </w:p>
    <w:p>
      <w:r>
        <w:rPr>
          <w:rFonts w:ascii="Calibri" w:hAnsi="Calibri"/>
        </w:rPr>
        <w:t>Alternativa descartada para el MVP: habilitar un recordatorio opcional por compromiso. Opción aprobada B: no incorporar ese recordatorio adicional y retirar el control; la capacidad permanece en backlog.</w:t>
      </w:r>
    </w:p>
    <w:p>
      <w:r>
        <w:rPr>
          <w:rFonts w:ascii="Calibri" w:hAnsi="Calibri"/>
        </w:rPr>
        <w:t>Decision vigente: retirar/ocultar `Activar alerta` del MVP y conservar `Recordarme este pago` como backlog hasta contar con contrato explícito futuro. No usarlo como prioridad financiera manual. REASK=NO.</w:t>
      </w:r>
    </w:p>
    <w:p>
      <w:r>
        <w:rPr>
          <w:rFonts w:ascii="Calibri" w:hAnsi="Calibri"/>
        </w:rPr>
        <w:t>Impacto: Determina si existe un recordatorio adicional y si el control permanece en la experiencia MVP.</w:t>
      </w:r>
    </w:p>
    <w:p>
      <w:r>
        <w:rPr>
          <w:rFonts w:ascii="Calibri" w:hAnsi="Calibri"/>
        </w:rPr>
        <w:t>Fuera del MVP: recordatorio opcional local y su control visible. No queda una decisión pendiente sobre esta capacidad; Backend no debe incorporarla por inferencia.</w:t>
      </w:r>
    </w:p>
    <w:p>
      <w:r>
        <w:rPr>
          <w:rFonts w:ascii="Calibri" w:hAnsi="Calibri"/>
        </w:rPr>
        <w:t>No bloquea: Avisos automáticos 005/006/007 bajo reglas M02, preferencias globales, estados, in-app, pagos y sincronización.</w:t>
      </w:r>
    </w:p>
    <w:p>
      <w:r>
        <w:rPr>
          <w:rFonts w:ascii="Calibri" w:hAnsi="Calibri"/>
        </w:rPr>
        <w:t>Fuentes revisadas: PO 2026-09-12; Figma/export exacto 2026-09-12; TC-M06-072 baseline; TR067/BD-M06-AVISOS-01; M02I:T13-T24; M02II:T69-T71.</w:t>
      </w:r>
    </w:p>
    <w:p>
      <w:r>
        <w:rPr>
          <w:rFonts w:ascii="Calibri" w:hAnsi="Calibri"/>
        </w:rPr>
        <w:t>Backend puede inferir = No. D-M06-ALERTA-MVP-01 está aprobada: el MVP retira/oculta `Activar alerta`; `Recordarme este pago` queda en backlog y Backend no debe inventar una función local alternativa.</w:t>
      </w:r>
    </w:p>
    <w:p>
      <w:pPr>
        <w:pStyle w:val="Heading2"/>
      </w:pPr>
      <w:r>
        <w:rPr>
          <w:rFonts w:ascii="Calibri" w:hAnsi="Calibri"/>
        </w:rPr>
        <w:t>D-M06-PARTIAL-MANUAL-01 | CERRADA 2026-09-12 · Abonos parciales/multiples manuales</w:t>
      </w:r>
    </w:p>
    <w:p>
      <w:r>
        <w:rPr>
          <w:rFonts w:ascii="Calibri" w:hAnsi="Calibri"/>
        </w:rPr>
        <w:t>Caso funcional: el usuario pago una parte fuera de Walvy y necesita registrarla aunque la deteccion automatica no exista.</w:t>
      </w:r>
    </w:p>
    <w:p>
      <w:r>
        <w:rPr>
          <w:rFonts w:ascii="Calibri" w:hAnsi="Calibri"/>
        </w:rPr>
        <w:t>Decision vigente: permitir abonos parciales/multiples manuales y reutilizar el mismo lifecycle de dominio que pagos parciales detectados/importados una vez aceptados/normalizados.</w:t>
      </w:r>
    </w:p>
    <w:p>
      <w:r>
        <w:rPr>
          <w:rFonts w:ascii="Calibri" w:hAnsi="Calibri"/>
        </w:rPr>
        <w:t>Estado: aprobada por Producto; no requiere nueva confirmación.</w:t>
      </w:r>
    </w:p>
    <w:p>
      <w:r>
        <w:rPr>
          <w:rFonts w:ascii="Calibri" w:hAnsi="Calibri"/>
        </w:rPr>
        <w:t>Impacto: la interfaz manual debe permitir monto parcial y multiples abonos; cada uno se asigna una vez y mantiene saldo pendiente hasta cierre suficiente.</w:t>
      </w:r>
    </w:p>
    <w:p>
      <w:r>
        <w:rPr>
          <w:rFonts w:ascii="Calibri" w:hAnsi="Calibri"/>
        </w:rPr>
        <w:t>Bloqueo funcional: ninguno por esta decisión. La materialización del flujo queda solicitada en la matriz UX.</w:t>
      </w:r>
    </w:p>
    <w:p>
      <w:r>
        <w:rPr>
          <w:rFonts w:ascii="Calibri" w:hAnsi="Calibri"/>
        </w:rPr>
        <w:t>No bloquea: pago completo, conciliacion, correccion/reversion, M04/M05/Home ni hechos detectados.</w:t>
      </w:r>
    </w:p>
    <w:p>
      <w:r>
        <w:rPr>
          <w:rFonts w:ascii="Calibri" w:hAnsi="Calibri"/>
        </w:rPr>
        <w:t>Fuentes revisadas: Contrato v1.0 CT-M06-06/12 y W-M06-03 p17; F3:T09/T10/T32/T37; F4:T09-T10; M05BE:T08; D-M06-PAGO-PARCIAL; imagen autorizada full_payment.</w:t>
      </w:r>
    </w:p>
    <w:p>
      <w:r>
        <w:rPr>
          <w:rFonts w:ascii="Calibri" w:hAnsi="Calibri"/>
        </w:rPr>
        <w:t>Backend puede inferir = No: provenance/admission puede variar por canal; el lifecycle downstream no se bifurca sin decision Producto.</w:t>
      </w:r>
    </w:p>
    <w:p>
      <w:pPr>
        <w:pStyle w:val="Heading1"/>
      </w:pPr>
      <w:r>
        <w:rPr>
          <w:rFonts w:ascii="Calibri" w:hAnsi="Calibri"/>
        </w:rPr>
        <w:t>B. Recorrido completo y materialización pendiente</w:t>
      </w:r>
    </w:p>
    <w:p>
      <w:pPr>
        <w:pStyle w:val="Heading2"/>
      </w:pPr>
      <w:r>
        <w:rPr>
          <w:rFonts w:ascii="Calibri" w:hAnsi="Calibri"/>
        </w:rPr>
        <w:t>W-M06-01</w:t>
      </w:r>
    </w:p>
    <w:p>
      <w:r>
        <w:rPr>
          <w:rFonts w:ascii="Calibri" w:hAnsi="Calibri"/>
        </w:rPr>
        <w:t>Objeto: Hub/empty states/filtros</w:t>
      </w:r>
    </w:p>
    <w:p>
      <w:r>
        <w:rPr>
          <w:rFonts w:ascii="Calibri" w:hAnsi="Calibri"/>
        </w:rPr>
        <w:t>Validación: Verificar materializacion y registrar solo diferencias de intencion no documentadas. No volver a decidir: Distinguir sin registros, sin compromisos del periodo, sin proximos y cola de revision. Monto opcional; numero de cliente excluido. Guardar/Cancelar filtros no modifica dominio ni implica persistencia entre sesiones.</w:t>
      </w:r>
    </w:p>
    <w:p>
      <w:r>
        <w:rPr>
          <w:rFonts w:ascii="Calibri" w:hAnsi="Calibri"/>
        </w:rPr>
        <w:t>Contrato: CT-M06-03/09/15/17</w:t>
      </w:r>
    </w:p>
    <w:p>
      <w:r>
        <w:rPr>
          <w:rFonts w:ascii="Calibri" w:hAnsi="Calibri"/>
        </w:rPr>
        <w:t>Estado: recorrido completo contrastado. Materialización/evidencia pendientes; ver Matriz de Ajustes Figma v1.0. No se acredita navegación ejecutable desde un export.</w:t>
      </w:r>
    </w:p>
    <w:p>
      <w:pPr>
        <w:pStyle w:val="Heading2"/>
      </w:pPr>
      <w:r>
        <w:rPr>
          <w:rFonts w:ascii="Calibri" w:hAnsi="Calibri"/>
        </w:rPr>
        <w:t>W-M06-02</w:t>
      </w:r>
    </w:p>
    <w:p>
      <w:r>
        <w:rPr>
          <w:rFonts w:ascii="Calibri" w:hAnsi="Calibri"/>
        </w:rPr>
        <w:t>Objeto: Confirmar/corregir/duplicado/recurrencia</w:t>
      </w:r>
    </w:p>
    <w:p>
      <w:r>
        <w:rPr>
          <w:rFonts w:ascii="Calibri" w:hAnsi="Calibri"/>
        </w:rPr>
        <w:t>Validacion: Verificar materializacion sin reabrir la regla. Deben distinguirse patron probable, patron confirmado, fecha ajustada por calendario y fecha/ancla insuficiente con CTA Confirmar/Completar fecha.</w:t>
      </w:r>
    </w:p>
    <w:p>
      <w:r>
        <w:rPr>
          <w:rFonts w:ascii="Calibri" w:hAnsi="Calibri"/>
        </w:rPr>
        <w:t>Contrato: CT-M06-05/08/17</w:t>
      </w:r>
    </w:p>
    <w:p>
      <w:r>
        <w:rPr>
          <w:rFonts w:ascii="Calibri" w:hAnsi="Calibri"/>
        </w:rPr>
        <w:t>Estado: recorrido completo contrastado. Materialización/evidencia pendientes; ver Matriz de Ajustes Figma v1.0. No se acredita navegación ejecutable desde un export.</w:t>
      </w:r>
    </w:p>
    <w:p>
      <w:pPr>
        <w:pStyle w:val="Heading2"/>
      </w:pPr>
      <w:r>
        <w:rPr>
          <w:rFonts w:ascii="Calibri" w:hAnsi="Calibri"/>
        </w:rPr>
        <w:t>W-M06-03</w:t>
      </w:r>
    </w:p>
    <w:p>
      <w:r>
        <w:rPr>
          <w:rFonts w:ascii="Calibri" w:hAnsi="Calibri"/>
        </w:rPr>
        <w:t>Objeto: Registro manual de pago parcial</w:t>
      </w:r>
    </w:p>
    <w:p>
      <w:r>
        <w:rPr>
          <w:rFonts w:ascii="Calibri" w:hAnsi="Calibri"/>
        </w:rPr>
        <w:t>Validacion: Verificar la representacion del registro manual de abonos parciales/multiples ya aprobado, saldo restante, multiples asignaciones e idempotencia/correccion/reversion.</w:t>
      </w:r>
    </w:p>
    <w:p>
      <w:r>
        <w:rPr>
          <w:rFonts w:ascii="Calibri" w:hAnsi="Calibri"/>
        </w:rPr>
        <w:t>Contrato: CT-M06-06/12</w:t>
      </w:r>
    </w:p>
    <w:p>
      <w:r>
        <w:rPr>
          <w:rFonts w:ascii="Calibri" w:hAnsi="Calibri"/>
        </w:rPr>
        <w:t>Estado: recorrido completo contrastado. Materialización/evidencia pendientes; ver Matriz de Ajustes Figma v1.0. No se acredita navegación ejecutable desde un export.</w:t>
      </w:r>
    </w:p>
    <w:p>
      <w:pPr>
        <w:pStyle w:val="Heading2"/>
      </w:pPr>
      <w:r>
        <w:rPr>
          <w:rFonts w:ascii="Calibri" w:hAnsi="Calibri"/>
        </w:rPr>
        <w:t>W-M06-04</w:t>
      </w:r>
    </w:p>
    <w:p>
      <w:r>
        <w:rPr>
          <w:rFonts w:ascii="Calibri" w:hAnsi="Calibri"/>
        </w:rPr>
        <w:t>Objeto: Retorno intermodular y errores</w:t>
      </w:r>
    </w:p>
    <w:p>
      <w:r>
        <w:rPr>
          <w:rFonts w:ascii="Calibri" w:hAnsi="Calibri"/>
        </w:rPr>
        <w:t>Validación: Verificar materializacion y registrar solo diferencias de intencion no documentadas. No volver a decidir: Entrada y retorno preservan contexto y recargan version vigente. M01 invoca al owner; Home no confirma al abrir. No doble formulario ni pago transaccional.</w:t>
      </w:r>
    </w:p>
    <w:p>
      <w:r>
        <w:rPr>
          <w:rFonts w:ascii="Calibri" w:hAnsi="Calibri"/>
        </w:rPr>
        <w:t>Contrato: CT-M06-13/14/15/17</w:t>
      </w:r>
    </w:p>
    <w:p>
      <w:r>
        <w:rPr>
          <w:rFonts w:ascii="Calibri" w:hAnsi="Calibri"/>
        </w:rPr>
        <w:t>Estado: recorrido completo contrastado. Materialización/evidencia pendientes; ver Matriz de Ajustes Figma v1.0. No se acredita navegación ejecutable desde un export.</w:t>
      </w:r>
    </w:p>
    <w:p>
      <w:r>
        <w:rPr>
          <w:rFonts w:ascii="Calibri" w:hAnsi="Calibri"/>
        </w:rPr>
        <w:t>Contrastar primero carga/manual, después hub/lista/filtros, revisión/duplicado/recurrencia, registro/corrección de pago y finalmente retornos M05/M04/Home/M01/Profile. El recorrido puede producir delta; no reinicia Discovery.</w:t>
      </w:r>
    </w:p>
    <w:p>
      <w:pPr>
        <w:pStyle w:val="Heading1"/>
      </w:pPr>
      <w:r>
        <w:rPr>
          <w:rFonts w:ascii="Calibri" w:hAnsi="Calibri"/>
        </w:rPr>
        <w:t>C. Ejemplos verificables</w:t>
      </w:r>
    </w:p>
    <w:p>
      <w:pPr>
        <w:pStyle w:val="Heading2"/>
      </w:pPr>
      <w:r>
        <w:rPr>
          <w:rFonts w:ascii="Calibri" w:hAnsi="Calibri"/>
        </w:rPr>
        <w:t>Resumen del mes</w:t>
      </w:r>
    </w:p>
    <w:p>
      <w:r>
        <w:rPr>
          <w:rFonts w:ascii="Calibri" w:hAnsi="Calibri"/>
        </w:rPr>
        <w:t>17 compromisos canónicos, 2 vencidos, 10 próximos y 5 pagados: 15/17 al día, UI 88%. Pagado no equivale a todo lo que está al día.</w:t>
      </w:r>
    </w:p>
    <w:p>
      <w:pPr>
        <w:pStyle w:val="Heading2"/>
      </w:pPr>
      <w:r>
        <w:rPr>
          <w:rFonts w:ascii="Calibri" w:hAnsi="Calibri"/>
        </w:rPr>
        <w:t>Pago parcial</w:t>
      </w:r>
    </w:p>
    <w:p>
      <w:r>
        <w:rPr>
          <w:rFonts w:ascii="Calibri" w:hAnsi="Calibri"/>
        </w:rPr>
        <w:t>Total 100, abono 30: restante 70. Antes del cierre reconciliado no hay conclusión final de deterioro. M04 interpreta hechos; M06 no calcula D por su cuenta.</w:t>
      </w:r>
    </w:p>
    <w:p>
      <w:pPr>
        <w:pStyle w:val="Heading2"/>
      </w:pPr>
      <w:r>
        <w:rPr>
          <w:rFonts w:ascii="Calibri" w:hAnsi="Calibri"/>
        </w:rPr>
        <w:t>TC sin doble gasto</w:t>
      </w:r>
    </w:p>
    <w:p>
      <w:r>
        <w:rPr>
          <w:rFonts w:ascii="Calibri" w:hAnsi="Calibri"/>
        </w:rPr>
        <w:t>Cuota facturada 100 es gasto M05 del período. Pago posterior de la cartola actualiza el pago M06, no agrega otros 100 de gasto. La obligación total no se suma con sus componentes como doble exigible.</w:t>
      </w:r>
    </w:p>
    <w:p>
      <w:pPr>
        <w:pStyle w:val="Heading2"/>
      </w:pPr>
      <w:r>
        <w:rPr>
          <w:rFonts w:ascii="Calibri" w:hAnsi="Calibri"/>
        </w:rPr>
        <w:t>Versión y supresión</w:t>
      </w:r>
    </w:p>
    <w:p>
      <w:r>
        <w:rPr>
          <w:rFonts w:ascii="Calibri" w:hAnsi="Calibri"/>
        </w:rPr>
        <w:t>Evento v2 repetido produce mismo resultado. v1 tardío no pisa v2. Un update tras supresión no recrea el objeto; restaurar backup exige reaplicar supresiones.</w:t>
      </w:r>
    </w:p>
    <w:p>
      <w:pPr>
        <w:pStyle w:val="Heading1"/>
      </w:pPr>
      <w:r>
        <w:rPr>
          <w:rFonts w:ascii="Calibri" w:hAnsi="Calibri"/>
        </w:rPr>
        <w:t>D. Fuentes y localizadores</w:t>
      </w:r>
    </w:p>
    <w:p>
      <w:r>
        <w:rPr>
          <w:rFonts w:ascii="Calibri" w:hAnsi="Calibri"/>
        </w:rPr>
        <w:t>Claves F0-F5 corresponden a fases Discovery. Pnnn es párrafo extraido; TnnRnnn, fila de tabla; hoja!fila identifica Excel. El índice fuente completo con URL se incluye en BDD/Interfaces/PD, hoja 12_Fuentes. Estas referencias permiten verificar provenance sin anexar conversaciones al futuro handoff.</w:t>
      </w:r>
    </w:p>
    <w:p>
      <w:pPr>
        <w:pStyle w:val="Caption"/>
      </w:pPr>
      <w:r>
        <w:rPr>
          <w:rFonts w:ascii="Calibri" w:hAnsi="Calibri"/>
        </w:rPr>
        <w:t>F0 - Walvy_Modulo6_Pagos_Fase0_Inventario_QA_v1_0.docx. Inventario inicial comunicado; estados de avance no equivalen a cierre actual</w:t>
      </w:r>
    </w:p>
    <w:p>
      <w:pPr>
        <w:pStyle w:val="Caption"/>
      </w:pPr>
      <w:r>
        <w:rPr>
          <w:rFonts w:ascii="Calibri" w:hAnsi="Calibri"/>
        </w:rPr>
        <w:t>F1 - Walvy_Modulo6_Pagos_Fase1_Definicion_Funcional_v1_0.docx. Definiciones, fronteras y deudas M6-D01..11</w:t>
      </w:r>
    </w:p>
    <w:p>
      <w:pPr>
        <w:pStyle w:val="Caption"/>
      </w:pPr>
      <w:r>
        <w:rPr>
          <w:rFonts w:ascii="Calibri" w:hAnsi="Calibri"/>
        </w:rPr>
        <w:t>F2 - Walvy_Modulo6_Pagos_Fase2_Inventario_Pantallas_Estados_Componentes_v1_0.docx. Obligaciones de estados, componentes, acciones y retornos</w:t>
      </w:r>
    </w:p>
    <w:p>
      <w:pPr>
        <w:pStyle w:val="Caption"/>
      </w:pPr>
      <w:r>
        <w:rPr>
          <w:rFonts w:ascii="Calibri" w:hAnsi="Calibri"/>
        </w:rPr>
        <w:t>F3 - Walvy_Modulo6_Pagos_Fase3_Reglas_Funcionales_Severidad_Anexo_BDD_v1_0.docx. Reglas, BDD, severidad; precisiones posteriores prevalecen</w:t>
      </w:r>
    </w:p>
    <w:p>
      <w:pPr>
        <w:pStyle w:val="Caption"/>
      </w:pPr>
      <w:r>
        <w:rPr>
          <w:rFonts w:ascii="Calibri" w:hAnsi="Calibri"/>
        </w:rPr>
        <w:t>F4 - Walvy_Modulo6_Pagos_Fase4_Copy_UX_CTAs_Mensajeria_Contextual_v1_0.docx. Copy y CTA no transaccionales</w:t>
      </w:r>
    </w:p>
    <w:p>
      <w:pPr>
        <w:pStyle w:val="Caption"/>
      </w:pPr>
      <w:r>
        <w:rPr>
          <w:rFonts w:ascii="Calibri" w:hAnsi="Calibri"/>
        </w:rPr>
        <w:t>F5 - Walvy_Modulo6_Pagos_Fase5_Briefing_UX_Matriz_Obligaciones_UX_v1_0.docx. Obligaciones UX e ingesta convergente, no aprobación visual</w:t>
      </w:r>
    </w:p>
    <w:p>
      <w:pPr>
        <w:pStyle w:val="Caption"/>
      </w:pPr>
      <w:r>
        <w:rPr>
          <w:rFonts w:ascii="Calibri" w:hAnsi="Calibri"/>
        </w:rPr>
        <w:t>PT - Walvy_Modulo6_Pagos_Plaintext_Nodos_Cards_Modales_v1_0.txt. Nodos y rutas de referencia; sus PASS históricos no se heredan</w:t>
      </w:r>
    </w:p>
    <w:p>
      <w:pPr>
        <w:pStyle w:val="Caption"/>
      </w:pPr>
      <w:r>
        <w:rPr>
          <w:rFonts w:ascii="Calibri" w:hAnsi="Calibri"/>
        </w:rPr>
        <w:t>TC - Walvy_Anexo_Transversal_TC_M04_M05_M06_v1_0.docx. Extracción TC y separación M04/M05/M06; supersesión M04 en ciclo reconciliado</w:t>
      </w:r>
    </w:p>
    <w:p>
      <w:pPr>
        <w:pStyle w:val="Caption"/>
      </w:pPr>
      <w:r>
        <w:rPr>
          <w:rFonts w:ascii="Calibri" w:hAnsi="Calibri"/>
        </w:rPr>
        <w:t>EXEC - 000 Resumen Ejecutivo M6 Pagos.docx. Fronteras M06, M04, M05 y Home</w:t>
      </w:r>
    </w:p>
    <w:p>
      <w:pPr>
        <w:pStyle w:val="Caption"/>
      </w:pPr>
      <w:r>
        <w:rPr>
          <w:rFonts w:ascii="Calibri" w:hAnsi="Calibri"/>
        </w:rPr>
        <w:t>COMP04 - 000 Nota de compatibilidad M06-M04.docx. Señal hacia M04 no activa Ruta</w:t>
      </w:r>
    </w:p>
    <w:p>
      <w:pPr>
        <w:pStyle w:val="Caption"/>
      </w:pPr>
      <w:r>
        <w:rPr>
          <w:rFonts w:ascii="Calibri" w:hAnsi="Calibri"/>
        </w:rPr>
        <w:t>COMP05 - 000 Nota de compatibilidad M06-M05-Home.docx. Presupuesto y Home conservan ownership</w:t>
      </w:r>
    </w:p>
    <w:p>
      <w:pPr>
        <w:pStyle w:val="Caption"/>
      </w:pPr>
      <w:r>
        <w:rPr>
          <w:rFonts w:ascii="Calibri" w:hAnsi="Calibri"/>
        </w:rPr>
        <w:t>BTR - Walvy_M6_Matriz_Trazabilidad_Cliente_v1.0.xlsx. 69 Trace / 44 reglas; no se presupone completitud</w:t>
      </w:r>
    </w:p>
    <w:p>
      <w:pPr>
        <w:pStyle w:val="Caption"/>
      </w:pPr>
      <w:r>
        <w:rPr>
          <w:rFonts w:ascii="Calibri" w:hAnsi="Calibri"/>
        </w:rPr>
        <w:t>BTEC - Walvy_M6_Matriz_Validacion_Tecnica_v1.0.xlsx. 28 controles y separación Gate A/B</w:t>
      </w:r>
    </w:p>
    <w:p>
      <w:pPr>
        <w:pStyle w:val="Caption"/>
      </w:pPr>
      <w:r>
        <w:rPr>
          <w:rFonts w:ascii="Calibri" w:hAnsi="Calibri"/>
        </w:rPr>
        <w:t>M05BE - Walvy_M05_Guia_Implementacion_Backend_Reglas_y_Calculos_v1.0.docx. Contrato publicado M05: interfaz, cálculos propios, no doble conteo</w:t>
      </w:r>
    </w:p>
    <w:p>
      <w:pPr>
        <w:pStyle w:val="Caption"/>
      </w:pPr>
      <w:r>
        <w:rPr>
          <w:rFonts w:ascii="Calibri" w:hAnsi="Calibri"/>
        </w:rPr>
        <w:t>M05BDD - Walvy_M05_Anexo_BDD_Reglas_Productivas_v1.0.docx. BDD y reglas productivas M05 publicadas</w:t>
      </w:r>
    </w:p>
    <w:p>
      <w:pPr>
        <w:pStyle w:val="Caption"/>
      </w:pPr>
      <w:r>
        <w:rPr>
          <w:rFonts w:ascii="Calibri" w:hAnsi="Calibri"/>
        </w:rPr>
        <w:t>M05AV - Walvy_M05_Mis_Avisos_Parte_II_v1.0.docx. Lifecycle M05; no copiar semántica al dominio M06</w:t>
      </w:r>
    </w:p>
    <w:p>
      <w:pPr>
        <w:pStyle w:val="Caption"/>
      </w:pPr>
      <w:r>
        <w:rPr>
          <w:rFonts w:ascii="Calibri" w:hAnsi="Calibri"/>
        </w:rPr>
        <w:t>M04BE - Walvy_M04_Guia_Implementacion_Backend_Reglas_y_Calculos_v1.0.docx. M04 interpreta D y salud; consume hechos/ciclos/aging M06</w:t>
      </w:r>
    </w:p>
    <w:p>
      <w:pPr>
        <w:pStyle w:val="Caption"/>
      </w:pPr>
      <w:r>
        <w:rPr>
          <w:rFonts w:ascii="Calibri" w:hAnsi="Calibri"/>
        </w:rPr>
        <w:t>M04BDD - Walvy_M04_Anexo_BDD_Reglas_Productivas_v1.0.docx. Casos M04, ciclo con cierre reconciliado</w:t>
      </w:r>
    </w:p>
    <w:p>
      <w:pPr>
        <w:pStyle w:val="Caption"/>
      </w:pPr>
      <w:r>
        <w:rPr>
          <w:rFonts w:ascii="Calibri" w:hAnsi="Calibri"/>
        </w:rPr>
        <w:t>M02I - Walvy_Modulo2_Configurar_Mis_Avisos_Parte_I_Definicion_Funcional_v1.0.docx. Preferencias, canal, frecuencia, prioridad transversal</w:t>
      </w:r>
    </w:p>
    <w:p>
      <w:pPr>
        <w:pStyle w:val="Caption"/>
      </w:pPr>
      <w:r>
        <w:rPr>
          <w:rFonts w:ascii="Calibri" w:hAnsi="Calibri"/>
        </w:rPr>
        <w:t>M02II - Walvy_Modulo2_Configurar_Mis_Avisos_Parte_II_Catalogo_Avisos_y_Senales_v1.0.docx. Catálogo histórico AVI-M06-001..017 y restricciones transversales; en M06 se proyecta a 7 familias canónicas activas.</w:t>
      </w:r>
    </w:p>
    <w:p>
      <w:pPr>
        <w:pStyle w:val="Caption"/>
      </w:pPr>
      <w:r>
        <w:rPr>
          <w:rFonts w:ascii="Calibri" w:hAnsi="Calibri"/>
        </w:rPr>
        <w:t>M01 - Walvy_M1_Matriz_Trazabilidad_Cliente_v2.6_checkpoint_entrega.xlsx. Acceso, orquestación de completitud y Estado Financiero canónico</w:t>
      </w:r>
    </w:p>
    <w:p>
      <w:pPr>
        <w:pStyle w:val="Caption"/>
      </w:pPr>
      <w:r>
        <w:rPr>
          <w:rFonts w:ascii="Calibri" w:hAnsi="Calibri"/>
        </w:rPr>
        <w:t>HOME - Walvy_Modulo3_Fase2_Criterios_Consumo_Priorizacion_Derivacion_v1_0.docx. M03 consume/prioriza/deriva; no entrega 2.0 cerrada</w:t>
      </w:r>
    </w:p>
    <w:p>
      <w:pPr>
        <w:pStyle w:val="Caption"/>
      </w:pPr>
      <w:r>
        <w:rPr>
          <w:rFonts w:ascii="Calibri" w:hAnsi="Calibri"/>
        </w:rPr>
        <w:t>PDI - 05_Walvy_Matriz_Maestra_Inventario_Datos_y_Tratamientos_v1_0.xlsx. Inventario de tratamientos; 50 registros M06 incluida exclusión de N de cliente</w:t>
      </w:r>
    </w:p>
    <w:p>
      <w:pPr>
        <w:pStyle w:val="Caption"/>
      </w:pPr>
      <w:r>
        <w:rPr>
          <w:rFonts w:ascii="Calibri" w:hAnsi="Calibri"/>
        </w:rPr>
        <w:t>PDL - 04_Walvy_Documento_Maestro_Proteccion_Datos_Personales_y_Sensibles_v1_0.docx. Política interna de lifecycle; no dictamen jurídico</w:t>
      </w:r>
    </w:p>
    <w:p>
      <w:pPr>
        <w:pStyle w:val="Caption"/>
      </w:pPr>
      <w:r>
        <w:rPr>
          <w:rFonts w:ascii="Calibri" w:hAnsi="Calibri"/>
        </w:rPr>
        <w:t>PDT - 06_Walvy_Especificacion_Proteccion_Datos_y_Requerimientos_Tecnicos_v1_0.docx. Especificación técnica de protección de datos</w:t>
      </w:r>
    </w:p>
    <w:p>
      <w:pPr>
        <w:pStyle w:val="Caption"/>
      </w:pPr>
      <w:r>
        <w:rPr>
          <w:rFonts w:ascii="Calibri" w:hAnsi="Calibri"/>
        </w:rPr>
        <w:t>PDG - 01_Walvy_Marco_Gobierno_Clasificacion_Datos_v1_0.docx. Marco de gobierno interno; no certificación de cumplimiento legal</w:t>
      </w:r>
    </w:p>
    <w:p>
      <w:pPr>
        <w:pStyle w:val="Caption"/>
      </w:pPr>
      <w:r>
        <w:rPr>
          <w:rFonts w:ascii="Calibri" w:hAnsi="Calibri"/>
        </w:rPr>
        <w:t>RECTOR - Walvy_Rector_Producto_y_Funcionalidades_MVP_v1.0.docx. Alcance y capacidades transversales, economia de pantallas</w:t>
      </w:r>
    </w:p>
    <w:p>
      <w:pPr>
        <w:pStyle w:val="Caption"/>
      </w:pPr>
      <w:r>
        <w:rPr>
          <w:rFonts w:ascii="Calibri" w:hAnsi="Calibri"/>
        </w:rPr>
        <w:t>MVP - MVP_CheckApp_VF_10032026_alineado_estrategia.xlsx. Alcance M06 y exclusiones, refinado por decisiones posteriores</w:t>
      </w:r>
    </w:p>
    <w:p>
      <w:pPr>
        <w:pStyle w:val="Caption"/>
      </w:pPr>
      <w:r>
        <w:rPr>
          <w:rFonts w:ascii="Calibri" w:hAnsi="Calibri"/>
        </w:rPr>
        <w:t>CAT - Walvy_Modulo5_BBDD_Categorias_MVP_v2.7.xlsx. Taxonomía compartida y gobernanza; no motor de pagos</w:t>
      </w:r>
    </w:p>
    <w:p>
      <w:pPr>
        <w:pStyle w:val="Caption"/>
      </w:pPr>
      <w:r>
        <w:rPr>
          <w:rFonts w:ascii="Calibri" w:hAnsi="Calibri"/>
        </w:rPr>
        <w:t>ANNEX - Anexos_V2_25022026_REV_GREEN_v5.docx. Controles y metas técnicas; escenario debe acordarse; no se acredita firma</w:t>
      </w:r>
    </w:p>
    <w:p>
      <w:pPr>
        <w:pStyle w:val="Caption"/>
      </w:pPr>
      <w:r>
        <w:rPr>
          <w:rFonts w:ascii="Calibri" w:hAnsi="Calibri"/>
        </w:rPr>
        <w:t>SERVICE - CONTRATO_PRESTACION_DE_SERVICIOS_Edificate_Inteligente_DF_REV_GREEN_v5.docx. Copia con marcadores incompletos: no afirmar contrato firmado</w:t>
      </w:r>
    </w:p>
    <w:p>
      <w:r>
        <w:rPr>
          <w:rFonts w:ascii="Calibri" w:hAnsi="Calibri"/>
        </w:rPr>
        <w:t>Estado del corte: definiciones documentadas; 15 ajustes Figma y evidencia de implementación pendientes. No enviado. Consultar la matriz de ajustes y el handoff UX v1.0.</w:t>
      </w:r>
    </w:p>
    <w:p>
      <w:pPr>
        <w:pStyle w:val="Heading1"/>
      </w:pPr>
      <w:r>
        <w:rPr>
          <w:rFonts w:ascii="Calibri" w:hAnsi="Calibri"/>
        </w:rPr>
        <w:t>Lectura de implementación</w:t>
      </w:r>
    </w:p>
    <w:p>
      <w:r>
        <w:rPr>
          <w:rFonts w:ascii="Calibri" w:hAnsi="Calibri"/>
        </w:rPr>
        <w:t>Continuar con la Guía Backend para campos y cálculos, BDD/Interfaces/PD para criterios de prueba y datos, Mis Avisos para situaciones y cierre, y Handoff UX para los 15 ajustes. Las matrices contienen las obligaciones y las columnas de devolución. Los detalles de auditoría y fuentes originales permanecen en el control interno Walvy.</w:t>
      </w:r>
    </w:p>
    <w:p>
      <w:pPr>
        <w:pStyle w:val="Heading1"/>
      </w:pPr>
      <w:r>
        <w:rPr>
          <w:rFonts w:ascii="Calibri" w:hAnsi="Calibri"/>
        </w:rPr>
        <w:t>C. Qué cambió desde Discovery hasta el contrato implementable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rFonts w:ascii="Calibri" w:hAnsi="Calibri"/>
                <w:sz w:val="17"/>
              </w:rPr>
              <w:t>Tema</w:t>
            </w:r>
          </w:p>
        </w:tc>
        <w:tc>
          <w:tcPr>
            <w:tcW w:type="dxa" w:w="2484"/>
          </w:tcPr>
          <w:p>
            <w:r>
              <w:rPr>
                <w:rFonts w:ascii="Calibri" w:hAnsi="Calibri"/>
                <w:sz w:val="17"/>
              </w:rPr>
              <w:t>Discovery / estado temprano</w:t>
            </w:r>
          </w:p>
        </w:tc>
        <w:tc>
          <w:tcPr>
            <w:tcW w:type="dxa" w:w="2484"/>
          </w:tcPr>
          <w:p>
            <w:r>
              <w:rPr>
                <w:rFonts w:ascii="Calibri" w:hAnsi="Calibri"/>
                <w:sz w:val="17"/>
              </w:rPr>
              <w:t>Precisión vigente</w:t>
            </w:r>
          </w:p>
        </w:tc>
        <w:tc>
          <w:tcPr>
            <w:tcW w:type="dxa" w:w="2484"/>
          </w:tcPr>
          <w:p>
            <w:r>
              <w:rPr>
                <w:rFonts w:ascii="Calibri" w:hAnsi="Calibri"/>
                <w:sz w:val="17"/>
              </w:rPr>
              <w:t>Autoridad</w:t>
            </w:r>
          </w:p>
        </w:tc>
      </w:tr>
      <w:tr>
        <w:tc>
          <w:tcPr>
            <w:tcW w:type="dxa" w:w="2484"/>
          </w:tcPr>
          <w:p>
            <w:r>
              <w:rPr>
                <w:rFonts w:ascii="Calibri" w:hAnsi="Calibri"/>
                <w:sz w:val="17"/>
              </w:rPr>
              <w:t>Próximo / vencido</w:t>
            </w:r>
          </w:p>
        </w:tc>
        <w:tc>
          <w:tcPr>
            <w:tcW w:type="dxa" w:w="2484"/>
          </w:tcPr>
          <w:p>
            <w:r>
              <w:rPr>
                <w:rFonts w:ascii="Calibri" w:hAnsi="Calibri"/>
                <w:sz w:val="17"/>
              </w:rPr>
              <w:t>Discovery dejó el umbral y parte de la severidad abiertos.</w:t>
            </w:r>
          </w:p>
        </w:tc>
        <w:tc>
          <w:tcPr>
            <w:tcW w:type="dxa" w:w="2484"/>
          </w:tcPr>
          <w:p>
            <w:r>
              <w:rPr>
                <w:rFonts w:ascii="Calibri" w:hAnsi="Calibri"/>
                <w:sz w:val="17"/>
              </w:rPr>
              <w:t>El contrato usa N=7 días calendario configurable; fecha exacta confiable gobierna Próximo/Vencido; calidad y severidad son ejes separados.</w:t>
            </w:r>
          </w:p>
        </w:tc>
        <w:tc>
          <w:tcPr>
            <w:tcW w:type="dxa" w:w="2484"/>
          </w:tcPr>
          <w:p>
            <w:r>
              <w:rPr>
                <w:rFonts w:ascii="Calibri" w:hAnsi="Calibri"/>
                <w:sz w:val="17"/>
              </w:rPr>
              <w:t>CT-M06-07 / F3:T07-T08.</w:t>
            </w:r>
          </w:p>
        </w:tc>
      </w:tr>
      <w:tr>
        <w:tc>
          <w:tcPr>
            <w:tcW w:type="dxa" w:w="2484"/>
          </w:tcPr>
          <w:p>
            <w:r>
              <w:rPr>
                <w:rFonts w:ascii="Calibri" w:hAnsi="Calibri"/>
                <w:sz w:val="17"/>
              </w:rPr>
              <w:t>Candidatos detectados</w:t>
            </w:r>
          </w:p>
        </w:tc>
        <w:tc>
          <w:tcPr>
            <w:tcW w:type="dxa" w:w="2484"/>
          </w:tcPr>
          <w:p>
            <w:r>
              <w:rPr>
                <w:rFonts w:ascii="Calibri" w:hAnsi="Calibri"/>
                <w:sz w:val="17"/>
              </w:rPr>
              <w:t>Detección, confirmación y consolidación podían confundirse.</w:t>
            </w:r>
          </w:p>
        </w:tc>
        <w:tc>
          <w:tcPr>
            <w:tcW w:type="dxa" w:w="2484"/>
          </w:tcPr>
          <w:p>
            <w:r>
              <w:rPr>
                <w:rFonts w:ascii="Calibri" w:hAnsi="Calibri"/>
                <w:sz w:val="17"/>
              </w:rPr>
              <w:t>Detectar no confirma. Confirmar, corregir y descartar son decisiones distintas; candidato no entra al universo mensual hasta consolidarse.</w:t>
            </w:r>
          </w:p>
        </w:tc>
        <w:tc>
          <w:tcPr>
            <w:tcW w:type="dxa" w:w="2484"/>
          </w:tcPr>
          <w:p>
            <w:r>
              <w:rPr>
                <w:rFonts w:ascii="Calibri" w:hAnsi="Calibri"/>
                <w:sz w:val="17"/>
              </w:rPr>
              <w:t>CT-M06-05 / F3:T06,T10-T11; F4:T10-T11.</w:t>
            </w:r>
          </w:p>
        </w:tc>
      </w:tr>
      <w:tr>
        <w:tc>
          <w:tcPr>
            <w:tcW w:type="dxa" w:w="2484"/>
          </w:tcPr>
          <w:p>
            <w:r>
              <w:rPr>
                <w:rFonts w:ascii="Calibri" w:hAnsi="Calibri"/>
                <w:sz w:val="17"/>
              </w:rPr>
              <w:t>Recurrencia</w:t>
            </w:r>
          </w:p>
        </w:tc>
        <w:tc>
          <w:tcPr>
            <w:tcW w:type="dxa" w:w="2484"/>
          </w:tcPr>
          <w:p>
            <w:r>
              <w:rPr>
                <w:rFonts w:ascii="Calibri" w:hAnsi="Calibri"/>
                <w:sz w:val="17"/>
              </w:rPr>
              <w:t>Existía detector y necesidad de confirmar patrón, pero no estaba cerrado el caso del día civil inexistente ni el ancla insuficiente.</w:t>
            </w:r>
          </w:p>
        </w:tc>
        <w:tc>
          <w:tcPr>
            <w:tcW w:type="dxa" w:w="2484"/>
          </w:tcPr>
          <w:p>
            <w:r>
              <w:rPr>
                <w:rFonts w:ascii="Calibri" w:hAnsi="Calibri"/>
                <w:sz w:val="17"/>
              </w:rPr>
              <w:t>Patrón probable requiere ≥2 ocurrencias económicas distintas compatibles. Día/ancla conocido que no existe en un mes → último día válido conservando ancla. Ancla/día insuficiente → Confirmar/Completar fecha; no inferir fin de mes.</w:t>
            </w:r>
          </w:p>
        </w:tc>
        <w:tc>
          <w:tcPr>
            <w:tcW w:type="dxa" w:w="2484"/>
          </w:tcPr>
          <w:p>
            <w:r>
              <w:rPr>
                <w:rFonts w:ascii="Calibri" w:hAnsi="Calibri"/>
                <w:sz w:val="17"/>
              </w:rPr>
              <w:t>CT-M06-08 + D-M06-REC-CALENDAR-01.</w:t>
            </w:r>
          </w:p>
        </w:tc>
      </w:tr>
      <w:tr>
        <w:tc>
          <w:tcPr>
            <w:tcW w:type="dxa" w:w="2484"/>
          </w:tcPr>
          <w:p>
            <w:r>
              <w:rPr>
                <w:rFonts w:ascii="Calibri" w:hAnsi="Calibri"/>
                <w:sz w:val="17"/>
              </w:rPr>
              <w:t>Pago parcial</w:t>
            </w:r>
          </w:p>
        </w:tc>
        <w:tc>
          <w:tcPr>
            <w:tcW w:type="dxa" w:w="2484"/>
          </w:tcPr>
          <w:p>
            <w:r>
              <w:rPr>
                <w:rFonts w:ascii="Calibri" w:hAnsi="Calibri"/>
                <w:sz w:val="17"/>
              </w:rPr>
              <w:t>Discovery contemplaba hechos de pago y parcialidad sin un lifecycle manual cerrado end-to-end.</w:t>
            </w:r>
          </w:p>
        </w:tc>
        <w:tc>
          <w:tcPr>
            <w:tcW w:type="dxa" w:w="2484"/>
          </w:tcPr>
          <w:p>
            <w:r>
              <w:rPr>
                <w:rFonts w:ascii="Calibri" w:hAnsi="Calibri"/>
                <w:sz w:val="17"/>
              </w:rPr>
              <w:t>Manual y detectado/importado convergen al mismo lifecycle downstream; se admiten múltiples abonos y un parcial no equivale a Pagado ni resuelve necesariamente Vencido.</w:t>
            </w:r>
          </w:p>
        </w:tc>
        <w:tc>
          <w:tcPr>
            <w:tcW w:type="dxa" w:w="2484"/>
          </w:tcPr>
          <w:p>
            <w:r>
              <w:rPr>
                <w:rFonts w:ascii="Calibri" w:hAnsi="Calibri"/>
                <w:sz w:val="17"/>
              </w:rPr>
              <w:t>CT-M06-06/12 + D-M06-PARTIAL-MANUAL-01.</w:t>
            </w:r>
          </w:p>
        </w:tc>
      </w:tr>
      <w:tr>
        <w:tc>
          <w:tcPr>
            <w:tcW w:type="dxa" w:w="2484"/>
          </w:tcPr>
          <w:p>
            <w:r>
              <w:rPr>
                <w:rFonts w:ascii="Calibri" w:hAnsi="Calibri"/>
                <w:sz w:val="17"/>
              </w:rPr>
              <w:t>Resumen mensual</w:t>
            </w:r>
          </w:p>
        </w:tc>
        <w:tc>
          <w:tcPr>
            <w:tcW w:type="dxa" w:w="2484"/>
          </w:tcPr>
          <w:p>
            <w:r>
              <w:rPr>
                <w:rFonts w:ascii="Calibri" w:hAnsi="Calibri"/>
                <w:sz w:val="17"/>
              </w:rPr>
              <w:t>Las vistas tempranas no fijaban de forma suficientemente segura el universo del KPI.</w:t>
            </w:r>
          </w:p>
        </w:tc>
        <w:tc>
          <w:tcPr>
            <w:tcW w:type="dxa" w:w="2484"/>
          </w:tcPr>
          <w:p>
            <w:r>
              <w:rPr>
                <w:rFonts w:ascii="Calibri" w:hAnsi="Calibri"/>
                <w:sz w:val="17"/>
              </w:rPr>
              <w:t>Compromisos al día = (total confirmado del período − vencidos del mismo universo) / total. Ejemplo 17 totales y 2 vencidos = 15/17 = 88%. Si total=0 no se muestra porcentaje.</w:t>
            </w:r>
          </w:p>
        </w:tc>
        <w:tc>
          <w:tcPr>
            <w:tcW w:type="dxa" w:w="2484"/>
          </w:tcPr>
          <w:p>
            <w:r>
              <w:rPr>
                <w:rFonts w:ascii="Calibri" w:hAnsi="Calibri"/>
                <w:sz w:val="17"/>
              </w:rPr>
              <w:t>CT-M06-09.</w:t>
            </w:r>
          </w:p>
        </w:tc>
      </w:tr>
      <w:tr>
        <w:tc>
          <w:tcPr>
            <w:tcW w:type="dxa" w:w="2484"/>
          </w:tcPr>
          <w:p>
            <w:r>
              <w:rPr>
                <w:rFonts w:ascii="Calibri" w:hAnsi="Calibri"/>
                <w:sz w:val="17"/>
              </w:rPr>
              <w:t>Avisos y canales</w:t>
            </w:r>
          </w:p>
        </w:tc>
        <w:tc>
          <w:tcPr>
            <w:tcW w:type="dxa" w:w="2484"/>
          </w:tcPr>
          <w:p>
            <w:r>
              <w:rPr>
                <w:rFonts w:ascii="Calibri" w:hAnsi="Calibri"/>
                <w:sz w:val="17"/>
              </w:rPr>
              <w:t>Discovery y catálogo histórico permitían leer avisos M06 como si el módulo pudiera decidir canal/orquestación.</w:t>
            </w:r>
          </w:p>
        </w:tc>
        <w:tc>
          <w:tcPr>
            <w:tcW w:type="dxa" w:w="2484"/>
          </w:tcPr>
          <w:p>
            <w:r>
              <w:rPr>
                <w:rFonts w:ascii="Calibri" w:hAnsi="Calibri"/>
                <w:sz w:val="17"/>
              </w:rPr>
              <w:t>M06 produce situación/CTA/prioridad local; M03 decide winner/superficie; M02 permisos, canal, frecuencia y dedupe. Activar alerta se retira; Recordarme este pago queda backlog.</w:t>
            </w:r>
          </w:p>
        </w:tc>
        <w:tc>
          <w:tcPr>
            <w:tcW w:type="dxa" w:w="2484"/>
          </w:tcPr>
          <w:p>
            <w:r>
              <w:rPr>
                <w:rFonts w:ascii="Calibri" w:hAnsi="Calibri"/>
                <w:sz w:val="17"/>
              </w:rPr>
              <w:t>CT-M06-14 + D-M06-OWN-AVISOS-01 + D-M06-ALERTA-MVP-01.</w:t>
            </w:r>
          </w:p>
        </w:tc>
      </w:tr>
      <w:tr>
        <w:tc>
          <w:tcPr>
            <w:tcW w:type="dxa" w:w="2484"/>
          </w:tcPr>
          <w:p>
            <w:r>
              <w:rPr>
                <w:rFonts w:ascii="Calibri" w:hAnsi="Calibri"/>
                <w:sz w:val="17"/>
              </w:rPr>
              <w:t>Ruta Despeje</w:t>
            </w:r>
          </w:p>
        </w:tc>
        <w:tc>
          <w:tcPr>
            <w:tcW w:type="dxa" w:w="2484"/>
          </w:tcPr>
          <w:p>
            <w:r>
              <w:rPr>
                <w:rFonts w:ascii="Calibri" w:hAnsi="Calibri"/>
                <w:sz w:val="17"/>
              </w:rPr>
              <w:t>Una lectura anterior podía sugerir que un pago/deuda activaba Ruta desde M06.</w:t>
            </w:r>
          </w:p>
        </w:tc>
        <w:tc>
          <w:tcPr>
            <w:tcW w:type="dxa" w:w="2484"/>
          </w:tcPr>
          <w:p>
            <w:r>
              <w:rPr>
                <w:rFonts w:ascii="Calibri" w:hAnsi="Calibri"/>
                <w:sz w:val="17"/>
              </w:rPr>
              <w:t>M06 entrega hechos. M04 decide elegibilidad, Ruta activa, vínculo y estrategia; “Vinculado a Ruta” solo cuando M04 confirma relación vigente.</w:t>
            </w:r>
          </w:p>
        </w:tc>
        <w:tc>
          <w:tcPr>
            <w:tcW w:type="dxa" w:w="2484"/>
          </w:tcPr>
          <w:p>
            <w:r>
              <w:rPr>
                <w:rFonts w:ascii="Calibri" w:hAnsi="Calibri"/>
                <w:sz w:val="17"/>
              </w:rPr>
              <w:t>CT-M06-10/12/13; EXEC.</w:t>
            </w:r>
          </w:p>
        </w:tc>
      </w:tr>
    </w:tbl>
    <w:p>
      <w:r>
        <w:rPr>
          <w:rFonts w:ascii="Calibri" w:hAnsi="Calibri"/>
        </w:rPr>
        <w:t>Lectura: los cambios anteriores son precisiones/ownership y cierres de decisión. No convierten Discovery en “incorrecto” de forma global ni autorizan a Backend a inventar valores que no estén en el contrato vigente.</w:t>
      </w:r>
    </w:p>
    <w:p>
      <w:pPr>
        <w:pStyle w:val="Heading1"/>
      </w:pPr>
      <w:r>
        <w:rPr>
          <w:rFonts w:ascii="Calibri" w:hAnsi="Calibri"/>
        </w:rPr>
        <w:t>D. Pendientes resueltos, diferidos y no-inferencias Backend</w:t>
      </w:r>
    </w:p>
    <w:p>
      <w:pPr>
        <w:pStyle w:val="ListBullet"/>
      </w:pPr>
      <w:r>
        <w:rPr>
          <w:rFonts w:ascii="Calibri" w:hAnsi="Calibri"/>
          <w:sz w:val="19"/>
        </w:rPr>
        <w:t>A5 Producto abiertas: 0. Las decisiones de recurrencia, abonos parciales, ownership de avisos y retiro de Activar alerta están cerradas y no deben volver a preguntarse.</w:t>
      </w:r>
    </w:p>
    <w:p>
      <w:pPr>
        <w:pStyle w:val="ListBullet"/>
      </w:pPr>
      <w:r>
        <w:rPr>
          <w:rFonts w:ascii="Calibri" w:hAnsi="Calibri"/>
          <w:sz w:val="19"/>
        </w:rPr>
        <w:t>Diferido explícito: Posponer pago/estado Pospuesto; Open Finance de TC no facturado; Recordarme este pago/personalización avanzada; persistencia de filtros entre sesiones/dispositivos. Mientras estén diferidos, Backend no implementa sustitutos ni defaults locales.</w:t>
      </w:r>
    </w:p>
    <w:p>
      <w:pPr>
        <w:pStyle w:val="ListBullet"/>
      </w:pPr>
      <w:r>
        <w:rPr>
          <w:rFonts w:ascii="Calibri" w:hAnsi="Calibri"/>
          <w:sz w:val="19"/>
        </w:rPr>
        <w:t>Pendiente de materialización: 15 ajustes Figma. Son instrucciones de representación/navegación; no deudas de semántica Producto.</w:t>
      </w:r>
    </w:p>
    <w:p>
      <w:pPr>
        <w:pStyle w:val="ListBullet"/>
      </w:pPr>
      <w:r>
        <w:rPr>
          <w:rFonts w:ascii="Calibri" w:hAnsi="Calibri"/>
          <w:sz w:val="19"/>
        </w:rPr>
        <w:t>Pendiente de evidencia: implementación técnica, runtime Android/iOS y apertura nativa Office. No confundir “contrato definido” con “implementado”.</w:t>
      </w:r>
    </w:p>
    <w:p>
      <w:pPr>
        <w:pStyle w:val="ListBullet"/>
      </w:pPr>
      <w:r>
        <w:rPr>
          <w:rFonts w:ascii="Calibri" w:hAnsi="Calibri"/>
          <w:sz w:val="19"/>
        </w:rPr>
        <w:t>Regla de no inferencia: Backend puede elegir implementación técnica equivalente, pero no puede inventar fecha/ancla, canal, winner, vínculo Ruta, recordatorio local, fórmula o estado de negocio.</w:t>
      </w:r>
    </w:p>
    <w:p>
      <w:pPr>
        <w:pStyle w:val="Heading1"/>
      </w:pPr>
      <w:r>
        <w:rPr>
          <w:rFonts w:ascii="Calibri" w:hAnsi="Calibri"/>
        </w:rPr>
        <w:t>E. Benchmarks consultados y autoridad</w:t>
      </w:r>
    </w:p>
    <w:p>
      <w:pPr/>
      <w:r>
        <w:rPr>
          <w:rFonts w:ascii="Calibri" w:hAnsi="Calibri"/>
        </w:rPr>
        <w:t>Solo se utilizó benchmark externo donde existía una convención madura pertinente al problema de calendario/recurrencia. Los benchmarks ayudaron a comparar alternativas; no son la autoridad de la regla Walvy. La decisión final es D-M06-REC-CALENDAR-01.</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Calibri" w:hAnsi="Calibri"/>
                <w:sz w:val="17"/>
              </w:rPr>
              <w:t>Referencia</w:t>
            </w:r>
          </w:p>
        </w:tc>
        <w:tc>
          <w:tcPr>
            <w:tcW w:type="dxa" w:w="3312"/>
          </w:tcPr>
          <w:p>
            <w:r>
              <w:rPr>
                <w:rFonts w:ascii="Calibri" w:hAnsi="Calibri"/>
                <w:sz w:val="17"/>
              </w:rPr>
              <w:t>Qué aportó</w:t>
            </w:r>
          </w:p>
        </w:tc>
        <w:tc>
          <w:tcPr>
            <w:tcW w:type="dxa" w:w="3312"/>
          </w:tcPr>
          <w:p>
            <w:r>
              <w:rPr>
                <w:rFonts w:ascii="Calibri" w:hAnsi="Calibri"/>
                <w:sz w:val="17"/>
              </w:rPr>
              <w:t>Uso permitido</w:t>
            </w:r>
          </w:p>
        </w:tc>
      </w:tr>
      <w:tr>
        <w:tc>
          <w:tcPr>
            <w:tcW w:type="dxa" w:w="3312"/>
          </w:tcPr>
          <w:p>
            <w:r>
              <w:rPr>
                <w:rFonts w:ascii="Calibri" w:hAnsi="Calibri"/>
                <w:sz w:val="17"/>
              </w:rPr>
              <w:t>RFC 5545 §3.3.10</w:t>
            </w:r>
          </w:p>
        </w:tc>
        <w:tc>
          <w:tcPr>
            <w:tcW w:type="dxa" w:w="3312"/>
          </w:tcPr>
          <w:p>
            <w:r>
              <w:rPr>
                <w:rFonts w:ascii="Calibri" w:hAnsi="Calibri"/>
                <w:sz w:val="17"/>
              </w:rPr>
              <w:t>Las recurrencias con fecha civil inválida pueden omitirse en iCalendar.</w:t>
            </w:r>
          </w:p>
        </w:tc>
        <w:tc>
          <w:tcPr>
            <w:tcW w:type="dxa" w:w="3312"/>
          </w:tcPr>
          <w:p>
            <w:r>
              <w:rPr>
                <w:rFonts w:ascii="Calibri" w:hAnsi="Calibri"/>
                <w:sz w:val="17"/>
              </w:rPr>
              <w:t>Alternativa evaluada; no determina semántica financiera Walvy.</w:t>
            </w:r>
          </w:p>
        </w:tc>
      </w:tr>
      <w:tr>
        <w:tc>
          <w:tcPr>
            <w:tcW w:type="dxa" w:w="3312"/>
          </w:tcPr>
          <w:p>
            <w:r>
              <w:rPr>
                <w:rFonts w:ascii="Calibri" w:hAnsi="Calibri"/>
                <w:sz w:val="17"/>
              </w:rPr>
              <w:t>RFC 7529 · SKIP</w:t>
            </w:r>
          </w:p>
        </w:tc>
        <w:tc>
          <w:tcPr>
            <w:tcW w:type="dxa" w:w="3312"/>
          </w:tcPr>
          <w:p>
            <w:r>
              <w:rPr>
                <w:rFonts w:ascii="Calibri" w:hAnsi="Calibri"/>
                <w:sz w:val="17"/>
              </w:rPr>
              <w:t>Hace explícitas convenciones OMIT/BACKWARD/FORWARD.</w:t>
            </w:r>
          </w:p>
        </w:tc>
        <w:tc>
          <w:tcPr>
            <w:tcW w:type="dxa" w:w="3312"/>
          </w:tcPr>
          <w:p>
            <w:r>
              <w:rPr>
                <w:rFonts w:ascii="Calibri" w:hAnsi="Calibri"/>
                <w:sz w:val="17"/>
              </w:rPr>
              <w:t>Sirvió para demostrar que existen varias convenciones y que la decisión debía ser explícita.</w:t>
            </w:r>
          </w:p>
        </w:tc>
      </w:tr>
      <w:tr>
        <w:tc>
          <w:tcPr>
            <w:tcW w:type="dxa" w:w="3312"/>
          </w:tcPr>
          <w:p>
            <w:r>
              <w:rPr>
                <w:rFonts w:ascii="Calibri" w:hAnsi="Calibri"/>
                <w:sz w:val="17"/>
              </w:rPr>
              <w:t>Stripe · billing cycle anchor</w:t>
            </w:r>
          </w:p>
        </w:tc>
        <w:tc>
          <w:tcPr>
            <w:tcW w:type="dxa" w:w="3312"/>
          </w:tcPr>
          <w:p>
            <w:r>
              <w:rPr>
                <w:rFonts w:ascii="Calibri" w:hAnsi="Calibri"/>
                <w:sz w:val="17"/>
              </w:rPr>
              <w:t>Ejemplo de ajustar a último día del mes cuando no existe el ancla.</w:t>
            </w:r>
          </w:p>
        </w:tc>
        <w:tc>
          <w:tcPr>
            <w:tcW w:type="dxa" w:w="3312"/>
          </w:tcPr>
          <w:p>
            <w:r>
              <w:rPr>
                <w:rFonts w:ascii="Calibri" w:hAnsi="Calibri"/>
                <w:sz w:val="17"/>
              </w:rPr>
              <w:t>Referencia consistente con la decisión elegida; no implica integrar Stripe ni adoptar su producto.</w:t>
            </w:r>
          </w:p>
        </w:tc>
      </w:tr>
    </w:tbl>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Documento funcional - No constituye certificación de implementación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WALVY  |  M06  |  CONTRATO CANDIDATO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26C77"/>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26C77"/>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126C7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Calibri" w:hAnsi="Calibri"/>
      <w:color w:val="126C7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Walvy M06 - Contrato implementable PRE-PO v1.3</dc:title>
  <dc:subject/>
  <dc:creator>python-docx</dc:creator>
  <cp:keywords/>
  <dc:description>Decision delta 2026-09-12; no runtime certification; one open A5 + exact Figma walkthrough source required.</dc:description>
  <cp:lastModifiedBy/>
  <cp:revision>1</cp:revision>
  <dcterms:created xsi:type="dcterms:W3CDTF">2013-12-23T23:15:00Z</dcterms:created>
  <dcterms:modified xsi:type="dcterms:W3CDTF">2013-12-23T23:15:00Z</dcterms:modified>
  <cp:category/>
</cp:coreProperties>
</file>