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WALVY</w:t>
      </w:r>
    </w:p>
    <w:p>
      <w:pPr>
        <w:pStyle w:val="Heading1"/>
      </w:pPr>
      <w:r>
        <w:t>M06 | Pagos / Compromisos</w:t>
      </w:r>
    </w:p>
    <w:p>
      <w:pPr>
        <w:pStyle w:val="Title"/>
      </w:pPr>
      <w:r>
        <w:t>Respuesta a matrices de Kabeli</w:t>
      </w:r>
    </w:p>
    <w:p>
      <w:pPr>
        <w:pStyle w:val="Subtitle"/>
      </w:pPr>
      <w:r>
        <w:t>Definiciones vigentes, ajustes de alcance y condiciones de devolución</w:t>
      </w:r>
    </w:p>
    <w:p>
      <w:r>
        <w:t>v1.0 | 13 de septiembre de 2026 | Entrega funcional candidata - no enviada</w:t>
      </w:r>
    </w:p>
    <w:p>
      <w:r>
        <w:t>Definiciones y respuestas de Producto. No acredita implementacion, pruebas runtime ni apertura nativa en Microsoft Office. Las dependencias y materializaciones pendientes se mantienen visibles.</w:t>
      </w:r>
    </w:p>
    <w:p>
      <w:pPr>
        <w:pStyle w:val="Heading1"/>
      </w:pPr>
      <w:r>
        <w:t>1. Como usar este paquete</w:t>
      </w:r>
    </w:p>
    <w:p>
      <w:r>
        <w:t>Responder sobre los mismos59 M6-Vxx y23 TEC-M6-xxx recibidos. Sus declaraciones originales se conservan; las respuestas Walvy figuran en las columnas previstas y soportes agregados. La ficha M06 y las matrices internas de soporte no sustituyen esta devolución.</w:t>
      </w:r>
    </w:p>
    <w:tbl>
      <w:tblPr>
        <w:tblW w:type="auto" w:w="0"/>
        <w:jc w:val="center"/>
        <w:tblLayout w:type="fixed"/>
        <w:tblLook w:firstColumn="1" w:firstRow="1" w:lastColumn="0" w:lastRow="0" w:noHBand="0" w:noVBand="1" w:val="04A0"/>
      </w:tblPr>
      <w:tblGrid>
        <w:gridCol w:w="4759"/>
        <w:gridCol w:w="5119"/>
      </w:tblGrid>
      <w:tr>
        <w:trPr>
          <w:cantSplit/>
          <w:tblHeader/>
        </w:trPr>
        <w:tc>
          <w:tcPr>
            <w:tcW w:type="dxa" w:w="4759"/>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Documento</w:t>
            </w:r>
          </w:p>
        </w:tc>
        <w:tc>
          <w:tcPr>
            <w:tcW w:type="dxa" w:w="5119"/>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Uso</w:t>
            </w:r>
          </w:p>
        </w:tc>
      </w:tr>
      <w:tr>
        <w:trPr>
          <w:cantSplit/>
        </w:trPr>
        <w:tc>
          <w:tcPr>
            <w:tcW w:type="dxa" w:w="4759"/>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Walvy_M6_Matriz_Trazabilidad_Cliente_v1.0_RESPUESTA_WALVY.xlsx</w:t>
            </w:r>
          </w:p>
        </w:tc>
        <w:tc>
          <w:tcPr>
            <w:tcW w:type="dxa" w:w="5119"/>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Validación por variante y8 preguntas; Reglas Walvy y brechas existentes</w:t>
            </w:r>
          </w:p>
        </w:tc>
      </w:tr>
      <w:tr>
        <w:trPr>
          <w:cantSplit/>
        </w:trPr>
        <w:tc>
          <w:tcPr>
            <w:tcW w:type="dxa" w:w="4759"/>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Walvy_M6_Matriz_Validacion_Tecnica_v1.0_RESPUESTA_WALVY.xlsx</w:t>
            </w:r>
          </w:p>
        </w:tc>
        <w:tc>
          <w:tcPr>
            <w:tcW w:type="dxa" w:w="5119"/>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Alcance sobre23 controles; implementacion/evidencia se completan despues</w:t>
            </w:r>
          </w:p>
        </w:tc>
      </w:tr>
      <w:tr>
        <w:trPr>
          <w:cantSplit/>
        </w:trPr>
        <w:tc>
          <w:tcPr>
            <w:tcW w:type="dxa" w:w="4759"/>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Mis Avisos ParteII</w:t>
            </w:r>
          </w:p>
        </w:tc>
        <w:tc>
          <w:tcPr>
            <w:tcW w:type="dxa" w:w="5119"/>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7 familias canónicas M06 + 17 AVI históricos como lineage; estructura alineada a M04/M05</w:t>
            </w:r>
          </w:p>
        </w:tc>
      </w:tr>
      <w:tr>
        <w:trPr>
          <w:cantSplit/>
        </w:trPr>
        <w:tc>
          <w:tcPr>
            <w:tcW w:type="dxa" w:w="4759"/>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ClasificacionPD + Requerimientos de Evidencia</w:t>
            </w:r>
          </w:p>
        </w:tc>
        <w:tc>
          <w:tcPr>
            <w:tcW w:type="dxa" w:w="5119"/>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Activos/tratamientos/perfiles/owners y pruebas concretas</w:t>
            </w:r>
          </w:p>
        </w:tc>
      </w:tr>
    </w:tbl>
    <w:p/>
    <w:p>
      <w:pPr>
        <w:pStyle w:val="Heading1"/>
      </w:pPr>
      <w:r>
        <w:t>2. Pendientes Cliente de la Matriz de Trazabilidad</w:t>
      </w:r>
    </w:p>
    <w:p>
      <w:pPr>
        <w:pStyle w:val="Heading2"/>
      </w:pPr>
      <w:r>
        <w:t>PD-M6-01 | Definir el valor/rango del umbral de “Próximo vencimiento”.</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Resuelto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Queda definido N=7 días calendario, configurable y versionado. business_date comun; -1 Vencido, 0..7 Próximo, &gt;7 Pendiente. Sin fecha confiable no hay clasificación temporal firme.</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Producto M06 cerrado; Backend configura y acredita</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CT-M06-07</w:t>
            </w:r>
          </w:p>
        </w:tc>
      </w:tr>
    </w:tbl>
    <w:p/>
    <w:p>
      <w:pPr>
        <w:pStyle w:val="Heading2"/>
      </w:pPr>
      <w:r>
        <w:t>PD-M6-02 | Confirmar cierre visual de Pantalla principal Pagos versus superficie equivalente aprobada, incluyendo arquitectura de navegación.</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Pendiente</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Hub M06 y arquitectura funcional definidos. No afirmar cierre visual final: faltan materializar y verificar 15 ajustes del handoff UX. No es una nueva eleccion de Producto.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UX/Kabeli; bloquea cierre visual, no entrega del contrato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CT-M06-17; CT-M06-09</w:t>
            </w:r>
          </w:p>
        </w:tc>
      </w:tr>
    </w:tbl>
    <w:p/>
    <w:p>
      <w:pPr>
        <w:pStyle w:val="Heading2"/>
      </w:pPr>
      <w:r>
        <w:t>PD-M6-03 | Definir personalización avanzada de recordatorios: catálogo, anticipación, persistencia y configuración del usuario.</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r>
              <w:t>Diferido / backlog · no bloquea M06 MVP</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r>
              <w:t>La personalización avanzada es más amplia que “Activar alerta”: incluye catálogo, anticipación, persistencia y configuración individual. Para M06 MVP, “Activar alerta” está retirado y “Recordarme este pago” queda diferido. Los avisos automáticos continúan bajo M02/M03. Backend M06 no debe inferir estas capacidades.</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r>
              <w:t>Backlog futuro / owner transversal M02-M03/UX; no bloquea MVP ni requiere nueva decisión PO M06.</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r>
              <w:t>CT-M06-14 | DEF-M06-03 | D-M06-ALERTA-MVP-01</w:t>
            </w:r>
          </w:p>
        </w:tc>
      </w:tr>
    </w:tbl>
    <w:p/>
    <w:p>
      <w:pPr>
        <w:pStyle w:val="Heading2"/>
      </w:pPr>
      <w:r>
        <w:t>PD-M6-04 | Definir prioridad y representación visual final de señales M6 en Home y superficies consumidoras.</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Pendiente</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M06 define familia/situación, CTA, vigencia y prioridad local. M03/Home decide ganador/superficie y M02 canal/cadencia. La dependencia histórica AVI-M06-003/004 permanece en sus owners externos; no crea familias ni defaults.</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M03/M02; condiciona entrega externa, no el resto de M06</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CT-M06-14; CT-M06-15</w:t>
            </w:r>
          </w:p>
        </w:tc>
      </w:tr>
    </w:tbl>
    <w:p/>
    <w:p>
      <w:pPr>
        <w:pStyle w:val="Heading2"/>
      </w:pPr>
      <w:r>
        <w:t>PD-M6-05 | Definir criterio parametrizable de “monto relevante / alto impacto mensual” cuando se use para elevar severidad a Urgente o Crítica.</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Resuelto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sustituye monto CLP ambiguo por ratio mensual canónico confiable o deterioro pertinente M04. Próximo-&gt;Urgente desde90%; Vencido-&gt;Crítica desde110% con suficiencia. Deuda asociada o parcial pre-cierre no bastan.</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Producto M06 cerrado; evidencia técnica pendiente</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CT-M06-10</w:t>
            </w:r>
          </w:p>
        </w:tc>
      </w:tr>
    </w:tbl>
    <w:p/>
    <w:p>
      <w:pPr>
        <w:pStyle w:val="Heading2"/>
      </w:pPr>
      <w:r>
        <w:t>PD-M6-06 | Definir regla para preparar compromisos futuros tras confirmar recurrencia: horizonte, fecha, monto y mecanismo de actualización.</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Resuelto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Patrón confirmado y ancla conocida: período solicitado o proxima instancia necesaria, idempotente. Día inexistente: último valido conservando ancla. Ancla insuficiente: Confirmar/Completar fecha. Sin monto inventado ni heredar Pagado.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Producto M06 cerrado; Backend demuestra calendario/version</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CT-M06-08</w:t>
            </w:r>
          </w:p>
        </w:tc>
      </w:tr>
    </w:tbl>
    <w:p/>
    <w:p>
      <w:pPr>
        <w:pStyle w:val="Heading2"/>
      </w:pPr>
      <w:r>
        <w:t>PD-M6-07 | Definir retención, modelo de auditoría y nivel de detalle técnico del historial funcional.</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Resuelto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Definido el lifecycle funcional: mínima trazabilidad, acceso vigente y finalidad; fin efectivo congela y abre hasta 90 días; supresión confirmada no espera. Original K-read maximo 24 horas. Stores, TTL, backups y prueba de borrado siguen pendientes técnicos, no se certifican.</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Kabeli aplicación; Walvy infraestructura; K-read procesamiento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CT-M06-16; CT-M06-06</w:t>
            </w:r>
          </w:p>
        </w:tc>
      </w:tr>
    </w:tbl>
    <w:p/>
    <w:p>
      <w:pPr>
        <w:pStyle w:val="Heading2"/>
      </w:pPr>
      <w:r>
        <w:t>PD-M6-08 | Validar correspondencia visual entre el nodo Figma M6 y las obligaciones F1–F5 / blueprint M6-SCR-01..11 antes de considerar el diseño como fuente cerrada.</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Estado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Pendiente</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Definición / tratamiento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Recorrido completo incorporado; quince ajustes estan definidos pero su materializacion y revalidacion visual siguen pendientes. Conservar IDs y devolver evidencia por ajuste. No repetir decisiones ni certificar Figma actual como cerrado.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Responsable / bloqueo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UX/Kabeli y QA Walvy; bloquea cierre visual</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Referencia</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CT-M06-17</w:t>
            </w:r>
          </w:p>
        </w:tc>
      </w:tr>
    </w:tbl>
    <w:p/>
    <w:p>
      <w:pPr>
        <w:pStyle w:val="Heading1"/>
      </w:pPr>
      <w:r>
        <w:t>3. Controles de la Matriz de Validación Técnica</w:t>
      </w:r>
    </w:p>
    <w:p>
      <w:pPr>
        <w:pStyle w:val="Heading2"/>
      </w:pPr>
      <w:r>
        <w:t>TEC-M6-001 | Acceso y autorización</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autenticacion y segregacion por usuario/objeto, incluidos lectura, escritura, eventos, export y deep links.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Demostrar rechazo sin sesion y acceso A-&gt;B; permisos backend/cliente y errores minimizados.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TEC-M6-001; TEC-M6-021; TEC-M6-024</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CT-M06-02; CT-M06-16</w:t>
            </w:r>
          </w:p>
        </w:tc>
      </w:tr>
    </w:tbl>
    <w:p/>
    <w:p>
      <w:pPr>
        <w:pStyle w:val="Heading2"/>
      </w:pPr>
      <w:r>
        <w:t>TEC-M6-002 | Datos mínimos e integridad funcional</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Precisar mínimos por uso: descripción+fecha para consolidar, monto opcional, borrador recuperable y Número de cliente excluido. Resumen y cola no mezclan universos.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Evidenciar alta incompleta/completa; null versus cero; resumen17/2=88%, denominador0 sin porcentaje; cola independiente del mes.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TEC-M6-002; TEC-M6-003; TEC-M6-006; TEC-M6-007; TEC-M6-008; TEC-M6-009; TEC-M6-019</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CT-M06-02; CT-M06-03; CT-M06-07; CT-M06-09</w:t>
            </w:r>
          </w:p>
        </w:tc>
      </w:tr>
    </w:tbl>
    <w:p/>
    <w:p>
      <w:pPr>
        <w:pStyle w:val="Heading2"/>
      </w:pPr>
      <w:r>
        <w:t>TEC-M6-003 | Origen, confianza y trazabilidad del dato</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procedencia, confianza y decision distinguibles; origen no equivale a prueba bancaria. Corrección conserva linaje sin duplicar documentos.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Mostrar dato detectado versus vigente, origen y regla/version; logs sin payload financiero.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TEC-M6-005; TEC-M6-020</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CT-M06-05; CT-M06-16</w:t>
            </w:r>
          </w:p>
        </w:tc>
      </w:tr>
    </w:tbl>
    <w:p/>
    <w:p>
      <w:pPr>
        <w:pStyle w:val="Heading2"/>
      </w:pPr>
      <w:r>
        <w:t>TEC-M6-004 | Ingesta documental y asociación</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Precisar ingesta compartida, fuentes autorizadas, admision efectiva y separación de hechos TC. Procesamiento no confirma cuenta/pago.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Devolver configuracion real límite/tipo/version; flujo parcial/fallido; clave transitoria y borrado K-read maximo 24 horas.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TEC-M6-004; TEC-M6-005; TEC-M6-023; TEC-M6-026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CT-M06-04; CT-M06-05; CT-M06-11; CT-M06-16</w:t>
            </w:r>
          </w:p>
        </w:tc>
      </w:tr>
    </w:tbl>
    <w:p/>
    <w:p>
      <w:pPr>
        <w:pStyle w:val="Heading2"/>
      </w:pPr>
      <w:r>
        <w:t>TEC-M6-005 | Error de lectura y baja confianza</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recuperacion por error/baja confianza sin consolidación ni escalada concluyente. Fallo parcial no elimina insumos utilizables.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Probar ilegible, timeout, cancelar/respuesta tardia, reintento y fallback manual.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TEC-M6-004; TEC-M6-005; TEC-M6-028</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CT-M06-04; CT-M06-05; CT-M06-10</w:t>
            </w:r>
          </w:p>
        </w:tc>
      </w:tr>
    </w:tbl>
    <w:p/>
    <w:p>
      <w:pPr>
        <w:pStyle w:val="Heading2"/>
      </w:pPr>
      <w:r>
        <w:t>TEC-M6-006 | Máquina de estados y transiciones</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Precisar estados: Corregido no es enum del compromiso; confirmado es condición. Parcial no es Pagado. Estado temporal se recalcula desde hechos actuales.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Matrices de transicion, borde de fecha, pago/reversion, parciales y subcontadores coherentes.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TEC-M6-006; TEC-M6-007; TEC-M6-008; TEC-M6-009; TEC-M6-011; TEC-M6-019</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CT-M06-02; CT-M06-06; CT-M06-07; CT-M06-09</w:t>
            </w:r>
          </w:p>
        </w:tc>
      </w:tr>
    </w:tbl>
    <w:p/>
    <w:p>
      <w:pPr>
        <w:pStyle w:val="Heading2"/>
      </w:pPr>
      <w:r>
        <w:t>TEC-M6-007 | Idempotencia, concurrencia y duplicidad</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efecto unico ante doble clic, retry, concurrencia y mensajes fuera de orden. Identidad de evento no demuestra identidad económica.</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Misma clave/mismo contenido devuelve outcome; misma clave/contenido distinto conflicto; revertir no borra hecho real.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TEC-M6-011; TEC-M6-012; TEC-M6-019; TEC-M6-026; TEC-M6-028</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CT-M06-05; CT-M06-06; CT-M06-13</w:t>
            </w:r>
          </w:p>
        </w:tc>
      </w:tr>
    </w:tbl>
    <w:p/>
    <w:p>
      <w:pPr>
        <w:pStyle w:val="Heading2"/>
      </w:pPr>
      <w:r>
        <w:t>TEC-M6-008 | Umbral de próximo vencimiento</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Queda resuelto el parámetro: N=7 días calendario configurable/versionado; usar calendario comun y fecha civil confiable.</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Probar delta -1/0/7/8; cambio business_date/config; fecha desconocida no es cero. Mostrar configuracion efectiva.</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CT-M06-07</w:t>
            </w:r>
          </w:p>
        </w:tc>
      </w:tr>
    </w:tbl>
    <w:p/>
    <w:p>
      <w:pPr>
        <w:pStyle w:val="Heading2"/>
      </w:pPr>
      <w:r>
        <w:t>TEC-M6-009 | Severidad y presión de flujo</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Reemplazar monto relevante indeterminado y score local por ratio canónico suficiente;100% es margen cero. Criticidad/deterioro respetan owner y ciclo reconciliado.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Bordes50/80/90/100/110; parcial pre-cierre; dos ciclos distintos; desconocido; regularizacion; sin activacion automática de Ruta.</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TEC-M6-015; TEC-M6-016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CT-M06-10; CT-M06-12</w:t>
            </w:r>
          </w:p>
        </w:tc>
      </w:tr>
    </w:tbl>
    <w:p/>
    <w:p>
      <w:pPr>
        <w:pStyle w:val="Heading2"/>
      </w:pPr>
      <w:r>
        <w:t>TEC-M6-010 | Pago realizado fuera de Walvy / no transaccional</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registro externo no transaccional. Completo y abonos parciales/multiples comparten lifecycle tras aceptacion, sin checkout ni llamada para mover fondos.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Evidenciar100/30-&gt;70 no Pagado;30+70-&gt;0; total desconocido; pagoTC sin gasto duplicado M05; cancelacion.</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TEC-M6-010; TEC-M6-011</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CT-M06-01; CT-M06-06; CT-M06-13</w:t>
            </w:r>
          </w:p>
        </w:tc>
      </w:tr>
    </w:tbl>
    <w:p/>
    <w:p>
      <w:pPr>
        <w:pStyle w:val="Heading2"/>
      </w:pPr>
      <w:r>
        <w:t>TEC-M6-011 | Reversibilidad e historial funcional</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Precisar historial mínimo y reversibilidad solo del efecto propio, con fecha actual. El historial no autoriza retención indefinida.</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Version/motivo, recálculo, retiro de asignacion sin borrar real; supresión de derivados/cache/colas y replay.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TEC-M6-011; TEC-M6-014; TEC-M6-020; TEC-M6-022</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CT-M06-06; CT-M06-16; CT-M06-17</w:t>
            </w:r>
          </w:p>
        </w:tc>
      </w:tr>
    </w:tbl>
    <w:p/>
    <w:p>
      <w:pPr>
        <w:pStyle w:val="Heading2"/>
      </w:pPr>
      <w:r>
        <w:t>TEC-M6-012 | Recurrencia probable</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Cerrar regla de recurrencia: patrón versus instancia; ancla conocida/día inexistente versus ancla insuficiente. No serie infinita ni heredar Pagado.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31-&gt;febrero-&gt;31;29feb anual; ancla null; período solicitado; retry/version; rechazar conserva puntual.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TEC-M6-013</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CT-M06-08</w:t>
            </w:r>
          </w:p>
        </w:tc>
      </w:tr>
    </w:tbl>
    <w:p/>
    <w:p>
      <w:pPr>
        <w:pStyle w:val="Heading2"/>
      </w:pPr>
      <w:r>
        <w:t>TEC-M6-013 | Alertas y recordatorios</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Separar productor M06, orquestación M03 y entrega M02. Activar alerta queda excluido. Los 17 AVI son lineage; la operación se organiza en F1–F7.</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7 familias canónicas; 17 AVI trazados; roles absorbidos/no autónomos; canales condicionados; intento fallido no confirma entrega; abono parcial no cierra vencido; payload minimizado.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TEC-M6-018; TEC-M6-022</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CT-M06-14; CT-M06-16</w:t>
            </w:r>
          </w:p>
        </w:tc>
      </w:tr>
    </w:tbl>
    <w:p/>
    <w:p>
      <w:pPr>
        <w:pStyle w:val="Heading2"/>
      </w:pPr>
      <w:r>
        <w:t>TEC-M6-014 | Recomendaciones y lenguaje seguro</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lenguaje seguro y recomendacion gobernada sin asesorar productos ni ejecutar acciones. El CTA no transforma una inferencia en certeza.</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Copy/CTA por superficie; sin pago/autoRuta; prioridad explicable y dato faltante; no banners redundantes.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TEC-M6-010; TEC-M6-015; TEC-M6-018</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CT-M06-01; CT-M06-10; CT-M06-14</w:t>
            </w:r>
          </w:p>
        </w:tc>
      </w:tr>
    </w:tbl>
    <w:p/>
    <w:p>
      <w:pPr>
        <w:pStyle w:val="Heading2"/>
      </w:pPr>
      <w:r>
        <w:t>TEC-M6-015 | Integración Home</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payload candidato a Home sin ganador global ni panel de pagos. M06 conserva acción, estado y retorno; la falta de respuesta no inventa efecto remoto.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Schema/version, familia canónica, lineage AVI, vigencia, calidad y ownership; evento fuera de orden; retorno resuelto/cancelado; dependencia externa histórica AVI-M06-003/004.</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TEC-M6-017; TEC-M6-018; TEC-M6-026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CT-M06-14; CT-M06-15</w:t>
            </w:r>
          </w:p>
        </w:tc>
      </w:tr>
    </w:tbl>
    <w:p/>
    <w:p>
      <w:pPr>
        <w:pStyle w:val="Heading2"/>
      </w:pPr>
      <w:r>
        <w:t>TEC-M6-016 | Integración M5 Presupuesto Vivo</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Precisar sincronizacion bidireccional M05-M06 y separacionTC: cuota facturada gasto; futuras compromisos; pago cartola no nuevo gasto.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link/provisional/no-op/revisión; movimiento real posterior sustituye provisional; fallo entre persistencia/envio; sin dobleconteo.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TEC-M6-017; TEC-M6-026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CT-M06-11; CT-M06-13</w:t>
            </w:r>
          </w:p>
        </w:tc>
      </w:tr>
    </w:tbl>
    <w:p/>
    <w:p>
      <w:pPr>
        <w:pStyle w:val="Heading2"/>
      </w:pPr>
      <w:r>
        <w:t>TEC-M6-017 | Integración M4 / frontera de deuda</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M06 aporta hechos suficientes del ciclo; M04 interpreta presion/deterioro y elegibilidad. Parcial aislado pre-cierre no es conclusion final. Vinculado requiere Ruta activa y relacion.</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Payload ciclo/reconciliación/aging/quality; regularizacion invalida foto; no elegibilidad ni D calculados en M06.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TEC-M6-016; TEC-M6-026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CT-M06-10; CT-M06-12</w:t>
            </w:r>
          </w:p>
        </w:tc>
      </w:tr>
    </w:tbl>
    <w:p/>
    <w:p>
      <w:pPr>
        <w:pStyle w:val="Heading2"/>
      </w:pPr>
      <w:r>
        <w:t>TEC-M6-018 | Resiliencia de integraciones y reintentos</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fallback de integracion sin perder hechos ni simular exito remoto. Persistencia y outcome de la acción deben ser consistentes.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Falla, timeout, retry, entrega fuera de orden y recuperacion; no crear duplicado, confirmar pago ni limpiar datos por error.</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TEC-M6-004; TEC-M6-026; TEC-M6-028</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CT-M06-04; CT-M06-13; CT-M06-15</w:t>
            </w:r>
          </w:p>
        </w:tc>
      </w:tr>
    </w:tbl>
    <w:p/>
    <w:p>
      <w:pPr>
        <w:pStyle w:val="Heading2"/>
      </w:pPr>
      <w:r>
        <w:t>TEC-M6-019 | Protección de datos, secretos y logs</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Ajustar control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Completar seguridad con minimización, perfiles, tratamiento y lifecycle por activo; secretos/transito/reposo solos no cubren PD. No acceso humano ordinario a finanzas.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LibroPD y evidencia: segregacion, soporte, stores/logs/cache, borrado/replay/restore; Kabeli aplicación, Walvy AWS, K-read original.</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TEC-M6-021; TEC-M6-022; TEC-M6-023; TEC-M6-024</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CT-M06-16</w:t>
            </w:r>
          </w:p>
        </w:tc>
      </w:tr>
    </w:tbl>
    <w:p/>
    <w:p>
      <w:pPr>
        <w:pStyle w:val="Heading2"/>
      </w:pPr>
      <w:r>
        <w:t>TEC-M6-020 | Persistencia y consistencia BBDD</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modelo lógico y relaciones con efecto unico, sin imponer tablas fisicas. Separar compromiso/candidato/pago/patrón/ciclo/situación.</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Mapping lógico-físico, constraints/migraciones; null,moneda,version; exclusion006/036; supresión no resurreccion.</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TEC-M6-019; TEC-M6-003; TEC-M6-022</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CT-M06-02; CT-M06-03; CT-M06-13; CT-M06-16</w:t>
            </w:r>
          </w:p>
        </w:tc>
      </w:tr>
    </w:tbl>
    <w:p/>
    <w:p>
      <w:pPr>
        <w:pStyle w:val="Heading2"/>
      </w:pPr>
      <w:r>
        <w:t>TEC-M6-021 | Auditoría y observabilidad</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auditoria mínima distinta del historial explicativo. Actor/correlacion/acción/outcome/version sin tokens, documentos ni payload financiero completo.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Muestras sanitizadas por acción; acceso y retención por store; evidencia supresión incluida auditoria aplicable.</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TEC-M6-020; TEC-M6-021; TEC-M6-022</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CT-M06-06; CT-M06-16</w:t>
            </w:r>
          </w:p>
        </w:tc>
      </w:tr>
    </w:tbl>
    <w:p/>
    <w:p>
      <w:pPr>
        <w:pStyle w:val="Heading2"/>
      </w:pPr>
      <w:r>
        <w:t>TEC-M6-022 | Rendimiento, volumen y paginación</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rendimiento por escenarios y volumen acordados. El umbral de aceptacion de carga es técnico y debe declararse antes de ejecutar; no se inventa un SLA numerico M06.</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Escenarios/volumen/ambiente/version, medicion y criterio acordado; degradacion/error. Sin evidencia no hay cumplimiento.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TEC-M6-027</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CT-M06-18</w:t>
            </w:r>
          </w:p>
        </w:tc>
      </w:tr>
    </w:tbl>
    <w:p/>
    <w:p>
      <w:pPr>
        <w:pStyle w:val="Heading2"/>
      </w:pPr>
      <w:r>
        <w:t>TEC-M6-023 | QA, regresión y compatibilidad</w:t>
      </w:r>
    </w:p>
    <w:tbl>
      <w:tblPr>
        <w:tblW w:type="auto" w:w="0"/>
        <w:jc w:val="center"/>
        <w:tblLayout w:type="fixed"/>
        <w:tblLook w:firstColumn="1" w:firstRow="1" w:lastColumn="0" w:lastRow="0" w:noHBand="0" w:noVBand="1" w:val="04A0"/>
      </w:tblPr>
      <w:tblGrid>
        <w:gridCol w:w="2235"/>
        <w:gridCol w:w="7643"/>
      </w:tblGrid>
      <w:tr>
        <w:trPr>
          <w:cantSplit/>
          <w:tblHeader/>
        </w:trPr>
        <w:tc>
          <w:tcPr>
            <w:tcW w:type="dxa" w:w="223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Campo</w:t>
            </w:r>
          </w:p>
        </w:tc>
        <w:tc>
          <w:tcPr>
            <w:tcW w:type="dxa" w:w="764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FFFFFF"/>
                <w:sz w:val="20"/>
              </w:rPr>
              <w:t>Respuesta Walvy</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Alcance</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Aceptado</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Respuesta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Se confirma QA/regresion de flujos, errores y guardrails con build/config/ambiente identificados. Los casos documentales no son pruebas ejecutadas.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Evidencia/complemento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75 TC y49 CTEST como universo; cobertura59 originales y15 ajustes Figma; esperado/observado y evidencia. Android/iOS separados.</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color w:val="203C34"/>
                <w:sz w:val="20"/>
              </w:rPr>
              <w:t>Correspondencia</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spacing w:after="60" w:before="0" w:line="254" w:lineRule="auto"/>
            </w:pPr>
            <w:r>
              <w:rPr>
                <w:rFonts w:ascii="Calibri" w:hAnsi="Calibri"/>
                <w:b w:val="0"/>
                <w:color w:val="203C34"/>
                <w:sz w:val="20"/>
              </w:rPr>
              <w:t>Catalogo Walvy: TEC-M6-025; TEC-M6-028; TEC-M6-014</w:t>
            </w:r>
          </w:p>
        </w:tc>
      </w:tr>
      <w:tr>
        <w:trPr>
          <w:cantSplit/>
        </w:trPr>
        <w:tc>
          <w:tcPr>
            <w:tcW w:type="dxa" w:w="2235"/>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Contrato</w:t>
            </w:r>
          </w:p>
        </w:tc>
        <w:tc>
          <w:tcPr>
            <w:tcW w:type="dxa" w:w="7643"/>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CT-M06-17; CT-M06-18</w:t>
            </w:r>
          </w:p>
        </w:tc>
      </w:tr>
    </w:tbl>
    <w:p/>
    <w:p>
      <w:pPr>
        <w:pStyle w:val="Heading1"/>
      </w:pPr>
      <w:r>
        <w:t>4. Protección de Datos | que debe llegar en la devolución</w:t>
      </w:r>
    </w:p>
    <w:p>
      <w:r>
        <w:t>50 activos conservados y enlazados a evidencia;006 y036 excluidos. Responder siete requerimientos y su detalle con release/ambiente, mapeo de datos, autorización/minimización, lifecycle/supresión, ingesta K-read e intermodularidad. Separar aplicación de Kabeli, AWS de Walvy y evidencia del proveedor. No enviar secretos ni finanzas reales.</w:t>
      </w:r>
    </w:p>
    <w:p>
      <w:pPr>
        <w:pStyle w:val="Heading1"/>
      </w:pPr>
      <w:r>
        <w:t>5. Documentos de soporte de esta entrega</w:t>
      </w:r>
    </w:p>
    <w:p>
      <w:r>
        <w:t>Contrato consolidado; Guia Backend; Anexo BDD; libro BDD/Interfaces/PD; Mis Avisos; ClasificacionPD; Requerimientos de Evidencia; Matriz Ajustes Figma y HandoffUX; PlainText y CSVtransversal. Ver indice del paquete para nombres exactos.</w:t>
      </w:r>
    </w:p>
    <w:p>
      <w:pPr>
        <w:pStyle w:val="Heading1"/>
      </w:pPr>
      <w:r>
        <w:t>6. Condición de retorno evaluable</w:t>
      </w:r>
    </w:p>
    <w:p>
      <w:r>
        <w:t>Cada devolución identifica control/caso, version/build/config/ambiente, fixture, pasos, esperado, observado y evidencia raw verificable. Un Aceptado de alcance no es Conforme de cumplimiento. Figma debe indicar la evidencia que materializa cada ajuste. Contradicciones nuevas se documentan antes de cambiar reglas, no se resuelven por silencio.</w:t>
      </w:r>
    </w:p>
    <w:p>
      <w:pPr>
        <w:pStyle w:val="Heading1"/>
      </w:pPr>
      <w:r>
        <w:t>7. Regla de implementacion | determinismo de ejecucion</w:t>
      </w:r>
    </w:p>
    <w:p>
      <w:r>
        <w:t>Inputs tipados, precedencia, parametros versionados, bordes y outcomes se prueban. Retry/mensajes fuera de orden no duplican efectos. El usuario decide cuando el contrato requiere confirmación. Donde falta evidencia técnica, registrar dependencia y resultado no evaluado; no fabricar un PASS.</w:t>
      </w:r>
    </w:p>
    <w:sectPr w:rsidR="00FC693F" w:rsidRPr="0006063C" w:rsidSect="00034616">
      <w:headerReference w:type="default" r:id="rId9"/>
      <w:footerReference w:type="default" r:id="rId10"/>
      <w:pgSz w:w="12240" w:h="15840"/>
      <w:pgMar w:top="1037" w:right="1181" w:bottom="1037"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8"/>
      </w:rPr>
      <w:t xml:space="preserve">Walvy | M06 | v1.0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t>Walvy | M06 | Respuesta a matrices Kabeli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14D3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14D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FCD4A6AF5D0146B0CDBDC1ECCDCBE7" ma:contentTypeVersion="14" ma:contentTypeDescription="Create a new document." ma:contentTypeScope="" ma:versionID="1eb56bd3e773741261de7a68ed67c2ad">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eba3b6e3112ef6a93f121c5b30cfa81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E80476-86C1-4C03-945B-E9B0E2404783}"/>
</file>

<file path=customXml/itemProps3.xml><?xml version="1.0" encoding="utf-8"?>
<ds:datastoreItem xmlns:ds="http://schemas.openxmlformats.org/officeDocument/2006/customXml" ds:itemID="{C85FFCA3-25A3-416E-A999-F16B64A51F7B}"/>
</file>

<file path=customXml/itemProps4.xml><?xml version="1.0" encoding="utf-8"?>
<ds:datastoreItem xmlns:ds="http://schemas.openxmlformats.org/officeDocument/2006/customXml" ds:itemID="{6BB98AA1-4F09-4185-A67F-FCF88BEA11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matrices de Kabeli</dc:title>
  <dc:subject>Walvy M06 - entrega funcional v1.0</dc:subject>
  <dc:creator>Walvy</dc:creator>
  <cp:keywords>Walvy, M04, Mis Avisos, Ruta Despeje, lineage, señales</cp:keywords>
  <dc:description>Proyeccion documental; no certificacion de implementacion.</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