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WALVY</w:t>
      </w:r>
    </w:p>
    <w:p>
      <w:pPr>
        <w:pStyle w:val="Heading1"/>
      </w:pPr>
      <w:r>
        <w:t>M06 | Pagos / Compromisos</w:t>
      </w:r>
    </w:p>
    <w:p>
      <w:pPr>
        <w:pStyle w:val="Title"/>
      </w:pPr>
      <w:r>
        <w:t>Guia de implementacion Backend</w:t>
      </w:r>
    </w:p>
    <w:p>
      <w:pPr>
        <w:pStyle w:val="Subtitle"/>
      </w:pPr>
      <w:r>
        <w:t>Reglas, datos, cálculos y contratos verificables</w:t>
      </w:r>
    </w:p>
    <w:p>
      <w:r>
        <w:t>v1.0 | 13 de septiembre de 2026 | Entrega funcional candidata - no enviada</w:t>
      </w:r>
    </w:p>
    <w:p>
      <w:r>
        <w:t>Definiciones y respuestas de Producto. No acredita implementacion, pruebas runtime ni apertura nativa en Microsoft Office. Las dependencias y materializaciones pendientes se mantienen visibles.</w:t>
      </w:r>
    </w:p>
    <w:p>
      <w:pPr>
        <w:pStyle w:val="Heading1"/>
      </w:pPr>
      <w:r>
        <w:t>0. Como recorrer M06 desde el producto</w:t>
      </w:r>
    </w:p>
    <w:tbl>
      <w:tblPr>
        <w:tblW w:type="auto" w:w="0"/>
        <w:jc w:val="center"/>
        <w:tblLayout w:type="fixed"/>
        <w:tblLook w:firstColumn="1" w:firstRow="1" w:lastColumn="0" w:lastRow="0" w:noHBand="0" w:noVBand="1" w:val="04A0"/>
      </w:tblPr>
      <w:tblGrid>
        <w:gridCol w:w="2307"/>
        <w:gridCol w:w="7571"/>
      </w:tblGrid>
      <w:tr>
        <w:trPr>
          <w:cantSplit/>
          <w:tblHeader/>
        </w:trPr>
        <w:tc>
          <w:tcPr>
            <w:tcW w:type="dxa" w:w="2307"/>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Etapa</w:t>
            </w:r>
          </w:p>
        </w:tc>
        <w:tc>
          <w:tcPr>
            <w:tcW w:type="dxa" w:w="7571"/>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Entrada y resultado esperado</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Carga/manual</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Fuente admitida o borrador; no confirmación por procesamiento</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Revisión</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Confirmar/corregir/descartar; duplicados y recurrencia por rutas distintas</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Hub</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Resumen mensual y cola viva independientes</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Pago/detalle</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Registrar hecho externo; completo/parcial, saldo y reversibilidad</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Intermodular</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M05 efecto unico; M04 hechos de ciclo; M03/M02 situación y entrega</w:t>
            </w:r>
          </w:p>
        </w:tc>
      </w:tr>
    </w:tbl>
    <w:p/>
    <w:p>
      <w:pPr>
        <w:pStyle w:val="Heading1"/>
      </w:pPr>
      <w:r>
        <w:t>1. Proposito, autoridad y forma de uso</w:t>
      </w:r>
    </w:p>
    <w:p>
      <w:r>
        <w:t>Implementar el contrato sin inferir decisiones de negocio. Los nombres lógicos no imponen tablas ni endpoints. Leer esta guía con el contrato consolidado, las matrices originales respondidas, Mis Avisos Parte II v1.0 y BDD_Interfaces_PD_M06_v1.0.xlsx. Los IDs TEC deben identificarse por catálogo: Kabeli o Walvy.</w:t>
      </w:r>
    </w:p>
    <w:p>
      <w:pPr>
        <w:pStyle w:val="Heading1"/>
      </w:pPr>
      <w:r>
        <w:t>2. Pipeline canónico de evaluacion</w:t>
      </w:r>
    </w:p>
    <w:p>
      <w:r>
        <w:t>Autorización/ownership -&gt; admision y normalizacion -&gt; calidad/mínimos -&gt; identidad/deduplicacion -&gt; decision/confirmación -&gt; persistencia del hecho -&gt; recálculo de estado/saldo/mes -&gt; eventos con outcome -&gt; situaciones y retorno a la superficie. Cada etapa conserva origen/version y falla sin simular consolidación posterior.</w:t>
      </w:r>
    </w:p>
    <w:p>
      <w:pPr>
        <w:pStyle w:val="Heading1"/>
      </w:pPr>
      <w:r>
        <w:t>3. Alta manual, datos mínimos y validación</w:t>
      </w:r>
    </w:p>
    <w:p>
      <w:r>
        <w:t>Para un compromiso activo se requiere descripción o identificador comprensible no vacio, fecha aplicable exacta y origen. El ID interno y el propietario los asigna el sistema. Descripción vacia tras recortar espacios o fecha inexistente impiden la consolidación; conservar borrador recuperable, no simular exito.</w:t>
      </w:r>
    </w:p>
    <w:p>
      <w:r>
        <w:t>Monto es opcional: conocido, estimado o pendiente. No convertir null en cero. Cero explicito se preserva como valor informado, no demuestra pago ni deuda condonada. Valores negativos no se convierten silenciosamente en compromisos; revisar naturaleza del dato. La excepcion de signo del último pago TC se documenta en CT-M06-11.</w:t>
      </w:r>
    </w:p>
    <w:p>
      <w:r>
        <w:t>Monto conocido conserva moneda y precision decimal; no sumar monedas incompatibles ni usar float binario como oraculo monetario. Montos estimados se etiquetan y no habilitan una conclusion económica fuerte sin el resto de la calidad exigible.</w:t>
      </w:r>
    </w:p>
    <w:p>
      <w:r>
        <w:t>Número de cliente esta excluido del MVP: no solicitar, no persistir ni reenviar. La referencia técnica de origen no debe usarse para ocultar ese dato excluido. Categoria/subcategoria son referencias al catalogo gobernado; no inventar valores ante un faltante.</w:t>
      </w:r>
    </w:p>
    <w:p>
      <w:r>
        <w:t>Guardar y cancelar tienen efectos distintos: guardar valida y consolida una vez; cancelar retorna al origen sin nuevos efectos. La edicion registra delta, conserva provenance y recalcula consumidores afectados, sin reescribir retroactivamente la fuente.</w:t>
      </w:r>
    </w:p>
    <w:p>
      <w:r>
        <w:t>La fecha estimada con día civil explicito puede guardarse como estimada para revisión y anticipacion identificada; no habilita aging exacto ni mora confirmada. Una fecha exacta confiable es necesaria para clasificación temporal firme. La precision y la confianza se guardan por separado; un dato estimado no se convierte en real por guardarlo.</w:t>
      </w:r>
    </w:p>
    <w:p>
      <w:r>
        <w:t>Guardar y agregar otro compromiso persiste exclusivamente el registro actual en su estado valido de borrador o consolidado y abre un formulario nuevo; cancelar ese segundo formulario no revierte el primero. No repetir la persistencia por doble clic ni retener datos del objeto anterior como nueva cuenta.</w:t>
      </w:r>
    </w:p>
    <w:p>
      <w:r>
        <w:t>El borrador conserva datos de negocio aportados aunque falte descripción o fecha; no forma parte del universo mensual activo. Guardar pendiente explícita esa salida; Guardar consolida solo con mínimos de cuenta activa. Un formulario sin ningun dato de negocio no produce alta ni mensaje de exito. Validaciones de campos y errores quedan localizadas, sin transformar valores invalidos en valores aceptados.</w:t>
      </w:r>
    </w:p>
    <w:p>
      <w:r>
        <w:t>Los asteriscos no mezclan mínimos de consolidación con datos opcionales o necesarios para un cálculo posterior. El origen manual se asigna por sistema, no se exige un Número de cliente. Guardar y agregar otro puede conservar primero un borrador recuperable o un compromiso valido segun el caso, y solo despues abrir un formulario limpio.</w:t>
      </w:r>
    </w:p>
    <w:p>
      <w:r>
        <w:t>Contrato: CT-M06-03 | Casos: CTEST-M06-004; CTEST-M06-005; CTEST-M06-006 | Fuentes: F1:T23; F3:T03,T05; F5:T18; BTR:02_Reglas_Walvy; PDI:01_Matriz_Maestra</w:t>
      </w:r>
    </w:p>
    <w:p>
      <w:pPr>
        <w:pStyle w:val="Heading1"/>
      </w:pPr>
      <w:r>
        <w:t>4. Entrada asistida e ingesta convergente</w:t>
      </w:r>
    </w:p>
    <w:p>
      <w:r>
        <w:t>Entradas permitidas: manual; voz/texto asistidos; archivo financiero autorizado; movimiento M05; completitud dirigida M01; referencia de deuda M04; patrón transversal. Todas terminan en el mismo dominio de candidato/compromiso, con origen, regla/version, confianza y acción verificable.</w:t>
      </w:r>
    </w:p>
    <w:p>
      <w:r>
        <w:t>La confirmación de carga, lectura o clasificación no confirma un compromiso ni un pago. Los resultados incompletos o ambiguos quedan en revisión. Una lectura parcial usable conserva datos validos y marca campos pendientes; no se inventa fecha, monto, contraparte ni categoria.</w:t>
      </w:r>
    </w:p>
    <w:p>
      <w:r>
        <w:t>Consumir estados de admision/proceso: recibido/subiendo, procesando, leido, no leido/no procesable/error, y macroestado cuando corresponda. Reintentar usa la misma identidad de carga; reemplazar crea una nueva version relacionada; cancelar no consolida resultados tardios.</w:t>
      </w:r>
    </w:p>
    <w:p>
      <w:r>
        <w:t>La admision valida autorización, tipo real de contenido, límites de la capacidad transversal vigente y tratamiento seguro de errores; no fijar un límite M06 independiente por analogia. La configuracion y evidencia del motor corresponden a su owner; M06 exige la respuesta de admision y un fallback manual.</w:t>
      </w:r>
    </w:p>
    <w:p>
      <w:r>
        <w:t>No se activa una integracion CMF/SFA ni Open Finance por haber descrito campos compatibles. Mantener fuente documental generica autorizada. K-read no convierte Walvy en repositorio de originales; ver CT-M06-16.</w:t>
      </w:r>
    </w:p>
    <w:p>
      <w:r>
        <w:t>Documento protegido: solicitar la clave solo al componente autorizado de apertura, en memoria transitoria y sin persistencia, logs, eventos, analitica ni checkpoints. Si falla, permitir corregir o reemplazar; nunca enviar la clave en el payload funcional M06. El motor compartido conserva sus reglas de apertura existentes; M06 no incorpora un motor de contrasenas distinto.</w:t>
      </w:r>
    </w:p>
    <w:p>
      <w:r>
        <w:t>Siguiente no confirma pagos: puede continuar con al menos un resultado interpretable o compromiso manual valido, identificando expresamente los archivos pendientes/fallidos y excluyendolos de conclusiones. No se presenta un analisis completo de un archivo bloqueado. Si no hay ningun insumo usable, ofrecer resolver/retirar archivo o ingreso manual, sin exito ficticio. El contador de carga cuenta archivos activos admitidos, incluidos bloqueados; al retirar uno deja de contar. Un archivo rechazado en admision no cuenta.</w:t>
      </w:r>
    </w:p>
    <w:p>
      <w:r>
        <w:t>Los valores 15 documentos y 30 MB aparecen en la imagen autorizada como parametros visuales, no como politica transversal demostrada. El adaptador consume límite/tipos/version de la capacidad comun y refleja los valores efectivos; la consultora debe devolver esa configuracion antes de certificar admision. No exigir 15/30 como regla nueva M06 ni copiar otro modulo por analogia. La falta de configuracion impide la admision productiva dependiente, no el registro manual.</w:t>
      </w:r>
    </w:p>
    <w:p>
      <w:r>
        <w:t>Contrato: CT-M06-04 | Casos: CTEST-M06-007; CTEST-M06-008 | Fuentes: RECTOR; F5:T17-T20,T23-T25; F3:T06,T13; PDT; BTR:02_Reglas_Walvy</w:t>
      </w:r>
    </w:p>
    <w:p>
      <w:pPr>
        <w:pStyle w:val="Heading1"/>
      </w:pPr>
      <w:r>
        <w:t>5. Revisión, confirmación, rechazo y deduplicacion</w:t>
      </w:r>
    </w:p>
    <w:p>
      <w:r>
        <w:t>El candidato muestra datos detectados, origen, confianza y lo que falta. Confirmar, corregir y descartar son decisiones diferentes. Confirmar exige los mínimos; corregir prevalece para la vista operativa pero conserva el dato detectado; descartar cierra la misma propuesta sin regenerarla por un simple reintento.</w:t>
      </w:r>
    </w:p>
    <w:p>
      <w:r>
        <w:t>Tras confirmar una cuenta no forzar siempre Pendiente: resolver Pendiente/Próximo/Vencido segun fecha evaluable y calendario vigente. Pagado requiere una confirmación de pago completo o conciliación suficiente y autorizada, no el estado leido del archivo.</w:t>
      </w:r>
    </w:p>
    <w:p>
      <w:r>
        <w:t>Coincidencia técnica exacta: mismo usuario, source_event_id/source_record_id, fuente y version ya procesados devuelve el resultado anterior. Un source_record_id distinto no demuestra que sea otro hecho económico. La identidad técnica evita reintentos; la conciliación decide identidad económica.</w:t>
      </w:r>
    </w:p>
    <w:p>
      <w:r>
        <w:t>Para proponer una coincidencia usar los campos disponibles que exige F3: monto/moneda, fecha o período, glosa/descripción, categoria, provenance y referencia razonable. Exponer diferencias y candidatos competidores. Una fecha aproximada o similitud de texto solo propone revisión; no fija tolerancia numerica de autoconfirmacion ni usa confianza OCR como prueba de pago.</w:t>
      </w:r>
    </w:p>
    <w:p>
      <w:r>
        <w:t>Resolver duplicado ofrece conservar separados, vincular al mismo hecho o descartar el candidato. Vincular requiere identidad de usuario, decision explícita o referencia canónica ya confirmada; mantiene aliases/frecuencia/categoria validos y origen de los valores elegidos. Sin match suficiente permanece en revisión, nunca fusion opaca.</w:t>
      </w:r>
    </w:p>
    <w:p>
      <w:r>
        <w:t>Si dos confirmaciones concurrentes intentan el mismo efecto, la segunda recupera el resultado idempotente o recibe conflicto de version. No devuelve un segundo compromiso. Cambio de contenido con la misma clave requiere conflicto controlado, no sobreescritura silenciosa.</w:t>
      </w:r>
    </w:p>
    <w:p>
      <w:r>
        <w:t>Politica candidata DER-M06-MATCH-01 (no autoconfirmacion): normalizar texto para comparacion con NFKC, trim, espacios simples y casefold; conservar original. Una referencia canónica ya validada identifica el hecho. En otro caso recuperar la union de: misma descripción/proveedor normalizado; mismo monto exacto y moneda; o misma categoria con fecha en el mismo período civil informado. Excluir otro usuario, registro suprimido y tipos economicos incompatibles. Presentar cada diferencia de fecha/monto/origen; no fusionar. La coincidencia de una sola señal produce solo candidato de revisión, nunca certeza. Un dato faltante no cuenta como coincidencia.</w:t>
      </w:r>
    </w:p>
    <w:p>
      <w:r>
        <w:t>Orden de candidatos de vinculacion: referencia canónica; despues cantidad descendente de coincidencias disponibles (monto/moneda, día o período, descripción/proveedor, categoria); empate por diferencia absoluta de fecha cuando ambas fechas son exactas y luego ID estable. Orden no equivale a permiso de autovinculo. Una fecha de mes es una aproximacion de período, no una fecha inventada. Montos discrepantes, monedas distintas o varios matches conservan revisión hasta decision explícita.</w:t>
      </w:r>
    </w:p>
    <w:p>
      <w:r>
        <w:t>Recuperar un candidato descartado por error requiere acción explícita del usuario, ownership y dato aun retenido legitimamente. Se crea una nueva revisión del mismo candidato y se vuelve a evaluar calidad/deduplicacion; no resucitar como Pagado ni crear otro compromiso. No recuperar payload ya suprimido por PD. Fuente F2:T09R007 y F4:T10R004; no es nueva funcionalidad.</w:t>
      </w:r>
    </w:p>
    <w:p>
      <w:r>
        <w:t>La reutilizacion de Editar datos y Descartar distingue el objeto: compromiso, candidato, patrón o registro de pago. Pago unico rechaza el patrón recurrente, no elimina la instancia. Descartar candidato no equivale a borrar el pago real ni el movimiento bancario. El retorno muestra la cola vigente; confirmar un candidato no es una acción obligatoria para salir.</w:t>
      </w:r>
    </w:p>
    <w:p>
      <w:r>
        <w:t>Contrato: CT-M06-05 | Casos: CTEST-M06-009; CTEST-M06-010; CTEST-M06-011; CTEST-M06-012 | Fuentes: F3:T06,T10-T11; F4:T10-T11,T13; M02II:T66-T68,T74; BTR:02_Reglas_Walvy</w:t>
      </w:r>
    </w:p>
    <w:p>
      <w:pPr>
        <w:pStyle w:val="Heading1"/>
      </w:pPr>
      <w:r>
        <w:t>6. Modelo lógico y ejes que no deben confundirse</w:t>
      </w:r>
    </w:p>
    <w:p>
      <w:r>
        <w:t>Entidades logicas: compromiso (instancia), candidato, registro de pago, asignacion o vinculo de conciliación, patrón de recurrencia, ciclo TC, evento de cambio y situación comunicable. Son roles funcionales; no se imponen tablas ni nombres fisicos.</w:t>
      </w:r>
    </w:p>
    <w:p>
      <w:r>
        <w:t>El catalogo se conserva: Borrador; Detectado; Pendiente; Próximo; Vencido; Pagado; Recurrente probable; Requiere revisión; Descartado; Duplicado probable; Sin datos suficientes. Sin datos suficientes puede representar una superficie sin base evaluable; no crear una deuda ficticia para almacenarlo.</w:t>
      </w:r>
    </w:p>
    <w:p>
      <w:r>
        <w:t>Confirmado es condición de consolidación; recurrencia confirmada es atributo/patrón, no otro estado del compromiso. Severidad Informativa/Atención/Urgente/Crítica es otro eje. D0/D1/D2 pertenecen a M04. El estado de entrega de un aviso no es estado de pago.</w:t>
      </w:r>
    </w:p>
    <w:p>
      <w:r>
        <w:t>Todo cambio guarda objeto estable, usuario propietario, version y motivo. Una incidencia de revisión no destruye el último registro confirmado: se conserva su linaje y se retira solo la elegibilidad de los derivados afectados hasta resolverla.</w:t>
      </w:r>
    </w:p>
    <w:p>
      <w:r>
        <w:t>Contrato: CT-M06-02 | Casos: CTEST-M06-002; CTEST-M06-003 | Fuentes: F1:T08-T09; F3:T03-T04; BTR:02_Reglas_Walvy; PDI:01_Matriz_Maestra</w:t>
      </w:r>
    </w:p>
    <w:p>
      <w:pPr>
        <w:pStyle w:val="Heading1"/>
      </w:pPr>
      <w:r>
        <w:t>7. Fechas, proximidad y envejecimiento</w:t>
      </w:r>
    </w:p>
    <w:p>
      <w:r>
        <w:t>La evaluacion usa business_date y período del calendario comun, no el reloj manipulable del dispositivo. Una fecha de vencimiento es fecha civil; una marca de tiempo se normaliza con zona horaria de negocio declarada en el contexto compartido. No deducir zona de negocio desde la zona horaria de este chat.</w:t>
      </w:r>
    </w:p>
    <w:p>
      <w:r>
        <w:t>N = 7 días calendario como valor vigente de D-M06-CALC-04, configurable y versionado. delta = fecha_vencimiento - business_date. Para compromiso confirmado no pagado: delta &lt; 0 -&gt; Vencido; 0 &lt;= delta &lt;= N -&gt; Próximo; delta &gt; N -&gt; Pendiente. Falta/ambiguedad de fecha -&gt; Requiere revisión o borrador segun origen.</w:t>
      </w:r>
    </w:p>
    <w:p>
      <w:r>
        <w:t>Se recalcula al cambiar fecha/confirmación/pago/reversion, al cambiar business_date, version de N o snapshot de datos. La pertenencia al mes se determina por vencimiento, no por fecha de carga ni fecha del pago. Un vencido de otro mes no desaparece de la lectura operativa por no entrar en el KPI mensual.</w:t>
      </w:r>
    </w:p>
    <w:p>
      <w:r>
        <w:t>aging_days = max(0, business_date - due_date) solo si fecha exacta y saldo/obligacion pendiente confirmados. Emitir tramos 0, 1-29, 30-59, 60-89, &gt;=90 con calidad y as_of. Unknown no es 0. M04 aplica su lectura de salud y D; M06 no la sustituye.</w:t>
      </w:r>
    </w:p>
    <w:p>
      <w:r>
        <w:t>El vencimiento mensual no se deriva del vencimiento final de un credito CMF. Un período conocido sin día exacto permite referencia mensual, no cálculo exacto de días de atraso.</w:t>
      </w:r>
    </w:p>
    <w:p>
      <w:r>
        <w:t>Contrato: CT-M06-07 | Casos: CTEST-M06-016; CTEST-M06-017; CTEST-M06-018 | Fuentes: F3:T07-T08; BTR:02_Reglas_Walvy!42; M04BE:T23,T54; PDI:01_Matriz_Maestra!188</w:t>
      </w:r>
    </w:p>
    <w:p>
      <w:pPr>
        <w:pStyle w:val="Heading1"/>
      </w:pPr>
      <w:r>
        <w:t>8. Recurrencia e instancias independientes</w:t>
      </w:r>
    </w:p>
    <w:p>
      <w:r>
        <w:t>Recurrencia probable no equivale a patrón confirmado. Mostrar el fundamento recibido de la capacidad transversal (ocurrencias distintas, fechas/períodos, glosa, monto, categoria y regla/version) y permitir confirmar o indicar que no se repite. Una sola ocurrencia no demuestra repeticion salvo declaracion explícita del usuario.</w:t>
      </w:r>
    </w:p>
    <w:p>
      <w:r>
        <w:t>La inferencia transversal no es un motor nuevo M06. Cuando hay patrón declarado o confirmado, M06 conserva frecuencia permitida (mensual/anual/unico), fecha ancla y decision. Cuando solo hay candidatos, no crea obligaciones futuras definitivas. Rechazar preserva el caso puntual y evita insistir por reintentos de los mismos datos.</w:t>
      </w:r>
    </w:p>
    <w:p>
      <w:r>
        <w:t>La generacion es idempotente por usuario + patrón + período/ocurrencia; la revisión del patrón no crea una segunda instancia del mismo período. Cada instancia conserva identidad, fecha y estado propios; ninguna nace Pagado por copiar un pago anterior.</w:t>
      </w:r>
    </w:p>
    <w:p>
      <w:r>
        <w:t>Corregir una instancia no reescribe pagos pasados ni el resto de la serie por defecto. Un cambio explicito del patrón crea una version y revalida solo instancias futuras dependientes sin borrar hechos confirmados. Un cambio material o dato contradictorio vuelve a revisión antes de generar.</w:t>
      </w:r>
    </w:p>
    <w:p>
      <w:r>
        <w:t>Si el ancla conocida produce un día inexistente en el período, usar el último día civil valido de ese período y preservar el ancla original para las siguientes ocurrencias. Registrar calendar_adjusted=true y adjustment_reason; la fecha es ajustada por calendario, no una fecha inferida por falta de datos. Ej.: ancla 31 -&gt; febrero 28/29 -&gt; marzo vuelve a 31; ancla anual 29-feb -&gt; 28-feb en ano no bisiesto y 29-feb cuando vuelva a existir.</w:t>
      </w:r>
    </w:p>
    <w:p>
      <w:r>
        <w:t>Si la recurrencia/patrón es probable o confirmado pero el día/ancla no esta suficientemente determinado, no usar fin de mes por defecto: effective_due_date permanece null/no evaluable, requires_review=true y se solicita Confirmar fecha/Completar fecha. Sin fecha exacta no habilitar aging, proximidad o mora firme.</w:t>
      </w:r>
    </w:p>
    <w:p>
      <w:r>
        <w:t>No introducir posponer, recordatorios avanzados por compromiso, cancelacion comercial de suscripciones ni prediccion libre. La confirmación local del patrón no cancela un servicio externo.</w:t>
      </w:r>
    </w:p>
    <w:p>
      <w:r>
        <w:t>Contrato lógico mínimo: pattern_id, occurrence_id, pattern_status, frequency, anchor_day, anchor_month cuando anual, anchor_precision, anchor_source, source_occurrence_ids, observed_dates_or_periods, confidence_or_quality, provenance, rule_version, occurrence_period, effective_due_date, calendar_adjusted, adjustment_reason, due_date_precision, requires_review y missing_fields. La capacidad productora conserva sus mecanismos internos; Backend no infiere campos faltantes.</w:t>
      </w:r>
    </w:p>
    <w:p>
      <w:r>
        <w:t>Patrón manual/confirmado con fecha ancla valida: mensual avanza en meses civiles desde el ancla original; anual conserva mes/día y avanza en anos civiles. Generar solo la instancia del período solicitado o la proxima necesaria, idempotente por patrón/ocurrencia; no materializar una serie infinita ni inventar horizonte financiero.</w:t>
      </w:r>
    </w:p>
    <w:p>
      <w:r>
        <w:t>Contrato: CT-M06-08 | Casos: CTEST-M06-019; CTEST-M06-020; CTEST-M06-021 | Fuentes: F3:T12,T34-T36; F5:T20; BTR:02_Reglas_Walvy; PDI:01_Matriz_Maestra</w:t>
      </w:r>
    </w:p>
    <w:p>
      <w:pPr>
        <w:pStyle w:val="Heading1"/>
      </w:pPr>
      <w:r>
        <w:t>9. Resumen y colas: tres universos distintos</w:t>
      </w:r>
    </w:p>
    <w:p>
      <w:r>
        <w:t>U_mes = IDs canónicos distintos de compromisos confirmados con vencimiento en el mes visible y estado Pendiente, Próximo, Vencido o Pagado. Excluir borrador, detectado, revisión, duplicado probable, descartado y patrón sin instancia. Una relacion o alias adicional no agrega otro compromiso.</w:t>
      </w:r>
    </w:p>
    <w:p>
      <w:r>
        <w:t>Compromisos del mes = |U_mes|. Vencidos del mes = elementos Vencido de U_mes. Compromisos al día = (|U_mes| - vencidos)/|U_mes| * 100. Pagado es solo un subconjunto de al día: tambien cuentan Pendiente/Próximo no vencidos. Con denominador cero: sin porcentaje, nunca 0% ni 100%.</w:t>
      </w:r>
    </w:p>
    <w:p>
      <w:r>
        <w:t>Calcular con precision completa y mostrar entero con redondeo decimal convencional, sin redondear los umbrales antes de clasificar. El ejemplo visual 29% no es fuente de formula.</w:t>
      </w:r>
    </w:p>
    <w:p>
      <w:r>
        <w:t>Detectados por revisar = candidatos unicos vivos Detectado/Requiere revisión que requieren acción de confirmación, sin limitar al mes; no sumar los grupos especializados de duplicado, recurrencia probable ni pago realizado probable. Es una cola distinta del denominador de compromisos.</w:t>
      </w:r>
    </w:p>
    <w:p>
      <w:r>
        <w:t>Un resumen vacio no declara salud perfecta, ausencia de deudas ni falta de urgencias de otros períodos. Mostrar diferencia entre sin registros, sin compromisos en el período, sin proximos y datos insuficientes, con CTA de registro/revisión seguro.</w:t>
      </w:r>
    </w:p>
    <w:p>
      <w:r>
        <w:t>Un pago completo confirmado despues del vencimiento deja de ser Vencido en el snapshot actual, aunque el historial conserve que estuvo atrasado. Compromisos al día no es una tasa histórica de puntualidad. No cambiar su formula para premiar o penalizar fechas pasadas.</w:t>
      </w:r>
    </w:p>
    <w:p>
      <w:r>
        <w:t>El ejemplo visual con 17 confirmados, 2 vencidos, 10 proximos y 5 pagados debe mostrar 15/17 = 88% al día, no 5/17 = 29%. El ejemplo no cambia la formula corroborada D-M06-CALC-02.</w:t>
      </w:r>
    </w:p>
    <w:p>
      <w:r>
        <w:t>El resumen y sus subcontadores usan la misma U_mes: Pendientes + Proximos + Vencidos + Pagados = total. Los bloques de acción pueden incluir otras fechas o colas y deben explicitar su alcance; no se suman al resumen como si compartieran denominador. Los numeros de Figma son ejemplos, nunca constantes de contrato. Confirmados es condición del agregado, no un estado temporal nuevo; el label de consulta puede ser Compromisos del mes.</w:t>
      </w:r>
    </w:p>
    <w:p>
      <w:r>
        <w:t>Contrato: CT-M06-09 | Casos: CTEST-M06-022; CTEST-M06-023; CTEST-M06-024 | Fuentes: BTR:02_Reglas_Walvy!39-41; PDI:01_Matriz_Maestra!196-201</w:t>
      </w:r>
    </w:p>
    <w:p>
      <w:pPr>
        <w:pStyle w:val="Heading1"/>
      </w:pPr>
      <w:r>
        <w:t>10. Severidad local y lectura de flujo sin motores paralelos</w:t>
      </w:r>
    </w:p>
    <w:p>
      <w:r>
        <w:t>M06 consume ratio mensual normalizado y contexto de deterioro con fuente, período, calidad, evaluacion y version. No recalcula presupuesto desde gastos crudos ni suma liquidez financiada, ahorro acumulado o patrimonio como ingreso para mejorar el ratio. Ratio no evaluable se conserva como tal, nunca se reemplaza por cero.</w:t>
      </w:r>
    </w:p>
    <w:p>
      <w:r>
        <w:t>Bandas historicas M06 de lectura operativa: &lt;50%, 50-&lt;80%, 80-&lt;90%, 90-&lt;100%, 100-&lt;110%, &gt;=110%. El 80% es preventivo; no activa Ruta Despeje. Las bandas no sustituyen el Estado Financiero unico M01 ni C/K/D de M04.</w:t>
      </w:r>
    </w:p>
    <w:p>
      <w:r>
        <w:t>Con fecha confiable, Próximo tiene base Atención y Vencido base Urgente. La escalada económica requiere datos suficientes: Próximo puede escalar a Urgente con ratio &gt;=90% o deterioro confirmado pertinente; Vencido puede escalar a Crítica con ratio &gt;=110% o deterioro confirmado que la justifique. No usar monto CLP aislado ni un dato inferido sin validación para escalar.</w:t>
      </w:r>
    </w:p>
    <w:p>
      <w:r>
        <w:t>Baja confianza o contradicción en fecha/identidad impide una alerta temporal concluyente. Falta de monto impide escalada que depende del impacto de ese monto, pero no borra un vencimiento cierto. La evidencia de deterioro debe pertenecer a la misma obligacion/ciclo/período; un parcial previo al cierre no es deterioro final.</w:t>
      </w:r>
    </w:p>
    <w:p>
      <w:r>
        <w:t>Para mensajes de flujo: 80-&lt;90% preventivo; 90-&lt;110% revisión prioritaria; &gt;=110% criticidad solo si base suficiente. Persistencia estructural exige al menos dos ciclos evaluables; registros duplicados del mismo ciclo no cuentan como recurrencia.</w:t>
      </w:r>
    </w:p>
    <w:p>
      <w:r>
        <w:t>Home prioriza señales recibidas; M04 evalua deuda bajo presion y su elegibilidad. M06 puede derivar a revisión de deuda pero nunca activar Ruta, seleccionar deuda prioritaria ni prometer un pago sugerido.</w:t>
      </w:r>
    </w:p>
    <w:p>
      <w:r>
        <w:t>Entrada de escalada por deuda: señal vigente del owner M04 ligada a la misma obligacion/ciclo y con motivo trazable de deterioro, as_of, version y quality sufficient. Se acepta solo la elegibilidad de escalada entregada por ese owner, no cualquier deuda asociada ni D deducido localmente. Si falta dicha señal, la escalada solo puede apoyarse en ratio mensual canónico confiable; de lo contrario permanece la base temporal/revisión. Un ciclo parcial no reconciliado no satisface esta via.</w:t>
      </w:r>
    </w:p>
    <w:p>
      <w:r>
        <w:t>Prioridad local de propuestas: Crítica P0; Urgente P1; Atención P2; Informativa accionable P3, con la especificidad del catalogo M02 prevaleciendo. No todas las filas informativas generan situación comunicable. Dentro de la misma familia/severidad, vencimiento mas antiguo primero y luego ID estable; el selector Home/M02 conserva la decision global.</w:t>
      </w:r>
    </w:p>
    <w:p>
      <w:r>
        <w:t>DER-M06-100-01: ratio exactamente100% implica egresos proyectados iguales a ingresos y margen cero; no saldo negativo aritmetico. Solo &gt;100% implica déficit proyectado. Se preservan fronteras de acción 90/100/110 y no se crea un semaforo owner nuevo. La etiqueta histórica Flujo negativo desde100 se precisa para no contradecir la formula canónica.</w:t>
      </w:r>
    </w:p>
    <w:p>
      <w:r>
        <w:t>El bloque Vinculado a Ruta Despeje requiere simultaneamente route_status=active y relacion vigente de este compromiso con esa Ruta, ambos informados por M04. La elegibilidad sin activacion no satisface ese badge. Una acción de entrada elegible, si M04 la devuelve, usa su CTA/destino propios sin declararse Vinculado. Sin estado confiable/relacion o sin elegibilidad se conserva la acción M06 y no se inventa una Ruta.</w:t>
      </w:r>
    </w:p>
    <w:p>
      <w:r>
        <w:t>La paleta representa estado o severidad local explicitados y emplea tokens del sistema de diseno; no introduce umbrales nuevos de color basados en el porcentaje de pagos. Sin vencidos no acredita salud global verde. Origen, confianza y suficiencia son ejes distintos, aunque compartan espacio de detalle.</w:t>
      </w:r>
    </w:p>
    <w:p>
      <w:r>
        <w:t>Contrato: CT-M06-10 | Casos: CTEST-M06-025; CTEST-M06-026; CTEST-M06-027 | Fuentes: F3:T04,T07,T08,T17-T18; BTR:02_Reglas_Walvy!19-20,43; M01:Anexos Producto!108-131; M02II:T79</w:t>
      </w:r>
    </w:p>
    <w:p>
      <w:pPr>
        <w:pStyle w:val="Heading1"/>
      </w:pPr>
      <w:r>
        <w:t>11. Pago externo, corrección y reversibilidad</w:t>
      </w:r>
    </w:p>
    <w:p>
      <w:r>
        <w:t>Registrar pago realizado declara un hecho ocurrido fuera de Walvy. No exige comprobante formal. El usuario confirma el compromiso afectado y los datos conocidos; no presentar la declaracion como validación bancaria. Un pago detectado sin decision/vinculo suficiente queda como probable en revisión.</w:t>
      </w:r>
    </w:p>
    <w:p>
      <w:r>
        <w:t>El usuario puede registrar manualmente pago completo o abonos parciales/multiples. Manual, detectado e importado pueden tener validaciones de entrada distintas; una vez aceptados/normalizados como el mismo hecho de pago reutilizan asignacion al compromiso/ciclo, saldo pendiente, conciliación, idempotencia, corrección/reversion y propagacion downstream. La provenance/origen se conserva; no crear un segundo motor por canal.</w:t>
      </w:r>
    </w:p>
    <w:p>
      <w:r>
        <w:t>Un abono parcial nunca liquida toda la obligacion por si solo. Si total exigible es conocido: remaining_amount=max(total_due-sum(active_valid_allocations),0), contabilizando cada asignacion una sola vez. Solo pago completo confirmado o suma conciliada suficiente permite Pagado. Con total desconocido se registra el hecho sin inventar saldo ni monto total.</w:t>
      </w:r>
    </w:p>
    <w:p>
      <w:r>
        <w:t>Corregir/deshacer emite una nueva revisión ligada a la anterior. Reconstruir estado y derivados desde hechos vigentes, no restaurar un color antiguo. Deshacer un pago vencido antes del registro vuelve a evaluar la fecha de hoy; puede volver Vencido.</w:t>
      </w:r>
    </w:p>
    <w:p>
      <w:r>
        <w:t>Revertir elimina solo la asignacion o efecto provisional producido por ese registro, no un movimiento bancario autentico ni otro pago. Conservar historial de la corrección con mínima información, invalidar señales resueltas y recalcular M05/M04/Home cuando corresponda.</w:t>
      </w:r>
    </w:p>
    <w:p>
      <w:r>
        <w:t>Una acción de lectura, abrir un detalle, apagar alertas o visitar M04 no equivale a pago ni a resolucion. Repetir la misma confirmación/reversion no genera un segundo efecto.</w:t>
      </w:r>
    </w:p>
    <w:p>
      <w:r>
        <w:t>La confirmación manual de pago completo puede existir con monto no informado: settle_kind=full_user_declared, recorded_at y origen manual. Permite Pagado como declaracion del usuario, pero no inventa monto pagado ni crea gasto provisional cuantificado M05. Un abono parcial manual/detectado/importado conserva saldo/estado parcial hasta cierre suficiente.</w:t>
      </w:r>
    </w:p>
    <w:p>
      <w:r>
        <w:t>payment_date (cuando ocurrio), recorded_at (cuando se registro) y source_period son campos distintos. Falta payment_date no se completa con recorded_at. Corregir el dato o la precision no borra el registro anterior salvo proceso PD aplicable.</w:t>
      </w:r>
    </w:p>
    <w:p>
      <w:r>
        <w:t>El resultado visible acompana a la persistencia: detalle, saldo, lista, resumen y situaciones se recalculan desde hechos vigentes. Un snackbar aislado no sustituye ese postestado. El abono parcial conserva Vencido y su necesidad accionable mientras subsista saldo pendiente cierto; registrar un pago, corregirlo o entrar al detalle no cierra por si solo la situación.</w:t>
      </w:r>
    </w:p>
    <w:p>
      <w:r>
        <w:t>Contrato: CT-M06-06 | Casos: CTEST-M06-013; CTEST-M06-014; CTEST-M06-015 | Fuentes: F3:T09,T10,T32,T37; F4:T09-T10; M05BE:T08,P101-P103; PDI:01_Matriz_Maestra!211-217</w:t>
      </w:r>
    </w:p>
    <w:p>
      <w:pPr>
        <w:pStyle w:val="Heading1"/>
      </w:pPr>
      <w:r>
        <w:t>12. Tarjeta de credito: separación de hechos y precision de fuente</w:t>
      </w:r>
    </w:p>
    <w:p>
      <w:r>
        <w:t>Separar: cuota facturada del período -&gt; gasto M05; cuotas futuras identificadas -&gt; compromisos M06; total facturado/vencimiento/mínimo -&gt; obligacion del ciclo M06; pago de cartola -&gt; estado de pago M06, sin nuevo gasto M05. No sumar otra vez el total facturado a sus componentes como compromisos economicos equivalentes.</w:t>
      </w:r>
    </w:p>
    <w:p>
      <w:r>
        <w:t>El mínimo es un dato de control, no pago recomendado ni saldo total de la obligacion. Mínimo cero no equivale a cartola pagada; total facturado, deuda total de tarjeta, cupo usado y saldo futuro son conceptos distintos.</w:t>
      </w:r>
    </w:p>
    <w:p>
      <w:r>
        <w:t>Monto pagado del período anterior textual tiene prioridad para ese monto: conservar valor absoluto para cálculo y signo original en metadata restringida. Buscar MONTO CANCELADO coincidente o suma coherente dentro del período para fechas. Si intervienen varios pagos, conservar sus fechas y período; no inventar una fecha unica para el monto agregado.</w:t>
      </w:r>
    </w:p>
    <w:p>
      <w:r>
        <w:t>Sin movimiento fechado, conservar período/mes de referencia: no estimar un día. Grafica histórica es respaldo de menor precision, no reemplazo del texto. Ausencia de monto/fecha -&gt; No informado y revisión dirigida.</w:t>
      </w:r>
    </w:p>
    <w:p>
      <w:r>
        <w:t>Documento TC mas especifico gobierna datos de su ciclo frente a resumen menos preciso; no convertir madurez final de un credito en vencimiento mensual. Conflictos materiales se revisan; conservar versiones/provenance y no resolverlos por el último archivo recibido sin considerar período.</w:t>
      </w:r>
    </w:p>
    <w:p>
      <w:r>
        <w:t>Open Finance TC no facturado permanece DIFERIDO_EXPLICITO/NO_EVALUABLE. No tiene un fallback que convierta consumos no facturados en obligaciones ciertas; se requiere contrato reproducible del productor para activar ese alcance.</w:t>
      </w:r>
    </w:p>
    <w:p>
      <w:r>
        <w:t>Para evitar doble exigible, cada cuota facturada/futura enlaza obligation_root y cycle_id o período. El total facturado es el exigible del ciclo: no sumarlo otra vez junto con sus componentes como compromiso independiente en la proyeccion. El usuario puede ver detalle y total sin que ambos se cuenten como dos pagos pendientes. Total/mínimo/cupo/deuda total son magnitudes distintas.</w:t>
      </w:r>
    </w:p>
    <w:p>
      <w:r>
        <w:t>La asignacion a gasto de cuota facturada conserva período de facturacion; la fecha de pago de la cartola no traslada ese gasto al período del pago. Si no puede identificarse ciclo/período con suficiencia, mantener provisional o revisión bajo M05, nunca inventar fecha.</w:t>
      </w:r>
    </w:p>
    <w:p>
      <w:r>
        <w:t>Nota de credito o ajuste TC: enlazar al movimiento/ciclo original y distinguir si ya esta incluido en el total facturado. Si esta incluido, no restarlo nuevamente. Un ajuste posterior confirmado puede actualizar la obligacion una sola vez con provenance y version; relacion dudosa -&gt; revisión. No convertir la nota de credito en ingreso liquido ni mejorar capacidad de ahorro de caja desde M06; M05 gobierna su tratamiento.</w:t>
      </w:r>
    </w:p>
    <w:p>
      <w:r>
        <w:t>Referencia intermodular exclusivamente: M06 no incorpora soporte, parser ni ruta CMF/SFA. Si M04 entrega hechos documentales ya gobernados, conserva la precedencia de su contrato: para deuda no TC, el documento es fuente principal salvo instrumento especifico mas preciso; para TC con cartola, es contraste/fallback y no reemplaza ciclo mensual. En el owner M04, sin cartola el dato solo aporta referencia parcial: no inventar Próximo vencimiento mensual, último pago, cuota actual/total, pago mínimo TC ni movimientos unitarios. Vencimiento final de credito conserva label distinto. La identidad de deuda se concilia con M04; no crear dos deudas por informe CMF y cartola.</w:t>
      </w:r>
    </w:p>
    <w:p>
      <w:r>
        <w:t>Mora reportada en documento autorizado puede producir una señal de revisión/evaluacion M04 con tramo/monto y calidad; no implica activacion de Ruta, reporte comercial externo ni certificacion juridica. Último pago y fecha no se obtienen de CMF. Un documento sin granularidad de movimientos no produce gasto M05 por inferencia.</w:t>
      </w:r>
    </w:p>
    <w:p>
      <w:r>
        <w:t>Precedencia de alcance: M06-DOC-001/M06-DOC-002 excluyen compatibilidad especifica CMF/SFA del MVP M06. Las menciones historicas del Anexo TC sobre lectura CMF solo se conservan como provenance/contrato del owner M04; no habilitan una nueva entrada M06. Un hecho recibido de M04 se valida como payload de dominio, no como documento CMF abierto por M06.</w:t>
      </w:r>
    </w:p>
    <w:p>
      <w:r>
        <w:t>Contrato: CT-M06-11 | Casos: CTEST-M06-028; CTEST-M06-029; CTEST-M06-030 | Fuentes: TC:T03-T13; M05BE:T08; M04BE:T16,T52; PDI:01_Matriz_Maestra!204-213</w:t>
      </w:r>
    </w:p>
    <w:p>
      <w:pPr>
        <w:pStyle w:val="Heading1"/>
      </w:pPr>
      <w:r>
        <w:t>13. Ciclo reconciliado, parcialidad y hechos hacia M04</w:t>
      </w:r>
    </w:p>
    <w:p>
      <w:r>
        <w:t>Un ciclo tiene identidad de obligacion, período y estado de reconciliación. Aportes/pagos se asignan una sola vez. pagado_ciclo = suma de asignaciones vigentes, conocidas y en la misma moneda/ciclo. saldo_pendiente = max(total_exigible - pagado_ciclo, 0) solo cuando ambos terminos son evaluables.</w:t>
      </w:r>
    </w:p>
    <w:p>
      <w:r>
        <w:t>Si 0 &lt; pagado_ciclo &lt; total_exigible existe un hecho parcial; antes del cierre reconciliado es no concluyente para deterioro final. Al cierre, M04 interpreta parcial/mínimo/saldo arrastrado aislado o recurrente; M06 entrega los hechos, no D1/D2 calculados por su cuenta.</w:t>
      </w:r>
    </w:p>
    <w:p>
      <w:r>
        <w:t>Un pago posterior completo o regularizacion invalida las señales anteriores pertinentes y dispara revaluacion del owner. No mantener D deteriorado por una fotografia superada. Un ciclo con varios nombres de deterioro sigue siendo un ciclo, no tres recurrencias.</w:t>
      </w:r>
    </w:p>
    <w:p>
      <w:r>
        <w:t>Unknown/contradicción en total, moneda, fecha o asignacion -&gt; evaluacion no concluyente y tarea de revisión acotada. Un sobrepago conocido no produce saldo negativo ni ingreso M05 por defecto; registrar diferencia para conciliación.</w:t>
      </w:r>
    </w:p>
    <w:p>
      <w:r>
        <w:t>mora_confirmada para el Estado Financiero canónico exige obligacion vencida, saldo pendiente confirmado y evidencia suficiente. Emitir explicacion, fecha evaluada y version; no inferir mora confirmada de falta de datos ni de un mínimo informativo.</w:t>
      </w:r>
    </w:p>
    <w:p>
      <w:r>
        <w:t>Payload mínimo a M04: obligation_id, cycle_id/period, due_date_precision, evaluation_date, aging_days/band o unknown, due_amount/paid_amount/remaining_amount cuando conocidos, currency, payment_kind/final_cycle_facts, reconciled flag, recurrence_evidence, quality, source_refs y version. Los nombres son logicos; el contrato físico debe mapearlos sin perdida.</w:t>
      </w:r>
    </w:p>
    <w:p>
      <w:r>
        <w:t>Contrato: CT-M06-12 | Casos: CTEST-M06-031; CTEST-M06-032; CTEST-M06-033 | Fuentes: M04BE:T16,T23,T52,T54; M04BDD:reglas ciclo reconciliado; TC:T12-T13; M01:Anexos Producto!121</w:t>
      </w:r>
    </w:p>
    <w:p>
      <w:pPr>
        <w:pStyle w:val="Heading1"/>
      </w:pPr>
      <w:r>
        <w:t>14. Sincronizacion M05-M06 y reconciliación sin doble efecto</w:t>
      </w:r>
    </w:p>
    <w:p>
      <w:r>
        <w:t>M05 -&gt; M06: evento de movimiento detectado se recibe con propietario, identidad/version, período, naturaleza, datos conocidos, confianza y origen. Crear/actualizar candidato, no compromiso confirmado por la mera llegada. Confirmar/corregir/rechazar retorna decision correlacionada al productor.</w:t>
      </w:r>
    </w:p>
    <w:p>
      <w:r>
        <w:t>M06 -&gt; M05: un compromiso confirmado aporta expectativa pendiente, no gasto ejecutado. Un pago confirmado busca movimiento canónico: si existe, link; si hay hecho económico suficiente y no hay movimiento, provisional con clave de reconciliación; si no implica nuevo efecto, no-op. La aplicación de presupuesto/scope pertenece a M05.</w:t>
      </w:r>
    </w:p>
    <w:p>
      <w:r>
        <w:t>La importacion posterior enlaza el movimiento real y sustituye el provisional correspondiente sin agregar otro gasto. Si hay multiples matches o diferencias no resueltas, mantener revisión y un unico efecto reconocido; no elegir por proximidad arbitraria.</w:t>
      </w:r>
    </w:p>
    <w:p>
      <w:r>
        <w:t>Cada evento requiere event_id, producer, object_id, object_version, correlation/causation_id, user scope, effective_period, source_refs, quality y payload_type. El receptor deduplica event_id dentro del productor/usuario y registra outcome. Reintento idéntico devuelve outcome previo; contenido distinto con misma identidad es conflicto.</w:t>
      </w:r>
    </w:p>
    <w:p>
      <w:r>
        <w:t>Version antigua no pisa una nueva. El consumidor valida permiso y ownership, resuelve entrega fuera de orden contra version vigente y no repite efectos. El retorno incluye applied/no_op/pending_review/rejected/conflict y correlacion; un fallo técnico queda reintentable sin confirmar localmente un efecto remoto inexistente.</w:t>
      </w:r>
    </w:p>
    <w:p>
      <w:r>
        <w:t>Corregir o revertir genera nuevo evento que revierte solo el efecto ligado al original. Suprimir por PD invalida tambien colas/derivados y rechaza replay tardio con tombstone mínimo sin payload. Reconciliar paga/pendiente evita que la misma obligacion contribuya como gasto ejecutado y compromiso pendiente simultaneamente.</w:t>
      </w:r>
    </w:p>
    <w:p>
      <w:r>
        <w:t>No imponer microservicios, buses o outbox como producto nuevo. La implementacion debe acreditar efecto lógico unico frente a doble clic, reintento, concurrencia, caida entre persistencia y envio, entrega fuera de orden y recuperacion; el mecanismo técnico puede variar.</w:t>
      </w:r>
    </w:p>
    <w:p>
      <w:r>
        <w:t>Contrato: CT-M06-13 | Casos: CTEST-M06-034; CTEST-M06-035; CTEST-M06-036; CTEST-M06-037 | Fuentes: M05BE:T08,P101-P103; M01:Anexos Producto!119,125; F5:T19-T20; PDI:01_Matriz_Maestra!210</w:t>
      </w:r>
    </w:p>
    <w:p>
      <w:pPr>
        <w:pStyle w:val="Heading1"/>
      </w:pPr>
      <w:r>
        <w:t>15. Situaciones, avisos y preferencias: contrato con M02</w:t>
      </w:r>
    </w:p>
    <w:p>
      <w:r>
        <w:t>Separar evento, estado de dominio, situación pendiente y comunicación. Una situación nace cuando una regla produce necesidad accionable; se actualiza al cambiar hechos y se cierra solo cuando la condición desaparece o la acción queda efectivamente resuelta. Abrir, leer, visitar o desactivar canal no la cierra.</w:t>
      </w:r>
    </w:p>
    <w:p>
      <w:r>
        <w:t>M06 produce candidatas con razon, prioridad propuesta, version, vigencia, CTA/destino y criterio de resolucion. El selector transversal conserva una prioridad activa; M06 no impone un ganador global ni replica las reglas de M04/M05.</w:t>
      </w:r>
    </w:p>
    <w:p>
      <w:r>
        <w:t>D-M06-ALERTA-MVP-01: el MVP no expone el control local Activar alerta ni un recordatorio individual adicional. Recordarme este pago queda backlog. Esta decision no suprime ni altera los avisos automáticos gobernados por M02 ni la orquestacion transversal M03/Home.</w:t>
      </w:r>
    </w:p>
    <w:p>
      <w:r>
        <w:t>Mis Avisos se implementa mediante 7 familias canónicas F1–F7. Los 17 AVI-M06 se conservan como lineage: 7 referencias principales y 10 roles absorbidos/no autónomos. 002/010 se integran en F2; 007/013 en F4; 014 en F6; 004/012/016 no generan familia; 011 es quality reason y 017 es derivación hacia M04.</w:t>
      </w:r>
    </w:p>
    <w:p>
      <w:r>
        <w:t>Para proximidad/vencimiento/criticidad (005/006/007), el hito inicial es la transicion valida a la situación; requiere compromiso confirmado, fecha exacta, prioridad transversal activa, dato suficiente y canal autorizado; no existe recordatorio individual adicional en este MVP por D-M06-ALERTA-MVP-01. Se conserva N=7 y se comprueba estado nuevamente inmediatamente antes de entregar.</w:t>
      </w:r>
    </w:p>
    <w:p>
      <w:r>
        <w:t>Recomendada limita reiteracion: vencida/crítica/vencimiento hoy maximo una cada 24h; accionable sin urgencia inmediata cada 3 días; preventiva cada 7 días. Cada 3 días y Semanalmente limitan reiteracion de la misma prioridad; Solo una vez permite inicial, no repeticion. Un límite cumplido no obliga a enviar.</w:t>
      </w:r>
    </w:p>
    <w:p>
      <w:r>
        <w:t>Un ciclo comunicacional elige un canal principal. Para urgencia temporal se recomienda dispositivo; correo solo en un ciclo posterior si catalogo/consentimiento/preferencias lo permiten. Sin canal elegible queda in-app. No duplicar push+correo ni compensar un canal bloqueado aumentando intentos.</w:t>
      </w:r>
    </w:p>
    <w:p>
      <w:r>
        <w:t>Dedupe comunicacional: usuario + situación + version/transicion relevante + ciclo comunicacional + canal/outcome. Un cambio de version técnico sin cambio de necesidad no renueva el aviso inicial; una escalada real reevalua prioridad pero no habilita duplicar el mismo hecho equivalente.</w:t>
      </w:r>
    </w:p>
    <w:p>
      <w:r>
        <w:t>El contenido externo es generico y minimizado, sin monto, institucion, glosa ni detalles financieros en pantalla bloqueada. Un deep link autentica y autoriza el objeto al abrir; si ya esta resuelto, mostrar estado vigente sin ejecutar la acción antigua.</w:t>
      </w:r>
    </w:p>
    <w:p>
      <w:r>
        <w:t>M06 publica familia/situación candidata suficiente con estado/hecho, prioridad local, CTA/destino, vigencia, criterio de resolución y quality/provenance. M03/Home orquesta competencia/superficie transversal y M02 gobierna consentimiento, canal, cadencia y dedupe. La dependencia histórica de entrega externa AVI-M06-003/004 se mantiene como lineage y no crea familias activas adicionales.</w:t>
      </w:r>
    </w:p>
    <w:p>
      <w:r>
        <w:t>Ventana externa de 005: mientras el compromiso confirmado permanezca Próximo (0 &lt;= delta &lt;= N); 006: mientras Vencido y no Critico confiable; 007: mientras persista la criticidad confiable de Vencido. Cambiar de ventana sustituye la familia anterior para el mismo objeto. La nueva prioridad activa puede originar aviso inicial; reevaluacion sin cambio de necesidad no renueva el hito. Ante pago, corrección, descarte o supresión, reevaluar el predicado: cerrar solo si la necesidad desaparece o queda efectivamente resuelta. Un abono parcial con deuda vigente no cierra el aviso de vencimiento; cambia familia solo cuando corresponde al nuevo estado.</w:t>
      </w:r>
    </w:p>
    <w:p>
      <w:r>
        <w:t>Para F3/F4, la entrega externa consume el contrato M02 vigente y revalida la condición antes de entregar. La variante histórica AVI-M06-003 y el state AVI-M06-004 no habilitan delivery externo por inferencia; dependen de M03/M02. El resto del contrato M06 no espera esa dependencia para definir la situación local.</w:t>
      </w:r>
    </w:p>
    <w:p>
      <w:r>
        <w:t>Para Recomendada, 005 con delta=0 usa límite 24h; con delta&gt;0 es accionable proxima y usa 3 días. 006/007 usan 24h. La cadencia corre desde el último envio efectivo equivalente; un intento fallido no confirma entrega ni autoriza otro canal simultaneo. Un mismo ciclo de entrega tiene una identidad de intento/outcome persistida. Cambio de preferencia no crea necesidad nueva ni reinicia indebidamente contadores.</w:t>
      </w:r>
    </w:p>
    <w:p>
      <w:r>
        <w:t>Esta definición completa exclusivamente el lado productor M06 de las condiciones pendientes de M02; no cambia sus preferencias ni edita su catalogo fuente. La implementacion debe enlazar ambas versiones y demostrar supresión antes de habilitar envios. Gate B permanece sin evaluar.</w:t>
      </w:r>
    </w:p>
    <w:p>
      <w:r>
        <w:t>D-M06-ALERTA-MVP-01 esta cerrada: el MVP no expone Activar alerta ni un recordatorio individual adicional; Recordarme este pago queda backlog. Los avisos automáticos 005/006/007 mantienen su contrato M02 y no dependen de un control local.</w:t>
      </w:r>
    </w:p>
    <w:p>
      <w:r>
        <w:t>La deduplicacion in-app se evalua para la superficie actual: si el mismo objeto, necesidad y acción ya se resuelven en un bloque visible equivalente, no duplicar un banner. Un contador o una card colapsada que no permite resolver la necesidad no equivale automaticamente a resolucion visible. La supresión de esa presentacion no cierra Situation, no desactiva avisos externos y no suplanta el winner transversal M03/M02.</w:t>
      </w:r>
    </w:p>
    <w:p>
      <w:r>
        <w:t>Contrato: CT-M06-14 | Casos: CTEST-M06-038; CTEST-M06-039; CTEST-M06-040; CTEST-M06-041 | Fuentes: M02I:P159-P180,T13-T14,T18-T24; M02II:T65-T81; PDI:01_Matriz_Maestra!220; BTR:04_Pendientes_Dependencias</w:t>
      </w:r>
    </w:p>
    <w:p>
      <w:pPr>
        <w:pStyle w:val="Heading1"/>
      </w:pPr>
      <w:r>
        <w:t>16. Home, Perfil, M01 y taxonomia compartida</w:t>
      </w:r>
    </w:p>
    <w:p>
      <w:r>
        <w:t>Home consume necesidad/estado vigente y devuelve navegacion al objeto M06; no confirma pagos ni crea recurrencias dentro del dashboard. Un retorno conserva contexto de período/filtro, pero siempre consulta estado vigente antes de habilitar una acción.</w:t>
      </w:r>
    </w:p>
    <w:p>
      <w:r>
        <w:t>M01 puede solicitar completar un dato de compromiso/pago/recurrencia en el owner M06 y recibir un retorno confirmado/corregido/cancelado. No crear otro formulario de compromisos dentro de onboarding. El resultado invalida el snapshot de diagnostico afectado, no un semaforo nuevo.</w:t>
      </w:r>
    </w:p>
    <w:p>
      <w:r>
        <w:t>El aporte a M01/M05 distingue pendientes no ejecutados, vinculos a movimientos ejecutados y calidad/cobertura. Exponer subtotal conocido y cantidad de montos desconocidos; no presentar un total completo cuando falta monto. La proyeccion restante y el Estado Financiero son responsabilidad de sus owners.</w:t>
      </w:r>
    </w:p>
    <w:p>
      <w:r>
        <w:t>Perfil recibe señal mínima de calidad/completitud con motivo y destino; no copia documentos, montos, glosas ni historial de pagos. Sus propias reglas deciden la materializacion.</w:t>
      </w:r>
    </w:p>
    <w:p>
      <w:r>
        <w:t>Categoria y subcategoria referencian IDs/version del catalogo compartido. Nueva subcategoria requiere parent permitido, unicidad normalizada por usuario y catalogo, autorización y estado gobernado; no crea categoria maestra global. Mientras no exista decision del catalogo, conservar sugerencia pendiente, no ID ficticio.</w:t>
      </w:r>
    </w:p>
    <w:p>
      <w:r>
        <w:t>Guardar filtros aplica los filtros expuestos y retorna; no prueba persistencia entre sesiones o dispositivos. El filtro no cambia los objetos, la cola de deteccion ni la prioridad transversal fuera de su superficie.</w:t>
      </w:r>
    </w:p>
    <w:p>
      <w:r>
        <w:t>El subtotal de compromisos pendientes considera solo porcion no ejecutada en el período objetivo, identidad canónica y moneda compatible. Un pago real/provisional ya reconocido como ejecutado no se suma de nuevo como pendiente. M06 entrega known_sum, unknown_amount_count, coverage_status, source_version y links; no sustituye el motor de proyeccion M05 ni inventa el total mensual cuando quedan desconocidos.</w:t>
      </w:r>
    </w:p>
    <w:p>
      <w:r>
        <w:t>Filtro avanzado: mostrar solo categorias, estados de dato y relaciones/contextos presentes en registros accesibles. Dentro de una familia, seleccion multiple usa OR; entre familias y rango/estado básico usa AND. Guardar aplica atomica y localmente; Cancelar conserva seleccion previa. Quitar el chip avanzado limpia solo filtros avanzados. Rango civil incluye extremos; ausencia de fecha excluye solo del filtro de fecha, no borra el registro. Esta es derivacion técnica del filtro expuesto, no un nuevo atributo de dominio.</w:t>
      </w:r>
    </w:p>
    <w:p>
      <w:r>
        <w:t>Subcategorías personalizadas: aplicar TX-007 del catálogo compartido, máximo 5 activas por categoría y usuario. Con 4 activas puede crearse la quinta; con 5, informar el límite y no crear una sexta. Editar una existente no consume otro cupo; reactivarla cuenta como activa. Una categoría o usuario distinto tiene su propio conteo. La capacidad transversal valida unicidad, permiso y cupo de forma atómica: dos altas concurrentes no pueden superar 5; un reintento no consume dos cupos. M06 conserva el formulario y explica el resultado, sin eliminar otra subcategoría ni cambiar la taxonomía global. Esta precisión no autoriza la promoción de sugerencias a categorías globales.</w:t>
      </w:r>
    </w:p>
    <w:p>
      <w:r>
        <w:t>El alta de subcategoria vuelve al formulario de origen con su nueva referencia seleccionada solo tras exito del catalogo compartido. Cancelar o error no crean subcategoria y conservan los datos de captura. Si cambia la categoria, invalidar solo una referencia hija incompatible. La persistencia del compromiso y la del catalogo son operaciones distintas: no simular que guardar el texto crea automaticamente ambas.</w:t>
      </w:r>
    </w:p>
    <w:p>
      <w:r>
        <w:t>Contrato: CT-M06-15 | Casos: CTEST-M06-042; CTEST-M06-043 | Fuentes: HOME; M01:Reglas Walvy!15;Anexos Producto!119-131; M05BE:T02,T08; CAT:03_reglas_clasificación!111;06_enums_catalogos!72; CAT:03_reglas_clasificación!11 (TX-007); 05_modelo_bbdd!12/19; 07_mvp_vs_backlog!6</w:t>
      </w:r>
    </w:p>
    <w:p>
      <w:pPr>
        <w:pStyle w:val="Heading1"/>
      </w:pPr>
      <w:r>
        <w:t>17. Protección de datos y ciclo de vida</w:t>
      </w:r>
    </w:p>
    <w:p>
      <w:r>
        <w:t>El inventario PD conserva cada uno de los 50 IDs M06 de la fuente, incluida la exclusion de M06-DAT-006, y agrega los datos operativos nuevos solo si no caben en un activo existente. Familias, finalidad, fuente, owner, consumidor, necesidad, clasificación, persistencia, lifecycle, acceso, exposicion y evidencia estan en PD_BASELINE_M06.</w:t>
      </w:r>
    </w:p>
    <w:p>
      <w:r>
        <w:t>Confidencial es la clasificación interna de los datos funcionales/derivados segun inventario; el original documental es Restringido. No afirmar que todo dato financiero sea automaticamente sensible en sentido juridico. No se inventa una base legal, consentimiento nuevo ni un plazo normativo.</w:t>
      </w:r>
    </w:p>
    <w:p>
      <w:r>
        <w:t>Aplicar segregacion por usuario y autorización por objeto en lectura/escritura/export/retorno/eventos. El soporte opera metadata mínima y no tiene acceso financiero individual ordinario. Protección en transito y reposo, secretos fuera de código/logs y permisos mínimos segun responsabilidades acordadas.</w:t>
      </w:r>
    </w:p>
    <w:p>
      <w:r>
        <w:t>El original financiero se procesa por K-read fuera del repositorio funcional Walvy; eliminar cuando deje de ser necesario y como maximo en 24 horas segun politica interna. No convertir 24h en TTL de almacenamiento Walvy. Persistir solo referencia mínima explicativa; la evidencia del proveedor debe incluir stores, buffers, logs, backups y borrado.</w:t>
      </w:r>
    </w:p>
    <w:p>
      <w:r>
        <w:t>Mientras hay derecho de acceso/licencia vigente, conservar lo necesario por finalidad. Al fin efectivo, congelar tratamiento funcional y aplicar ventana interna de recuperacion hasta 90 días; simple inactividad no la inicia. Solicitud de supresión confirmada ejecuta cese/supresión sin esperar esa ventana.</w:t>
      </w:r>
    </w:p>
    <w:p>
      <w:r>
        <w:t>La supresión alcanza compromisos/candidatos/pagos, derivados, historial, cache, indices, colas y proyecciones que contengan datos personales. Un mínimo marcador técnico de supresión/replay sin payload puede impedir resurreccion; no justificar con el historial retener todos los datos indefinidamente.</w:t>
      </w:r>
    </w:p>
    <w:p>
      <w:r>
        <w:t>Aplicación movil no persiste documentos ni payload financiero en logs, notificaciones, errores, analitica o portapapeles automático. Cache sensible, si es necesaria, queda autenticada, acotada a sesion/usuario, invalidada en cierre de sesion, cambio de cuenta, revocacion/supresión y cambio material; sin prometer modo offline no definido.</w:t>
      </w:r>
    </w:p>
    <w:p>
      <w:r>
        <w:t>Trazabilidad funcional explicativa y logging técnico son capas distintas. La primera conserva hechos mínimos y correcciones segun lifecycle; el segundo solo actor seudonimo/correlacion/acción/resultado/version sin documentos, glosas completas, montos innecesarios, tokens ni secretos.</w:t>
      </w:r>
    </w:p>
    <w:p>
      <w:r>
        <w:t>Responsabilidades: Kabeli acredita lógica/API/cliente/integracion; Walvy infraestructura y backups/restore; K-read tratamiento externo. No se declara ninguno cumplido sin evidencia. Una restauracion debe reaplicar supresiones antes de reactivar lectura o eventos.</w:t>
      </w:r>
    </w:p>
    <w:p>
      <w:r>
        <w:t>La prevencion de reaparicion tras supresión exige validar cuenta/permiso/consentimiento y existencia de version vigente antes de consumir un evento. Un update tardio nunca crea implicitamente el objeto borrado. Una marca técnica de supresión, si se usa, no contiene payload financiero ni justifica retención indefinida; su necesidad y TTL se documentan bajo la politica PD existente. La restauracion de backup debe reaplicar las ordenes de supresión antes de habilitar lectura o cálculos.</w:t>
      </w:r>
    </w:p>
    <w:p>
      <w:r>
        <w:t>Los TTL de cache, colas, reintentos, enlaces temporales y logs son configuraciones técnicas inventariadas y acotadas a finalidad; no heredan 90 días ni 24 horas indiscriminadamente. La evidencia futura debe mostrar el valor efectivo y su justificacion por store. No se declara cumplimiento legal ni aprobacion de subencargados mediante este candidato.</w:t>
      </w:r>
    </w:p>
    <w:p>
      <w:r>
        <w:t>Computo técnico del maximo: expiration_at = effective_access_end_at + 90 días, segun el reloj/convencion de días del owner PD. Antes de expiration_at el tratamiento permanece congelado para recuperacion; en expiration_at o despues termina esa ventana y aplica supresión segun politica. Nunca sumar un día por contar fechas inclusivas. Solicitud de supresión confirmada prevalece desde su efectividad, sin esperar expiration_at. El ejemplo documental usa tiempo transcurrido y no decide una nueva base juridica.</w:t>
      </w:r>
    </w:p>
    <w:p>
      <w:r>
        <w:t>Contrato: CT-M06-16 | Casos: CTEST-M06-044; CTEST-M06-045; CTEST-M06-046; CTEST-M06-047 | Fuentes: PDI:01_Matriz_Maestra!185-234; PDL; PDT; BTEC:TEC-M6-001,020..024</w:t>
      </w:r>
    </w:p>
    <w:p>
      <w:pPr>
        <w:pStyle w:val="Heading1"/>
      </w:pPr>
      <w:r>
        <w:t>18. Navegacion contractual y materializacion pendiente</w:t>
      </w:r>
    </w:p>
    <w:p>
      <w:r>
        <w:t>El PlainText expandido candidato conserva M6-SCR-01..11 como roles: hub, detalle, registro, candidato, pago externo, corrección, fuente, duplicado, recurrencia, conjunto de estados y historial. M6-SCR-10 no se exige como pantalla independiente.</w:t>
      </w:r>
    </w:p>
    <w:p>
      <w:r>
        <w:t>Cada ruta identifica entrada/contexto, campos visibles, acción primaria, cancelacion, exito, fallo y retorno. Ninguna acción navega como si hubiera confirmado cuando la persistencia fallo. Abrir un detalle no cambia estado.</w:t>
      </w:r>
    </w:p>
    <w:p>
      <w:r>
        <w:t>La fuente visual de esta revisión es el Figma/export exacto aportado por el PO el 12-09-2026. OLD y artefactos llamados Wireframe quedan excluidos para este cierre. El recorrido PO completo contrasta estados, recurrencia, abonos y retornos; sus 15 ajustes se registran sin volver a Discovery ni alterar las decisiones aprobadas.</w:t>
      </w:r>
    </w:p>
    <w:p>
      <w:r>
        <w:t>Un gap visual no cambia la regla funcional. Quedan separados contrato definido, representacion observada y evidencia futura. No se afirma cobertura visual completa, aprobacion de Figma ni habilitacion de generacion de mockups.</w:t>
      </w:r>
    </w:p>
    <w:p>
      <w:r>
        <w:t>La matriz de rutas incluye recuperacion de descarte, retorno por cancelacion, origen consultable sin originales, error parcial de ingesta y navegacion tras cambio concurrente. Una ruta textual completa no certifica que la imagen o el build la materialicen. Las diferencias detectadas en el recorrido completo quedan como solicitudes de materializacion, sin inventar frames observados.</w:t>
      </w:r>
    </w:p>
    <w:p>
      <w:r>
        <w:t>El recorrido PO del 12-09-2026 esta completo; la inspeccion visual no certifica navegacion ejecutable. Se consolidan 15 solicitudes en la matriz de ajustes Figma, todas propuestas y pendientes de materializacion. Los conectores faltantes se definen como destino/retorno contractual, no como evidencia de una pantalla o backend inexistentes.</w:t>
      </w:r>
    </w:p>
    <w:p>
      <w:r>
        <w:t>Reusar los sheets de detalle/editar datos/descartar con contexto de objeto, modo, ID, version, período y filtros. Ver historial, Ver detalle, Revisar y Ver mas resuelven su destino segun el objeto/cola; Cancelar mantiene dominio y consulta previa. Un deep link o retorno revalida acceso y carga version vigente antes de ofrecer una acción.</w:t>
      </w:r>
    </w:p>
    <w:p>
      <w:r>
        <w:t>Contrato: CT-M06-17 | Casos: CTEST-M06-048 | Fuentes: PT:L0335-L0940; F4:T05-T16; F5:T08,T23-T25</w:t>
      </w:r>
    </w:p>
    <w:p>
      <w:pPr>
        <w:pStyle w:val="Heading1"/>
      </w:pPr>
      <w:r>
        <w:t>19. Evidencia futura, criterios y responsabilidad de cierre</w:t>
      </w:r>
    </w:p>
    <w:p>
      <w:r>
        <w:t>Gate A evalua si los 28 controles cubren el contrato, riesgos e interfaces; Gate B evalua implementacion y evidencia. El candidato no convierte una prueba de oraculo documental en prueba Android/iOS, API real, seguridad del build o cumplimiento legal.</w:t>
      </w:r>
    </w:p>
    <w:p>
      <w:r>
        <w:t>Por control, la devolución debe incluir implementacion, commit/build/config, ambiente/plataforma, fixture y precondiciones, pasos, resultado esperado/observado, evidencia raw accesible y fecha; indicar dependencias y defectos conocidos. Un resumen PASS sin evidencia no acredita cumplimiento.</w:t>
      </w:r>
    </w:p>
    <w:p>
      <w:r>
        <w:t>Rendimiento conserva el objetivo de referencia p95 &lt;= 2s en endpoints criticos bajo escenario acordado; concurrencia e infraestructura deben acordarse y documentarse antes de la prueba. Las redacciones alternativas del anexo no se convierten en dos obligaciones concurrentes. Cobertura core 80% es meta/cierre global segun el instrumento aprobado, no PASS automático M06 por número de tests.</w:t>
      </w:r>
    </w:p>
    <w:p>
      <w:r>
        <w:t>El ejemplar contractual consultado contiene marcadores incompletos; este analisis no acredita firma, exigibilidad ni aceptacion legal. Las reglas funcionales vigentes se sostienen en contratos de modulos y decisiones, no en inferir la firma de ese archivo.</w:t>
      </w:r>
    </w:p>
    <w:p>
      <w:r>
        <w:t>La version de entrega contiene las superficies necesarias para implementar, responder y aportar evidencia; excluye conversaciones, whitelists y checkpoints internos. Las decisiones Producto M06 y el recorrido estan cerrados en su alcance documental. Remediaciones Figma, compatibilidad nativa Office y evidencia runtime permanecen separadas y no se acreditan por este paquete.</w:t>
      </w:r>
    </w:p>
    <w:p>
      <w:r>
        <w:t>Contrato: CT-M06-18 | Casos: CTEST-M06-049 | Fuentes: BTEC; ANNEX:Anexos 2-4; SERVICE:referencia no firma</w:t>
      </w:r>
    </w:p>
    <w:p>
      <w:pPr>
        <w:pStyle w:val="Heading1"/>
      </w:pPr>
      <w:r>
        <w:t>20. Cálculos y oraculos de referencia</w:t>
      </w:r>
    </w:p>
    <w:p>
      <w:pPr>
        <w:pStyle w:val="Heading2"/>
      </w:pPr>
      <w:r>
        <w:t>M06-CALC-001 | Días para vencer</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Clasificar temporalmente el compromiso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Snapshot diario / fecha actual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fecha_vencimiento confiable; fecha_actual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days_to_due = fecha_vencimiento - fecha_actual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Fecha confiable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 fecha confiable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null -&gt; Requiere revisión; no clasifica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N=7 días calendario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Días enteros calendario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Recalcular al cambio de día y al editar fecha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days_to_due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TC-M06-018..023</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M06-CALC-002 | Estado Pendiente / Próximo / Vencido</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M06-CALC-002</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Derivar estado operativo temporal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Snapshot diario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days_to_due; pago_realizado; confianza_fecha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Pago completo confirmado -&gt; Pagado. Sin fecha suficiente -&gt; revisión. En otro caso delta&lt;0 Vencido;0..N Próximo;&gt;N Pendiente.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Compromiso consolidado y no pagado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 fecha confiable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null -&gt; Requiere revisión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N=7 default MVP configurable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No aplica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diario; edición fecha; registrar/deshacer pago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Estado operativo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TC-M06-018..025</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M06-CALC-003 | Confirmados del mes</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M06-CALC-003</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Universo consolidado del resumen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 activo seleccionado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compromiso_canónico; fecha_vencimiento; estado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COUNT DISTINCT compromiso_canónico con vencimiento en mes activo y estado in {Pendiente, Próximo, Vencido, Pagado fuera de Walvy}</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Pendiente; Próximo; Vencido; Pagado fuera de Walvy</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Borrador/Sin datos; Detectado; Requiere revisión; Duplicado probable; Recurrente probable; Descartado; Pago realizado probable no validado; patrón de recurrencia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 fecha confiable no entra al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estado/fecha/pago; cambio de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Confirmados del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TC-M06-008; TC-M06-009</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M06-CALC-004 | Vencidos del mes</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M06-CALC-004</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Subcontador resumen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 activo seleccionado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universo Confirmados; estado=Vencido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COUNT DISTINCT compromiso_canónico vencido dentro de Confirmados del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Vencido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Resto de estados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0 permitido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estado/fecha/pago; cambio diario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Vencidos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TC-M06-008; TC-M06-010</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M06-CALC-005 | Próximos del mes</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M06-CALC-005</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Subcontador resumen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 activo seleccionado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universo Confirmados; estado=Próximo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COUNT DISTINCT compromiso_canónico próximo dentro de Confirmados del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Próximo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Resto de estados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0 permitido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N=7</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estado/fecha; cambio diario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Próximos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TC-M06-008; TC-M06-011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M06-CALC-006 | Pagados del mes</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Subcontador resumen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 activo seleccionado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universo Confirmados; estado=Pagado fuera de Walvy</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COUNT DISTINCT compromiso_canónico pagado dentro de Confirmados del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Pagado fuera de Walvy</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Pago realizado probable no validado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0 permitido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Registrar/corregir/deshacer pago; cambio de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Pagados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TC-M06-008; TC-M06-012</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M06-CALC-007 | Compromisos al día %</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M06-CALC-007</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Indicador de compromisos no vencidos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 activo seleccionado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Confirmados del mes; Vencidos del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((Confirmados - Vencidos) / Confirmados) * 100; equivalente a (Pendientes + Próximos + Pagados) / Confirmados * 100</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Universo Confirmados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Todo fuera del universo Confirmados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Confirmados=0 -&gt; Sin dato / no porcentaje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UI: entero redondeado; backend conserva precisión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estado/fecha/pago; cambio diario; cambio de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 Compromisos al día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TC-M06-013..015</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M06-CALC-008 | Pagos detectados por revisar</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M06-CALC-008</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Contador de cola asistida no resuelta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Cola viva / no limitada al mes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candidato_detectado; cola_primaria; resolución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COUNT DISTINCT candidato no resuelto de origen asistido/detectado con cola primaria in {Detectado, Requiere revisión por detección}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Detectado; Requiere revisión por detección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Manual; descartado; confirmado; Duplicado probable; Recurrente probable; Pago realizado probable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 fecha no impide contar</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Nueva detección; resolución; reclasificación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Detectados por revisar</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TC-M06-016; TC-M06-017; TC-M06-041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M06-CALC-009 | Presión mensual normalizada</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M06-CALC-009</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Owner upstream M05/lectura financiera; M06 consume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Medir presión del flujo mensual sin duplicar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Mes/snapshot financiero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monthly_outflow_projected; monthly_income_recognized</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Consumir monthly_outflow_projected/monthly_income_recognized*100 del owner; denominador positivo y calidad suficiente; no motor M06 paralelo.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Inputs reconciliados por owner upstream</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No sumar de nuevo movimientos/compromisos crudos en 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Ingreso ausente/&lt;=0 o inputs no confiables -&gt; ratio no evaluable para escalar 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Bandas 50/80/90/100/110</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Conservar precisión; UI según superficie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de snapshot financiero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monthly_pressure_pct</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TC-M06-052..061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M06-CALC-010 | Banda de presión</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M06-CALC-010</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Owner upstream; M06 consume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Clasificar ratio mensual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Mes/snapshot financiero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monthly_pressure_pct</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&lt;50;50-&lt;80;80-&lt;90;90-&lt;100;100-&lt;110;&gt;=110. En100 margen cero; negativo aritmetico solo &gt;100. Prioridad y label financiero owner, no M06 paralelo.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Ratio evaluable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Ratio no evaluable</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Sin dato -&gt; no escalar por presión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50/80/90/100/110</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No aplica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de ratio/snapshot</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Banda presión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TC-M06-052..061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M06-CALC-011 | Severidad operativa M06</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M06-CALC-011</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Priorizar acción sin falsa criticidad</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Snapshot operativo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estado; confianza; presión; deterioro_deuda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Base: Pendiente=Informativa; Próximo=Atención; Vencido=Urgente. Próximo -&gt; Urgente si presión&gt;=90 o deterioro financiero trazable. Vencido -&gt; Crítica solo con datos suficientes y presión&gt;=110 o deterioro de deuda trazable. Baja confianza bloquea escalamiento.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Estado confiable; señales reconciliadas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Baja confianza / dato insuficiente para escalamiento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Baja confianza -&gt; Atención/Requiere revisión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90/110 + señales deuda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No aplica</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Cambio de estado, confianza, presión o deterioro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Severidad</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TC-M06-024; TC-M06-056..064</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2"/>
      </w:pPr>
      <w:r>
        <w:t>M06-CALC-012 | Presión estructural recurrente</w:t>
      </w:r>
    </w:p>
    <w:tbl>
      <w:tblPr>
        <w:tblW w:type="auto" w:w="0"/>
        <w:jc w:val="center"/>
        <w:tblLayout w:type="fixed"/>
        <w:tblLook w:firstColumn="1" w:firstRow="1" w:lastColumn="0" w:lastRow="0" w:noHBand="0" w:noVBand="1" w:val="04A0"/>
      </w:tblPr>
      <w:tblGrid>
        <w:gridCol w:w="2596"/>
        <w:gridCol w:w="7282"/>
      </w:tblGrid>
      <w:tr>
        <w:trPr>
          <w:cantSplit/>
          <w:tblHeader/>
        </w:trPr>
        <w:tc>
          <w:tcPr>
            <w:tcW w:type="dxa" w:w="2596"/>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Campo</w:t>
            </w:r>
          </w:p>
        </w:tc>
        <w:tc>
          <w:tcPr>
            <w:tcW w:type="dxa" w:w="7282"/>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Contrato de cálculo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Calc ID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M06-CALC-012</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Owner</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Owner upstream / consumo M06-M04</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Finalidad</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Detectar repetición de presión</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Período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Ciclos mensuales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Inputs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bandas presión de ciclos consecutivos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Fórmula o contrato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2+ ciclos relevantes -&gt; señal de presión estructural; no activa M04 por sí sola sin causa de deuda/compromiso financiero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Ciclos comparables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Excluye</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Ciclos incompletos/no comparables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Faltantes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Datos insuficientes -&gt; no escalar</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Parámetros</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2+ ciclos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Redondeo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Entero ciclos</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Recálculo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Cierre/actualización de ciclo</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Salida</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Flag presión estructural</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TC</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TC-M06-065</w:t>
            </w:r>
          </w:p>
        </w:tc>
      </w:tr>
      <w:tr>
        <w:trPr>
          <w:cantSplit/>
        </w:trPr>
        <w:tc>
          <w:tcPr>
            <w:tcW w:type="dxa" w:w="2596"/>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w:t>
            </w:r>
          </w:p>
        </w:tc>
        <w:tc>
          <w:tcPr>
            <w:tcW w:type="dxa" w:w="7282"/>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Definido</w:t>
            </w:r>
          </w:p>
        </w:tc>
      </w:tr>
    </w:tbl>
    <w:p/>
    <w:p>
      <w:pPr>
        <w:pStyle w:val="Heading1"/>
      </w:pPr>
      <w:r>
        <w:t>21. Fixtures mínimos y aceptacion Backend</w:t>
      </w:r>
    </w:p>
    <w:p>
      <w:r>
        <w:t>08_Fixtures del libro BDD conserva fixtures identificados y escenarios. Deben existir datos sinteticos reproducibles con usuario, período, fecha de negocio y estado inicial. No usar datos financieros reales de produccion en QA. 75 TC y49 CTEST son especificaciones, no ejecuciones ya realizadas.</w:t>
      </w:r>
    </w:p>
    <w:p>
      <w:pPr>
        <w:pStyle w:val="Heading1"/>
      </w:pPr>
      <w:r>
        <w:t>22. Checklist de aceptacion Backend</w:t>
      </w:r>
    </w:p>
    <w:tbl>
      <w:tblPr>
        <w:tblW w:type="auto" w:w="0"/>
        <w:jc w:val="center"/>
        <w:tblLayout w:type="fixed"/>
        <w:tblLook w:firstColumn="1" w:firstRow="1" w:lastColumn="0" w:lastRow="0" w:noHBand="0" w:noVBand="1" w:val="04A0"/>
      </w:tblPr>
      <w:tblGrid>
        <w:gridCol w:w="2307"/>
        <w:gridCol w:w="7571"/>
      </w:tblGrid>
      <w:tr>
        <w:trPr>
          <w:cantSplit/>
          <w:tblHeader/>
        </w:trPr>
        <w:tc>
          <w:tcPr>
            <w:tcW w:type="dxa" w:w="2307"/>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Control</w:t>
            </w:r>
          </w:p>
        </w:tc>
        <w:tc>
          <w:tcPr>
            <w:tcW w:type="dxa" w:w="7571"/>
            <w:vAlign w:val="center"/>
            <w:shd w:fill="2F6B57"/>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FFFFFF"/>
                <w:sz w:val="20"/>
              </w:rPr>
              <w:t>Evidencia necesaria</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Datos/mínimos</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null !=0; monto opcional; descripción/fecha para consolidar; borrador recuperable;006/036 excluidos</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Estados/saldo</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-1/0/7/8; pago parcial/completo/reversion; saldo 70 desde total 100 y abono 30; postestado coherente</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Recurrencia</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Ancla31-&gt;febrero-&gt;31;29feb anual; ancla insuficiente no fin de mes automático</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Integraciones</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Idempotencia/out-of-order; Movimiento real M05 reemplaza provisional; pagoTC no nuevo gasto; M04 sin cálculo local de D</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Avisos</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7 familias canónicas F1–F7 + 17 AVI históricos trazados; roles absorbidos sin autonomía; dependencia externa histórica 003/004; parcial no cierra F4 vencido.</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Protección</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Acceso por objeto; originales maximo 24 horas; ventana90 días no por inactividad; supresión/restore/replay</w:t>
            </w:r>
          </w:p>
        </w:tc>
      </w:tr>
      <w:tr>
        <w:trPr>
          <w:cantSplit/>
        </w:trPr>
        <w:tc>
          <w:tcPr>
            <w:tcW w:type="dxa" w:w="2307"/>
            <w:vAlign w:val="center"/>
            <w:shd w:fill="EAF3E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color w:val="203C34"/>
                <w:sz w:val="20"/>
              </w:rPr>
              <w:t>Devolución</w:t>
            </w:r>
          </w:p>
        </w:tc>
        <w:tc>
          <w:tcPr>
            <w:tcW w:type="dxa" w:w="7571"/>
            <w:vAlign w:val="center"/>
            <w:shd w:fill="FFFFFF"/>
            <w:tcMar>
              <w:top w:w="90" w:type="dxa"/>
              <w:start w:w="100" w:type="dxa"/>
              <w:bottom w:w="90" w:type="dxa"/>
              <w:end w:w="100" w:type="dxa"/>
            </w:tcMar>
            <w:tcBorders>
              <w:top w:val="single" w:sz="4" w:color="C8D7D1"/>
              <w:left w:val="single" w:sz="4" w:color="C8D7D1"/>
              <w:bottom w:val="single" w:sz="4" w:color="C8D7D1"/>
              <w:right w:val="single" w:sz="4" w:color="C8D7D1"/>
            </w:tcBorders>
          </w:tcPr>
          <w:p>
            <w:pPr>
              <w:keepNext w:val="0"/>
              <w:spacing w:after="60" w:before="0" w:line="254" w:lineRule="auto"/>
            </w:pPr>
            <w:r>
              <w:rPr>
                <w:rFonts w:ascii="Calibri" w:hAnsi="Calibri"/>
                <w:b w:val="0"/>
                <w:color w:val="203C34"/>
                <w:sz w:val="20"/>
              </w:rPr>
              <w:t>Commit/build/config/ambiente, fixture, pasos, esperado/observado y fuente raw por caso</w:t>
            </w:r>
          </w:p>
        </w:tc>
      </w:tr>
    </w:tbl>
    <w:p/>
    <w:p>
      <w:pPr>
        <w:pStyle w:val="Heading1"/>
      </w:pPr>
      <w:r>
        <w:t>Anexo A. Reglas Walvy y correspondencia de controles</w:t>
      </w:r>
    </w:p>
    <w:p>
      <w:r>
        <w:t>Reglas Walvy de Walvy_M6_Matriz_Trazabilidad_Cliente_v1.0_RESPUESTA_WALVY.xlsx conserva44 reglas y su referencia CT/TC. Walvy_M6_Matriz_Validacion_Tecnica_v1.0_RESPUESTA_WALVY.xlsx /06 Mapeo TEC Kabeli-Walvy relaciona23 controles recibidos con28 controles Walvy por contenido. No equiparar TECs homonimos.</w:t>
      </w:r>
    </w:p>
    <w:p>
      <w:pPr>
        <w:pStyle w:val="Heading1"/>
      </w:pPr>
      <w:r>
        <w:t>Anexo B. Determinismo y dependencias</w:t>
      </w:r>
    </w:p>
    <w:p>
      <w:r>
        <w:t>AVI-M06-003/004: dependencia histórica de entrega externa M03/M02; no son dos familias activas. Ingesta: consumir límite/tipos/version realmente configurados; el ejemplo visual 15 documentos/30 MB no fija política. Rendimiento: escenario/umbral técnico acordados antes de medir. Ninguna dependencia permite inventar valores de negocio.</w:t>
      </w:r>
    </w:p>
    <w:sectPr w:rsidR="00FC693F" w:rsidRPr="0006063C" w:rsidSect="00034616">
      <w:headerReference w:type="default" r:id="rId9"/>
      <w:footerReference w:type="default" r:id="rId10"/>
      <w:pgSz w:w="12240" w:h="15840"/>
      <w:pgMar w:top="1037" w:right="1181" w:bottom="1037" w:left="1181"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8"/>
      </w:rPr>
      <w:t xml:space="preserve">Walvy | M06 | v1.0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jc w:val="left"/>
    </w:pPr>
    <w:r>
      <w:t>Walvy | M06 | Guia de implementacion Backend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tabs>
          <w:tab w:val="num" w:pos="54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B5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B5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14D3F"/>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214D3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8FCD4A6AF5D0146B0CDBDC1ECCDCBE7" ma:contentTypeVersion="14" ma:contentTypeDescription="Create a new document." ma:contentTypeScope="" ma:versionID="1eb56bd3e773741261de7a68ed67c2ad">
  <xsd:schema xmlns:xsd="http://www.w3.org/2001/XMLSchema" xmlns:xs="http://www.w3.org/2001/XMLSchema" xmlns:p="http://schemas.microsoft.com/office/2006/metadata/properties" xmlns:ns2="438606ab-504c-4d4b-85a8-4460a7ac4a39" xmlns:ns3="844c1473-bec3-43a8-9453-77f408e7a524" targetNamespace="http://schemas.microsoft.com/office/2006/metadata/properties" ma:root="true" ma:fieldsID="eba3b6e3112ef6a93f121c5b30cfa812" ns2:_="" ns3:_="">
    <xsd:import namespace="438606ab-504c-4d4b-85a8-4460a7ac4a39"/>
    <xsd:import namespace="844c1473-bec3-43a8-9453-77f408e7a52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8606ab-504c-4d4b-85a8-4460a7ac4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24c8c91-4e7f-40cb-9681-d426afa25ad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4c1473-bec3-43a8-9453-77f408e7a52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fbdf3b-5ec1-4472-b73d-61d6c39a3f5b}" ma:internalName="TaxCatchAll" ma:showField="CatchAllData" ma:web="844c1473-bec3-43a8-9453-77f408e7a52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38606ab-504c-4d4b-85a8-4460a7ac4a39">
      <Terms xmlns="http://schemas.microsoft.com/office/infopath/2007/PartnerControls"/>
    </lcf76f155ced4ddcb4097134ff3c332f>
    <TaxCatchAll xmlns="844c1473-bec3-43a8-9453-77f408e7a52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6E80476-86C1-4C03-945B-E9B0E2404783}"/>
</file>

<file path=customXml/itemProps3.xml><?xml version="1.0" encoding="utf-8"?>
<ds:datastoreItem xmlns:ds="http://schemas.openxmlformats.org/officeDocument/2006/customXml" ds:itemID="{C85FFCA3-25A3-416E-A999-F16B64A51F7B}"/>
</file>

<file path=customXml/itemProps4.xml><?xml version="1.0" encoding="utf-8"?>
<ds:datastoreItem xmlns:ds="http://schemas.openxmlformats.org/officeDocument/2006/customXml" ds:itemID="{6BB98AA1-4F09-4185-A67F-FCF88BEA11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implementacion Backend</dc:title>
  <dc:subject>Walvy M06 - entrega funcional v1.0</dc:subject>
  <dc:creator>Walvy</dc:creator>
  <cp:keywords>Walvy, M04, Mis Avisos, Ruta Despeje, lineage, señales</cp:keywords>
  <dc:description>Proyeccion documental; no certificacion de implementacion.</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0x01010058FCD4A6AF5D0146B0CDBDC1ECCDCBE7</vt:lpwstr>
  </property>
  <property fmtid="{D5CDD505-2E9C-101B-9397-08002B2CF9AE}" pid="3" name="MediaServiceImageTags">
    <vt:lpwstr/>
  </property>
</Properties>
</file>