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rFonts w:ascii="Calibri" w:cs="Calibri" w:eastAsia="Calibri" w:hAnsi="Calibri"/>
          <w:b/>
          <w:bCs/>
          <w:color w:val="1B2A4A"/>
          <w:sz w:val="64"/>
          <w:szCs w:val="64"/>
        </w:rPr>
        <w:t xml:space="preserve">WALVY</w:t>
      </w:r>
    </w:p>
    <w:p>
      <w:pPr>
        <w:spacing w:after="300"/>
        <w:jc w:val="center"/>
      </w:pPr>
      <w:r>
        <w:rPr>
          <w:rFonts w:ascii="Calibri" w:cs="Calibri" w:eastAsia="Calibri" w:hAnsi="Calibri"/>
          <w:b/>
          <w:bCs/>
          <w:color w:val="E8613C"/>
          <w:sz w:val="32"/>
          <w:szCs w:val="32"/>
        </w:rPr>
        <w:t xml:space="preserve">Módulo 7 — Asistente IA Conversacional</w:t>
      </w:r>
    </w:p>
    <w:p>
      <w:pPr>
        <w:spacing w:after="60"/>
        <w:jc w:val="center"/>
      </w:pPr>
      <w:r>
        <w:rPr>
          <w:rFonts w:ascii="Calibri" w:cs="Calibri" w:eastAsia="Calibri" w:hAnsi="Calibri"/>
          <w:color w:val="222222"/>
          <w:sz w:val="24"/>
          <w:szCs w:val="24"/>
        </w:rPr>
        <w:t xml:space="preserve">Alcance, Criterios de Aceptación, Reglas de Negocio</w:t>
      </w:r>
    </w:p>
    <w:p>
      <w:pPr>
        <w:spacing w:after="500"/>
        <w:jc w:val="center"/>
      </w:pPr>
      <w:r>
        <w:rPr>
          <w:rFonts w:ascii="Calibri" w:cs="Calibri" w:eastAsia="Calibri" w:hAnsi="Calibri"/>
          <w:color w:val="222222"/>
          <w:sz w:val="24"/>
          <w:szCs w:val="24"/>
        </w:rPr>
        <w:t xml:space="preserve">y Requerimientos de Diseño 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613C" w:sz="4"/>
              <w:left w:val="single" w:color="E8613C" w:sz="24"/>
              <w:bottom w:val="single" w:color="E8613C" w:sz="4"/>
              <w:right w:val="single" w:color="E8613C" w:sz="4"/>
            </w:tcBorders>
            <w:shd w:fill="F2F2F2" w:val="clear"/>
            <w:tcMar>
              <w:top w:type="dxa" w:w="120"/>
              <w:left w:type="dxa" w:w="160"/>
              <w:bottom w:type="dxa" w:w="120"/>
              <w:right w:type="dxa" w:w="160"/>
            </w:tcMar>
          </w:tcPr>
          <w:p>
            <w:r>
              <w:rPr>
                <w:rFonts w:ascii="Calibri" w:cs="Calibri" w:eastAsia="Calibri" w:hAnsi="Calibri"/>
                <w:i/>
                <w:iCs/>
                <w:color w:val="1B2A4A"/>
                <w:sz w:val="20"/>
                <w:szCs w:val="20"/>
              </w:rPr>
              <w:t xml:space="preserve">Este documento consolida el alcance funcional, las reglas de negocio y los criterios de aceptación definidos para el Módulo 7 (Asistente IA), a partir de la Propuesta de Implementación del Asistente IA (MVP) y la Base de Conocimiento Conversacional M7 v1.0. Se incluye además un diagnóstico de necesidades de diseño para habilitar el trabajo del equipo de UX.</w:t>
            </w:r>
          </w:p>
        </w:tc>
      </w:tr>
    </w:tbl>
    <w:p>
      <w:pPr>
        <w:spacing w:after="600"/>
      </w:pPr>
    </w:p>
    <w:p>
      <w:pPr>
        <w:jc w:val="center"/>
      </w:pPr>
      <w:r>
        <w:rPr>
          <w:rFonts w:ascii="Calibri" w:cs="Calibri" w:eastAsia="Calibri" w:hAnsi="Calibri"/>
          <w:color w:val="666666"/>
          <w:sz w:val="20"/>
          <w:szCs w:val="20"/>
        </w:rPr>
        <w:t xml:space="preserve">Kabeli Internacional SpA  |  Proyecto Walvy  |  Cliente: Edifícate Inteligente SpA</w:t>
      </w:r>
    </w:p>
    <w:p>
      <w:pPr>
        <w:spacing w:after="400"/>
        <w:jc w:val="center"/>
      </w:pPr>
      <w:r>
        <w:rPr>
          <w:rFonts w:ascii="Calibri" w:cs="Calibri" w:eastAsia="Calibri" w:hAnsi="Calibri"/>
          <w:color w:val="666666"/>
          <w:sz w:val="20"/>
          <w:szCs w:val="20"/>
        </w:rPr>
        <w:t xml:space="preserve">Fecha de elaboración: agosto de 2026</w:t>
      </w:r>
    </w:p>
    <w:p>
      <w:pPr>
        <w:pageBreakBefore/>
      </w:pPr>
      <w:r>
        <w:br/>
        <w:t xml:space="preserve"/>
      </w:r>
    </w:p>
    <w:p>
      <w:pPr>
        <w:pStyle w:val="Heading1"/>
        <w:pBdr>
          <w:bottom w:val="single" w:color="E8613C" w:sz="8" w:space="4"/>
        </w:pBdr>
        <w:spacing w:after="160" w:before="320"/>
      </w:pPr>
      <w:r>
        <w:rPr>
          <w:rFonts w:ascii="Calibri" w:cs="Calibri" w:eastAsia="Calibri" w:hAnsi="Calibri"/>
          <w:b/>
          <w:bCs/>
          <w:color w:val="1B2A4A"/>
          <w:sz w:val="28"/>
          <w:szCs w:val="28"/>
        </w:rPr>
        <w:t xml:space="preserve">1. Introducción y propósito del documento</w:t>
      </w:r>
    </w:p>
    <w:p>
      <w:pPr>
        <w:spacing w:after="120" w:line="276"/>
      </w:pPr>
      <w:r>
        <w:rPr>
          <w:rFonts w:ascii="Calibri" w:cs="Calibri" w:eastAsia="Calibri" w:hAnsi="Calibri"/>
          <w:color w:val="222222"/>
          <w:sz w:val="22"/>
          <w:szCs w:val="22"/>
        </w:rPr>
        <w:t xml:space="preserve">El presente documento consolida, a partir de la documentación funcional entregada para el Módulo 7 (Asistente IA de Walvy) —Propuesta de Implementación del Asistente IA (MVP) y Base de Conocimiento Conversacional M7 v1.0—, tres componentes clave para la gestión del módulo: el alcance funcional aprobado, los criterios de aceptación aplicables y las reglas de negocio que gobiernan el comportamiento del asistente. Adicionalmente, se incorpora un diagnóstico de los requerimientos de diseño pendientes, de modo que el equipo de UX cuente con una base clara para trabajar la propuesta a nivel visual y conversacional.</w:t>
      </w:r>
    </w:p>
    <w:p>
      <w:pPr>
        <w:spacing w:after="120" w:line="276"/>
      </w:pPr>
      <w:r>
        <w:rPr>
          <w:rFonts w:ascii="Calibri" w:cs="Calibri" w:eastAsia="Calibri" w:hAnsi="Calibri"/>
          <w:color w:val="222222"/>
          <w:sz w:val="22"/>
          <w:szCs w:val="22"/>
        </w:rPr>
        <w:t xml:space="preserve">M7 se define como una capa de asistencia conversacional controlada dentro de Walvy, cuyo propósito es explicar información ya disponible en la aplicación —estados, resultados, recomendaciones, acciones permitidas y próximos pasos— siempre gobernada por los módulos dueños de cada dato (M01, M02, M04, M05, M06). No corresponde a un asistente de IA libre ni a un asesor financiero generalista.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613C" w:sz="4"/>
              <w:left w:val="single" w:color="E8613C" w:sz="24"/>
              <w:bottom w:val="single" w:color="E8613C" w:sz="4"/>
              <w:right w:val="single" w:color="E8613C" w:sz="4"/>
            </w:tcBorders>
            <w:shd w:fill="F2F2F2" w:val="clear"/>
            <w:tcMar>
              <w:top w:type="dxa" w:w="120"/>
              <w:left w:type="dxa" w:w="160"/>
              <w:bottom w:type="dxa" w:w="120"/>
              <w:right w:type="dxa" w:w="160"/>
            </w:tcMar>
          </w:tcPr>
          <w:p>
            <w:r>
              <w:rPr>
                <w:rFonts w:ascii="Calibri" w:cs="Calibri" w:eastAsia="Calibri" w:hAnsi="Calibri"/>
                <w:i/>
                <w:iCs/>
                <w:color w:val="1B2A4A"/>
                <w:sz w:val="20"/>
                <w:szCs w:val="20"/>
              </w:rPr>
              <w:t xml:space="preserve">Nota de trazabilidad: el documento funcional base de M7 se declara "No fuente vigente hasta validación post-subida en SharePoint". Este documento hereda esa condición: debe revalidarse contra la fuente vigente una vez esta sea confirmada por la consultora.</w:t>
            </w:r>
          </w:p>
        </w:tc>
      </w:tr>
    </w:tbl>
    <w:p>
      <w:pPr>
        <w:pStyle w:val="Heading1"/>
        <w:pBdr>
          <w:bottom w:val="single" w:color="E8613C" w:sz="8" w:space="4"/>
        </w:pBdr>
        <w:spacing w:after="160" w:before="320"/>
      </w:pPr>
      <w:r>
        <w:rPr>
          <w:rFonts w:ascii="Calibri" w:cs="Calibri" w:eastAsia="Calibri" w:hAnsi="Calibri"/>
          <w:b/>
          <w:bCs/>
          <w:color w:val="1B2A4A"/>
          <w:sz w:val="28"/>
          <w:szCs w:val="28"/>
        </w:rPr>
        <w:t xml:space="preserve">2. Alcance</w:t>
      </w:r>
    </w:p>
    <w:p>
      <w:pPr>
        <w:pStyle w:val="Heading2"/>
        <w:spacing w:after="120" w:before="240"/>
      </w:pPr>
      <w:r>
        <w:rPr>
          <w:rFonts w:ascii="Calibri" w:cs="Calibri" w:eastAsia="Calibri" w:hAnsi="Calibri"/>
          <w:b/>
          <w:bCs/>
          <w:color w:val="1B2A4A"/>
          <w:sz w:val="24"/>
          <w:szCs w:val="24"/>
        </w:rPr>
        <w:t xml:space="preserve">2.1 Objetivo y naturaleza del módulo</w:t>
      </w:r>
    </w:p>
    <w:p>
      <w:pPr>
        <w:spacing w:after="120" w:line="276"/>
      </w:pPr>
      <w:r>
        <w:rPr>
          <w:rFonts w:ascii="Calibri" w:cs="Calibri" w:eastAsia="Calibri" w:hAnsi="Calibri"/>
          <w:color w:val="222222"/>
          <w:sz w:val="22"/>
          <w:szCs w:val="22"/>
        </w:rPr>
        <w:t xml:space="preserve">M7 explica información disponible, estados visibles, resultados, recomendaciones gobernadas, acciones permitidas, límites y próximos pasos. No ejecuta acciones sensibles ni sustituye la decisión de los módulos dueños.</w:t>
      </w:r>
    </w:p>
    <w:p>
      <w:pPr>
        <w:pStyle w:val="Heading2"/>
        <w:spacing w:after="120" w:before="240"/>
      </w:pPr>
      <w:r>
        <w:rPr>
          <w:rFonts w:ascii="Calibri" w:cs="Calibri" w:eastAsia="Calibri" w:hAnsi="Calibri"/>
          <w:b/>
          <w:bCs/>
          <w:color w:val="1B2A4A"/>
          <w:sz w:val="24"/>
          <w:szCs w:val="24"/>
        </w:rPr>
        <w:t xml:space="preserve">2.2 Funcionalidades incluidas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Funcionalidad</w:t>
            </w:r>
          </w:p>
        </w:tc>
        <w:tc>
          <w:tcPr>
            <w:tcW w:type="dxa" w:w="63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Descripción del alcance</w:t>
            </w:r>
          </w:p>
        </w:tc>
      </w:tr>
      <w:tr>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Chat textual</w:t>
            </w:r>
          </w:p>
        </w:tc>
        <w:tc>
          <w:tcPr>
            <w:tcW w:type="dxa" w:w="63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Entrada principal de consulta y respuesta textual dentro de Walvy.</w:t>
            </w:r>
          </w:p>
        </w:tc>
      </w:tr>
      <w:tr>
        <w:tc>
          <w:tcPr>
            <w:tcW w:type="dxa" w:w="30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Voz como entrada</w:t>
            </w:r>
          </w:p>
        </w:tc>
        <w:tc>
          <w:tcPr>
            <w:tcW w:type="dxa" w:w="63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Dictado transcrito editable antes de envío (speech-to-text); no hay respuesta por audio en el MVP.</w:t>
            </w:r>
          </w:p>
        </w:tc>
      </w:tr>
      <w:tr>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FAQ in-app</w:t>
            </w:r>
          </w:p>
        </w:tc>
        <w:tc>
          <w:tcPr>
            <w:tcW w:type="dxa" w:w="63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Base curada de preguntas frecuentes, consultada antes de recurrir a datos financieros del usuario.</w:t>
            </w:r>
          </w:p>
        </w:tc>
      </w:tr>
      <w:tr>
        <w:tc>
          <w:tcPr>
            <w:tcW w:type="dxa" w:w="30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Respuestas contextualizadas</w:t>
            </w:r>
          </w:p>
        </w:tc>
        <w:tc>
          <w:tcPr>
            <w:tcW w:type="dxa" w:w="63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Generadas usando únicamente información disponible dentro de la aplicación.</w:t>
            </w:r>
          </w:p>
        </w:tc>
      </w:tr>
      <w:tr>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Datos del usuario</w:t>
            </w:r>
          </w:p>
        </w:tc>
        <w:tc>
          <w:tcPr>
            <w:tcW w:type="dxa" w:w="63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El asistente puede responder utilizando los datos financieros disponibles del usuario en la app.</w:t>
            </w:r>
          </w:p>
        </w:tc>
      </w:tr>
      <w:tr>
        <w:tc>
          <w:tcPr>
            <w:tcW w:type="dxa" w:w="30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Recomendaciones contextuales</w:t>
            </w:r>
          </w:p>
        </w:tc>
        <w:tc>
          <w:tcPr>
            <w:tcW w:type="dxa" w:w="63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Gobernadas por dato, confianza, consentimiento y guardrail; sin ejecución ni promesa de resultado.</w:t>
            </w:r>
          </w:p>
        </w:tc>
      </w:tr>
      <w:tr>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Datos consultables</w:t>
            </w:r>
          </w:p>
        </w:tc>
        <w:tc>
          <w:tcPr>
            <w:tcW w:type="dxa" w:w="63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Uso controlado de datos de M01, M02, M04, M05, M06 y M7.</w:t>
            </w:r>
          </w:p>
        </w:tc>
      </w:tr>
      <w:tr>
        <w:tc>
          <w:tcPr>
            <w:tcW w:type="dxa" w:w="30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Recomendación → CTA</w:t>
            </w:r>
          </w:p>
        </w:tc>
        <w:tc>
          <w:tcPr>
            <w:tcW w:type="dxa" w:w="63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Puente documental entre recomendación, dato habilitante, CTA, estado ID y fuente.</w:t>
            </w:r>
          </w:p>
        </w:tc>
      </w:tr>
      <w:tr>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Soporte y fallback</w:t>
            </w:r>
          </w:p>
        </w:tc>
        <w:tc>
          <w:tcPr>
            <w:tcW w:type="dxa" w:w="63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Respuestas de contención cuando falta un dato, hay un error o la consulta está fuera de alcance.</w:t>
            </w:r>
          </w:p>
        </w:tc>
      </w:tr>
    </w:tbl>
    <w:p>
      <w:pPr>
        <w:spacing w:after="200"/>
      </w:pPr>
    </w:p>
    <w:p>
      <w:pPr>
        <w:pStyle w:val="Heading2"/>
        <w:spacing w:after="120" w:before="240"/>
      </w:pPr>
      <w:r>
        <w:rPr>
          <w:rFonts w:ascii="Calibri" w:cs="Calibri" w:eastAsia="Calibri" w:hAnsi="Calibri"/>
          <w:b/>
          <w:bCs/>
          <w:color w:val="1B2A4A"/>
          <w:sz w:val="24"/>
          <w:szCs w:val="24"/>
        </w:rPr>
        <w:t xml:space="preserve">2.3 Exclusiones y límites de alcance</w:t>
      </w:r>
    </w:p>
    <w:p>
      <w:pPr>
        <w:spacing w:after="120" w:line="276"/>
      </w:pPr>
      <w:r>
        <w:rPr>
          <w:rFonts w:ascii="Calibri" w:cs="Calibri" w:eastAsia="Calibri" w:hAnsi="Calibri"/>
          <w:color w:val="222222"/>
          <w:sz w:val="22"/>
          <w:szCs w:val="22"/>
        </w:rPr>
        <w:t xml:space="preserve">Las siguientes funcionalidades están explícitamente fuera del alcance del MVP de M7:</w:t>
      </w:r>
    </w:p>
    <w:p>
      <w:pPr>
        <w:pStyle w:val="ListParagraph"/>
        <w:numPr>
          <w:ilvl w:val="0"/>
          <w:numId w:val="2"/>
        </w:numPr>
        <w:spacing w:after="60" w:line="276"/>
      </w:pPr>
      <w:r>
        <w:rPr>
          <w:rFonts w:ascii="Calibri" w:cs="Calibri" w:eastAsia="Calibri" w:hAnsi="Calibri"/>
          <w:color w:val="222222"/>
          <w:sz w:val="22"/>
          <w:szCs w:val="22"/>
        </w:rPr>
        <w:t xml:space="preserve">IA libre o asistente generalista fuera del dominio Walvy.</w:t>
      </w:r>
    </w:p>
    <w:p>
      <w:pPr>
        <w:pStyle w:val="ListParagraph"/>
        <w:numPr>
          <w:ilvl w:val="0"/>
          <w:numId w:val="2"/>
        </w:numPr>
        <w:spacing w:after="60" w:line="276"/>
      </w:pPr>
      <w:r>
        <w:rPr>
          <w:rFonts w:ascii="Calibri" w:cs="Calibri" w:eastAsia="Calibri" w:hAnsi="Calibri"/>
          <w:color w:val="222222"/>
          <w:sz w:val="22"/>
          <w:szCs w:val="22"/>
        </w:rPr>
        <w:t xml:space="preserve">Asesoría financiera regulada o recomendación de productos financieros.</w:t>
      </w:r>
    </w:p>
    <w:p>
      <w:pPr>
        <w:pStyle w:val="ListParagraph"/>
        <w:numPr>
          <w:ilvl w:val="0"/>
          <w:numId w:val="2"/>
        </w:numPr>
        <w:spacing w:after="60" w:line="276"/>
      </w:pPr>
      <w:r>
        <w:rPr>
          <w:rFonts w:ascii="Calibri" w:cs="Calibri" w:eastAsia="Calibri" w:hAnsi="Calibri"/>
          <w:color w:val="222222"/>
          <w:sz w:val="22"/>
          <w:szCs w:val="22"/>
        </w:rPr>
        <w:t xml:space="preserve">Comparación de bancos, créditos, inversiones, tarjetas o proveedores.</w:t>
      </w:r>
    </w:p>
    <w:p>
      <w:pPr>
        <w:pStyle w:val="ListParagraph"/>
        <w:numPr>
          <w:ilvl w:val="0"/>
          <w:numId w:val="2"/>
        </w:numPr>
        <w:spacing w:after="60" w:line="276"/>
      </w:pPr>
      <w:r>
        <w:rPr>
          <w:rFonts w:ascii="Calibri" w:cs="Calibri" w:eastAsia="Calibri" w:hAnsi="Calibri"/>
          <w:color w:val="222222"/>
          <w:sz w:val="22"/>
          <w:szCs w:val="22"/>
        </w:rPr>
        <w:t xml:space="preserve">Pagos automáticos, transferencias o botón "Pagar ahora" ejecutados desde el chat.</w:t>
      </w:r>
    </w:p>
    <w:p>
      <w:pPr>
        <w:pStyle w:val="ListParagraph"/>
        <w:numPr>
          <w:ilvl w:val="0"/>
          <w:numId w:val="2"/>
        </w:numPr>
        <w:spacing w:after="60" w:line="276"/>
      </w:pPr>
      <w:r>
        <w:rPr>
          <w:rFonts w:ascii="Calibri" w:cs="Calibri" w:eastAsia="Calibri" w:hAnsi="Calibri"/>
          <w:color w:val="222222"/>
          <w:sz w:val="22"/>
          <w:szCs w:val="22"/>
        </w:rPr>
        <w:t xml:space="preserve">Marcado automático de pagos o cierre automático de deudas.</w:t>
      </w:r>
    </w:p>
    <w:p>
      <w:pPr>
        <w:pStyle w:val="ListParagraph"/>
        <w:numPr>
          <w:ilvl w:val="0"/>
          <w:numId w:val="2"/>
        </w:numPr>
        <w:spacing w:after="60" w:line="276"/>
      </w:pPr>
      <w:r>
        <w:rPr>
          <w:rFonts w:ascii="Calibri" w:cs="Calibri" w:eastAsia="Calibri" w:hAnsi="Calibri"/>
          <w:color w:val="222222"/>
          <w:sz w:val="22"/>
          <w:szCs w:val="22"/>
        </w:rPr>
        <w:t xml:space="preserve">Activación automática de Ruta Despeje, ya sea desde M02 o desde M7.</w:t>
      </w:r>
    </w:p>
    <w:p>
      <w:pPr>
        <w:pStyle w:val="ListParagraph"/>
        <w:numPr>
          <w:ilvl w:val="0"/>
          <w:numId w:val="2"/>
        </w:numPr>
        <w:spacing w:after="60" w:line="276"/>
      </w:pPr>
      <w:r>
        <w:rPr>
          <w:rFonts w:ascii="Calibri" w:cs="Calibri" w:eastAsia="Calibri" w:hAnsi="Calibri"/>
          <w:color w:val="222222"/>
          <w:sz w:val="22"/>
          <w:szCs w:val="22"/>
        </w:rPr>
        <w:t xml:space="preserve">Memoria persistente por defecto o entrenamiento propio del modelo con datos del usuario.</w:t>
      </w:r>
    </w:p>
    <w:p>
      <w:pPr>
        <w:pStyle w:val="ListParagraph"/>
        <w:numPr>
          <w:ilvl w:val="0"/>
          <w:numId w:val="2"/>
        </w:numPr>
        <w:spacing w:after="60" w:line="276"/>
      </w:pPr>
      <w:r>
        <w:rPr>
          <w:rFonts w:ascii="Calibri" w:cs="Calibri" w:eastAsia="Calibri" w:hAnsi="Calibri"/>
          <w:color w:val="222222"/>
          <w:sz w:val="22"/>
          <w:szCs w:val="22"/>
        </w:rPr>
        <w:t xml:space="preserve">Cierre técnico del proveedor LLM/STT: límites, costos, privacidad, logs, retención, auditoría y arquitectura (queda como definición pendiente para consultora).</w:t>
      </w:r>
    </w:p>
    <w:p>
      <w:pPr>
        <w:pStyle w:val="ListParagraph"/>
        <w:numPr>
          <w:ilvl w:val="0"/>
          <w:numId w:val="2"/>
        </w:numPr>
        <w:spacing w:after="60" w:line="276"/>
      </w:pPr>
      <w:r>
        <w:rPr>
          <w:rFonts w:ascii="Calibri" w:cs="Calibri" w:eastAsia="Calibri" w:hAnsi="Calibri"/>
          <w:color w:val="222222"/>
          <w:sz w:val="22"/>
          <w:szCs w:val="22"/>
        </w:rPr>
        <w:t xml:space="preserve">Uso de M03 como fuente cerrada dentro de M7 (M03 queda excluido como fuente).</w:t>
      </w:r>
    </w:p>
    <w:p>
      <w:pPr>
        <w:spacing w:after="200"/>
      </w:pPr>
    </w:p>
    <w:p>
      <w:pPr>
        <w:pStyle w:val="Heading2"/>
        <w:spacing w:after="120" w:before="240"/>
      </w:pPr>
      <w:r>
        <w:rPr>
          <w:rFonts w:ascii="Calibri" w:cs="Calibri" w:eastAsia="Calibri" w:hAnsi="Calibri"/>
          <w:b/>
          <w:bCs/>
          <w:color w:val="1B2A4A"/>
          <w:sz w:val="24"/>
          <w:szCs w:val="24"/>
        </w:rPr>
        <w:t xml:space="preserve">2.4 Audiencia y uso del documento funcional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Audiencia</w:t>
            </w:r>
          </w:p>
        </w:tc>
        <w:tc>
          <w:tcPr>
            <w:tcW w:type="dxa" w:w="69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Uso recomendado</w:t>
            </w:r>
          </w:p>
        </w:tc>
      </w:tr>
      <w:tr>
        <w:tc>
          <w:tcPr>
            <w:tcW w:type="dxa" w:w="24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Producto</w:t>
            </w:r>
          </w:p>
        </w:tc>
        <w:tc>
          <w:tcPr>
            <w:tcW w:type="dxa" w:w="69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Validar alcance MVP, prioridad, módulos dueños y decisiones abiertas.</w:t>
            </w:r>
          </w:p>
        </w:tc>
      </w:tr>
      <w:tr>
        <w:tc>
          <w:tcPr>
            <w:tcW w:type="dxa" w:w="24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UX</w:t>
            </w:r>
          </w:p>
        </w:tc>
        <w:tc>
          <w:tcPr>
            <w:tcW w:type="dxa" w:w="69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Diseñar chatbox, opciones sugeridas, copy de desambiguación, estados y CTAs explicables.</w:t>
            </w:r>
          </w:p>
        </w:tc>
      </w:tr>
      <w:tr>
        <w:tc>
          <w:tcPr>
            <w:tcW w:type="dxa" w:w="24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Desarrollo</w:t>
            </w:r>
          </w:p>
        </w:tc>
        <w:tc>
          <w:tcPr>
            <w:tcW w:type="dxa" w:w="69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Implementar reglas de intención, criterio de resolución, fallback, derivación y fuentes permitidas.</w:t>
            </w:r>
          </w:p>
        </w:tc>
      </w:tr>
      <w:tr>
        <w:tc>
          <w:tcPr>
            <w:tcW w:type="dxa" w:w="24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Consultora</w:t>
            </w:r>
          </w:p>
        </w:tc>
        <w:tc>
          <w:tcPr>
            <w:tcW w:type="dxa" w:w="69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Usar las matrices como inventario gobernado, no como lista de ideas libres.</w:t>
            </w:r>
          </w:p>
        </w:tc>
      </w:tr>
      <w:tr>
        <w:tc>
          <w:tcPr>
            <w:tcW w:type="dxa" w:w="24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QA</w:t>
            </w:r>
          </w:p>
        </w:tc>
        <w:tc>
          <w:tcPr>
            <w:tcW w:type="dxa" w:w="69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Verificar que cada respuesta tenga fuente, módulo dueño, fallback y bloqueo cuando aplique.</w:t>
            </w:r>
          </w:p>
        </w:tc>
      </w:tr>
    </w:tbl>
    <w:p>
      <w:pPr>
        <w:pageBreakBefore/>
      </w:pPr>
    </w:p>
    <w:p>
      <w:pPr>
        <w:pStyle w:val="Heading1"/>
        <w:pBdr>
          <w:bottom w:val="single" w:color="E8613C" w:sz="8" w:space="4"/>
        </w:pBdr>
        <w:spacing w:after="160" w:before="320"/>
      </w:pPr>
      <w:r>
        <w:rPr>
          <w:rFonts w:ascii="Calibri" w:cs="Calibri" w:eastAsia="Calibri" w:hAnsi="Calibri"/>
          <w:b/>
          <w:bCs/>
          <w:color w:val="1B2A4A"/>
          <w:sz w:val="28"/>
          <w:szCs w:val="28"/>
        </w:rPr>
        <w:t xml:space="preserve">3. Reglas de negocio</w:t>
      </w:r>
    </w:p>
    <w:p>
      <w:pPr>
        <w:pStyle w:val="Heading2"/>
        <w:spacing w:after="120" w:before="240"/>
      </w:pPr>
      <w:r>
        <w:rPr>
          <w:rFonts w:ascii="Calibri" w:cs="Calibri" w:eastAsia="Calibri" w:hAnsi="Calibri"/>
          <w:b/>
          <w:bCs/>
          <w:color w:val="1B2A4A"/>
          <w:sz w:val="24"/>
          <w:szCs w:val="24"/>
        </w:rPr>
        <w:t xml:space="preserve">3.1 Principios rectores de M7</w:t>
      </w:r>
    </w:p>
    <w:p>
      <w:pPr>
        <w:pStyle w:val="ListParagraph"/>
        <w:numPr>
          <w:ilvl w:val="0"/>
          <w:numId w:val="2"/>
        </w:numPr>
        <w:spacing w:after="60" w:line="276"/>
      </w:pPr>
      <w:r>
        <w:rPr>
          <w:rFonts w:ascii="Calibri" w:cs="Calibri" w:eastAsia="Calibri" w:hAnsi="Calibri"/>
          <w:color w:val="222222"/>
          <w:sz w:val="22"/>
          <w:szCs w:val="22"/>
        </w:rPr>
        <w:t xml:space="preserve">M7 no es IA libre ni asistente financiero generalista.</w:t>
      </w:r>
    </w:p>
    <w:p>
      <w:pPr>
        <w:pStyle w:val="ListParagraph"/>
        <w:numPr>
          <w:ilvl w:val="0"/>
          <w:numId w:val="2"/>
        </w:numPr>
        <w:spacing w:after="60" w:line="276"/>
      </w:pPr>
      <w:r>
        <w:rPr>
          <w:rFonts w:ascii="Calibri" w:cs="Calibri" w:eastAsia="Calibri" w:hAnsi="Calibri"/>
          <w:color w:val="222222"/>
          <w:sz w:val="22"/>
          <w:szCs w:val="22"/>
        </w:rPr>
        <w:t xml:space="preserve">M7 no ejecuta pagos, transferencias, cierre de deudas ni activación de Ruta.</w:t>
      </w:r>
    </w:p>
    <w:p>
      <w:pPr>
        <w:pStyle w:val="ListParagraph"/>
        <w:numPr>
          <w:ilvl w:val="0"/>
          <w:numId w:val="2"/>
        </w:numPr>
        <w:spacing w:after="60" w:line="276"/>
      </w:pPr>
      <w:r>
        <w:rPr>
          <w:rFonts w:ascii="Calibri" w:cs="Calibri" w:eastAsia="Calibri" w:hAnsi="Calibri"/>
          <w:color w:val="222222"/>
          <w:sz w:val="22"/>
          <w:szCs w:val="22"/>
        </w:rPr>
        <w:t xml:space="preserve">M7 no promete ahorro, recuperación de margen, refinanciamiento ni salida definitiva de deuda.</w:t>
      </w:r>
    </w:p>
    <w:p>
      <w:pPr>
        <w:pStyle w:val="ListParagraph"/>
        <w:numPr>
          <w:ilvl w:val="0"/>
          <w:numId w:val="2"/>
        </w:numPr>
        <w:spacing w:after="60" w:line="276"/>
      </w:pPr>
      <w:r>
        <w:rPr>
          <w:rFonts w:ascii="Calibri" w:cs="Calibri" w:eastAsia="Calibri" w:hAnsi="Calibri"/>
          <w:color w:val="222222"/>
          <w:sz w:val="22"/>
          <w:szCs w:val="22"/>
        </w:rPr>
        <w:t xml:space="preserve">M7 debe pedir precisión cuando la intención del usuario sea ambigua o falte fuente suficiente.</w:t>
      </w:r>
    </w:p>
    <w:p>
      <w:pPr>
        <w:pStyle w:val="ListParagraph"/>
        <w:numPr>
          <w:ilvl w:val="0"/>
          <w:numId w:val="2"/>
        </w:numPr>
        <w:spacing w:after="60" w:line="276"/>
      </w:pPr>
      <w:r>
        <w:rPr>
          <w:rFonts w:ascii="Calibri" w:cs="Calibri" w:eastAsia="Calibri" w:hAnsi="Calibri"/>
          <w:color w:val="222222"/>
          <w:sz w:val="22"/>
          <w:szCs w:val="22"/>
        </w:rPr>
        <w:t xml:space="preserve">El LLM, cuando se utilice, opera como capa acotada de comprensión y redacción, nunca como centro de decisión.</w:t>
      </w:r>
    </w:p>
    <w:p>
      <w:pPr>
        <w:pStyle w:val="Heading2"/>
        <w:spacing w:after="120" w:before="240"/>
      </w:pPr>
      <w:r>
        <w:rPr>
          <w:rFonts w:ascii="Calibri" w:cs="Calibri" w:eastAsia="Calibri" w:hAnsi="Calibri"/>
          <w:b/>
          <w:bCs/>
          <w:color w:val="1B2A4A"/>
          <w:sz w:val="24"/>
          <w:szCs w:val="24"/>
        </w:rPr>
        <w:t xml:space="preserve">3.2 Modelo de decisión (orden de resolución)</w:t>
      </w:r>
    </w:p>
    <w:p>
      <w:pPr>
        <w:spacing w:after="120" w:line="276"/>
      </w:pPr>
      <w:r>
        <w:rPr>
          <w:rFonts w:ascii="Calibri" w:cs="Calibri" w:eastAsia="Calibri" w:hAnsi="Calibri"/>
          <w:color w:val="222222"/>
          <w:sz w:val="22"/>
          <w:szCs w:val="22"/>
        </w:rPr>
        <w:t xml:space="preserve">M7 debe aplicar el siguiente orden de prioridad antes de recurrir a redacción generativa. Regla vigente: la intención se resuelve antes que la coincidencia literal de la pregunta; si la confianza es baja, se muestra un pool de preguntas o se pide precisión.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4800"/>
      </w:tblGrid>
      <w:tr>
        <w:trPr>
          <w:tblHeader/>
        </w:trPr>
        <w:tc>
          <w:tcPr>
            <w:tcW w:type="dxa" w:w="13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Prioridad</w:t>
            </w:r>
          </w:p>
        </w:tc>
        <w:tc>
          <w:tcPr>
            <w:tcW w:type="dxa" w:w="32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Recurso</w:t>
            </w:r>
          </w:p>
        </w:tc>
        <w:tc>
          <w:tcPr>
            <w:tcW w:type="dxa" w:w="48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Tratamiento</w:t>
            </w:r>
          </w:p>
        </w:tc>
      </w:tr>
      <w:tr>
        <w:tc>
          <w:tcPr>
            <w:tcW w:type="dxa" w:w="13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32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FAQ aprobada</w:t>
            </w:r>
          </w:p>
        </w:tc>
        <w:tc>
          <w:tcPr>
            <w:tcW w:type="dxa" w:w="48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Responder desde FAQ si la pregunta está cubierta.</w:t>
            </w:r>
          </w:p>
        </w:tc>
      </w:tr>
      <w:tr>
        <w:tc>
          <w:tcPr>
            <w:tcW w:type="dxa" w:w="13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32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Estado / regla funcional</w:t>
            </w:r>
          </w:p>
        </w:tc>
        <w:tc>
          <w:tcPr>
            <w:tcW w:type="dxa" w:w="48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Explicar situación visible o regla documentada.</w:t>
            </w:r>
          </w:p>
        </w:tc>
      </w:tr>
      <w:tr>
        <w:tc>
          <w:tcPr>
            <w:tcW w:type="dxa" w:w="13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3</w:t>
            </w:r>
          </w:p>
        </w:tc>
        <w:tc>
          <w:tcPr>
            <w:tcW w:type="dxa" w:w="32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Recomendación gobernada</w:t>
            </w:r>
          </w:p>
        </w:tc>
        <w:tc>
          <w:tcPr>
            <w:tcW w:type="dxa" w:w="48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Orientar solo si existe regla, dato y módulo dueño.</w:t>
            </w:r>
          </w:p>
        </w:tc>
      </w:tr>
      <w:tr>
        <w:tc>
          <w:tcPr>
            <w:tcW w:type="dxa" w:w="13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4</w:t>
            </w:r>
          </w:p>
        </w:tc>
        <w:tc>
          <w:tcPr>
            <w:tcW w:type="dxa" w:w="32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CTA / acción funcional</w:t>
            </w:r>
          </w:p>
        </w:tc>
        <w:tc>
          <w:tcPr>
            <w:tcW w:type="dxa" w:w="48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Explicar acción, destino y límite permitido.</w:t>
            </w:r>
          </w:p>
        </w:tc>
      </w:tr>
      <w:tr>
        <w:tc>
          <w:tcPr>
            <w:tcW w:type="dxa" w:w="13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5</w:t>
            </w:r>
          </w:p>
        </w:tc>
        <w:tc>
          <w:tcPr>
            <w:tcW w:type="dxa" w:w="32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Módulo dueño</w:t>
            </w:r>
          </w:p>
        </w:tc>
        <w:tc>
          <w:tcPr>
            <w:tcW w:type="dxa" w:w="48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Derivar sin asumir decisión sensible.</w:t>
            </w:r>
          </w:p>
        </w:tc>
      </w:tr>
      <w:tr>
        <w:tc>
          <w:tcPr>
            <w:tcW w:type="dxa" w:w="13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6</w:t>
            </w:r>
          </w:p>
        </w:tc>
        <w:tc>
          <w:tcPr>
            <w:tcW w:type="dxa" w:w="32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LLM controlado</w:t>
            </w:r>
          </w:p>
        </w:tc>
        <w:tc>
          <w:tcPr>
            <w:tcW w:type="dxa" w:w="48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Redactar o interpretar dentro de dominio y fuente disponible.</w:t>
            </w:r>
          </w:p>
        </w:tc>
      </w:tr>
      <w:tr>
        <w:tc>
          <w:tcPr>
            <w:tcW w:type="dxa" w:w="13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7</w:t>
            </w:r>
          </w:p>
        </w:tc>
        <w:tc>
          <w:tcPr>
            <w:tcW w:type="dxa" w:w="32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Fallback</w:t>
            </w:r>
          </w:p>
        </w:tc>
        <w:tc>
          <w:tcPr>
            <w:tcW w:type="dxa" w:w="48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Pedir precisión, mostrar pool o bloquear si falta dato/fuente/confianza.</w:t>
            </w:r>
          </w:p>
        </w:tc>
      </w:tr>
    </w:tbl>
    <w:p>
      <w:pPr>
        <w:spacing w:after="200"/>
      </w:pPr>
    </w:p>
    <w:p>
      <w:pPr>
        <w:pStyle w:val="Heading2"/>
        <w:spacing w:after="120" w:before="240"/>
      </w:pPr>
      <w:r>
        <w:rPr>
          <w:rFonts w:ascii="Calibri" w:cs="Calibri" w:eastAsia="Calibri" w:hAnsi="Calibri"/>
          <w:b/>
          <w:bCs/>
          <w:color w:val="1B2A4A"/>
          <w:sz w:val="24"/>
          <w:szCs w:val="24"/>
        </w:rPr>
        <w:t xml:space="preserve">3.3 Taxonomía de salidas de M7</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Tipo de salida</w:t>
            </w:r>
          </w:p>
        </w:tc>
        <w:tc>
          <w:tcPr>
            <w:tcW w:type="dxa" w:w="63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Definición</w:t>
            </w:r>
          </w:p>
        </w:tc>
      </w:tr>
      <w:tr>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FAQ directa</w:t>
            </w:r>
          </w:p>
        </w:tc>
        <w:tc>
          <w:tcPr>
            <w:tcW w:type="dxa" w:w="63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Respuesta educativa o explicativa con fuente gobernada.</w:t>
            </w:r>
          </w:p>
        </w:tc>
      </w:tr>
      <w:tr>
        <w:tc>
          <w:tcPr>
            <w:tcW w:type="dxa" w:w="30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Explicación de estado</w:t>
            </w:r>
          </w:p>
        </w:tc>
        <w:tc>
          <w:tcPr>
            <w:tcW w:type="dxa" w:w="63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Aclara qué significa un estado visible y por qué aparece.</w:t>
            </w:r>
          </w:p>
        </w:tc>
      </w:tr>
      <w:tr>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Explicación de resultado</w:t>
            </w:r>
          </w:p>
        </w:tc>
        <w:tc>
          <w:tcPr>
            <w:tcW w:type="dxa" w:w="63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Aclara qué resultado se obtuvo y con qué condición.</w:t>
            </w:r>
          </w:p>
        </w:tc>
      </w:tr>
      <w:tr>
        <w:tc>
          <w:tcPr>
            <w:tcW w:type="dxa" w:w="30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Recomendación gobernada</w:t>
            </w:r>
          </w:p>
        </w:tc>
        <w:tc>
          <w:tcPr>
            <w:tcW w:type="dxa" w:w="63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Orienta sin ejecutar ni prometer resultado.</w:t>
            </w:r>
          </w:p>
        </w:tc>
      </w:tr>
      <w:tr>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CTA contextual</w:t>
            </w:r>
          </w:p>
        </w:tc>
        <w:tc>
          <w:tcPr>
            <w:tcW w:type="dxa" w:w="63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Explica una acción visible y su destino permitido.</w:t>
            </w:r>
          </w:p>
        </w:tc>
      </w:tr>
      <w:tr>
        <w:tc>
          <w:tcPr>
            <w:tcW w:type="dxa" w:w="30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Derivación modular</w:t>
            </w:r>
          </w:p>
        </w:tc>
        <w:tc>
          <w:tcPr>
            <w:tcW w:type="dxa" w:w="63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Envía al módulo dueño sin resolver fuera de alcance.</w:t>
            </w:r>
          </w:p>
        </w:tc>
      </w:tr>
      <w:tr>
        <w:tc>
          <w:tcPr>
            <w:tcW w:type="dxa" w:w="30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Pool sugerido</w:t>
            </w:r>
          </w:p>
        </w:tc>
        <w:tc>
          <w:tcPr>
            <w:tcW w:type="dxa" w:w="63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Ofrece preguntas/intenciones disponibles cuando hay ambigüedad.</w:t>
            </w:r>
          </w:p>
        </w:tc>
      </w:tr>
      <w:tr>
        <w:tc>
          <w:tcPr>
            <w:tcW w:type="dxa" w:w="30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Fallback / guardrail</w:t>
            </w:r>
          </w:p>
        </w:tc>
        <w:tc>
          <w:tcPr>
            <w:tcW w:type="dxa" w:w="63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Bloquea o pide precisión cuando falta base suficiente.</w:t>
            </w:r>
          </w:p>
        </w:tc>
      </w:tr>
    </w:tbl>
    <w:p>
      <w:pPr>
        <w:spacing w:after="200"/>
      </w:pPr>
    </w:p>
    <w:p>
      <w:pPr>
        <w:pStyle w:val="Heading2"/>
        <w:spacing w:after="120" w:before="240"/>
      </w:pPr>
      <w:r>
        <w:rPr>
          <w:rFonts w:ascii="Calibri" w:cs="Calibri" w:eastAsia="Calibri" w:hAnsi="Calibri"/>
          <w:b/>
          <w:bCs/>
          <w:color w:val="1B2A4A"/>
          <w:sz w:val="24"/>
          <w:szCs w:val="24"/>
        </w:rPr>
        <w:t xml:space="preserve">3.4 Marco de seguridad y guardrails por dominio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00"/>
      </w:tblGrid>
      <w:tr>
        <w:trPr>
          <w:tblHeader/>
        </w:trPr>
        <w:tc>
          <w:tcPr>
            <w:tcW w:type="dxa" w:w="21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Dominio</w:t>
            </w:r>
          </w:p>
        </w:tc>
        <w:tc>
          <w:tcPr>
            <w:tcW w:type="dxa" w:w="36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Bloqueo</w:t>
            </w:r>
          </w:p>
        </w:tc>
        <w:tc>
          <w:tcPr>
            <w:tcW w:type="dxa" w:w="36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Tratamiento seguro</w:t>
            </w:r>
          </w:p>
        </w:tc>
      </w:tr>
      <w:tr>
        <w:tc>
          <w:tcPr>
            <w:tcW w:type="dxa" w:w="21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Pagos</w:t>
            </w:r>
          </w:p>
        </w:tc>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M7 no ejecuta pagos, transferencias ni checkout.</w:t>
            </w:r>
          </w:p>
        </w:tc>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Derivar a M06 para seguimiento o registro de pago realizado.</w:t>
            </w:r>
          </w:p>
        </w:tc>
      </w:tr>
      <w:tr>
        <w:tc>
          <w:tcPr>
            <w:tcW w:type="dxa" w:w="21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Deudas / Ruta</w:t>
            </w:r>
          </w:p>
        </w:tc>
        <w:tc>
          <w:tcPr>
            <w:tcW w:type="dxa" w:w="3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M7 no activa Ruta, no cierra deuda, no refinancia.</w:t>
            </w:r>
          </w:p>
        </w:tc>
        <w:tc>
          <w:tcPr>
            <w:tcW w:type="dxa" w:w="3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Derivar a M04 para revisión de deuda o Ruta.</w:t>
            </w:r>
          </w:p>
        </w:tc>
      </w:tr>
      <w:tr>
        <w:tc>
          <w:tcPr>
            <w:tcW w:type="dxa" w:w="21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Presupuesto</w:t>
            </w:r>
          </w:p>
        </w:tc>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M7 no promete ahorro ni recuperación garantizada.</w:t>
            </w:r>
          </w:p>
        </w:tc>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Explicar señales y derivar a M05.</w:t>
            </w:r>
          </w:p>
        </w:tc>
      </w:tr>
      <w:tr>
        <w:tc>
          <w:tcPr>
            <w:tcW w:type="dxa" w:w="21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Comprobantes</w:t>
            </w:r>
          </w:p>
        </w:tc>
        <w:tc>
          <w:tcPr>
            <w:tcW w:type="dxa" w:w="3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M7 no valida automáticamente evidencia ni conciliación bancaria.</w:t>
            </w:r>
          </w:p>
        </w:tc>
        <w:tc>
          <w:tcPr>
            <w:tcW w:type="dxa" w:w="3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Explicar que requiere vínculo/regla/confirmación.</w:t>
            </w:r>
          </w:p>
        </w:tc>
      </w:tr>
      <w:tr>
        <w:tc>
          <w:tcPr>
            <w:tcW w:type="dxa" w:w="21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Mercado / proveedores</w:t>
            </w:r>
          </w:p>
        </w:tc>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M7 no compara mercado ni recomienda marcas o proveedores.</w:t>
            </w:r>
          </w:p>
        </w:tc>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Aplicar fallback o indicar fuera de alcance.</w:t>
            </w:r>
          </w:p>
        </w:tc>
      </w:tr>
      <w:tr>
        <w:tc>
          <w:tcPr>
            <w:tcW w:type="dxa" w:w="21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Ambigüedad</w:t>
            </w:r>
          </w:p>
        </w:tc>
        <w:tc>
          <w:tcPr>
            <w:tcW w:type="dxa" w:w="3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M7 no responde con certeza si hay varias intenciones posibles.</w:t>
            </w:r>
          </w:p>
        </w:tc>
        <w:tc>
          <w:tcPr>
            <w:tcW w:type="dxa" w:w="3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Pedir precisión o mostrar pool gobernado.</w:t>
            </w:r>
          </w:p>
        </w:tc>
      </w:tr>
    </w:tbl>
    <w:p>
      <w:pPr>
        <w:spacing w:after="200"/>
      </w:pPr>
    </w:p>
    <w:p>
      <w:pPr>
        <w:pStyle w:val="Heading2"/>
        <w:spacing w:after="120" w:before="240"/>
      </w:pPr>
      <w:r>
        <w:rPr>
          <w:rFonts w:ascii="Calibri" w:cs="Calibri" w:eastAsia="Calibri" w:hAnsi="Calibri"/>
          <w:b/>
          <w:bCs/>
          <w:color w:val="1B2A4A"/>
          <w:sz w:val="24"/>
          <w:szCs w:val="24"/>
        </w:rPr>
        <w:t xml:space="preserve">3.5 Niveles de coincidencia de intención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Nivel funcional / condición</w:t>
            </w:r>
          </w:p>
        </w:tc>
        <w:tc>
          <w:tcPr>
            <w:tcW w:type="dxa" w:w="465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Respuesta segura</w:t>
            </w:r>
          </w:p>
        </w:tc>
      </w:tr>
      <w:tr>
        <w:tc>
          <w:tcPr>
            <w:tcW w:type="dxa" w:w="465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Coincidencia directa: una intención, superficie, estado/CTA/dato y módulo dueño coinciden claramente.</w:t>
            </w:r>
          </w:p>
        </w:tc>
        <w:tc>
          <w:tcPr>
            <w:tcW w:type="dxa" w:w="465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Responder desde matriz gobernada.</w:t>
            </w:r>
          </w:p>
        </w:tc>
      </w:tr>
      <w:tr>
        <w:tc>
          <w:tcPr>
            <w:tcW w:type="dxa" w:w="465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Coincidencia probable: hay una intención dominante, pero existe una alternativa razonable.</w:t>
            </w:r>
          </w:p>
        </w:tc>
        <w:tc>
          <w:tcPr>
            <w:tcW w:type="dxa" w:w="465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Responder con cautela o pedir confirmación breve.</w:t>
            </w:r>
          </w:p>
        </w:tc>
      </w:tr>
      <w:tr>
        <w:tc>
          <w:tcPr>
            <w:tcW w:type="dxa" w:w="465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Coincidencia ambigua: hay varias intenciones posibles o la superficie no aclara el sentido.</w:t>
            </w:r>
          </w:p>
        </w:tc>
        <w:tc>
          <w:tcPr>
            <w:tcW w:type="dxa" w:w="465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Mostrar pool de preguntas disponibles según fuente/regla.</w:t>
            </w:r>
          </w:p>
        </w:tc>
      </w:tr>
      <w:tr>
        <w:tc>
          <w:tcPr>
            <w:tcW w:type="dxa" w:w="465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Sin coincidencia suficiente: no hay fuente, dato, estado, CTA ni módulo dueño suficiente.</w:t>
            </w:r>
          </w:p>
        </w:tc>
        <w:tc>
          <w:tcPr>
            <w:tcW w:type="dxa" w:w="465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Aplicar fallback y pedir precisión.</w:t>
            </w:r>
          </w:p>
        </w:tc>
      </w:tr>
    </w:tbl>
    <w:p>
      <w:pPr>
        <w:spacing w:after="200"/>
      </w:pPr>
    </w:p>
    <w:p>
      <w:pPr>
        <w:pStyle w:val="Heading2"/>
        <w:spacing w:after="120" w:before="240"/>
      </w:pPr>
      <w:r>
        <w:rPr>
          <w:rFonts w:ascii="Calibri" w:cs="Calibri" w:eastAsia="Calibri" w:hAnsi="Calibri"/>
          <w:b/>
          <w:bCs/>
          <w:color w:val="1B2A4A"/>
          <w:sz w:val="24"/>
          <w:szCs w:val="24"/>
        </w:rPr>
        <w:t xml:space="preserve">3.6 Rol del LLM y secuencia operativa recomendada</w:t>
      </w:r>
    </w:p>
    <w:p>
      <w:pPr>
        <w:spacing w:after="120" w:line="276"/>
      </w:pPr>
      <w:r>
        <w:rPr>
          <w:rFonts w:ascii="Calibri" w:cs="Calibri" w:eastAsia="Calibri" w:hAnsi="Calibri"/>
          <w:color w:val="222222"/>
          <w:sz w:val="22"/>
          <w:szCs w:val="22"/>
        </w:rPr>
        <w:t xml:space="preserve">El diseño técnico de M7 no debe partir desde un chatbot libre ni desde uso intensivo de LLM como motor principal. La resolución debe privilegiar lógica de backend, reglas, matrices, FAQ, catálogos, estados visibles, CTAs y módulos dueños. El LLM actúa como capa acotada de comprensión, redacción o apoyo.</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100"/>
      </w:tblGrid>
      <w:tr>
        <w:trPr>
          <w:tblHeader/>
        </w:trPr>
        <w:tc>
          <w:tcPr>
            <w:tcW w:type="dxa" w:w="12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Orden</w:t>
            </w:r>
          </w:p>
        </w:tc>
        <w:tc>
          <w:tcPr>
            <w:tcW w:type="dxa" w:w="26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Capa</w:t>
            </w:r>
          </w:p>
        </w:tc>
        <w:tc>
          <w:tcPr>
            <w:tcW w:type="dxa" w:w="51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Regla</w:t>
            </w:r>
          </w:p>
        </w:tc>
      </w:tr>
      <w:tr>
        <w:tc>
          <w:tcPr>
            <w:tcW w:type="dxa" w:w="12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2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Reglas / backend</w:t>
            </w:r>
          </w:p>
        </w:tc>
        <w:tc>
          <w:tcPr>
            <w:tcW w:type="dxa" w:w="51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Resuelve intención conocida, módulo dueño, FAQ, guardrails y fallback antes de invocar al LLM.</w:t>
            </w:r>
          </w:p>
        </w:tc>
      </w:tr>
      <w:tr>
        <w:tc>
          <w:tcPr>
            <w:tcW w:type="dxa" w:w="12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2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Búsqueda gobernada</w:t>
            </w:r>
          </w:p>
        </w:tc>
        <w:tc>
          <w:tcPr>
            <w:tcW w:type="dxa" w:w="51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Consulta FAQ, matriz conversacional, estados, CTAs y catálogos aprobados (fuentes versionadas y auditables).</w:t>
            </w:r>
          </w:p>
        </w:tc>
      </w:tr>
      <w:tr>
        <w:tc>
          <w:tcPr>
            <w:tcW w:type="dxa" w:w="12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3</w:t>
            </w:r>
          </w:p>
        </w:tc>
        <w:tc>
          <w:tcPr>
            <w:tcW w:type="dxa" w:w="2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LLM controlado</w:t>
            </w:r>
          </w:p>
        </w:tc>
        <w:tc>
          <w:tcPr>
            <w:tcW w:type="dxa" w:w="51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Interpreta lenguaje no exacto, reformula o resume desde la fuente seleccionada; no decide acciones sensibles.</w:t>
            </w:r>
          </w:p>
        </w:tc>
      </w:tr>
      <w:tr>
        <w:tc>
          <w:tcPr>
            <w:tcW w:type="dxa" w:w="12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4</w:t>
            </w:r>
          </w:p>
        </w:tc>
        <w:tc>
          <w:tcPr>
            <w:tcW w:type="dxa" w:w="2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Fallback</w:t>
            </w:r>
          </w:p>
        </w:tc>
        <w:tc>
          <w:tcPr>
            <w:tcW w:type="dxa" w:w="51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Pide precisión o muestra opciones disponibles cuando no hay fuente, contexto o resolución suficiente.</w:t>
            </w:r>
          </w:p>
        </w:tc>
      </w:tr>
    </w:tbl>
    <w:p>
      <w:pPr>
        <w:spacing w:after="200"/>
      </w:pPr>
    </w:p>
    <w:p>
      <w:pPr>
        <w:spacing w:after="120" w:line="276"/>
      </w:pPr>
      <w:r>
        <w:rPr>
          <w:rFonts w:ascii="Calibri" w:cs="Calibri" w:eastAsia="Calibri" w:hAnsi="Calibri"/>
          <w:color w:val="222222"/>
          <w:sz w:val="22"/>
          <w:szCs w:val="22"/>
        </w:rPr>
        <w:t xml:space="preserve">Puntos de regla funcional adicionales sobre el LLM:</w:t>
      </w:r>
    </w:p>
    <w:p>
      <w:pPr>
        <w:pStyle w:val="ListParagraph"/>
        <w:numPr>
          <w:ilvl w:val="0"/>
          <w:numId w:val="2"/>
        </w:numPr>
        <w:spacing w:after="60" w:line="276"/>
      </w:pPr>
      <w:r>
        <w:rPr>
          <w:rFonts w:ascii="Calibri" w:cs="Calibri" w:eastAsia="Calibri" w:hAnsi="Calibri"/>
          <w:color w:val="222222"/>
          <w:sz w:val="22"/>
          <w:szCs w:val="22"/>
        </w:rPr>
        <w:t xml:space="preserve">Rol del LLM: apoyar redacción, comprensión de lenguaje natural y reformulación controlada dentro del dominio Walvy.</w:t>
      </w:r>
    </w:p>
    <w:p>
      <w:pPr>
        <w:pStyle w:val="ListParagraph"/>
        <w:numPr>
          <w:ilvl w:val="0"/>
          <w:numId w:val="2"/>
        </w:numPr>
        <w:spacing w:after="60" w:line="276"/>
      </w:pPr>
      <w:r>
        <w:rPr>
          <w:rFonts w:ascii="Calibri" w:cs="Calibri" w:eastAsia="Calibri" w:hAnsi="Calibri"/>
          <w:color w:val="222222"/>
          <w:sz w:val="22"/>
          <w:szCs w:val="22"/>
        </w:rPr>
        <w:t xml:space="preserve">Lo que no decide: pagos, Ruta, cierre de deuda, prioridad financiera, ahorro, validación de comprobantes ni recomendaciones sensibles.</w:t>
      </w:r>
    </w:p>
    <w:p>
      <w:pPr>
        <w:pStyle w:val="ListParagraph"/>
        <w:numPr>
          <w:ilvl w:val="0"/>
          <w:numId w:val="2"/>
        </w:numPr>
        <w:spacing w:after="60" w:line="276"/>
      </w:pPr>
      <w:r>
        <w:rPr>
          <w:rFonts w:ascii="Calibri" w:cs="Calibri" w:eastAsia="Calibri" w:hAnsi="Calibri"/>
          <w:color w:val="222222"/>
          <w:sz w:val="22"/>
          <w:szCs w:val="22"/>
        </w:rPr>
        <w:t xml:space="preserve">Fuente de respuesta: debe responder desde FAQ, matriz, estado, CTA, regla, módulo dueño o fallback.</w:t>
      </w:r>
    </w:p>
    <w:p>
      <w:pPr>
        <w:pStyle w:val="ListParagraph"/>
        <w:numPr>
          <w:ilvl w:val="0"/>
          <w:numId w:val="2"/>
        </w:numPr>
        <w:spacing w:after="60" w:line="276"/>
      </w:pPr>
      <w:r>
        <w:rPr>
          <w:rFonts w:ascii="Calibri" w:cs="Calibri" w:eastAsia="Calibri" w:hAnsi="Calibri"/>
          <w:color w:val="222222"/>
          <w:sz w:val="22"/>
          <w:szCs w:val="22"/>
        </w:rPr>
        <w:t xml:space="preserve">Ambigüedad: si la hay, debe pedir precisión o mostrar el pool de preguntas soportadas.</w:t>
      </w:r>
    </w:p>
    <w:p>
      <w:pPr>
        <w:pStyle w:val="ListParagraph"/>
        <w:numPr>
          <w:ilvl w:val="0"/>
          <w:numId w:val="2"/>
        </w:numPr>
        <w:spacing w:after="60" w:line="276"/>
      </w:pPr>
      <w:r>
        <w:rPr>
          <w:rFonts w:ascii="Calibri" w:cs="Calibri" w:eastAsia="Calibri" w:hAnsi="Calibri"/>
          <w:color w:val="222222"/>
          <w:sz w:val="22"/>
          <w:szCs w:val="22"/>
        </w:rPr>
        <w:t xml:space="preserve">Fuera de dominio: debe aplicar fallback y bloquear el uso de Walvy como asistente generalista.</w:t>
      </w:r>
    </w:p>
    <w:p>
      <w:pPr>
        <w:pStyle w:val="ListParagraph"/>
        <w:numPr>
          <w:ilvl w:val="0"/>
          <w:numId w:val="2"/>
        </w:numPr>
        <w:spacing w:after="60" w:line="276"/>
      </w:pPr>
      <w:r>
        <w:rPr>
          <w:rFonts w:ascii="Calibri" w:cs="Calibri" w:eastAsia="Calibri" w:hAnsi="Calibri"/>
          <w:color w:val="222222"/>
          <w:sz w:val="22"/>
          <w:szCs w:val="22"/>
        </w:rPr>
        <w:t xml:space="preserve">Datos sensibles: debe respetar minimización, privacidad, retención y trazabilidad definidas por consultora/vendor.</w:t>
      </w:r>
    </w:p>
    <w:p>
      <w:pPr>
        <w:pStyle w:val="Heading2"/>
        <w:spacing w:after="120" w:before="240"/>
      </w:pPr>
      <w:r>
        <w:rPr>
          <w:rFonts w:ascii="Calibri" w:cs="Calibri" w:eastAsia="Calibri" w:hAnsi="Calibri"/>
          <w:b/>
          <w:bCs/>
          <w:color w:val="1B2A4A"/>
          <w:sz w:val="24"/>
          <w:szCs w:val="24"/>
        </w:rPr>
        <w:t xml:space="preserve">3.7 Definiciones pendientes de negocio</w:t>
      </w:r>
    </w:p>
    <w:p>
      <w:pPr>
        <w:spacing w:after="120" w:line="276"/>
      </w:pPr>
      <w:r>
        <w:rPr>
          <w:rFonts w:ascii="Calibri" w:cs="Calibri" w:eastAsia="Calibri" w:hAnsi="Calibri"/>
          <w:color w:val="222222"/>
          <w:sz w:val="22"/>
          <w:szCs w:val="22"/>
        </w:rPr>
        <w:t xml:space="preserve">Existen puntos de la operación de M7 que no quedan completamente resueltos ni en la Propuesta de Implementación ni en la Base de Conocimiento Conversacional M7 v1.0. Se documentan aquí como definiciones pendientes, para que queden trazadas y se resuelvan con el cliente y la consultora antes del cierre funcional.</w:t>
      </w:r>
    </w:p>
    <w:p>
      <w:pPr>
        <w:spacing w:after="80" w:before="160"/>
      </w:pPr>
      <w:r>
        <w:rPr>
          <w:rFonts w:ascii="Calibri" w:cs="Calibri" w:eastAsia="Calibri" w:hAnsi="Calibri"/>
          <w:b/>
          <w:bCs/>
          <w:color w:val="E8613C"/>
          <w:sz w:val="22"/>
          <w:szCs w:val="22"/>
        </w:rPr>
        <w:t xml:space="preserve">3.7.1 Registro de deuda desde el asistente</w:t>
      </w:r>
    </w:p>
    <w:p>
      <w:pPr>
        <w:spacing w:after="120" w:line="276"/>
      </w:pPr>
      <w:r>
        <w:rPr>
          <w:rFonts w:ascii="Calibri" w:cs="Calibri" w:eastAsia="Calibri" w:hAnsi="Calibri"/>
          <w:color w:val="222222"/>
          <w:sz w:val="22"/>
          <w:szCs w:val="22"/>
        </w:rPr>
        <w:t xml:space="preserve">La Propuesta de Implementación del Asistente IA (MVP) incluye "Registrar deuda" y "Registrar pago realizado" como acciones ejecutables dentro del flujo conversacional, resueltas por el motor de resolución de intención (clasificación → resolución → ejecución). El Anexo 1 (MVP y criterios de éxito) lo enmarca dentro de "Asistente IA para registro", con captura por voz/texto/documento y un criterio de aceptación de tasa mínima de extracción más corrección manual.</w:t>
      </w:r>
    </w:p>
    <w:p>
      <w:pPr>
        <w:spacing w:after="120" w:line="276"/>
      </w:pPr>
      <w:r>
        <w:rPr>
          <w:rFonts w:ascii="Calibri" w:cs="Calibri" w:eastAsia="Calibri" w:hAnsi="Calibri"/>
          <w:color w:val="222222"/>
          <w:sz w:val="22"/>
          <w:szCs w:val="22"/>
        </w:rPr>
        <w:t xml:space="preserve">Sin embargo, la Base de Conocimiento Conversacional M7 v1.0 (Anexo A, ficha M7-USO-025) establece como bloqueo explícito que M7 "no crea deuda automática": ante una consulta sobre una deuda no encontrada, la respuesta gobernada es "Puedo ayudarte a revisar si esa deuda existe en Walvy. Si no aparece, puedes registrarla o completar información", lo que sugiere un paso de confirmación del usuario antes de guardar el registro, no una escritura directa.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613C" w:sz="4"/>
              <w:left w:val="single" w:color="E8613C" w:sz="24"/>
              <w:bottom w:val="single" w:color="E8613C" w:sz="4"/>
              <w:right w:val="single" w:color="E8613C" w:sz="4"/>
            </w:tcBorders>
            <w:shd w:fill="F2F2F2" w:val="clear"/>
            <w:tcMar>
              <w:top w:type="dxa" w:w="120"/>
              <w:left w:type="dxa" w:w="160"/>
              <w:bottom w:type="dxa" w:w="120"/>
              <w:right w:type="dxa" w:w="160"/>
            </w:tcMar>
          </w:tcPr>
          <w:p>
            <w:r>
              <w:rPr>
                <w:rFonts w:ascii="Calibri" w:cs="Calibri" w:eastAsia="Calibri" w:hAnsi="Calibri"/>
                <w:i/>
                <w:iCs/>
                <w:color w:val="1B2A4A"/>
                <w:sz w:val="20"/>
                <w:szCs w:val="20"/>
              </w:rPr>
              <w:t xml:space="preserve">Definición pendiente: no está resuelto si "Registrar deuda" es una acción que el asistente ejecuta directamente tras confirmación del usuario, o si únicamente orienta al usuario hacia el flujo de registro de M04 sin escribir el dato por sí mismo. Tampoco se define qué pasa si faltan datos obligatorios (capital, tasa, cuota, vencimiento), qué mensaje de éxito se muestra, ni qué módulo valida el guardado final. Se recomienda cerrar este punto con José Miguel/Andrea antes de que UX diseñe el flujo de "subir deuda" desde el chat.</w:t>
            </w:r>
          </w:p>
        </w:tc>
      </w:tr>
    </w:tbl>
    <w:p>
      <w:pPr>
        <w:spacing w:after="80" w:before="160"/>
      </w:pPr>
      <w:r>
        <w:rPr>
          <w:rFonts w:ascii="Calibri" w:cs="Calibri" w:eastAsia="Calibri" w:hAnsi="Calibri"/>
          <w:b/>
          <w:bCs/>
          <w:color w:val="E8613C"/>
          <w:sz w:val="22"/>
          <w:szCs w:val="22"/>
        </w:rPr>
        <w:t xml:space="preserve">3.7.2 Tiempo de sesión y retención de mensajes</w:t>
      </w:r>
    </w:p>
    <w:p>
      <w:pPr>
        <w:spacing w:after="120" w:line="276"/>
      </w:pPr>
      <w:r>
        <w:rPr>
          <w:rFonts w:ascii="Calibri" w:cs="Calibri" w:eastAsia="Calibri" w:hAnsi="Calibri"/>
          <w:color w:val="222222"/>
          <w:sz w:val="22"/>
          <w:szCs w:val="22"/>
        </w:rPr>
        <w:t xml:space="preserve">Ninguno de los documentos revisados define un tiempo de sesión (timeout) para el chat de M7, ni un período determinado de retención o borrado de los mensajes conversacionales. Lo que sí está definido:</w:t>
      </w:r>
    </w:p>
    <w:p>
      <w:pPr>
        <w:pStyle w:val="ListParagraph"/>
        <w:numPr>
          <w:ilvl w:val="0"/>
          <w:numId w:val="2"/>
        </w:numPr>
        <w:spacing w:after="60" w:line="276"/>
      </w:pPr>
      <w:r>
        <w:rPr>
          <w:rFonts w:ascii="Calibri" w:cs="Calibri" w:eastAsia="Calibri" w:hAnsi="Calibri"/>
          <w:color w:val="222222"/>
          <w:sz w:val="22"/>
          <w:szCs w:val="22"/>
        </w:rPr>
        <w:t xml:space="preserve">M7 excluye explícitamente "memoria persistente por defecto o entrenamiento propio con datos del usuario" (Sección 2, Exclusiones y límites).</w:t>
      </w:r>
    </w:p>
    <w:p>
      <w:pPr>
        <w:pStyle w:val="ListParagraph"/>
        <w:numPr>
          <w:ilvl w:val="0"/>
          <w:numId w:val="2"/>
        </w:numPr>
        <w:spacing w:after="60" w:line="276"/>
      </w:pPr>
      <w:r>
        <w:rPr>
          <w:rFonts w:ascii="Calibri" w:cs="Calibri" w:eastAsia="Calibri" w:hAnsi="Calibri"/>
          <w:color w:val="222222"/>
          <w:sz w:val="22"/>
          <w:szCs w:val="22"/>
        </w:rPr>
        <w:t xml:space="preserve">El "Alcance operativo LLM/STT" —proveedor, límites, costos, privacidad, logs, retención y auditoría— se declara pendiente de definición por la consultora/vendor, y su ausencia bloquea el cierre técnico/productivo (Anexo G, Pendientes y bloqueos).</w:t>
      </w:r>
    </w:p>
    <w:p>
      <w:pPr>
        <w:pStyle w:val="ListParagraph"/>
        <w:numPr>
          <w:ilvl w:val="0"/>
          <w:numId w:val="2"/>
        </w:numPr>
        <w:spacing w:after="60" w:line="276"/>
      </w:pPr>
      <w:r>
        <w:rPr>
          <w:rFonts w:ascii="Calibri" w:cs="Calibri" w:eastAsia="Calibri" w:hAnsi="Calibri"/>
          <w:color w:val="222222"/>
          <w:sz w:val="22"/>
          <w:szCs w:val="22"/>
        </w:rPr>
        <w:t xml:space="preserve">El control de rate limit y abuso contempla límites "por minuto, por día y por sesión", pero el valor concreto de esos límites, y qué se entiende por duración de una sesión, quedan como definición pendiente para consultora/vendor.</w:t>
      </w:r>
    </w:p>
    <w:p>
      <w:pPr>
        <w:pStyle w:val="ListParagraph"/>
        <w:numPr>
          <w:ilvl w:val="0"/>
          <w:numId w:val="2"/>
        </w:numPr>
        <w:spacing w:after="60" w:line="276"/>
      </w:pPr>
      <w:r>
        <w:rPr>
          <w:rFonts w:ascii="Calibri" w:cs="Calibri" w:eastAsia="Calibri" w:hAnsi="Calibri"/>
          <w:color w:val="222222"/>
          <w:sz w:val="22"/>
          <w:szCs w:val="22"/>
        </w:rPr>
        <w:t xml:space="preserve">Se define trazabilidad y auditoría a nivel de request (modelo usado, tokens, latencia, fuente), pero no un período de retención de esos registros ni de los mensajes del usuario.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613C" w:sz="4"/>
              <w:left w:val="single" w:color="E8613C" w:sz="24"/>
              <w:bottom w:val="single" w:color="E8613C" w:sz="4"/>
              <w:right w:val="single" w:color="E8613C" w:sz="4"/>
            </w:tcBorders>
            <w:shd w:fill="F2F2F2" w:val="clear"/>
            <w:tcMar>
              <w:top w:type="dxa" w:w="120"/>
              <w:left w:type="dxa" w:w="160"/>
              <w:bottom w:type="dxa" w:w="120"/>
              <w:right w:type="dxa" w:w="160"/>
            </w:tcMar>
          </w:tcPr>
          <w:p>
            <w:r>
              <w:rPr>
                <w:rFonts w:ascii="Calibri" w:cs="Calibri" w:eastAsia="Calibri" w:hAnsi="Calibri"/>
                <w:i/>
                <w:iCs/>
                <w:color w:val="1B2A4A"/>
                <w:sz w:val="20"/>
                <w:szCs w:val="20"/>
              </w:rPr>
              <w:t xml:space="preserve">Definición pendiente: tiempo de sesión (timeout de inactividad del chat) y período de retención/borrado de mensajes. Debe definirse junto con el proveedor LLM/STT y bajo los principios de minimización y privacidad de datos ya declarados como principio de seguridad en la Propuesta de Implementación.</w:t>
            </w:r>
          </w:p>
        </w:tc>
      </w:tr>
    </w:tbl>
    <w:p>
      <w:pPr>
        <w:spacing w:after="80" w:before="160"/>
      </w:pPr>
      <w:r>
        <w:rPr>
          <w:rFonts w:ascii="Calibri" w:cs="Calibri" w:eastAsia="Calibri" w:hAnsi="Calibri"/>
          <w:b/>
          <w:bCs/>
          <w:color w:val="E8613C"/>
          <w:sz w:val="22"/>
          <w:szCs w:val="22"/>
        </w:rPr>
        <w:t xml:space="preserve">3.7.3 Tono y voz del asistente</w:t>
      </w:r>
    </w:p>
    <w:p>
      <w:pPr>
        <w:spacing w:after="120" w:line="276"/>
      </w:pPr>
      <w:r>
        <w:rPr>
          <w:rFonts w:ascii="Calibri" w:cs="Calibri" w:eastAsia="Calibri" w:hAnsi="Calibri"/>
          <w:color w:val="222222"/>
          <w:sz w:val="22"/>
          <w:szCs w:val="22"/>
        </w:rPr>
        <w:t xml:space="preserve">La Propuesta de Implementación del Asistente IA (MVP) excluye explícitamente el diseño de tono y personalidad del alcance original:</w:t>
      </w:r>
    </w:p>
    <w:p>
      <w:pPr>
        <w:pStyle w:val="ListParagraph"/>
        <w:numPr>
          <w:ilvl w:val="0"/>
          <w:numId w:val="2"/>
        </w:numPr>
        <w:spacing w:after="60" w:line="276"/>
      </w:pPr>
      <w:r>
        <w:rPr>
          <w:rFonts w:ascii="Calibri" w:cs="Calibri" w:eastAsia="Calibri" w:hAnsi="Calibri"/>
          <w:color w:val="222222"/>
          <w:sz w:val="22"/>
          <w:szCs w:val="22"/>
        </w:rPr>
        <w:t xml:space="preserve">"Personalidad del asistente: no se contempla el diseño de personalidad, tono o comportamiento del asistente virtual."</w:t>
      </w:r>
    </w:p>
    <w:p>
      <w:pPr>
        <w:pStyle w:val="ListParagraph"/>
        <w:numPr>
          <w:ilvl w:val="0"/>
          <w:numId w:val="2"/>
        </w:numPr>
        <w:spacing w:after="60" w:line="276"/>
      </w:pPr>
      <w:r>
        <w:rPr>
          <w:rFonts w:ascii="Calibri" w:cs="Calibri" w:eastAsia="Calibri" w:hAnsi="Calibri"/>
          <w:color w:val="222222"/>
          <w:sz w:val="22"/>
          <w:szCs w:val="22"/>
        </w:rPr>
        <w:t xml:space="preserve">Tampoco se contempla avatar, guía interactiva ni asistente por video.</w:t>
      </w:r>
    </w:p>
    <w:p>
      <w:pPr>
        <w:pStyle w:val="ListParagraph"/>
        <w:numPr>
          <w:ilvl w:val="0"/>
          <w:numId w:val="2"/>
        </w:numPr>
        <w:spacing w:after="60" w:line="276"/>
      </w:pPr>
      <w:r>
        <w:rPr>
          <w:rFonts w:ascii="Calibri" w:cs="Calibri" w:eastAsia="Calibri" w:hAnsi="Calibri"/>
          <w:color w:val="222222"/>
          <w:sz w:val="22"/>
          <w:szCs w:val="22"/>
        </w:rPr>
        <w:t xml:space="preserve">Se excluyen componentes emocionales: sin emoticones personalizados ni reacciones automáticas basadas en el comportamiento financiero del usuario.</w:t>
      </w:r>
    </w:p>
    <w:p>
      <w:pPr>
        <w:spacing w:after="120" w:line="276"/>
      </w:pPr>
      <w:r>
        <w:rPr>
          <w:rFonts w:ascii="Calibri" w:cs="Calibri" w:eastAsia="Calibri" w:hAnsi="Calibri"/>
          <w:color w:val="222222"/>
          <w:sz w:val="22"/>
          <w:szCs w:val="22"/>
        </w:rPr>
        <w:t xml:space="preserve">La Base de Conocimiento Conversacional M7 v1.0 no define un tono formalmente, pero las respuestas visibles sugeridas en el Anexo A dan pistas de un registro cercano y directo (ej. "Puedo ayudarte a revisar si esa deuda existe en Walvy..."), sin humor, sin lenguaje alarmista y sin prometer resultados.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613C" w:sz="4"/>
              <w:left w:val="single" w:color="E8613C" w:sz="24"/>
              <w:bottom w:val="single" w:color="E8613C" w:sz="4"/>
              <w:right w:val="single" w:color="E8613C" w:sz="4"/>
            </w:tcBorders>
            <w:shd w:fill="F2F2F2" w:val="clear"/>
            <w:tcMar>
              <w:top w:type="dxa" w:w="120"/>
              <w:left w:type="dxa" w:w="160"/>
              <w:bottom w:type="dxa" w:w="120"/>
              <w:right w:type="dxa" w:w="160"/>
            </w:tcMar>
          </w:tcPr>
          <w:p>
            <w:r>
              <w:rPr>
                <w:rFonts w:ascii="Calibri" w:cs="Calibri" w:eastAsia="Calibri" w:hAnsi="Calibri"/>
                <w:i/>
                <w:iCs/>
                <w:color w:val="1B2A4A"/>
                <w:sz w:val="20"/>
                <w:szCs w:val="20"/>
              </w:rPr>
              <w:t xml:space="preserve">Definición pendiente: el tono y la voz del asistente no fueron diseñados en el alcance original del MVP. Si el cliente espera un tono definido (cercano, neutro-corporativo, motivacional, etc.), esto debe levantarse como un requerimiento nuevo de copy con UX y validarse contra el principio ya vigente de no prometer ahorro, ejecución de acciones ni resultados garantizados.</w:t>
            </w:r>
          </w:p>
        </w:tc>
      </w:tr>
    </w:tbl>
    <w:p>
      <w:pPr>
        <w:spacing w:after="80" w:before="160"/>
      </w:pPr>
      <w:r>
        <w:rPr>
          <w:rFonts w:ascii="Calibri" w:cs="Calibri" w:eastAsia="Calibri" w:hAnsi="Calibri"/>
          <w:b/>
          <w:bCs/>
          <w:color w:val="E8613C"/>
          <w:sz w:val="22"/>
          <w:szCs w:val="22"/>
        </w:rPr>
        <w:t xml:space="preserve">3.7.4 Continuidad de una captura de deuda o pago interrumpida</w:t>
      </w:r>
    </w:p>
    <w:p>
      <w:pPr>
        <w:spacing w:after="120" w:line="276"/>
      </w:pPr>
      <w:r>
        <w:rPr>
          <w:rFonts w:ascii="Calibri" w:cs="Calibri" w:eastAsia="Calibri" w:hAnsi="Calibri"/>
          <w:color w:val="222222"/>
          <w:sz w:val="22"/>
          <w:szCs w:val="22"/>
        </w:rPr>
        <w:t xml:space="preserve">Tampoco está definido qué debe ocurrir si el usuario comienza a registrar una deuda o un pago desde el chat de M7 (ver 3.7.1) y la sesión se cierra, se pierde la conexión, o el usuario simplemente abandona la conversación antes de completar los datos. El documento funcional de M7 no contempla un estado de "borrador", un modal de confirmación de salida, ni un mecanismo para retomar la captura donde quedó.</w:t>
      </w:r>
    </w:p>
    <w:p>
      <w:pPr>
        <w:spacing w:after="120" w:line="276"/>
      </w:pPr>
      <w:r>
        <w:rPr>
          <w:rFonts w:ascii="Calibri" w:cs="Calibri" w:eastAsia="Calibri" w:hAnsi="Calibri"/>
          <w:color w:val="222222"/>
          <w:sz w:val="22"/>
          <w:szCs w:val="22"/>
        </w:rPr>
        <w:t xml:space="preserve">Existe un patrón análogo, pero en otro módulo: el Onboarding de M01 (carga de documentos) sí define comportamiento para interrupciones —modal "¿Seguro que quieres salir ahora?" con opciones "Salir por ahora"/"Continuar", y un botón "Continuar más tarde" que guarda el avance y lo retoma en el mismo paso al reabrir la app—. Ese patrón no ha sido extendido ni adaptado al chat conversacional de M7.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613C" w:sz="4"/>
              <w:left w:val="single" w:color="E8613C" w:sz="24"/>
              <w:bottom w:val="single" w:color="E8613C" w:sz="4"/>
              <w:right w:val="single" w:color="E8613C" w:sz="4"/>
            </w:tcBorders>
            <w:shd w:fill="F2F2F2" w:val="clear"/>
            <w:tcMar>
              <w:top w:type="dxa" w:w="120"/>
              <w:left w:type="dxa" w:w="160"/>
              <w:bottom w:type="dxa" w:w="120"/>
              <w:right w:type="dxa" w:w="160"/>
            </w:tcMar>
          </w:tcPr>
          <w:p>
            <w:r>
              <w:rPr>
                <w:rFonts w:ascii="Calibri" w:cs="Calibri" w:eastAsia="Calibri" w:hAnsi="Calibri"/>
                <w:i/>
                <w:iCs/>
                <w:color w:val="1B2A4A"/>
                <w:sz w:val="20"/>
                <w:szCs w:val="20"/>
              </w:rPr>
              <w:t xml:space="preserve">Definición pendiente: comportamiento de M7 ante una captura de deuda/pago inconclusa por cierre de sesión, pérdida de conexión o abandono de la conversación. Se recomienda evaluar si corresponde adaptar el patrón ya validado en el Onboarding de M01 (guardar avance como borrador + retomar en el mismo punto) o definir un tratamiento propio para el chat, considerando además el estado "confirmado" vs. "sugerido" ya usado en Perfil Financiero/Reglas de Salud de Deuda para datos no confirmados por el usuario.</w:t>
            </w:r>
          </w:p>
        </w:tc>
      </w:tr>
    </w:tbl>
    <w:p>
      <w:pPr>
        <w:pageBreakBefore/>
      </w:pPr>
    </w:p>
    <w:p>
      <w:pPr>
        <w:pStyle w:val="Heading1"/>
        <w:pBdr>
          <w:bottom w:val="single" w:color="E8613C" w:sz="8" w:space="4"/>
        </w:pBdr>
        <w:spacing w:after="160" w:before="320"/>
      </w:pPr>
      <w:r>
        <w:rPr>
          <w:rFonts w:ascii="Calibri" w:cs="Calibri" w:eastAsia="Calibri" w:hAnsi="Calibri"/>
          <w:b/>
          <w:bCs/>
          <w:color w:val="1B2A4A"/>
          <w:sz w:val="28"/>
          <w:szCs w:val="28"/>
        </w:rPr>
        <w:t xml:space="preserve">4. Criterios de aceptación</w:t>
      </w:r>
    </w:p>
    <w:p>
      <w:pPr>
        <w:pStyle w:val="Heading2"/>
        <w:spacing w:after="120" w:before="240"/>
      </w:pPr>
      <w:r>
        <w:rPr>
          <w:rFonts w:ascii="Calibri" w:cs="Calibri" w:eastAsia="Calibri" w:hAnsi="Calibri"/>
          <w:b/>
          <w:bCs/>
          <w:color w:val="1B2A4A"/>
          <w:sz w:val="24"/>
          <w:szCs w:val="24"/>
        </w:rPr>
        <w:t xml:space="preserve">4.1 Criterios de aceptación funcionales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700"/>
        <w:gridCol w:w="3600"/>
      </w:tblGrid>
      <w:tr>
        <w:trPr>
          <w:tblHeader/>
        </w:trPr>
        <w:tc>
          <w:tcPr>
            <w:tcW w:type="dxa" w:w="57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Criterio</w:t>
            </w:r>
          </w:p>
        </w:tc>
        <w:tc>
          <w:tcPr>
            <w:tcW w:type="dxa" w:w="36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Estado esperado</w:t>
            </w:r>
          </w:p>
        </w:tc>
      </w:tr>
      <w:tr>
        <w:tc>
          <w:tcPr>
            <w:tcW w:type="dxa" w:w="57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Desambiguación deuda/pago/plan/prioridad</w:t>
            </w:r>
          </w:p>
        </w:tc>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Obligatorio</w:t>
            </w:r>
          </w:p>
        </w:tc>
      </w:tr>
      <w:tr>
        <w:tc>
          <w:tcPr>
            <w:tcW w:type="dxa" w:w="57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Pool sugerido gobernado por fuente/regla</w:t>
            </w:r>
          </w:p>
        </w:tc>
        <w:tc>
          <w:tcPr>
            <w:tcW w:type="dxa" w:w="3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Obligatorio</w:t>
            </w:r>
          </w:p>
        </w:tc>
      </w:tr>
      <w:tr>
        <w:tc>
          <w:tcPr>
            <w:tcW w:type="dxa" w:w="57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Criterio de resolución de intención gobernada</w:t>
            </w:r>
          </w:p>
        </w:tc>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Obligatorio</w:t>
            </w:r>
          </w:p>
        </w:tc>
      </w:tr>
      <w:tr>
        <w:tc>
          <w:tcPr>
            <w:tcW w:type="dxa" w:w="57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Próxima acción prioritaria condicionada por fuente</w:t>
            </w:r>
          </w:p>
        </w:tc>
        <w:tc>
          <w:tcPr>
            <w:tcW w:type="dxa" w:w="3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Obligatorio</w:t>
            </w:r>
          </w:p>
        </w:tc>
      </w:tr>
      <w:tr>
        <w:tc>
          <w:tcPr>
            <w:tcW w:type="dxa" w:w="57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Fichas conversacionales por módulo</w:t>
            </w:r>
          </w:p>
        </w:tc>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Obligatorio</w:t>
            </w:r>
          </w:p>
        </w:tc>
      </w:tr>
      <w:tr>
        <w:tc>
          <w:tcPr>
            <w:tcW w:type="dxa" w:w="57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FAQ robustecida por familia y tipo de respuesta</w:t>
            </w:r>
          </w:p>
        </w:tc>
        <w:tc>
          <w:tcPr>
            <w:tcW w:type="dxa" w:w="3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Obligatorio</w:t>
            </w:r>
          </w:p>
        </w:tc>
      </w:tr>
      <w:tr>
        <w:tc>
          <w:tcPr>
            <w:tcW w:type="dxa" w:w="57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Estados/CTAs como cobertura mínima hasta cruce completo</w:t>
            </w:r>
          </w:p>
        </w:tc>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Obligatorio</w:t>
            </w:r>
          </w:p>
        </w:tc>
      </w:tr>
      <w:tr>
        <w:tc>
          <w:tcPr>
            <w:tcW w:type="dxa" w:w="57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M03 excluido como fuente</w:t>
            </w:r>
          </w:p>
        </w:tc>
        <w:tc>
          <w:tcPr>
            <w:tcW w:type="dxa" w:w="3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Obligatorio</w:t>
            </w:r>
          </w:p>
        </w:tc>
      </w:tr>
      <w:tr>
        <w:tc>
          <w:tcPr>
            <w:tcW w:type="dxa" w:w="57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No pagos, no Ruta desde chat, no cierre automático, no ahorro garantizado</w:t>
            </w:r>
          </w:p>
        </w:tc>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Obligatorio</w:t>
            </w:r>
          </w:p>
        </w:tc>
      </w:tr>
      <w:tr>
        <w:tc>
          <w:tcPr>
            <w:tcW w:type="dxa" w:w="57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No declarar fuente vigente sin validación post-subida (SharePoint)</w:t>
            </w:r>
          </w:p>
        </w:tc>
        <w:tc>
          <w:tcPr>
            <w:tcW w:type="dxa" w:w="3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Obligatorio</w:t>
            </w:r>
          </w:p>
        </w:tc>
      </w:tr>
    </w:tbl>
    <w:p>
      <w:pPr>
        <w:spacing w:after="200"/>
      </w:pPr>
    </w:p>
    <w:p>
      <w:pPr>
        <w:pStyle w:val="Heading2"/>
        <w:spacing w:after="120" w:before="240"/>
      </w:pPr>
      <w:r>
        <w:rPr>
          <w:rFonts w:ascii="Calibri" w:cs="Calibri" w:eastAsia="Calibri" w:hAnsi="Calibri"/>
          <w:b/>
          <w:bCs/>
          <w:color w:val="1B2A4A"/>
          <w:sz w:val="24"/>
          <w:szCs w:val="24"/>
        </w:rPr>
        <w:t xml:space="preserve">4.2 Criterios de aceptación técnica (arquitectura LLM/backend)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700"/>
        <w:gridCol w:w="3600"/>
      </w:tblGrid>
      <w:tr>
        <w:trPr>
          <w:tblHeader/>
        </w:trPr>
        <w:tc>
          <w:tcPr>
            <w:tcW w:type="dxa" w:w="57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Criterio</w:t>
            </w:r>
          </w:p>
        </w:tc>
        <w:tc>
          <w:tcPr>
            <w:tcW w:type="dxa" w:w="36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Aceptación esperada</w:t>
            </w:r>
          </w:p>
        </w:tc>
      </w:tr>
      <w:tr>
        <w:tc>
          <w:tcPr>
            <w:tcW w:type="dxa" w:w="57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Mayoría de consultas frecuentes resueltas sin LLM</w:t>
            </w:r>
          </w:p>
        </w:tc>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Obligatorio, por eficiencia de costo.</w:t>
            </w:r>
          </w:p>
        </w:tc>
      </w:tr>
      <w:tr>
        <w:tc>
          <w:tcPr>
            <w:tcW w:type="dxa" w:w="57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LLM no decide acciones sensibles</w:t>
            </w:r>
          </w:p>
        </w:tc>
        <w:tc>
          <w:tcPr>
            <w:tcW w:type="dxa" w:w="3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Obligatorio.</w:t>
            </w:r>
          </w:p>
        </w:tc>
      </w:tr>
      <w:tr>
        <w:tc>
          <w:tcPr>
            <w:tcW w:type="dxa" w:w="57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Cada respuesta tiene fuente o fallback</w:t>
            </w:r>
          </w:p>
        </w:tc>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Obligatorio.</w:t>
            </w:r>
          </w:p>
        </w:tc>
      </w:tr>
      <w:tr>
        <w:tc>
          <w:tcPr>
            <w:tcW w:type="dxa" w:w="57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Control de tokens por request</w:t>
            </w:r>
          </w:p>
        </w:tc>
        <w:tc>
          <w:tcPr>
            <w:tcW w:type="dxa" w:w="3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Obligatorio.</w:t>
            </w:r>
          </w:p>
        </w:tc>
      </w:tr>
      <w:tr>
        <w:tc>
          <w:tcPr>
            <w:tcW w:type="dxa" w:w="57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Límite de gasto y alerta de costo</w:t>
            </w:r>
          </w:p>
        </w:tc>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Obligatorio.</w:t>
            </w:r>
          </w:p>
        </w:tc>
      </w:tr>
      <w:tr>
        <w:tc>
          <w:tcPr>
            <w:tcW w:type="dxa" w:w="57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Trazabilidad por request</w:t>
            </w:r>
          </w:p>
        </w:tc>
        <w:tc>
          <w:tcPr>
            <w:tcW w:type="dxa" w:w="3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Obligatorio.</w:t>
            </w:r>
          </w:p>
        </w:tc>
      </w:tr>
      <w:tr>
        <w:tc>
          <w:tcPr>
            <w:tcW w:type="dxa" w:w="57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Modelo default costo-efectivo</w:t>
            </w:r>
          </w:p>
        </w:tc>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Obligatorio.</w:t>
            </w:r>
          </w:p>
        </w:tc>
      </w:tr>
      <w:tr>
        <w:tc>
          <w:tcPr>
            <w:tcW w:type="dxa" w:w="57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Modelos caros no son default</w:t>
            </w:r>
          </w:p>
        </w:tc>
        <w:tc>
          <w:tcPr>
            <w:tcW w:type="dxa" w:w="3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Obligatorio, salvo justificación.</w:t>
            </w:r>
          </w:p>
        </w:tc>
      </w:tr>
      <w:tr>
        <w:tc>
          <w:tcPr>
            <w:tcW w:type="dxa" w:w="57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Bloqueo de preguntas fuera de dominio</w:t>
            </w:r>
          </w:p>
        </w:tc>
        <w:tc>
          <w:tcPr>
            <w:tcW w:type="dxa" w:w="3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Obligatorio.</w:t>
            </w:r>
          </w:p>
        </w:tc>
      </w:tr>
      <w:tr>
        <w:tc>
          <w:tcPr>
            <w:tcW w:type="dxa" w:w="57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Arquitectura permite cambiar de modelo</w:t>
            </w:r>
          </w:p>
        </w:tc>
        <w:tc>
          <w:tcPr>
            <w:tcW w:type="dxa" w:w="3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Deseable / obligatorio para evitar dependencia.</w:t>
            </w:r>
          </w:p>
        </w:tc>
      </w:tr>
    </w:tbl>
    <w:p>
      <w:pPr>
        <w:spacing w:after="200"/>
      </w:pPr>
    </w:p>
    <w:p>
      <w:pPr>
        <w:pStyle w:val="Heading2"/>
        <w:spacing w:after="120" w:before="240"/>
      </w:pPr>
      <w:r>
        <w:rPr>
          <w:rFonts w:ascii="Calibri" w:cs="Calibri" w:eastAsia="Calibri" w:hAnsi="Calibri"/>
          <w:b/>
          <w:bCs/>
          <w:color w:val="1B2A4A"/>
          <w:sz w:val="24"/>
          <w:szCs w:val="24"/>
        </w:rPr>
        <w:t xml:space="preserve">4.3 Métricas mínimas para validación (POC)</w:t>
      </w:r>
    </w:p>
    <w:p>
      <w:pPr>
        <w:pStyle w:val="ListParagraph"/>
        <w:numPr>
          <w:ilvl w:val="0"/>
          <w:numId w:val="2"/>
        </w:numPr>
        <w:spacing w:after="60" w:line="276"/>
      </w:pPr>
      <w:r>
        <w:rPr>
          <w:rFonts w:ascii="Calibri" w:cs="Calibri" w:eastAsia="Calibri" w:hAnsi="Calibri"/>
          <w:color w:val="222222"/>
          <w:sz w:val="22"/>
          <w:szCs w:val="22"/>
        </w:rPr>
        <w:t xml:space="preserve">Accuracy de intención — valida la clasificación.</w:t>
      </w:r>
    </w:p>
    <w:p>
      <w:pPr>
        <w:pStyle w:val="ListParagraph"/>
        <w:numPr>
          <w:ilvl w:val="0"/>
          <w:numId w:val="2"/>
        </w:numPr>
        <w:spacing w:after="60" w:line="276"/>
      </w:pPr>
      <w:r>
        <w:rPr>
          <w:rFonts w:ascii="Calibri" w:cs="Calibri" w:eastAsia="Calibri" w:hAnsi="Calibri"/>
          <w:color w:val="222222"/>
          <w:sz w:val="22"/>
          <w:szCs w:val="22"/>
        </w:rPr>
        <w:t xml:space="preserve">Tasa de fallback correcto — verifica prudencia ante ambigüedad.</w:t>
      </w:r>
    </w:p>
    <w:p>
      <w:pPr>
        <w:pStyle w:val="ListParagraph"/>
        <w:numPr>
          <w:ilvl w:val="0"/>
          <w:numId w:val="2"/>
        </w:numPr>
        <w:spacing w:after="60" w:line="276"/>
      </w:pPr>
      <w:r>
        <w:rPr>
          <w:rFonts w:ascii="Calibri" w:cs="Calibri" w:eastAsia="Calibri" w:hAnsi="Calibri"/>
          <w:color w:val="222222"/>
          <w:sz w:val="22"/>
          <w:szCs w:val="22"/>
        </w:rPr>
        <w:t xml:space="preserve">Bloqueo fuera de dominio — valida guardrails.</w:t>
      </w:r>
    </w:p>
    <w:p>
      <w:pPr>
        <w:pStyle w:val="ListParagraph"/>
        <w:numPr>
          <w:ilvl w:val="0"/>
          <w:numId w:val="2"/>
        </w:numPr>
        <w:spacing w:after="60" w:line="276"/>
      </w:pPr>
      <w:r>
        <w:rPr>
          <w:rFonts w:ascii="Calibri" w:cs="Calibri" w:eastAsia="Calibri" w:hAnsi="Calibri"/>
          <w:color w:val="222222"/>
          <w:sz w:val="22"/>
          <w:szCs w:val="22"/>
        </w:rPr>
        <w:t xml:space="preserve">Costo por 1.000 consultas — compara alternativas.</w:t>
      </w:r>
    </w:p>
    <w:p>
      <w:pPr>
        <w:pStyle w:val="ListParagraph"/>
        <w:numPr>
          <w:ilvl w:val="0"/>
          <w:numId w:val="2"/>
        </w:numPr>
        <w:spacing w:after="60" w:line="276"/>
      </w:pPr>
      <w:r>
        <w:rPr>
          <w:rFonts w:ascii="Calibri" w:cs="Calibri" w:eastAsia="Calibri" w:hAnsi="Calibri"/>
          <w:color w:val="222222"/>
          <w:sz w:val="22"/>
          <w:szCs w:val="22"/>
        </w:rPr>
        <w:t xml:space="preserve">Latencia promedio — evalúa experiencia.</w:t>
      </w:r>
    </w:p>
    <w:p>
      <w:pPr>
        <w:pStyle w:val="ListParagraph"/>
        <w:numPr>
          <w:ilvl w:val="0"/>
          <w:numId w:val="2"/>
        </w:numPr>
        <w:spacing w:after="60" w:line="276"/>
      </w:pPr>
      <w:r>
        <w:rPr>
          <w:rFonts w:ascii="Calibri" w:cs="Calibri" w:eastAsia="Calibri" w:hAnsi="Calibri"/>
          <w:color w:val="222222"/>
          <w:sz w:val="22"/>
          <w:szCs w:val="22"/>
        </w:rPr>
        <w:t xml:space="preserve">Tokens promedio de input/output — controla costo y eficiencia.</w:t>
      </w:r>
    </w:p>
    <w:p>
      <w:pPr>
        <w:pStyle w:val="ListParagraph"/>
        <w:numPr>
          <w:ilvl w:val="0"/>
          <w:numId w:val="2"/>
        </w:numPr>
        <w:spacing w:after="60" w:line="276"/>
      </w:pPr>
      <w:r>
        <w:rPr>
          <w:rFonts w:ascii="Calibri" w:cs="Calibri" w:eastAsia="Calibri" w:hAnsi="Calibri"/>
          <w:color w:val="222222"/>
          <w:sz w:val="22"/>
          <w:szCs w:val="22"/>
        </w:rPr>
        <w:t xml:space="preserve">% resuelto sin LLM — mide eficiencia real.</w:t>
      </w:r>
    </w:p>
    <w:p>
      <w:pPr>
        <w:pStyle w:val="ListParagraph"/>
        <w:numPr>
          <w:ilvl w:val="0"/>
          <w:numId w:val="2"/>
        </w:numPr>
        <w:spacing w:after="60" w:line="276"/>
      </w:pPr>
      <w:r>
        <w:rPr>
          <w:rFonts w:ascii="Calibri" w:cs="Calibri" w:eastAsia="Calibri" w:hAnsi="Calibri"/>
          <w:color w:val="222222"/>
          <w:sz w:val="22"/>
          <w:szCs w:val="22"/>
        </w:rPr>
        <w:t xml:space="preserve">Errores por alucinación — valida seguridad funcional.</w:t>
      </w:r>
    </w:p>
    <w:p>
      <w:pPr>
        <w:pStyle w:val="ListParagraph"/>
        <w:numPr>
          <w:ilvl w:val="0"/>
          <w:numId w:val="2"/>
        </w:numPr>
        <w:spacing w:after="60" w:line="276"/>
      </w:pPr>
      <w:r>
        <w:rPr>
          <w:rFonts w:ascii="Calibri" w:cs="Calibri" w:eastAsia="Calibri" w:hAnsi="Calibri"/>
          <w:color w:val="222222"/>
          <w:sz w:val="22"/>
          <w:szCs w:val="22"/>
        </w:rPr>
        <w:t xml:space="preserve">Cumplimiento de guardrails — confirma límites de M7.</w:t>
      </w:r>
    </w:p>
    <w:p>
      <w:pPr>
        <w:pStyle w:val="Heading2"/>
        <w:spacing w:after="120" w:before="240"/>
      </w:pPr>
      <w:r>
        <w:rPr>
          <w:rFonts w:ascii="Calibri" w:cs="Calibri" w:eastAsia="Calibri" w:hAnsi="Calibri"/>
          <w:b/>
          <w:bCs/>
          <w:color w:val="1B2A4A"/>
          <w:sz w:val="24"/>
          <w:szCs w:val="24"/>
        </w:rPr>
        <w:t xml:space="preserve">4.4 Criterios de aceptación por funcionalidad de negocio (según Anexo MVP)</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300"/>
      </w:tblGrid>
      <w:tr>
        <w:trPr>
          <w:tblHeader/>
        </w:trPr>
        <w:tc>
          <w:tcPr>
            <w:tcW w:type="dxa" w:w="26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Funcionalidad</w:t>
            </w:r>
          </w:p>
        </w:tc>
        <w:tc>
          <w:tcPr>
            <w:tcW w:type="dxa" w:w="50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Criterio de aceptación</w:t>
            </w:r>
          </w:p>
        </w:tc>
        <w:tc>
          <w:tcPr>
            <w:tcW w:type="dxa" w:w="13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Naturaleza</w:t>
            </w:r>
          </w:p>
        </w:tc>
      </w:tr>
      <w:tr>
        <w:tc>
          <w:tcPr>
            <w:tcW w:type="dxa" w:w="2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Salir de deudas — Bola de Nieve</w:t>
            </w:r>
          </w:p>
        </w:tc>
        <w:tc>
          <w:tcPr>
            <w:tcW w:type="dxa" w:w="50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Dado un set de deudas y capacidad mensual, el sistema genera orden, plan y "fecha estimada de salida de rojo".</w:t>
            </w:r>
          </w:p>
        </w:tc>
        <w:tc>
          <w:tcPr>
            <w:tcW w:type="dxa" w:w="13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Core</w:t>
            </w:r>
          </w:p>
        </w:tc>
      </w:tr>
      <w:tr>
        <w:tc>
          <w:tcPr>
            <w:tcW w:type="dxa" w:w="2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Organización de pagos mensuales</w:t>
            </w:r>
          </w:p>
        </w:tc>
        <w:tc>
          <w:tcPr>
            <w:tcW w:type="dxa" w:w="50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Recordatorios configurables; el estado cambia y afecta el flujo de caja.</w:t>
            </w:r>
          </w:p>
        </w:tc>
        <w:tc>
          <w:tcPr>
            <w:tcW w:type="dxa" w:w="13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Core</w:t>
            </w:r>
          </w:p>
        </w:tc>
      </w:tr>
      <w:tr>
        <w:tc>
          <w:tcPr>
            <w:tcW w:type="dxa" w:w="2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Asistente IA para registro (voz/texto/documento)</w:t>
            </w:r>
          </w:p>
        </w:tc>
        <w:tc>
          <w:tcPr>
            <w:tcW w:type="dxa" w:w="50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Para un set de documentos de prueba, se logra extracción con tasa mínima acordada, con posibilidad de corrección manual.</w:t>
            </w:r>
          </w:p>
        </w:tc>
        <w:tc>
          <w:tcPr>
            <w:tcW w:type="dxa" w:w="13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Retención/soporte</w:t>
            </w:r>
          </w:p>
        </w:tc>
      </w:tr>
      <w:tr>
        <w:tc>
          <w:tcPr>
            <w:tcW w:type="dxa" w:w="2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Presupuesto dinámico conectado</w:t>
            </w:r>
          </w:p>
        </w:tc>
        <w:tc>
          <w:tcPr>
            <w:tcW w:type="dxa" w:w="50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El presupuesto se recalcula con cada registro; entrega recomendaciones básicas.</w:t>
            </w:r>
          </w:p>
        </w:tc>
        <w:tc>
          <w:tcPr>
            <w:tcW w:type="dxa" w:w="13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Core</w:t>
            </w:r>
          </w:p>
        </w:tc>
      </w:tr>
    </w:tbl>
    <w:p>
      <w:pPr>
        <w:pageBreakBefore/>
      </w:pPr>
    </w:p>
    <w:p>
      <w:pPr>
        <w:pStyle w:val="Heading1"/>
        <w:pBdr>
          <w:bottom w:val="single" w:color="E8613C" w:sz="8" w:space="4"/>
        </w:pBdr>
        <w:spacing w:after="160" w:before="320"/>
      </w:pPr>
      <w:r>
        <w:rPr>
          <w:rFonts w:ascii="Calibri" w:cs="Calibri" w:eastAsia="Calibri" w:hAnsi="Calibri"/>
          <w:b/>
          <w:bCs/>
          <w:color w:val="1B2A4A"/>
          <w:sz w:val="28"/>
          <w:szCs w:val="28"/>
        </w:rPr>
        <w:t xml:space="preserve">5. Necesidades de diseño para el equipo de UX</w:t>
      </w:r>
    </w:p>
    <w:p>
      <w:pPr>
        <w:spacing w:after="120" w:line="276"/>
      </w:pPr>
      <w:r>
        <w:rPr>
          <w:rFonts w:ascii="Calibri" w:cs="Calibri" w:eastAsia="Calibri" w:hAnsi="Calibri"/>
          <w:color w:val="222222"/>
          <w:sz w:val="22"/>
          <w:szCs w:val="22"/>
        </w:rPr>
        <w:t xml:space="preserve">La revisión del documento funcional confirma que M7 sí requiere trabajo de diseño visual y conversacional antes del handoff a desarrollo. El propio documento identifica estos frentes como pendientes que bloquean el cierre de UX. Se listan a continuación, priorizados por su efecto de bloqueo.</w:t>
      </w:r>
    </w:p>
    <w:p>
      <w:pPr>
        <w:pStyle w:val="Heading2"/>
        <w:spacing w:after="120" w:before="240"/>
      </w:pPr>
      <w:r>
        <w:rPr>
          <w:rFonts w:ascii="Calibri" w:cs="Calibri" w:eastAsia="Calibri" w:hAnsi="Calibri"/>
          <w:b/>
          <w:bCs/>
          <w:color w:val="1B2A4A"/>
          <w:sz w:val="24"/>
          <w:szCs w:val="24"/>
        </w:rPr>
        <w:t xml:space="preserve">5.1 Pendientes de diseño identificados (con nivel de bloqueo)</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4600"/>
        <w:gridCol w:w="1800"/>
      </w:tblGrid>
      <w:tr>
        <w:trPr>
          <w:tblHeader/>
        </w:trPr>
        <w:tc>
          <w:tcPr>
            <w:tcW w:type="dxa" w:w="25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Pendiente</w:t>
            </w:r>
          </w:p>
        </w:tc>
        <w:tc>
          <w:tcPr>
            <w:tcW w:type="dxa" w:w="46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Tratamiento requerido</w:t>
            </w:r>
          </w:p>
        </w:tc>
        <w:tc>
          <w:tcPr>
            <w:tcW w:type="dxa" w:w="18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Bloqueo si no se resuelve</w:t>
            </w:r>
          </w:p>
        </w:tc>
      </w:tr>
      <w:tr>
        <w:tc>
          <w:tcPr>
            <w:tcW w:type="dxa" w:w="25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UX de chat / FAQ / voz / fallback</w:t>
            </w:r>
          </w:p>
        </w:tc>
        <w:tc>
          <w:tcPr>
            <w:tcW w:type="dxa" w:w="4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Diseñar pantallas del chat, modal de transcripción de voz, estados de fallback y evaluar una card propia para M7.</w:t>
            </w:r>
          </w:p>
        </w:tc>
        <w:tc>
          <w:tcPr>
            <w:tcW w:type="dxa" w:w="18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Bloquea el handoff UX final.</w:t>
            </w:r>
          </w:p>
        </w:tc>
      </w:tr>
      <w:tr>
        <w:tc>
          <w:tcPr>
            <w:tcW w:type="dxa" w:w="25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Validación UX del pool sugerido</w:t>
            </w:r>
          </w:p>
        </w:tc>
        <w:tc>
          <w:tcPr>
            <w:tcW w:type="dxa" w:w="4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Revisar copy y comportamiento del chatbox al mostrar opciones ante ambigüedad.</w:t>
            </w:r>
          </w:p>
        </w:tc>
        <w:tc>
          <w:tcPr>
            <w:tcW w:type="dxa" w:w="18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Bloquea el handoff UX final.</w:t>
            </w:r>
          </w:p>
        </w:tc>
      </w:tr>
      <w:tr>
        <w:tc>
          <w:tcPr>
            <w:tcW w:type="dxa" w:w="25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Cruce completo de estados/CTAs</w:t>
            </w:r>
          </w:p>
        </w:tc>
        <w:tc>
          <w:tcPr>
            <w:tcW w:type="dxa" w:w="46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Ejecutar el cruce contra las fuentes vigentes (Matriz de Estados Visibles y Catálogo Maestro de CTA).</w:t>
            </w:r>
          </w:p>
        </w:tc>
        <w:tc>
          <w:tcPr>
            <w:tcW w:type="dxa" w:w="1800"/>
            <w:shd w:fill="FFFFFF" w:val="clear"/>
            <w:tcMar>
              <w:top w:type="dxa" w:w="80"/>
              <w:left w:type="dxa" w:w="120"/>
              <w:bottom w:type="dxa" w:w="80"/>
              <w:right w:type="dxa" w:w="120"/>
            </w:tcMar>
            <w:vAlign w:val="center"/>
          </w:tcPr>
          <w:p>
            <w:r>
              <w:rPr>
                <w:rFonts w:ascii="Calibri" w:cs="Calibri" w:eastAsia="Calibri" w:hAnsi="Calibri"/>
                <w:color w:val="222222"/>
                <w:sz w:val="20"/>
                <w:szCs w:val="20"/>
              </w:rPr>
              <w:t xml:space="preserve">Bloquea la declaración de fuente vigente.</w:t>
            </w:r>
          </w:p>
        </w:tc>
      </w:tr>
      <w:tr>
        <w:tc>
          <w:tcPr>
            <w:tcW w:type="dxa" w:w="25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BBDD / arquitectura de intención</w:t>
            </w:r>
          </w:p>
        </w:tc>
        <w:tc>
          <w:tcPr>
            <w:tcW w:type="dxa" w:w="46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Definir junto a desarrollo cómo se almacena y consulta el origen del pool y las señales de intención.</w:t>
            </w:r>
          </w:p>
        </w:tc>
        <w:tc>
          <w:tcPr>
            <w:tcW w:type="dxa" w:w="1800"/>
            <w:shd w:fill="F2F2F2" w:val="clear"/>
            <w:tcMar>
              <w:top w:type="dxa" w:w="80"/>
              <w:left w:type="dxa" w:w="120"/>
              <w:bottom w:type="dxa" w:w="80"/>
              <w:right w:type="dxa" w:w="120"/>
            </w:tcMar>
            <w:vAlign w:val="center"/>
          </w:tcPr>
          <w:p>
            <w:r>
              <w:rPr>
                <w:rFonts w:ascii="Calibri" w:cs="Calibri" w:eastAsia="Calibri" w:hAnsi="Calibri"/>
                <w:color w:val="222222"/>
                <w:sz w:val="20"/>
                <w:szCs w:val="20"/>
              </w:rPr>
              <w:t xml:space="preserve">Bloquea el desarrollo productivo final.</w:t>
            </w:r>
          </w:p>
        </w:tc>
      </w:tr>
    </w:tbl>
    <w:p>
      <w:pPr>
        <w:spacing w:after="200"/>
      </w:pPr>
    </w:p>
    <w:p>
      <w:pPr>
        <w:pStyle w:val="Heading2"/>
        <w:spacing w:after="120" w:before="240"/>
      </w:pPr>
      <w:r>
        <w:rPr>
          <w:rFonts w:ascii="Calibri" w:cs="Calibri" w:eastAsia="Calibri" w:hAnsi="Calibri"/>
          <w:b/>
          <w:bCs/>
          <w:color w:val="1B2A4A"/>
          <w:sz w:val="24"/>
          <w:szCs w:val="24"/>
        </w:rPr>
        <w:t xml:space="preserve">5.2 Alcance de diseño requerido — nivel visual</w:t>
      </w:r>
    </w:p>
    <w:p>
      <w:pPr>
        <w:spacing w:after="120" w:line="276"/>
      </w:pPr>
      <w:r>
        <w:rPr>
          <w:rFonts w:ascii="Calibri" w:cs="Calibri" w:eastAsia="Calibri" w:hAnsi="Calibri"/>
          <w:color w:val="222222"/>
          <w:sz w:val="22"/>
          <w:szCs w:val="22"/>
        </w:rPr>
        <w:t xml:space="preserve">A nivel de interfaz, UX debe producir (o confirmar si ya existen en Figma) los siguientes componentes:</w:t>
      </w:r>
    </w:p>
    <w:p>
      <w:pPr>
        <w:pStyle w:val="ListParagraph"/>
        <w:numPr>
          <w:ilvl w:val="0"/>
          <w:numId w:val="2"/>
        </w:numPr>
        <w:spacing w:after="60" w:line="276"/>
      </w:pPr>
      <w:r>
        <w:rPr>
          <w:rFonts w:ascii="Calibri" w:cs="Calibri" w:eastAsia="Calibri" w:hAnsi="Calibri"/>
          <w:color w:val="222222"/>
          <w:sz w:val="22"/>
          <w:szCs w:val="22"/>
        </w:rPr>
        <w:t xml:space="preserve">Pantalla / entry point del chat conversacional (acceso desde Home y menú inferior, ítem "Asistente IA").</w:t>
      </w:r>
    </w:p>
    <w:p>
      <w:pPr>
        <w:pStyle w:val="ListParagraph"/>
        <w:numPr>
          <w:ilvl w:val="0"/>
          <w:numId w:val="2"/>
        </w:numPr>
        <w:spacing w:after="60" w:line="276"/>
      </w:pPr>
      <w:r>
        <w:rPr>
          <w:rFonts w:ascii="Calibri" w:cs="Calibri" w:eastAsia="Calibri" w:hAnsi="Calibri"/>
          <w:color w:val="222222"/>
          <w:sz w:val="22"/>
          <w:szCs w:val="22"/>
        </w:rPr>
        <w:t xml:space="preserve">Chatbox con estados: mensaje enviado, respuesta directa, respuesta con fuente/cita, pool de preguntas sugeridas, fallback/bloqueo.</w:t>
      </w:r>
    </w:p>
    <w:p>
      <w:pPr>
        <w:pStyle w:val="ListParagraph"/>
        <w:numPr>
          <w:ilvl w:val="0"/>
          <w:numId w:val="2"/>
        </w:numPr>
        <w:spacing w:after="60" w:line="276"/>
      </w:pPr>
      <w:r>
        <w:rPr>
          <w:rFonts w:ascii="Calibri" w:cs="Calibri" w:eastAsia="Calibri" w:hAnsi="Calibri"/>
          <w:color w:val="222222"/>
          <w:sz w:val="22"/>
          <w:szCs w:val="22"/>
        </w:rPr>
        <w:t xml:space="preserve">Modal de transcripción de voz: estado de grabación, texto transcrito editable antes de enviar, confirmación de envío.</w:t>
      </w:r>
    </w:p>
    <w:p>
      <w:pPr>
        <w:pStyle w:val="ListParagraph"/>
        <w:numPr>
          <w:ilvl w:val="0"/>
          <w:numId w:val="2"/>
        </w:numPr>
        <w:spacing w:after="60" w:line="276"/>
      </w:pPr>
      <w:r>
        <w:rPr>
          <w:rFonts w:ascii="Calibri" w:cs="Calibri" w:eastAsia="Calibri" w:hAnsi="Calibri"/>
          <w:color w:val="222222"/>
          <w:sz w:val="22"/>
          <w:szCs w:val="22"/>
        </w:rPr>
        <w:t xml:space="preserve">Componente de "pool sugerido": presentación visual de múltiples opciones cuando la intención es ambigua.</w:t>
      </w:r>
    </w:p>
    <w:p>
      <w:pPr>
        <w:pStyle w:val="ListParagraph"/>
        <w:numPr>
          <w:ilvl w:val="0"/>
          <w:numId w:val="2"/>
        </w:numPr>
        <w:spacing w:after="60" w:line="276"/>
      </w:pPr>
      <w:r>
        <w:rPr>
          <w:rFonts w:ascii="Calibri" w:cs="Calibri" w:eastAsia="Calibri" w:hAnsi="Calibri"/>
          <w:color w:val="222222"/>
          <w:sz w:val="22"/>
          <w:szCs w:val="22"/>
        </w:rPr>
        <w:t xml:space="preserve">CTA contextual dentro del chat: cómo se visualiza una acción explicada (ej. "ver detalle en M06") sin permitir ejecución directa desde el chat.</w:t>
      </w:r>
    </w:p>
    <w:p>
      <w:pPr>
        <w:pStyle w:val="ListParagraph"/>
        <w:numPr>
          <w:ilvl w:val="0"/>
          <w:numId w:val="2"/>
        </w:numPr>
        <w:spacing w:after="60" w:line="276"/>
      </w:pPr>
      <w:r>
        <w:rPr>
          <w:rFonts w:ascii="Calibri" w:cs="Calibri" w:eastAsia="Calibri" w:hAnsi="Calibri"/>
          <w:color w:val="222222"/>
          <w:sz w:val="22"/>
          <w:szCs w:val="22"/>
        </w:rPr>
        <w:t xml:space="preserve">Tarjetas de derivación modular: diseño para cuando M7 remite al usuario a M04, M05 o M06 sin resolver la consulta dentro del chat.</w:t>
      </w:r>
    </w:p>
    <w:p>
      <w:pPr>
        <w:pStyle w:val="ListParagraph"/>
        <w:numPr>
          <w:ilvl w:val="0"/>
          <w:numId w:val="2"/>
        </w:numPr>
        <w:spacing w:after="60" w:line="276"/>
      </w:pPr>
      <w:r>
        <w:rPr>
          <w:rFonts w:ascii="Calibri" w:cs="Calibri" w:eastAsia="Calibri" w:hAnsi="Calibri"/>
          <w:color w:val="222222"/>
          <w:sz w:val="22"/>
          <w:szCs w:val="22"/>
        </w:rPr>
        <w:t xml:space="preserve">Estado de error/fuera de dominio: mensaje de bloqueo cuando la consulta no corresponde al alcance de Walvy.</w:t>
      </w:r>
    </w:p>
    <w:p>
      <w:pPr>
        <w:pStyle w:val="ListParagraph"/>
        <w:numPr>
          <w:ilvl w:val="0"/>
          <w:numId w:val="2"/>
        </w:numPr>
        <w:spacing w:after="60" w:line="276"/>
      </w:pPr>
      <w:r>
        <w:rPr>
          <w:rFonts w:ascii="Calibri" w:cs="Calibri" w:eastAsia="Calibri" w:hAnsi="Calibri"/>
          <w:color w:val="222222"/>
          <w:sz w:val="22"/>
          <w:szCs w:val="22"/>
        </w:rPr>
        <w:t xml:space="preserve">Evaluación de una card propia de M7 (mencionada como pendiente) versus reutilizar patrones ya definidos en otros módulos.</w:t>
      </w:r>
    </w:p>
    <w:p>
      <w:pPr>
        <w:pStyle w:val="Heading2"/>
        <w:spacing w:after="120" w:before="240"/>
      </w:pPr>
      <w:r>
        <w:rPr>
          <w:rFonts w:ascii="Calibri" w:cs="Calibri" w:eastAsia="Calibri" w:hAnsi="Calibri"/>
          <w:b/>
          <w:bCs/>
          <w:color w:val="1B2A4A"/>
          <w:sz w:val="24"/>
          <w:szCs w:val="24"/>
        </w:rPr>
        <w:t xml:space="preserve">5.3 Alcance de diseño requerido — nivel conversacional (copy)</w:t>
      </w:r>
    </w:p>
    <w:p>
      <w:pPr>
        <w:spacing w:after="120" w:line="276"/>
      </w:pPr>
      <w:r>
        <w:rPr>
          <w:rFonts w:ascii="Calibri" w:cs="Calibri" w:eastAsia="Calibri" w:hAnsi="Calibri"/>
          <w:color w:val="222222"/>
          <w:sz w:val="22"/>
          <w:szCs w:val="22"/>
        </w:rPr>
        <w:t xml:space="preserve">A nivel de copywriting y comportamiento conversacional, UX debe trabajar junto a producto y consultora en:</w:t>
      </w:r>
    </w:p>
    <w:p>
      <w:pPr>
        <w:pStyle w:val="ListParagraph"/>
        <w:numPr>
          <w:ilvl w:val="0"/>
          <w:numId w:val="2"/>
        </w:numPr>
        <w:spacing w:after="60" w:line="276"/>
      </w:pPr>
      <w:r>
        <w:rPr>
          <w:rFonts w:ascii="Calibri" w:cs="Calibri" w:eastAsia="Calibri" w:hAnsi="Calibri"/>
          <w:color w:val="222222"/>
          <w:sz w:val="22"/>
          <w:szCs w:val="22"/>
        </w:rPr>
        <w:t xml:space="preserve">Copy de desambiguación para los casos deuda / pago / plan / prioridad, siguiendo el modelo de decisión de 7 niveles.</w:t>
      </w:r>
    </w:p>
    <w:p>
      <w:pPr>
        <w:pStyle w:val="ListParagraph"/>
        <w:numPr>
          <w:ilvl w:val="0"/>
          <w:numId w:val="2"/>
        </w:numPr>
        <w:spacing w:after="60" w:line="276"/>
      </w:pPr>
      <w:r>
        <w:rPr>
          <w:rFonts w:ascii="Calibri" w:cs="Calibri" w:eastAsia="Calibri" w:hAnsi="Calibri"/>
          <w:color w:val="222222"/>
          <w:sz w:val="22"/>
          <w:szCs w:val="22"/>
        </w:rPr>
        <w:t xml:space="preserve">Redacción del pool de preguntas sugeridas por fuente/regla (Anexo B del documento funcional).</w:t>
      </w:r>
    </w:p>
    <w:p>
      <w:pPr>
        <w:pStyle w:val="ListParagraph"/>
        <w:numPr>
          <w:ilvl w:val="0"/>
          <w:numId w:val="2"/>
        </w:numPr>
        <w:spacing w:after="60" w:line="276"/>
      </w:pPr>
      <w:r>
        <w:rPr>
          <w:rFonts w:ascii="Calibri" w:cs="Calibri" w:eastAsia="Calibri" w:hAnsi="Calibri"/>
          <w:color w:val="222222"/>
          <w:sz w:val="22"/>
          <w:szCs w:val="22"/>
        </w:rPr>
        <w:t xml:space="preserve">Tono y límites de las respuestas de recomendación gobernada, evitando lenguaje que implique promesa de resultado, ahorro garantizado o ejecución de acciones.</w:t>
      </w:r>
    </w:p>
    <w:p>
      <w:pPr>
        <w:pStyle w:val="ListParagraph"/>
        <w:numPr>
          <w:ilvl w:val="0"/>
          <w:numId w:val="2"/>
        </w:numPr>
        <w:spacing w:after="60" w:line="276"/>
      </w:pPr>
      <w:r>
        <w:rPr>
          <w:rFonts w:ascii="Calibri" w:cs="Calibri" w:eastAsia="Calibri" w:hAnsi="Calibri"/>
          <w:color w:val="222222"/>
          <w:sz w:val="22"/>
          <w:szCs w:val="22"/>
        </w:rPr>
        <w:t xml:space="preserve">Copy de los mensajes de fallback / guardrail para cada dominio bloqueado (pagos, deudas/Ruta, presupuesto, comprobantes, mercado/proveedores, ambigüedad).</w:t>
      </w:r>
    </w:p>
    <w:p>
      <w:pPr>
        <w:pStyle w:val="ListParagraph"/>
        <w:numPr>
          <w:ilvl w:val="0"/>
          <w:numId w:val="2"/>
        </w:numPr>
        <w:spacing w:after="60" w:line="276"/>
      </w:pPr>
      <w:r>
        <w:rPr>
          <w:rFonts w:ascii="Calibri" w:cs="Calibri" w:eastAsia="Calibri" w:hAnsi="Calibri"/>
          <w:color w:val="222222"/>
          <w:sz w:val="22"/>
          <w:szCs w:val="22"/>
        </w:rPr>
        <w:t xml:space="preserve">FAQ robustecida por familia y tipo de respuesta (Anexo C), incluyendo fichas conversacionales por módulo.</w:t>
      </w:r>
    </w:p>
    <w:p>
      <w:pPr>
        <w:pStyle w:val="ListParagraph"/>
        <w:numPr>
          <w:ilvl w:val="0"/>
          <w:numId w:val="2"/>
        </w:numPr>
        <w:spacing w:after="60" w:line="276"/>
      </w:pPr>
      <w:r>
        <w:rPr>
          <w:rFonts w:ascii="Calibri" w:cs="Calibri" w:eastAsia="Calibri" w:hAnsi="Calibri"/>
          <w:color w:val="222222"/>
          <w:sz w:val="22"/>
          <w:szCs w:val="22"/>
        </w:rPr>
        <w:t xml:space="preserve">Mensajes de derivación modular: cómo se comunica al usuario que su consulta se resuelve en otro módulo, sin sonar como una negativa fría.</w:t>
      </w:r>
    </w:p>
    <w:p>
      <w:pPr>
        <w:pStyle w:val="ListParagraph"/>
        <w:numPr>
          <w:ilvl w:val="0"/>
          <w:numId w:val="2"/>
        </w:numPr>
        <w:spacing w:after="60" w:line="276"/>
      </w:pPr>
      <w:r>
        <w:rPr>
          <w:rFonts w:ascii="Calibri" w:cs="Calibri" w:eastAsia="Calibri" w:hAnsi="Calibri"/>
          <w:color w:val="222222"/>
          <w:sz w:val="22"/>
          <w:szCs w:val="22"/>
        </w:rPr>
        <w:t xml:space="preserve">Definición del tono y voz del asistente (ver 3.7.3): al no estar diseñado en el alcance original del MVP, UX debe proponerlo y validarlo con el cliente antes de aplicarlo al copy del chat, FAQ y fallback.</w:t>
      </w:r>
    </w:p>
    <w:p>
      <w:pPr>
        <w:pStyle w:val="Heading2"/>
        <w:spacing w:after="120" w:before="240"/>
      </w:pPr>
      <w:r>
        <w:rPr>
          <w:rFonts w:ascii="Calibri" w:cs="Calibri" w:eastAsia="Calibri" w:hAnsi="Calibri"/>
          <w:b/>
          <w:bCs/>
          <w:color w:val="1B2A4A"/>
          <w:sz w:val="24"/>
          <w:szCs w:val="24"/>
        </w:rPr>
        <w:t xml:space="preserve">5.4 Insumos disponibles para UX</w:t>
      </w:r>
    </w:p>
    <w:p>
      <w:pPr>
        <w:pStyle w:val="ListParagraph"/>
        <w:numPr>
          <w:ilvl w:val="0"/>
          <w:numId w:val="2"/>
        </w:numPr>
        <w:spacing w:after="60" w:line="276"/>
      </w:pPr>
      <w:r>
        <w:rPr>
          <w:rFonts w:ascii="Calibri" w:cs="Calibri" w:eastAsia="Calibri" w:hAnsi="Calibri"/>
          <w:color w:val="222222"/>
          <w:sz w:val="22"/>
          <w:szCs w:val="22"/>
        </w:rPr>
        <w:t xml:space="preserve">Anexo A — Matriz Conversacional Implementable (intención, decisión, respuesta visible y fallback).</w:t>
      </w:r>
    </w:p>
    <w:p>
      <w:pPr>
        <w:pStyle w:val="ListParagraph"/>
        <w:numPr>
          <w:ilvl w:val="0"/>
          <w:numId w:val="2"/>
        </w:numPr>
        <w:spacing w:after="60" w:line="276"/>
      </w:pPr>
      <w:r>
        <w:rPr>
          <w:rFonts w:ascii="Calibri" w:cs="Calibri" w:eastAsia="Calibri" w:hAnsi="Calibri"/>
          <w:color w:val="222222"/>
          <w:sz w:val="22"/>
          <w:szCs w:val="22"/>
        </w:rPr>
        <w:t xml:space="preserve">Anexo B — Desambiguación, intenciones equivalentes y pool de preguntas.</w:t>
      </w:r>
    </w:p>
    <w:p>
      <w:pPr>
        <w:pStyle w:val="ListParagraph"/>
        <w:numPr>
          <w:ilvl w:val="0"/>
          <w:numId w:val="2"/>
        </w:numPr>
        <w:spacing w:after="60" w:line="276"/>
      </w:pPr>
      <w:r>
        <w:rPr>
          <w:rFonts w:ascii="Calibri" w:cs="Calibri" w:eastAsia="Calibri" w:hAnsi="Calibri"/>
          <w:color w:val="222222"/>
          <w:sz w:val="22"/>
          <w:szCs w:val="22"/>
        </w:rPr>
        <w:t xml:space="preserve">Anexo C — FAQ consolidada robustecida por familia y por módulo.</w:t>
      </w:r>
    </w:p>
    <w:p>
      <w:pPr>
        <w:pStyle w:val="ListParagraph"/>
        <w:numPr>
          <w:ilvl w:val="0"/>
          <w:numId w:val="2"/>
        </w:numPr>
        <w:spacing w:after="60" w:line="276"/>
      </w:pPr>
      <w:r>
        <w:rPr>
          <w:rFonts w:ascii="Calibri" w:cs="Calibri" w:eastAsia="Calibri" w:hAnsi="Calibri"/>
          <w:color w:val="222222"/>
          <w:sz w:val="22"/>
          <w:szCs w:val="22"/>
        </w:rPr>
        <w:t xml:space="preserve">Anexo D — Cobertura explicativa de estados, CTAs y resultados visibles (pendiente de cruce completo).</w:t>
      </w:r>
    </w:p>
    <w:p>
      <w:pPr>
        <w:pStyle w:val="ListParagraph"/>
        <w:numPr>
          <w:ilvl w:val="0"/>
          <w:numId w:val="2"/>
        </w:numPr>
        <w:spacing w:after="60" w:line="276"/>
      </w:pPr>
      <w:r>
        <w:rPr>
          <w:rFonts w:ascii="Calibri" w:cs="Calibri" w:eastAsia="Calibri" w:hAnsi="Calibri"/>
          <w:color w:val="222222"/>
          <w:sz w:val="22"/>
          <w:szCs w:val="22"/>
        </w:rPr>
        <w:t xml:space="preserve">Anexo F — Guardrails, fallback y seguridad.</w:t>
      </w:r>
    </w:p>
    <w:p>
      <w:pPr>
        <w:pStyle w:val="ListParagraph"/>
        <w:numPr>
          <w:ilvl w:val="0"/>
          <w:numId w:val="2"/>
        </w:numPr>
        <w:spacing w:after="60" w:line="276"/>
      </w:pPr>
      <w:r>
        <w:rPr>
          <w:rFonts w:ascii="Calibri" w:cs="Calibri" w:eastAsia="Calibri" w:hAnsi="Calibri"/>
          <w:color w:val="222222"/>
          <w:sz w:val="22"/>
          <w:szCs w:val="22"/>
        </w:rPr>
        <w:t xml:space="preserve">Anexo G — Fuentes, madurez, brechas y pendientes.</w:t>
      </w:r>
    </w:p>
    <w:p>
      <w:pPr>
        <w:pStyle w:val="Heading2"/>
        <w:spacing w:after="120" w:before="240"/>
      </w:pPr>
      <w:r>
        <w:rPr>
          <w:rFonts w:ascii="Calibri" w:cs="Calibri" w:eastAsia="Calibri" w:hAnsi="Calibri"/>
          <w:b/>
          <w:bCs/>
          <w:color w:val="1B2A4A"/>
          <w:sz w:val="24"/>
          <w:szCs w:val="24"/>
        </w:rPr>
        <w:t xml:space="preserve">5.5 Recomendación de trabajo con UX</w:t>
      </w:r>
    </w:p>
    <w:p>
      <w:pPr>
        <w:spacing w:after="120" w:line="276"/>
      </w:pPr>
      <w:r>
        <w:rPr>
          <w:rFonts w:ascii="Calibri" w:cs="Calibri" w:eastAsia="Calibri" w:hAnsi="Calibri"/>
          <w:color w:val="222222"/>
          <w:sz w:val="22"/>
          <w:szCs w:val="22"/>
        </w:rPr>
        <w:t xml:space="preserve">Se sugiere agendar un handoff específico de M7 con el equipo de UX, usando este documento como guía de alcance, y los Anexos A, B, C y F del documento funcional como material de trabajo directo para copy y flujos. La validación UX del pool sugerido y el diseño de los estados de fallback deben cerrarse antes de declarar el handoff final, dado que ambos están marcados como bloqueantes en el documento fuente.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613C" w:sz="4"/>
              <w:left w:val="single" w:color="E8613C" w:sz="24"/>
              <w:bottom w:val="single" w:color="E8613C" w:sz="4"/>
              <w:right w:val="single" w:color="E8613C" w:sz="4"/>
            </w:tcBorders>
            <w:shd w:fill="F2F2F2" w:val="clear"/>
            <w:tcMar>
              <w:top w:type="dxa" w:w="120"/>
              <w:left w:type="dxa" w:w="160"/>
              <w:bottom w:type="dxa" w:w="120"/>
              <w:right w:type="dxa" w:w="160"/>
            </w:tcMar>
          </w:tcPr>
          <w:p>
            <w:r>
              <w:rPr>
                <w:rFonts w:ascii="Calibri" w:cs="Calibri" w:eastAsia="Calibri" w:hAnsi="Calibri"/>
                <w:i/>
                <w:iCs/>
                <w:color w:val="1B2A4A"/>
                <w:sz w:val="20"/>
                <w:szCs w:val="20"/>
              </w:rPr>
              <w:t xml:space="preserve">Recordatorio de gobernanza: cualquier diseño de UX para M7 debe respetar que el chat no puede ejecutar pagos, activar Ruta, cerrar deudas ni prometer ahorro garantizado. El diseño debe reforzar visualmente la derivación al módulo dueño en esos casos, no ocultarla.</w:t>
            </w:r>
          </w:p>
        </w:tc>
      </w:tr>
    </w:tbl>
    <w:p>
      <w:pPr>
        <w:pageBreakBefore/>
      </w:pPr>
    </w:p>
    <w:p>
      <w:pPr>
        <w:pStyle w:val="Heading1"/>
        <w:pBdr>
          <w:bottom w:val="single" w:color="E8613C" w:sz="8" w:space="4"/>
        </w:pBdr>
        <w:spacing w:after="160" w:before="320"/>
      </w:pPr>
      <w:r>
        <w:rPr>
          <w:rFonts w:ascii="Calibri" w:cs="Calibri" w:eastAsia="Calibri" w:hAnsi="Calibri"/>
          <w:b/>
          <w:bCs/>
          <w:color w:val="1B2A4A"/>
          <w:sz w:val="28"/>
          <w:szCs w:val="28"/>
        </w:rPr>
        <w:t xml:space="preserve">6. Referencias documentales</w:t>
      </w:r>
    </w:p>
    <w:p>
      <w:pPr>
        <w:pStyle w:val="ListParagraph"/>
        <w:numPr>
          <w:ilvl w:val="0"/>
          <w:numId w:val="2"/>
        </w:numPr>
        <w:spacing w:after="60" w:line="276"/>
      </w:pPr>
      <w:r>
        <w:rPr>
          <w:rFonts w:ascii="Calibri" w:cs="Calibri" w:eastAsia="Calibri" w:hAnsi="Calibri"/>
          <w:color w:val="222222"/>
          <w:sz w:val="22"/>
          <w:szCs w:val="22"/>
        </w:rPr>
        <w:t xml:space="preserve">Propuesta de Implementación del Asistente IA (MVP) — alcance originalmente definido para M7.</w:t>
      </w:r>
    </w:p>
    <w:p>
      <w:pPr>
        <w:pStyle w:val="ListParagraph"/>
        <w:numPr>
          <w:ilvl w:val="0"/>
          <w:numId w:val="2"/>
        </w:numPr>
        <w:spacing w:after="60" w:line="276"/>
      </w:pPr>
      <w:r>
        <w:rPr>
          <w:rFonts w:ascii="Calibri" w:cs="Calibri" w:eastAsia="Calibri" w:hAnsi="Calibri"/>
          <w:color w:val="222222"/>
          <w:sz w:val="22"/>
          <w:szCs w:val="22"/>
        </w:rPr>
        <w:t xml:space="preserve">Walvy — Base de Conocimiento Conversacional M7 v1.0 — documento funcional rector (modelo de decisión, taxonomía, guardrails, anexos A–G).</w:t>
      </w:r>
    </w:p>
    <w:p>
      <w:pPr>
        <w:pStyle w:val="ListParagraph"/>
        <w:numPr>
          <w:ilvl w:val="0"/>
          <w:numId w:val="2"/>
        </w:numPr>
        <w:spacing w:after="60" w:line="276"/>
      </w:pPr>
      <w:r>
        <w:rPr>
          <w:rFonts w:ascii="Calibri" w:cs="Calibri" w:eastAsia="Calibri" w:hAnsi="Calibri"/>
          <w:color w:val="222222"/>
          <w:sz w:val="22"/>
          <w:szCs w:val="22"/>
        </w:rPr>
        <w:t xml:space="preserve">Anexos V2 (REV GREEN v5) — Anexo 1: Alcance MVP y criterios de éxito por funcionalidad de negocio.</w:t>
      </w:r>
    </w:p>
    <w:p>
      <w:pPr>
        <w:pStyle w:val="ListParagraph"/>
        <w:numPr>
          <w:ilvl w:val="0"/>
          <w:numId w:val="2"/>
        </w:numPr>
        <w:spacing w:after="60" w:line="276"/>
      </w:pPr>
      <w:r>
        <w:rPr>
          <w:rFonts w:ascii="Calibri" w:cs="Calibri" w:eastAsia="Calibri" w:hAnsi="Calibri"/>
          <w:color w:val="222222"/>
          <w:sz w:val="22"/>
          <w:szCs w:val="22"/>
        </w:rPr>
        <w:t xml:space="preserve">Figma — Walvy APP · Edifícate Inteligente (archivo v45c4HTKnPnU0XABMa5vjY) — fuente de diseño visual a confirmar para M7.</w:t>
      </w:r>
    </w:p>
    <w:p>
      <w:pPr>
        <w:pStyle w:val="ListParagraph"/>
        <w:numPr>
          <w:ilvl w:val="0"/>
          <w:numId w:val="2"/>
        </w:numPr>
        <w:spacing w:after="60" w:line="276"/>
      </w:pPr>
      <w:r>
        <w:rPr>
          <w:rFonts w:ascii="Calibri" w:cs="Calibri" w:eastAsia="Calibri" w:hAnsi="Calibri"/>
          <w:color w:val="222222"/>
          <w:sz w:val="22"/>
          <w:szCs w:val="22"/>
        </w:rPr>
        <w:t xml:space="preserve">Jira — backlog y trazabilidad oficial de criterios de aceptación.</w:t>
      </w:r>
    </w:p>
    <w:p>
      <w:pPr>
        <w:spacing w:after="120" w:line="276"/>
      </w:pPr>
      <w:r>
        <w:rPr>
          <w:rFonts w:ascii="Calibri" w:cs="Calibri" w:eastAsia="Calibri" w:hAnsi="Calibri"/>
          <w:color w:val="222222"/>
          <w:sz w:val="22"/>
          <w:szCs w:val="22"/>
        </w:rPr>
        <w:t xml:space="preserve"/>
      </w:r>
    </w:p>
    <w:p>
      <w:pPr>
        <w:spacing w:after="120" w:line="276"/>
      </w:pPr>
      <w:r>
        <w:rPr>
          <w:rFonts w:ascii="Calibri" w:cs="Calibri" w:eastAsia="Calibri" w:hAnsi="Calibri"/>
          <w:i/>
          <w:iCs/>
          <w:color w:val="666666"/>
          <w:sz w:val="22"/>
          <w:szCs w:val="22"/>
        </w:rPr>
        <w:t xml:space="preserve">Estado de la fuente: el documento funcional base de M7 se declara "No fuente vigente hasta validación post-subida en SharePoint". Este documento debe revalidarse una vez dicha subida sea confirmada.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Kabeli Internacional SpA · Edifícate Inteligente SpA — Documento de trabajo, sujeto a validación de fuente vigente | 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13C" w:sz="6" w:space="4"/>
      </w:pBdr>
      <w:jc w:val="right"/>
    </w:pPr>
    <w:r>
      <w:rPr>
        <w:rFonts w:ascii="Calibri" w:cs="Calibri" w:eastAsia="Calibri" w:hAnsi="Calibri"/>
        <w:i/>
        <w:iCs/>
        <w:color w:val="1B2A4A"/>
        <w:sz w:val="16"/>
        <w:szCs w:val="16"/>
      </w:rPr>
      <w:t xml:space="preserve">Walvy · Módulo 7 — Asistente IA Conversacional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lvl w:ilvl="1" w15:tentative="1">
      <w:start w:val="1"/>
      <w:numFmt w:val="bullet"/>
      <w:lvlText w:val="◦"/>
      <w:lvlJc w:val="left"/>
      <w:pPr>
        <w:ind w:left="863"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2026-08-05T16:09:18.806Z</dcterms:created>
  <dcterms:modified xsi:type="dcterms:W3CDTF">2026-08-05T16:09:18.821Z</dcterms:modified>
</cp:coreProperties>
</file>

<file path=docProps/custom.xml><?xml version="1.0" encoding="utf-8"?>
<Properties xmlns="http://schemas.openxmlformats.org/officeDocument/2006/custom-properties" xmlns:vt="http://schemas.openxmlformats.org/officeDocument/2006/docPropsVTypes"/>
</file>