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55C5D"/>
          <w:sz w:val="48"/>
        </w:rPr>
        <w:t>M01 · Handoff de hallazgos para Jira / Kabeli</w:t>
      </w:r>
    </w:p>
    <w:p>
      <w:pPr>
        <w:spacing w:after="240"/>
      </w:pPr>
      <w:r>
        <w:rPr>
          <w:rFonts w:ascii="Aptos" w:hAnsi="Aptos"/>
          <w:color w:val="5D6969"/>
          <w:sz w:val="22"/>
        </w:rPr>
        <w:t>Corte de validación funcional y UX · Android · 02 de septiembre de 2026</w:t>
      </w:r>
    </w:p>
    <w:tbl>
      <w:tblPr>
        <w:tblW w:type="auto" w:w="0"/>
        <w:jc w:val="center"/>
        <w:tblLayout w:type="fixed"/>
        <w:tblLook w:firstColumn="1" w:firstRow="1" w:lastColumn="0" w:lastRow="0" w:noHBand="0" w:noVBand="1" w:val="04A0"/>
      </w:tblPr>
      <w:tblGrid>
        <w:gridCol w:w="2592"/>
        <w:gridCol w:w="7200"/>
      </w:tblGrid>
      <w:tr>
        <w:tc>
          <w:tcPr>
            <w:tcW w:type="dxa" w:w="5141"/>
            <w:tcMar>
              <w:top w:w="100" w:type="dxa"/>
              <w:start w:w="120" w:type="dxa"/>
              <w:bottom w:w="100" w:type="dxa"/>
              <w:end w:w="120" w:type="dxa"/>
            </w:tcMar>
            <w:shd w:fill="EAF4F4"/>
            <w:vAlign w:val="center"/>
          </w:tcPr>
          <w:p>
            <w:r>
              <w:rPr>
                <w:rFonts w:ascii="Aptos" w:hAnsi="Aptos"/>
                <w:b/>
                <w:color w:val="173536"/>
                <w:sz w:val="19"/>
              </w:rPr>
              <w:t>Objetivo</w:t>
            </w:r>
          </w:p>
        </w:tc>
        <w:tc>
          <w:tcPr>
            <w:tcW w:type="dxa" w:w="5141"/>
            <w:tcMar>
              <w:top w:w="100" w:type="dxa"/>
              <w:start w:w="120" w:type="dxa"/>
              <w:bottom w:w="100" w:type="dxa"/>
              <w:end w:w="120" w:type="dxa"/>
            </w:tcMar>
            <w:vAlign w:val="center"/>
          </w:tcPr>
          <w:p>
            <w:r>
              <w:rPr>
                <w:rFonts w:ascii="Aptos" w:hAnsi="Aptos"/>
                <w:color w:val="333333"/>
                <w:sz w:val="19"/>
              </w:rPr>
              <w:t>Consolidar los hallazgos y observaciones con evidencia suficiente para remediación y creación de tickets Jira. Los casos que cumplen se mantienen únicamente en la matriz adjunta.</w:t>
            </w:r>
          </w:p>
        </w:tc>
      </w:tr>
      <w:tr>
        <w:tc>
          <w:tcPr>
            <w:tcW w:type="dxa" w:w="5141"/>
            <w:tcMar>
              <w:top w:w="100" w:type="dxa"/>
              <w:start w:w="120" w:type="dxa"/>
              <w:bottom w:w="100" w:type="dxa"/>
              <w:end w:w="120" w:type="dxa"/>
            </w:tcMar>
            <w:shd w:fill="EAF4F4"/>
            <w:vAlign w:val="center"/>
          </w:tcPr>
          <w:p>
            <w:r>
              <w:rPr>
                <w:rFonts w:ascii="Aptos" w:hAnsi="Aptos"/>
                <w:b/>
                <w:color w:val="173536"/>
                <w:sz w:val="19"/>
              </w:rPr>
              <w:t>Fuente rectora</w:t>
            </w:r>
          </w:p>
        </w:tc>
        <w:tc>
          <w:tcPr>
            <w:tcW w:type="dxa" w:w="5141"/>
            <w:tcMar>
              <w:top w:w="100" w:type="dxa"/>
              <w:start w:w="120" w:type="dxa"/>
              <w:bottom w:w="100" w:type="dxa"/>
              <w:end w:w="120" w:type="dxa"/>
            </w:tcMar>
            <w:vAlign w:val="center"/>
          </w:tcPr>
          <w:p>
            <w:r>
              <w:rPr>
                <w:rFonts w:ascii="Aptos" w:hAnsi="Aptos"/>
                <w:color w:val="333333"/>
                <w:sz w:val="19"/>
              </w:rPr>
              <w:t>Walvy_M1_Matriz_Trazabilidad_Cliente_v2.6. Los IDs canónicos se mantienen sin reinterpretación.</w:t>
            </w:r>
          </w:p>
        </w:tc>
      </w:tr>
      <w:tr>
        <w:tc>
          <w:tcPr>
            <w:tcW w:type="dxa" w:w="5141"/>
            <w:tcMar>
              <w:top w:w="100" w:type="dxa"/>
              <w:start w:w="120" w:type="dxa"/>
              <w:bottom w:w="100" w:type="dxa"/>
              <w:end w:w="120" w:type="dxa"/>
            </w:tcMar>
            <w:shd w:fill="EAF4F4"/>
            <w:vAlign w:val="center"/>
          </w:tcPr>
          <w:p>
            <w:r>
              <w:rPr>
                <w:rFonts w:ascii="Aptos" w:hAnsi="Aptos"/>
                <w:b/>
                <w:color w:val="173536"/>
                <w:sz w:val="19"/>
              </w:rPr>
              <w:t>Ejecución principal</w:t>
            </w:r>
          </w:p>
        </w:tc>
        <w:tc>
          <w:tcPr>
            <w:tcW w:type="dxa" w:w="5141"/>
            <w:tcMar>
              <w:top w:w="100" w:type="dxa"/>
              <w:start w:w="120" w:type="dxa"/>
              <w:bottom w:w="100" w:type="dxa"/>
              <w:end w:w="120" w:type="dxa"/>
            </w:tcMar>
            <w:vAlign w:val="center"/>
          </w:tcPr>
          <w:p>
            <w:r>
              <w:rPr>
                <w:rFonts w:ascii="Aptos" w:hAnsi="Aptos"/>
                <w:color w:val="333333"/>
                <w:sz w:val="19"/>
              </w:rPr>
              <w:t>Walvy/JR · Samsung Galaxy S23 · pruebas realizadas durante el 02-sep-2026.</w:t>
            </w:r>
          </w:p>
        </w:tc>
      </w:tr>
      <w:tr>
        <w:tc>
          <w:tcPr>
            <w:tcW w:type="dxa" w:w="5141"/>
            <w:tcMar>
              <w:top w:w="100" w:type="dxa"/>
              <w:start w:w="120" w:type="dxa"/>
              <w:bottom w:w="100" w:type="dxa"/>
              <w:end w:w="120" w:type="dxa"/>
            </w:tcMar>
            <w:shd w:fill="EAF4F4"/>
            <w:vAlign w:val="center"/>
          </w:tcPr>
          <w:p>
            <w:r>
              <w:rPr>
                <w:rFonts w:ascii="Aptos" w:hAnsi="Aptos"/>
                <w:b/>
                <w:color w:val="173536"/>
                <w:sz w:val="19"/>
              </w:rPr>
              <w:t>Evidencia complementaria</w:t>
            </w:r>
          </w:p>
        </w:tc>
        <w:tc>
          <w:tcPr>
            <w:tcW w:type="dxa" w:w="5141"/>
            <w:tcMar>
              <w:top w:w="100" w:type="dxa"/>
              <w:start w:w="120" w:type="dxa"/>
              <w:bottom w:w="100" w:type="dxa"/>
              <w:end w:w="120" w:type="dxa"/>
            </w:tcMar>
            <w:vAlign w:val="center"/>
          </w:tcPr>
          <w:p>
            <w:r>
              <w:rPr>
                <w:rFonts w:ascii="Aptos" w:hAnsi="Aptos"/>
                <w:color w:val="333333"/>
                <w:sz w:val="19"/>
              </w:rPr>
              <w:t>Victoria · Android · videos 29-ago-2026; Andrea · Samsung Z Flip 7 · Android 16 · revisión 02-sep-2026.</w:t>
            </w:r>
          </w:p>
        </w:tc>
      </w:tr>
      <w:tr>
        <w:tc>
          <w:tcPr>
            <w:tcW w:type="dxa" w:w="5141"/>
            <w:tcMar>
              <w:top w:w="100" w:type="dxa"/>
              <w:start w:w="120" w:type="dxa"/>
              <w:bottom w:w="100" w:type="dxa"/>
              <w:end w:w="120" w:type="dxa"/>
            </w:tcMar>
            <w:shd w:fill="EAF4F4"/>
            <w:vAlign w:val="center"/>
          </w:tcPr>
          <w:p>
            <w:r>
              <w:rPr>
                <w:rFonts w:ascii="Aptos" w:hAnsi="Aptos"/>
                <w:b/>
                <w:color w:val="173536"/>
                <w:sz w:val="19"/>
              </w:rPr>
              <w:t>Criterio de evidencia</w:t>
            </w:r>
          </w:p>
        </w:tc>
        <w:tc>
          <w:tcPr>
            <w:tcW w:type="dxa" w:w="5141"/>
            <w:tcMar>
              <w:top w:w="100" w:type="dxa"/>
              <w:start w:w="120" w:type="dxa"/>
              <w:bottom w:w="100" w:type="dxa"/>
              <w:end w:w="120" w:type="dxa"/>
            </w:tcMar>
            <w:vAlign w:val="center"/>
          </w:tcPr>
          <w:p>
            <w:r>
              <w:rPr>
                <w:rFonts w:ascii="Aptos" w:hAnsi="Aptos"/>
                <w:color w:val="333333"/>
                <w:sz w:val="19"/>
              </w:rPr>
              <w:t>Se prioriza la ejecución JR cuando acredita el mismo comportamiento; Victoria/Andrea se usan como corroboración o como fuente independiente cuando agregan cobertura real.</w:t>
            </w:r>
          </w:p>
        </w:tc>
      </w:tr>
    </w:tbl>
    <w:p>
      <w:pPr>
        <w:spacing w:after="60"/>
      </w:pPr>
    </w:p>
    <w:tbl>
      <w:tblPr>
        <w:tblW w:type="auto" w:w="0"/>
        <w:jc w:val="center"/>
        <w:tblLayout w:type="fixed"/>
        <w:tblLook w:firstColumn="1" w:firstRow="1" w:lastColumn="0" w:lastRow="0" w:noHBand="0" w:noVBand="1" w:val="04A0"/>
      </w:tblPr>
      <w:tblGrid>
        <w:gridCol w:w="9936"/>
      </w:tblGrid>
      <w:tr>
        <w:tc>
          <w:tcPr>
            <w:tcW w:type="dxa" w:w="10282"/>
            <w:tcMar>
              <w:top w:w="120" w:type="dxa"/>
              <w:start w:w="160" w:type="dxa"/>
              <w:bottom w:w="120" w:type="dxa"/>
              <w:end w:w="160" w:type="dxa"/>
            </w:tcMar>
            <w:shd w:fill="EAF4F4"/>
          </w:tcPr>
          <w:p>
            <w:pPr>
              <w:spacing w:after="0"/>
            </w:pPr>
            <w:r>
              <w:rPr>
                <w:rFonts w:ascii="Aptos" w:hAnsi="Aptos"/>
                <w:b w:val="0"/>
                <w:color w:val="173536"/>
                <w:sz w:val="20"/>
              </w:rPr>
              <w:t>Este documento no reproduce la metodología interna de QA. Presenta únicamente resultados observables, su relación con la matriz, evidencia y solicitud de remediación/validación.</w:t>
            </w:r>
          </w:p>
        </w:tc>
      </w:tr>
    </w:tbl>
    <w:p>
      <w:pPr>
        <w:spacing w:after="20"/>
      </w:pPr>
    </w:p>
    <w:p>
      <w:pPr>
        <w:spacing w:before="200" w:after="100"/>
      </w:pPr>
      <w:r>
        <w:rPr>
          <w:rFonts w:ascii="Aptos" w:hAnsi="Aptos"/>
          <w:b/>
          <w:color w:val="155C5D"/>
          <w:sz w:val="32"/>
        </w:rPr>
        <w:t>1. Resumen de ítems para Jira</w:t>
      </w:r>
    </w:p>
    <w:tbl>
      <w:tblPr>
        <w:tblW w:type="auto" w:w="0"/>
        <w:jc w:val="center"/>
        <w:tblLayout w:type="fixed"/>
        <w:tblLook w:firstColumn="1" w:firstRow="1" w:lastColumn="0" w:lastRow="0" w:noHBand="0" w:noVBand="1" w:val="04A0"/>
      </w:tblPr>
      <w:tblGrid>
        <w:gridCol w:w="1699"/>
        <w:gridCol w:w="1656"/>
        <w:gridCol w:w="1296"/>
        <w:gridCol w:w="3168"/>
        <w:gridCol w:w="1872"/>
      </w:tblGrid>
      <w:tr>
        <w:tc>
          <w:tcPr>
            <w:tcW w:type="dxa" w:w="2056"/>
            <w:shd w:fill="23797D"/>
            <w:tcMar>
              <w:top w:w="100" w:type="dxa"/>
              <w:start w:w="120" w:type="dxa"/>
              <w:bottom w:w="100" w:type="dxa"/>
              <w:end w:w="120" w:type="dxa"/>
            </w:tcMar>
          </w:tcPr>
          <w:p>
            <w:pPr>
              <w:jc w:val="center"/>
            </w:pPr>
            <w:r>
              <w:rPr>
                <w:b/>
                <w:color w:val="FFFFFF"/>
                <w:sz w:val="18"/>
              </w:rPr>
              <w:t>ID</w:t>
            </w:r>
          </w:p>
        </w:tc>
        <w:tc>
          <w:tcPr>
            <w:tcW w:type="dxa" w:w="2056"/>
            <w:shd w:fill="23797D"/>
            <w:tcMar>
              <w:top w:w="100" w:type="dxa"/>
              <w:start w:w="120" w:type="dxa"/>
              <w:bottom w:w="100" w:type="dxa"/>
              <w:end w:w="120" w:type="dxa"/>
            </w:tcMar>
          </w:tcPr>
          <w:p>
            <w:pPr>
              <w:jc w:val="center"/>
            </w:pPr>
            <w:r>
              <w:rPr>
                <w:b/>
                <w:color w:val="FFFFFF"/>
                <w:sz w:val="18"/>
              </w:rPr>
              <w:t>Tipo</w:t>
            </w:r>
          </w:p>
        </w:tc>
        <w:tc>
          <w:tcPr>
            <w:tcW w:type="dxa" w:w="2056"/>
            <w:shd w:fill="23797D"/>
            <w:tcMar>
              <w:top w:w="100" w:type="dxa"/>
              <w:start w:w="120" w:type="dxa"/>
              <w:bottom w:w="100" w:type="dxa"/>
              <w:end w:w="120" w:type="dxa"/>
            </w:tcMar>
          </w:tcPr>
          <w:p>
            <w:pPr>
              <w:jc w:val="center"/>
            </w:pPr>
            <w:r>
              <w:rPr>
                <w:b/>
                <w:color w:val="FFFFFF"/>
                <w:sz w:val="18"/>
              </w:rPr>
              <w:t>Prioridad</w:t>
            </w:r>
          </w:p>
        </w:tc>
        <w:tc>
          <w:tcPr>
            <w:tcW w:type="dxa" w:w="2056"/>
            <w:shd w:fill="23797D"/>
            <w:tcMar>
              <w:top w:w="100" w:type="dxa"/>
              <w:start w:w="120" w:type="dxa"/>
              <w:bottom w:w="100" w:type="dxa"/>
              <w:end w:w="120" w:type="dxa"/>
            </w:tcMar>
          </w:tcPr>
          <w:p>
            <w:pPr>
              <w:jc w:val="center"/>
            </w:pPr>
            <w:r>
              <w:rPr>
                <w:b/>
                <w:color w:val="FFFFFF"/>
                <w:sz w:val="18"/>
              </w:rPr>
              <w:t>Relación</w:t>
            </w:r>
          </w:p>
        </w:tc>
        <w:tc>
          <w:tcPr>
            <w:tcW w:type="dxa" w:w="2056"/>
            <w:shd w:fill="23797D"/>
            <w:tcMar>
              <w:top w:w="100" w:type="dxa"/>
              <w:start w:w="120" w:type="dxa"/>
              <w:bottom w:w="100" w:type="dxa"/>
              <w:end w:w="120" w:type="dxa"/>
            </w:tcMar>
          </w:tcPr>
          <w:p>
            <w:pPr>
              <w:jc w:val="center"/>
            </w:pPr>
            <w:r>
              <w:rPr>
                <w:b/>
                <w:color w:val="FFFFFF"/>
                <w:sz w:val="18"/>
              </w:rPr>
              <w:t>Estado</w:t>
            </w:r>
          </w:p>
        </w:tc>
      </w:tr>
      <w:tr>
        <w:tc>
          <w:tcPr>
            <w:tcW w:type="dxa" w:w="1699"/>
            <w:tcMar>
              <w:top w:w="100" w:type="dxa"/>
              <w:start w:w="120" w:type="dxa"/>
              <w:bottom w:w="100" w:type="dxa"/>
              <w:end w:w="120" w:type="dxa"/>
            </w:tcMar>
          </w:tcPr>
          <w:p>
            <w:pPr>
              <w:jc w:val="center"/>
            </w:pPr>
            <w:r>
              <w:rPr>
                <w:rFonts w:ascii="Aptos" w:hAnsi="Aptos"/>
                <w:color w:val="333333"/>
                <w:sz w:val="17"/>
              </w:rPr>
              <w:t>M01-JIRA-001</w:t>
            </w:r>
          </w:p>
        </w:tc>
        <w:tc>
          <w:tcPr>
            <w:tcW w:type="dxa" w:w="1656"/>
            <w:tcMar>
              <w:top w:w="100" w:type="dxa"/>
              <w:start w:w="120" w:type="dxa"/>
              <w:bottom w:w="100" w:type="dxa"/>
              <w:end w:w="120" w:type="dxa"/>
            </w:tcMar>
          </w:tcPr>
          <w:p>
            <w:pPr>
              <w:jc w:val="center"/>
            </w:pPr>
            <w:r>
              <w:rPr>
                <w:rFonts w:ascii="Aptos" w:hAnsi="Aptos"/>
                <w:color w:val="333333"/>
                <w:sz w:val="17"/>
              </w:rPr>
              <w:t>Bug</w:t>
            </w:r>
          </w:p>
        </w:tc>
        <w:tc>
          <w:tcPr>
            <w:tcW w:type="dxa" w:w="1296"/>
            <w:tcMar>
              <w:top w:w="100" w:type="dxa"/>
              <w:start w:w="120" w:type="dxa"/>
              <w:bottom w:w="100" w:type="dxa"/>
              <w:end w:w="120" w:type="dxa"/>
            </w:tcMar>
          </w:tcPr>
          <w:p>
            <w:pPr>
              <w:jc w:val="center"/>
            </w:pPr>
            <w:r>
              <w:rPr>
                <w:rFonts w:ascii="Aptos" w:hAnsi="Aptos"/>
                <w:color w:val="333333"/>
                <w:sz w:val="17"/>
              </w:rPr>
              <w:t>Media</w:t>
            </w:r>
          </w:p>
        </w:tc>
        <w:tc>
          <w:tcPr>
            <w:tcW w:type="dxa" w:w="3168"/>
            <w:tcMar>
              <w:top w:w="100" w:type="dxa"/>
              <w:start w:w="120" w:type="dxa"/>
              <w:bottom w:w="100" w:type="dxa"/>
              <w:end w:w="120" w:type="dxa"/>
            </w:tcMar>
          </w:tcPr>
          <w:p>
            <w:pPr>
              <w:jc w:val="left"/>
            </w:pPr>
            <w:r>
              <w:rPr>
                <w:rFonts w:ascii="Aptos" w:hAnsi="Aptos"/>
                <w:color w:val="333333"/>
                <w:sz w:val="17"/>
              </w:rPr>
              <w:t>M1-V24</w:t>
            </w:r>
          </w:p>
        </w:tc>
        <w:tc>
          <w:tcPr>
            <w:tcW w:type="dxa" w:w="1872"/>
            <w:tcMar>
              <w:top w:w="100" w:type="dxa"/>
              <w:start w:w="120" w:type="dxa"/>
              <w:bottom w:w="100" w:type="dxa"/>
              <w:end w:w="120" w:type="dxa"/>
            </w:tcMar>
            <w:shd w:fill="EAF5E6"/>
          </w:tcPr>
          <w:p>
            <w:pPr>
              <w:jc w:val="center"/>
            </w:pPr>
            <w:r>
              <w:rPr>
                <w:rFonts w:ascii="Aptos" w:hAnsi="Aptos"/>
                <w:color w:val="333333"/>
                <w:sz w:val="17"/>
              </w:rPr>
              <w:t>Confirmado</w:t>
            </w:r>
          </w:p>
        </w:tc>
      </w:tr>
      <w:tr>
        <w:tc>
          <w:tcPr>
            <w:tcW w:type="dxa" w:w="1699"/>
            <w:tcMar>
              <w:top w:w="100" w:type="dxa"/>
              <w:start w:w="120" w:type="dxa"/>
              <w:bottom w:w="100" w:type="dxa"/>
              <w:end w:w="120" w:type="dxa"/>
            </w:tcMar>
          </w:tcPr>
          <w:p>
            <w:pPr>
              <w:jc w:val="center"/>
            </w:pPr>
            <w:r>
              <w:rPr>
                <w:rFonts w:ascii="Aptos" w:hAnsi="Aptos"/>
                <w:color w:val="333333"/>
                <w:sz w:val="17"/>
              </w:rPr>
              <w:t>M01-JIRA-002</w:t>
            </w:r>
          </w:p>
        </w:tc>
        <w:tc>
          <w:tcPr>
            <w:tcW w:type="dxa" w:w="1656"/>
            <w:tcMar>
              <w:top w:w="100" w:type="dxa"/>
              <w:start w:w="120" w:type="dxa"/>
              <w:bottom w:w="100" w:type="dxa"/>
              <w:end w:w="120" w:type="dxa"/>
            </w:tcMar>
          </w:tcPr>
          <w:p>
            <w:pPr>
              <w:jc w:val="center"/>
            </w:pPr>
            <w:r>
              <w:rPr>
                <w:rFonts w:ascii="Aptos" w:hAnsi="Aptos"/>
                <w:color w:val="333333"/>
                <w:sz w:val="17"/>
              </w:rPr>
              <w:t>Bug</w:t>
            </w:r>
          </w:p>
        </w:tc>
        <w:tc>
          <w:tcPr>
            <w:tcW w:type="dxa" w:w="1296"/>
            <w:tcMar>
              <w:top w:w="100" w:type="dxa"/>
              <w:start w:w="120" w:type="dxa"/>
              <w:bottom w:w="100" w:type="dxa"/>
              <w:end w:w="120" w:type="dxa"/>
            </w:tcMar>
          </w:tcPr>
          <w:p>
            <w:pPr>
              <w:jc w:val="center"/>
            </w:pPr>
            <w:r>
              <w:rPr>
                <w:rFonts w:ascii="Aptos" w:hAnsi="Aptos"/>
                <w:color w:val="333333"/>
                <w:sz w:val="17"/>
              </w:rPr>
              <w:t>Alta</w:t>
            </w:r>
          </w:p>
        </w:tc>
        <w:tc>
          <w:tcPr>
            <w:tcW w:type="dxa" w:w="3168"/>
            <w:tcMar>
              <w:top w:w="100" w:type="dxa"/>
              <w:start w:w="120" w:type="dxa"/>
              <w:bottom w:w="100" w:type="dxa"/>
              <w:end w:w="120" w:type="dxa"/>
            </w:tcMar>
          </w:tcPr>
          <w:p>
            <w:pPr>
              <w:jc w:val="left"/>
            </w:pPr>
            <w:r>
              <w:rPr>
                <w:rFonts w:ascii="Aptos" w:hAnsi="Aptos"/>
                <w:color w:val="333333"/>
                <w:sz w:val="17"/>
              </w:rPr>
              <w:t>M1-V47 / V60</w:t>
            </w:r>
          </w:p>
        </w:tc>
        <w:tc>
          <w:tcPr>
            <w:tcW w:type="dxa" w:w="1872"/>
            <w:tcMar>
              <w:top w:w="100" w:type="dxa"/>
              <w:start w:w="120" w:type="dxa"/>
              <w:bottom w:w="100" w:type="dxa"/>
              <w:end w:w="120" w:type="dxa"/>
            </w:tcMar>
            <w:shd w:fill="EAF5E6"/>
          </w:tcPr>
          <w:p>
            <w:pPr>
              <w:jc w:val="center"/>
            </w:pPr>
            <w:r>
              <w:rPr>
                <w:rFonts w:ascii="Aptos" w:hAnsi="Aptos"/>
                <w:color w:val="333333"/>
                <w:sz w:val="17"/>
              </w:rPr>
              <w:t>Confirmado</w:t>
            </w:r>
          </w:p>
        </w:tc>
      </w:tr>
      <w:tr>
        <w:tc>
          <w:tcPr>
            <w:tcW w:type="dxa" w:w="1699"/>
            <w:tcMar>
              <w:top w:w="100" w:type="dxa"/>
              <w:start w:w="120" w:type="dxa"/>
              <w:bottom w:w="100" w:type="dxa"/>
              <w:end w:w="120" w:type="dxa"/>
            </w:tcMar>
          </w:tcPr>
          <w:p>
            <w:pPr>
              <w:jc w:val="center"/>
            </w:pPr>
            <w:r>
              <w:rPr>
                <w:rFonts w:ascii="Aptos" w:hAnsi="Aptos"/>
                <w:color w:val="333333"/>
                <w:sz w:val="17"/>
              </w:rPr>
              <w:t>M01-JIRA-003</w:t>
            </w:r>
          </w:p>
        </w:tc>
        <w:tc>
          <w:tcPr>
            <w:tcW w:type="dxa" w:w="1656"/>
            <w:tcMar>
              <w:top w:w="100" w:type="dxa"/>
              <w:start w:w="120" w:type="dxa"/>
              <w:bottom w:w="100" w:type="dxa"/>
              <w:end w:w="120" w:type="dxa"/>
            </w:tcMar>
          </w:tcPr>
          <w:p>
            <w:pPr>
              <w:jc w:val="center"/>
            </w:pPr>
            <w:r>
              <w:rPr>
                <w:rFonts w:ascii="Aptos" w:hAnsi="Aptos"/>
                <w:color w:val="333333"/>
                <w:sz w:val="17"/>
              </w:rPr>
              <w:t>Bug / Config</w:t>
            </w:r>
          </w:p>
        </w:tc>
        <w:tc>
          <w:tcPr>
            <w:tcW w:type="dxa" w:w="1296"/>
            <w:tcMar>
              <w:top w:w="100" w:type="dxa"/>
              <w:start w:w="120" w:type="dxa"/>
              <w:bottom w:w="100" w:type="dxa"/>
              <w:end w:w="120" w:type="dxa"/>
            </w:tcMar>
          </w:tcPr>
          <w:p>
            <w:pPr>
              <w:jc w:val="center"/>
            </w:pPr>
            <w:r>
              <w:rPr>
                <w:rFonts w:ascii="Aptos" w:hAnsi="Aptos"/>
                <w:color w:val="333333"/>
                <w:sz w:val="17"/>
              </w:rPr>
              <w:t>Media</w:t>
            </w:r>
          </w:p>
        </w:tc>
        <w:tc>
          <w:tcPr>
            <w:tcW w:type="dxa" w:w="3168"/>
            <w:tcMar>
              <w:top w:w="100" w:type="dxa"/>
              <w:start w:w="120" w:type="dxa"/>
              <w:bottom w:w="100" w:type="dxa"/>
              <w:end w:w="120" w:type="dxa"/>
            </w:tcMar>
          </w:tcPr>
          <w:p>
            <w:pPr>
              <w:jc w:val="left"/>
            </w:pPr>
            <w:r>
              <w:rPr>
                <w:rFonts w:ascii="Aptos" w:hAnsi="Aptos"/>
                <w:color w:val="333333"/>
                <w:sz w:val="17"/>
              </w:rPr>
              <w:t>M1-V16</w:t>
            </w:r>
          </w:p>
        </w:tc>
        <w:tc>
          <w:tcPr>
            <w:tcW w:type="dxa" w:w="1872"/>
            <w:tcMar>
              <w:top w:w="100" w:type="dxa"/>
              <w:start w:w="120" w:type="dxa"/>
              <w:bottom w:w="100" w:type="dxa"/>
              <w:end w:w="120" w:type="dxa"/>
            </w:tcMar>
            <w:shd w:fill="EAF5E6"/>
          </w:tcPr>
          <w:p>
            <w:pPr>
              <w:jc w:val="center"/>
            </w:pPr>
            <w:r>
              <w:rPr>
                <w:rFonts w:ascii="Aptos" w:hAnsi="Aptos"/>
                <w:color w:val="333333"/>
                <w:sz w:val="17"/>
              </w:rPr>
              <w:t>Confirmado</w:t>
            </w:r>
          </w:p>
        </w:tc>
      </w:tr>
      <w:tr>
        <w:tc>
          <w:tcPr>
            <w:tcW w:type="dxa" w:w="1699"/>
            <w:tcMar>
              <w:top w:w="100" w:type="dxa"/>
              <w:start w:w="120" w:type="dxa"/>
              <w:bottom w:w="100" w:type="dxa"/>
              <w:end w:w="120" w:type="dxa"/>
            </w:tcMar>
          </w:tcPr>
          <w:p>
            <w:pPr>
              <w:jc w:val="center"/>
            </w:pPr>
            <w:r>
              <w:rPr>
                <w:rFonts w:ascii="Aptos" w:hAnsi="Aptos"/>
                <w:color w:val="333333"/>
                <w:sz w:val="17"/>
              </w:rPr>
              <w:t>M01-JIRA-004</w:t>
            </w:r>
          </w:p>
        </w:tc>
        <w:tc>
          <w:tcPr>
            <w:tcW w:type="dxa" w:w="1656"/>
            <w:tcMar>
              <w:top w:w="100" w:type="dxa"/>
              <w:start w:w="120" w:type="dxa"/>
              <w:bottom w:w="100" w:type="dxa"/>
              <w:end w:w="120" w:type="dxa"/>
            </w:tcMar>
          </w:tcPr>
          <w:p>
            <w:pPr>
              <w:jc w:val="center"/>
            </w:pPr>
            <w:r>
              <w:rPr>
                <w:rFonts w:ascii="Aptos" w:hAnsi="Aptos"/>
                <w:color w:val="333333"/>
                <w:sz w:val="17"/>
              </w:rPr>
              <w:t>Bug UI</w:t>
            </w:r>
          </w:p>
        </w:tc>
        <w:tc>
          <w:tcPr>
            <w:tcW w:type="dxa" w:w="1296"/>
            <w:tcMar>
              <w:top w:w="100" w:type="dxa"/>
              <w:start w:w="120" w:type="dxa"/>
              <w:bottom w:w="100" w:type="dxa"/>
              <w:end w:w="120" w:type="dxa"/>
            </w:tcMar>
          </w:tcPr>
          <w:p>
            <w:pPr>
              <w:jc w:val="center"/>
            </w:pPr>
            <w:r>
              <w:rPr>
                <w:rFonts w:ascii="Aptos" w:hAnsi="Aptos"/>
                <w:color w:val="333333"/>
                <w:sz w:val="17"/>
              </w:rPr>
              <w:t>Media</w:t>
            </w:r>
          </w:p>
        </w:tc>
        <w:tc>
          <w:tcPr>
            <w:tcW w:type="dxa" w:w="3168"/>
            <w:tcMar>
              <w:top w:w="100" w:type="dxa"/>
              <w:start w:w="120" w:type="dxa"/>
              <w:bottom w:w="100" w:type="dxa"/>
              <w:end w:w="120" w:type="dxa"/>
            </w:tcMar>
          </w:tcPr>
          <w:p>
            <w:pPr>
              <w:jc w:val="left"/>
            </w:pPr>
            <w:r>
              <w:rPr>
                <w:rFonts w:ascii="Aptos" w:hAnsi="Aptos"/>
                <w:color w:val="333333"/>
                <w:sz w:val="17"/>
              </w:rPr>
              <w:t>V08 / V09 / V24</w:t>
            </w:r>
          </w:p>
        </w:tc>
        <w:tc>
          <w:tcPr>
            <w:tcW w:type="dxa" w:w="1872"/>
            <w:tcMar>
              <w:top w:w="100" w:type="dxa"/>
              <w:start w:w="120" w:type="dxa"/>
              <w:bottom w:w="100" w:type="dxa"/>
              <w:end w:w="120" w:type="dxa"/>
            </w:tcMar>
            <w:shd w:fill="EAF5E6"/>
          </w:tcPr>
          <w:p>
            <w:pPr>
              <w:jc w:val="center"/>
            </w:pPr>
            <w:r>
              <w:rPr>
                <w:rFonts w:ascii="Aptos" w:hAnsi="Aptos"/>
                <w:color w:val="333333"/>
                <w:sz w:val="17"/>
              </w:rPr>
              <w:t>Confirmado</w:t>
            </w:r>
          </w:p>
        </w:tc>
      </w:tr>
      <w:tr>
        <w:tc>
          <w:tcPr>
            <w:tcW w:type="dxa" w:w="1699"/>
            <w:tcMar>
              <w:top w:w="100" w:type="dxa"/>
              <w:start w:w="120" w:type="dxa"/>
              <w:bottom w:w="100" w:type="dxa"/>
              <w:end w:w="120" w:type="dxa"/>
            </w:tcMar>
          </w:tcPr>
          <w:p>
            <w:pPr>
              <w:jc w:val="center"/>
            </w:pPr>
            <w:r>
              <w:rPr>
                <w:rFonts w:ascii="Aptos" w:hAnsi="Aptos"/>
                <w:color w:val="333333"/>
                <w:sz w:val="17"/>
              </w:rPr>
              <w:t>M01-JIRA-005</w:t>
            </w:r>
          </w:p>
        </w:tc>
        <w:tc>
          <w:tcPr>
            <w:tcW w:type="dxa" w:w="1656"/>
            <w:tcMar>
              <w:top w:w="100" w:type="dxa"/>
              <w:start w:w="120" w:type="dxa"/>
              <w:bottom w:w="100" w:type="dxa"/>
              <w:end w:w="120" w:type="dxa"/>
            </w:tcMar>
          </w:tcPr>
          <w:p>
            <w:pPr>
              <w:jc w:val="center"/>
            </w:pPr>
            <w:r>
              <w:rPr>
                <w:rFonts w:ascii="Aptos" w:hAnsi="Aptos"/>
                <w:color w:val="333333"/>
                <w:sz w:val="17"/>
              </w:rPr>
              <w:t>UX / Copy</w:t>
            </w:r>
          </w:p>
        </w:tc>
        <w:tc>
          <w:tcPr>
            <w:tcW w:type="dxa" w:w="1296"/>
            <w:tcMar>
              <w:top w:w="100" w:type="dxa"/>
              <w:start w:w="120" w:type="dxa"/>
              <w:bottom w:w="100" w:type="dxa"/>
              <w:end w:w="120" w:type="dxa"/>
            </w:tcMar>
          </w:tcPr>
          <w:p>
            <w:pPr>
              <w:jc w:val="center"/>
            </w:pPr>
            <w:r>
              <w:rPr>
                <w:rFonts w:ascii="Aptos" w:hAnsi="Aptos"/>
                <w:color w:val="333333"/>
                <w:sz w:val="17"/>
              </w:rPr>
              <w:t>Baja</w:t>
            </w:r>
          </w:p>
        </w:tc>
        <w:tc>
          <w:tcPr>
            <w:tcW w:type="dxa" w:w="3168"/>
            <w:tcMar>
              <w:top w:w="100" w:type="dxa"/>
              <w:start w:w="120" w:type="dxa"/>
              <w:bottom w:w="100" w:type="dxa"/>
              <w:end w:w="120" w:type="dxa"/>
            </w:tcMar>
          </w:tcPr>
          <w:p>
            <w:pPr>
              <w:jc w:val="left"/>
            </w:pPr>
            <w:r>
              <w:rPr>
                <w:rFonts w:ascii="Aptos" w:hAnsi="Aptos"/>
                <w:color w:val="333333"/>
                <w:sz w:val="17"/>
              </w:rPr>
              <w:t>M1-V27</w:t>
            </w:r>
          </w:p>
        </w:tc>
        <w:tc>
          <w:tcPr>
            <w:tcW w:type="dxa" w:w="1872"/>
            <w:tcMar>
              <w:top w:w="100" w:type="dxa"/>
              <w:start w:w="120" w:type="dxa"/>
              <w:bottom w:w="100" w:type="dxa"/>
              <w:end w:w="120" w:type="dxa"/>
            </w:tcMar>
            <w:shd w:fill="EAF5E6"/>
          </w:tcPr>
          <w:p>
            <w:pPr>
              <w:jc w:val="center"/>
            </w:pPr>
            <w:r>
              <w:rPr>
                <w:rFonts w:ascii="Aptos" w:hAnsi="Aptos"/>
                <w:color w:val="333333"/>
                <w:sz w:val="17"/>
              </w:rPr>
              <w:t>Confirmado</w:t>
            </w:r>
          </w:p>
        </w:tc>
      </w:tr>
      <w:tr>
        <w:tc>
          <w:tcPr>
            <w:tcW w:type="dxa" w:w="1699"/>
            <w:tcMar>
              <w:top w:w="100" w:type="dxa"/>
              <w:start w:w="120" w:type="dxa"/>
              <w:bottom w:w="100" w:type="dxa"/>
              <w:end w:w="120" w:type="dxa"/>
            </w:tcMar>
          </w:tcPr>
          <w:p>
            <w:pPr>
              <w:jc w:val="center"/>
            </w:pPr>
            <w:r>
              <w:rPr>
                <w:rFonts w:ascii="Aptos" w:hAnsi="Aptos"/>
                <w:color w:val="333333"/>
                <w:sz w:val="17"/>
              </w:rPr>
              <w:t>M01-JIRA-006</w:t>
            </w:r>
          </w:p>
        </w:tc>
        <w:tc>
          <w:tcPr>
            <w:tcW w:type="dxa" w:w="1656"/>
            <w:tcMar>
              <w:top w:w="100" w:type="dxa"/>
              <w:start w:w="120" w:type="dxa"/>
              <w:bottom w:w="100" w:type="dxa"/>
              <w:end w:w="120" w:type="dxa"/>
            </w:tcMar>
          </w:tcPr>
          <w:p>
            <w:pPr>
              <w:jc w:val="center"/>
            </w:pPr>
            <w:r>
              <w:rPr>
                <w:rFonts w:ascii="Aptos" w:hAnsi="Aptos"/>
                <w:color w:val="333333"/>
                <w:sz w:val="17"/>
              </w:rPr>
              <w:t>UX / Copy</w:t>
            </w:r>
          </w:p>
        </w:tc>
        <w:tc>
          <w:tcPr>
            <w:tcW w:type="dxa" w:w="1296"/>
            <w:tcMar>
              <w:top w:w="100" w:type="dxa"/>
              <w:start w:w="120" w:type="dxa"/>
              <w:bottom w:w="100" w:type="dxa"/>
              <w:end w:w="120" w:type="dxa"/>
            </w:tcMar>
          </w:tcPr>
          <w:p>
            <w:pPr>
              <w:jc w:val="center"/>
            </w:pPr>
            <w:r>
              <w:rPr>
                <w:rFonts w:ascii="Aptos" w:hAnsi="Aptos"/>
                <w:color w:val="333333"/>
                <w:sz w:val="17"/>
              </w:rPr>
              <w:t>Baja</w:t>
            </w:r>
          </w:p>
        </w:tc>
        <w:tc>
          <w:tcPr>
            <w:tcW w:type="dxa" w:w="3168"/>
            <w:tcMar>
              <w:top w:w="100" w:type="dxa"/>
              <w:start w:w="120" w:type="dxa"/>
              <w:bottom w:w="100" w:type="dxa"/>
              <w:end w:w="120" w:type="dxa"/>
            </w:tcMar>
          </w:tcPr>
          <w:p>
            <w:pPr>
              <w:jc w:val="left"/>
            </w:pPr>
            <w:r>
              <w:rPr>
                <w:rFonts w:ascii="Aptos" w:hAnsi="Aptos"/>
                <w:color w:val="333333"/>
                <w:sz w:val="17"/>
              </w:rPr>
              <w:t>V13 / V16</w:t>
            </w:r>
          </w:p>
        </w:tc>
        <w:tc>
          <w:tcPr>
            <w:tcW w:type="dxa" w:w="1872"/>
            <w:tcMar>
              <w:top w:w="100" w:type="dxa"/>
              <w:start w:w="120" w:type="dxa"/>
              <w:bottom w:w="100" w:type="dxa"/>
              <w:end w:w="120" w:type="dxa"/>
            </w:tcMar>
            <w:shd w:fill="EAF5E6"/>
          </w:tcPr>
          <w:p>
            <w:pPr>
              <w:jc w:val="center"/>
            </w:pPr>
            <w:r>
              <w:rPr>
                <w:rFonts w:ascii="Aptos" w:hAnsi="Aptos"/>
                <w:color w:val="333333"/>
                <w:sz w:val="17"/>
              </w:rPr>
              <w:t>Confirmado</w:t>
            </w:r>
          </w:p>
        </w:tc>
      </w:tr>
      <w:tr>
        <w:tc>
          <w:tcPr>
            <w:tcW w:type="dxa" w:w="1699"/>
            <w:tcMar>
              <w:top w:w="100" w:type="dxa"/>
              <w:start w:w="120" w:type="dxa"/>
              <w:bottom w:w="100" w:type="dxa"/>
              <w:end w:w="120" w:type="dxa"/>
            </w:tcMar>
          </w:tcPr>
          <w:p>
            <w:pPr>
              <w:jc w:val="center"/>
            </w:pPr>
            <w:r>
              <w:rPr>
                <w:rFonts w:ascii="Aptos" w:hAnsi="Aptos"/>
                <w:color w:val="333333"/>
                <w:sz w:val="17"/>
              </w:rPr>
              <w:t>M01-TECH-001</w:t>
            </w:r>
          </w:p>
        </w:tc>
        <w:tc>
          <w:tcPr>
            <w:tcW w:type="dxa" w:w="1656"/>
            <w:tcMar>
              <w:top w:w="100" w:type="dxa"/>
              <w:start w:w="120" w:type="dxa"/>
              <w:bottom w:w="100" w:type="dxa"/>
              <w:end w:w="120" w:type="dxa"/>
            </w:tcMar>
          </w:tcPr>
          <w:p>
            <w:pPr>
              <w:jc w:val="center"/>
            </w:pPr>
            <w:r>
              <w:rPr>
                <w:rFonts w:ascii="Aptos" w:hAnsi="Aptos"/>
                <w:color w:val="333333"/>
                <w:sz w:val="17"/>
              </w:rPr>
              <w:t>Tarea técnica</w:t>
            </w:r>
          </w:p>
        </w:tc>
        <w:tc>
          <w:tcPr>
            <w:tcW w:type="dxa" w:w="1296"/>
            <w:tcMar>
              <w:top w:w="100" w:type="dxa"/>
              <w:start w:w="120" w:type="dxa"/>
              <w:bottom w:w="100" w:type="dxa"/>
              <w:end w:w="120" w:type="dxa"/>
            </w:tcMar>
          </w:tcPr>
          <w:p>
            <w:pPr>
              <w:jc w:val="center"/>
            </w:pPr>
            <w:r>
              <w:rPr>
                <w:rFonts w:ascii="Aptos" w:hAnsi="Aptos"/>
                <w:color w:val="333333"/>
                <w:sz w:val="17"/>
              </w:rPr>
              <w:t>Alta</w:t>
            </w:r>
          </w:p>
        </w:tc>
        <w:tc>
          <w:tcPr>
            <w:tcW w:type="dxa" w:w="3168"/>
            <w:tcMar>
              <w:top w:w="100" w:type="dxa"/>
              <w:start w:w="120" w:type="dxa"/>
              <w:bottom w:w="100" w:type="dxa"/>
              <w:end w:w="120" w:type="dxa"/>
            </w:tcMar>
          </w:tcPr>
          <w:p>
            <w:pPr>
              <w:jc w:val="left"/>
            </w:pPr>
            <w:r>
              <w:rPr>
                <w:rFonts w:ascii="Aptos" w:hAnsi="Aptos"/>
                <w:color w:val="333333"/>
                <w:sz w:val="17"/>
              </w:rPr>
              <w:t>M1-V40 / RGL-010</w:t>
            </w:r>
          </w:p>
        </w:tc>
        <w:tc>
          <w:tcPr>
            <w:tcW w:type="dxa" w:w="1872"/>
            <w:tcMar>
              <w:top w:w="100" w:type="dxa"/>
              <w:start w:w="120" w:type="dxa"/>
              <w:bottom w:w="100" w:type="dxa"/>
              <w:end w:w="120" w:type="dxa"/>
            </w:tcMar>
            <w:shd w:fill="EAF4F4"/>
          </w:tcPr>
          <w:p>
            <w:pPr>
              <w:jc w:val="center"/>
            </w:pPr>
            <w:r>
              <w:rPr>
                <w:rFonts w:ascii="Aptos" w:hAnsi="Aptos"/>
                <w:color w:val="333333"/>
                <w:sz w:val="17"/>
              </w:rPr>
              <w:t>Solicitud técnica</w:t>
            </w:r>
          </w:p>
        </w:tc>
      </w:tr>
    </w:tbl>
    <w:p>
      <w:pPr>
        <w:spacing w:after="60"/>
      </w:pPr>
    </w:p>
    <w:p>
      <w:pPr>
        <w:spacing w:after="100" w:line="259" w:lineRule="auto"/>
      </w:pPr>
      <w:r>
        <w:rPr>
          <w:rFonts w:ascii="Aptos" w:hAnsi="Aptos"/>
          <w:color w:val="333333"/>
          <w:sz w:val="21"/>
        </w:rPr>
        <w:t>Los ítems M01-JIRA-004 a M01-JIRA-006 corresponden a defectos/ajustes de presentación o contenido y no cambian por sí solos el resultado funcional de las variantes relacionadas. La matriz adjunta conserva esa separación.</w:t>
      </w:r>
    </w:p>
    <w:p>
      <w:pPr>
        <w:spacing w:before="140" w:after="100"/>
      </w:pPr>
      <w:r>
        <w:rPr>
          <w:rFonts w:ascii="Aptos" w:hAnsi="Aptos"/>
          <w:b/>
          <w:color w:val="155C5D"/>
          <w:sz w:val="26"/>
        </w:rPr>
        <w:t>M01-JIRA-001 · Guardar y continuar se habilita con datos incompletos en primer ingreso</w:t>
      </w:r>
    </w:p>
    <w:tbl>
      <w:tblPr>
        <w:tblW w:type="auto" w:w="0"/>
        <w:jc w:val="center"/>
        <w:tblLayout w:type="fixed"/>
        <w:tblLook w:firstColumn="1" w:firstRow="1" w:lastColumn="0" w:lastRow="0" w:noHBand="0" w:noVBand="1" w:val="04A0"/>
      </w:tblPr>
      <w:tblGrid>
        <w:gridCol w:w="1584"/>
        <w:gridCol w:w="3240"/>
        <w:gridCol w:w="1584"/>
        <w:gridCol w:w="3240"/>
      </w:tblGrid>
      <w:tr>
        <w:tc>
          <w:tcPr>
            <w:tcW w:type="dxa" w:w="2570"/>
            <w:shd w:fill="EAF4F4"/>
            <w:tcMar>
              <w:top w:w="100" w:type="dxa"/>
              <w:start w:w="120" w:type="dxa"/>
              <w:bottom w:w="100" w:type="dxa"/>
              <w:end w:w="120" w:type="dxa"/>
            </w:tcMar>
          </w:tcPr>
          <w:p>
            <w:r>
              <w:rPr>
                <w:b/>
                <w:color w:val="173536"/>
                <w:sz w:val="18"/>
              </w:rPr>
              <w:t>Tipo</w:t>
            </w:r>
          </w:p>
        </w:tc>
        <w:tc>
          <w:tcPr>
            <w:tcW w:type="dxa" w:w="2570"/>
            <w:tcMar>
              <w:top w:w="100" w:type="dxa"/>
              <w:start w:w="120" w:type="dxa"/>
              <w:bottom w:w="100" w:type="dxa"/>
              <w:end w:w="120" w:type="dxa"/>
            </w:tcMar>
          </w:tcPr>
          <w:p>
            <w:r>
              <w:rPr>
                <w:color w:val="333333"/>
                <w:sz w:val="18"/>
              </w:rPr>
              <w:t>Bug</w:t>
            </w:r>
          </w:p>
        </w:tc>
        <w:tc>
          <w:tcPr>
            <w:tcW w:type="dxa" w:w="2570"/>
            <w:shd w:fill="EAF4F4"/>
            <w:tcMar>
              <w:top w:w="100" w:type="dxa"/>
              <w:start w:w="120" w:type="dxa"/>
              <w:bottom w:w="100" w:type="dxa"/>
              <w:end w:w="120" w:type="dxa"/>
            </w:tcMar>
          </w:tcPr>
          <w:p>
            <w:r>
              <w:rPr>
                <w:b/>
                <w:color w:val="173536"/>
                <w:sz w:val="18"/>
              </w:rPr>
              <w:t>Prioridad sugerida</w:t>
            </w:r>
          </w:p>
        </w:tc>
        <w:tc>
          <w:tcPr>
            <w:tcW w:type="dxa" w:w="2570"/>
            <w:tcMar>
              <w:top w:w="100" w:type="dxa"/>
              <w:start w:w="120" w:type="dxa"/>
              <w:bottom w:w="100" w:type="dxa"/>
              <w:end w:w="120" w:type="dxa"/>
            </w:tcMar>
          </w:tcPr>
          <w:p>
            <w:r>
              <w:rPr>
                <w:color w:val="333333"/>
                <w:sz w:val="18"/>
              </w:rPr>
              <w:t>Media</w:t>
            </w:r>
          </w:p>
        </w:tc>
      </w:tr>
      <w:tr>
        <w:tc>
          <w:tcPr>
            <w:tcW w:type="dxa" w:w="2570"/>
            <w:shd w:fill="EAF4F4"/>
            <w:tcMar>
              <w:top w:w="100" w:type="dxa"/>
              <w:start w:w="120" w:type="dxa"/>
              <w:bottom w:w="100" w:type="dxa"/>
              <w:end w:w="120" w:type="dxa"/>
            </w:tcMar>
          </w:tcPr>
          <w:p>
            <w:r>
              <w:rPr>
                <w:b/>
                <w:color w:val="173536"/>
                <w:sz w:val="18"/>
              </w:rPr>
              <w:t>Relación</w:t>
            </w:r>
          </w:p>
        </w:tc>
        <w:tc>
          <w:tcPr>
            <w:tcW w:type="dxa" w:w="2570"/>
            <w:tcMar>
              <w:top w:w="100" w:type="dxa"/>
              <w:start w:w="120" w:type="dxa"/>
              <w:bottom w:w="100" w:type="dxa"/>
              <w:end w:w="120" w:type="dxa"/>
            </w:tcMar>
          </w:tcPr>
          <w:p>
            <w:r>
              <w:rPr>
                <w:color w:val="333333"/>
                <w:sz w:val="18"/>
              </w:rPr>
              <w:t>M1-V24 · M1-HU-008 CA2 · M1-RN-ACC-017</w:t>
            </w:r>
          </w:p>
        </w:tc>
        <w:tc>
          <w:tcPr>
            <w:tcW w:type="dxa" w:w="2570"/>
            <w:shd w:fill="EAF4F4"/>
            <w:tcMar>
              <w:top w:w="100" w:type="dxa"/>
              <w:start w:w="120" w:type="dxa"/>
              <w:bottom w:w="100" w:type="dxa"/>
              <w:end w:w="120" w:type="dxa"/>
            </w:tcMar>
          </w:tcPr>
          <w:p>
            <w:r>
              <w:rPr>
                <w:b/>
                <w:color w:val="173536"/>
                <w:sz w:val="18"/>
              </w:rPr>
              <w:t>Estado de evidencia</w:t>
            </w:r>
          </w:p>
        </w:tc>
        <w:tc>
          <w:tcPr>
            <w:tcW w:type="dxa" w:w="2570"/>
            <w:tcMar>
              <w:top w:w="100" w:type="dxa"/>
              <w:start w:w="120" w:type="dxa"/>
              <w:bottom w:w="100" w:type="dxa"/>
              <w:end w:w="120" w:type="dxa"/>
            </w:tcMar>
          </w:tcPr>
          <w:p>
            <w:r>
              <w:rPr>
                <w:color w:val="333333"/>
                <w:sz w:val="18"/>
              </w:rPr>
              <w:t>Confirmado</w:t>
            </w:r>
          </w:p>
        </w:tc>
      </w:tr>
    </w:tbl>
    <w:p>
      <w:pPr>
        <w:spacing w:after="40"/>
      </w:pPr>
    </w:p>
    <w:p>
      <w:pPr>
        <w:spacing w:after="80" w:line="252" w:lineRule="auto"/>
      </w:pPr>
      <w:r>
        <w:rPr>
          <w:b/>
          <w:color w:val="173536"/>
          <w:sz w:val="20"/>
        </w:rPr>
        <w:t xml:space="preserve">Resultado observado: </w:t>
      </w:r>
      <w:r>
        <w:rPr>
          <w:color w:val="333333"/>
          <w:sz w:val="20"/>
        </w:rPr>
        <w:t>Con los tres campos vacíos, “Guardar y continuar” aparece deshabilitado. Al ingresar únicamente la letra “J” en Nombre, dejando Apellido y Alias vacíos, el CTA se habilita.</w:t>
      </w:r>
    </w:p>
    <w:p>
      <w:pPr>
        <w:spacing w:after="80" w:line="252" w:lineRule="auto"/>
      </w:pPr>
      <w:r>
        <w:rPr>
          <w:b/>
          <w:color w:val="173536"/>
          <w:sz w:val="20"/>
        </w:rPr>
        <w:t xml:space="preserve">Comportamiento esperado: </w:t>
      </w:r>
      <w:r>
        <w:rPr>
          <w:color w:val="333333"/>
          <w:sz w:val="20"/>
        </w:rPr>
        <w:t>La matriz establece que al completar nombre, apellido y alias válidos se habilita “Guardar y continuar”. La omisión/postergación debe permanecer como una ruta separada.</w:t>
      </w:r>
    </w:p>
    <w:p>
      <w:pPr>
        <w:spacing w:after="80" w:line="252" w:lineRule="auto"/>
      </w:pPr>
      <w:r>
        <w:rPr>
          <w:b/>
          <w:color w:val="173536"/>
          <w:sz w:val="20"/>
        </w:rPr>
        <w:t xml:space="preserve">Pasos de reproducción: </w:t>
      </w:r>
      <w:r>
        <w:rPr>
          <w:color w:val="333333"/>
          <w:sz w:val="20"/>
        </w:rPr>
      </w:r>
    </w:p>
    <w:p>
      <w:pPr>
        <w:pStyle w:val="ListNumber"/>
        <w:spacing w:after="40"/>
        <w:ind w:left="360"/>
      </w:pPr>
      <w:r>
        <w:rPr>
          <w:rFonts w:ascii="Aptos" w:hAnsi="Aptos"/>
          <w:sz w:val="20"/>
        </w:rPr>
        <w:t>Llegar a “Ingresa tus datos” después de verificar la cuenta.</w:t>
      </w:r>
    </w:p>
    <w:p>
      <w:pPr>
        <w:pStyle w:val="ListNumber"/>
        <w:spacing w:after="40"/>
        <w:ind w:left="360"/>
      </w:pPr>
      <w:r>
        <w:rPr>
          <w:rFonts w:ascii="Aptos" w:hAnsi="Aptos"/>
          <w:sz w:val="20"/>
        </w:rPr>
        <w:t>Dejar Nombre, Apellido y Alias vacíos y observar el CTA.</w:t>
      </w:r>
    </w:p>
    <w:p>
      <w:pPr>
        <w:pStyle w:val="ListNumber"/>
        <w:spacing w:after="40"/>
        <w:ind w:left="360"/>
      </w:pPr>
      <w:r>
        <w:rPr>
          <w:rFonts w:ascii="Aptos" w:hAnsi="Aptos"/>
          <w:sz w:val="20"/>
        </w:rPr>
        <w:t>Ingresar únicamente “J” en Nombre.</w:t>
      </w:r>
    </w:p>
    <w:p>
      <w:pPr>
        <w:pStyle w:val="ListNumber"/>
        <w:spacing w:after="40"/>
        <w:ind w:left="360"/>
      </w:pPr>
      <w:r>
        <w:rPr>
          <w:rFonts w:ascii="Aptos" w:hAnsi="Aptos"/>
          <w:sz w:val="20"/>
        </w:rPr>
        <w:t>Verificar que el CTA queda habilitado aunque Apellido y Alias permanecen vacíos.</w:t>
      </w:r>
    </w:p>
    <w:p>
      <w:pPr>
        <w:spacing w:after="80" w:line="252" w:lineRule="auto"/>
      </w:pPr>
      <w:r>
        <w:rPr>
          <w:b/>
          <w:color w:val="173536"/>
          <w:sz w:val="20"/>
        </w:rPr>
        <w:t xml:space="preserve">Impacto: </w:t>
      </w:r>
      <w:r>
        <w:rPr>
          <w:color w:val="333333"/>
          <w:sz w:val="20"/>
        </w:rPr>
        <w:t>Permite utilizar la acción de guardado con un perfil parcialmente completado, generando un estado distinto al criterio de completitud definido.</w:t>
      </w:r>
    </w:p>
    <w:p>
      <w:pPr>
        <w:spacing w:after="80" w:line="252" w:lineRule="auto"/>
      </w:pPr>
      <w:r>
        <w:rPr>
          <w:b/>
          <w:color w:val="173536"/>
          <w:sz w:val="20"/>
        </w:rPr>
        <w:t xml:space="preserve">Solicitud de cierre: </w:t>
      </w:r>
      <w:r>
        <w:rPr>
          <w:color w:val="333333"/>
          <w:sz w:val="20"/>
        </w:rPr>
        <w:t>Mantener el CTA deshabilitado mientras cualquiera de los tres campos requeridos esté vacío o inválido; validar la misma regla al persistir. Mantener “Guardar y salir/Omitir” como alternativa explícita.</w:t>
      </w:r>
    </w:p>
    <w:tbl>
      <w:tblPr>
        <w:tblW w:type="auto" w:w="0"/>
        <w:jc w:val="center"/>
        <w:tblLayout w:type="fixed"/>
        <w:tblLook w:firstColumn="1" w:firstRow="1" w:lastColumn="0" w:lastRow="0" w:noHBand="0" w:noVBand="1" w:val="04A0"/>
      </w:tblPr>
      <w:tblGrid>
        <w:gridCol w:w="4824"/>
        <w:gridCol w:w="4824"/>
      </w:tblGrid>
      <w:tr>
        <w:tc>
          <w:tcPr>
            <w:tcW w:type="dxa" w:w="5141"/>
            <w:tcMar>
              <w:top w:w="60" w:type="dxa"/>
              <w:start w:w="60" w:type="dxa"/>
              <w:bottom w:w="40" w:type="dxa"/>
              <w:end w:w="60" w:type="dxa"/>
            </w:tcMar>
          </w:tcPr>
          <w:p>
            <w:pPr>
              <w:jc w:val="center"/>
            </w:pPr>
            <w:r>
              <w:drawing>
                <wp:inline xmlns:a="http://schemas.openxmlformats.org/drawingml/2006/main" xmlns:pic="http://schemas.openxmlformats.org/drawingml/2006/picture">
                  <wp:extent cx="2880360" cy="6402653"/>
                  <wp:docPr id="1" name="Picture 1"/>
                  <wp:cNvGraphicFramePr>
                    <a:graphicFrameLocks noChangeAspect="1"/>
                  </wp:cNvGraphicFramePr>
                  <a:graphic>
                    <a:graphicData uri="http://schemas.openxmlformats.org/drawingml/2006/picture">
                      <pic:pic>
                        <pic:nvPicPr>
                          <pic:cNvPr id="0" name="EV01_V24_PRE_campos_vacios.jpg"/>
                          <pic:cNvPicPr/>
                        </pic:nvPicPr>
                        <pic:blipFill>
                          <a:blip r:embed="rId11"/>
                          <a:stretch>
                            <a:fillRect/>
                          </a:stretch>
                        </pic:blipFill>
                        <pic:spPr>
                          <a:xfrm>
                            <a:off x="0" y="0"/>
                            <a:ext cx="2880360" cy="6402653"/>
                          </a:xfrm>
                          <a:prstGeom prst="rect"/>
                        </pic:spPr>
                      </pic:pic>
                    </a:graphicData>
                  </a:graphic>
                </wp:inline>
              </w:drawing>
            </w:r>
          </w:p>
        </w:tc>
        <w:tc>
          <w:tcPr>
            <w:tcW w:type="dxa" w:w="5141"/>
            <w:tcMar>
              <w:top w:w="60" w:type="dxa"/>
              <w:start w:w="60" w:type="dxa"/>
              <w:bottom w:w="40" w:type="dxa"/>
              <w:end w:w="60" w:type="dxa"/>
            </w:tcMar>
          </w:tcPr>
          <w:p>
            <w:pPr>
              <w:jc w:val="center"/>
            </w:pPr>
            <w:r>
              <w:drawing>
                <wp:inline xmlns:a="http://schemas.openxmlformats.org/drawingml/2006/main" xmlns:pic="http://schemas.openxmlformats.org/drawingml/2006/picture">
                  <wp:extent cx="2880360" cy="6402653"/>
                  <wp:docPr id="2" name="Picture 2"/>
                  <wp:cNvGraphicFramePr>
                    <a:graphicFrameLocks noChangeAspect="1"/>
                  </wp:cNvGraphicFramePr>
                  <a:graphic>
                    <a:graphicData uri="http://schemas.openxmlformats.org/drawingml/2006/picture">
                      <pic:pic>
                        <pic:nvPicPr>
                          <pic:cNvPr id="0" name="EV02_V24_POST_solo_J_habilita.jpg"/>
                          <pic:cNvPicPr/>
                        </pic:nvPicPr>
                        <pic:blipFill>
                          <a:blip r:embed="rId12"/>
                          <a:stretch>
                            <a:fillRect/>
                          </a:stretch>
                        </pic:blipFill>
                        <pic:spPr>
                          <a:xfrm>
                            <a:off x="0" y="0"/>
                            <a:ext cx="2880360" cy="6402653"/>
                          </a:xfrm>
                          <a:prstGeom prst="rect"/>
                        </pic:spPr>
                      </pic:pic>
                    </a:graphicData>
                  </a:graphic>
                </wp:inline>
              </w:drawing>
            </w:r>
          </w:p>
        </w:tc>
      </w:tr>
      <w:tr>
        <w:tc>
          <w:tcPr>
            <w:tcW w:type="dxa" w:w="5141"/>
            <w:tcMar>
              <w:top w:w="20" w:type="dxa"/>
              <w:start w:w="60" w:type="dxa"/>
              <w:bottom w:w="60" w:type="dxa"/>
              <w:end w:w="60" w:type="dxa"/>
            </w:tcMar>
          </w:tcPr>
          <w:p>
            <w:pPr>
              <w:jc w:val="center"/>
            </w:pPr>
            <w:r>
              <w:rPr>
                <w:i/>
                <w:color w:val="5D6969"/>
                <w:sz w:val="16"/>
              </w:rPr>
              <w:t>PRE · campos vacíos · CTA deshabilitado</w:t>
            </w:r>
          </w:p>
        </w:tc>
        <w:tc>
          <w:tcPr>
            <w:tcW w:type="dxa" w:w="5141"/>
            <w:tcMar>
              <w:top w:w="20" w:type="dxa"/>
              <w:start w:w="60" w:type="dxa"/>
              <w:bottom w:w="60" w:type="dxa"/>
              <w:end w:w="60" w:type="dxa"/>
            </w:tcMar>
          </w:tcPr>
          <w:p>
            <w:pPr>
              <w:jc w:val="center"/>
            </w:pPr>
            <w:r>
              <w:rPr>
                <w:i/>
                <w:color w:val="5D6969"/>
                <w:sz w:val="16"/>
              </w:rPr>
              <w:t>POST · sólo “J” en Nombre · CTA habilitado</w:t>
            </w:r>
          </w:p>
        </w:tc>
      </w:tr>
    </w:tbl>
    <w:p>
      <w:pPr>
        <w:spacing w:after="40"/>
      </w:pPr>
    </w:p>
    <w:p>
      <w:pPr>
        <w:spacing w:after="80" w:line="252" w:lineRule="auto"/>
      </w:pPr>
      <w:r>
        <w:rPr>
          <w:b/>
          <w:color w:val="173536"/>
          <w:sz w:val="20"/>
        </w:rPr>
        <w:t xml:space="preserve">Evidencia: </w:t>
      </w:r>
      <w:r>
        <w:rPr>
          <w:color w:val="333333"/>
          <w:sz w:val="20"/>
        </w:rPr>
        <w:t>EV01, EV02 y clip EV03.</w:t>
      </w:r>
    </w:p>
    <w:p>
      <w:pPr>
        <w:spacing w:before="140" w:after="100"/>
      </w:pPr>
      <w:r>
        <w:rPr>
          <w:rFonts w:ascii="Aptos" w:hAnsi="Aptos"/>
          <w:b/>
          <w:color w:val="155C5D"/>
          <w:sz w:val="26"/>
        </w:rPr>
        <w:t>M01-JIRA-002 · Pérdida de documentos al retomar análisis después de fallo recuperable</w:t>
      </w:r>
    </w:p>
    <w:tbl>
      <w:tblPr>
        <w:tblW w:type="auto" w:w="0"/>
        <w:jc w:val="center"/>
        <w:tblLayout w:type="fixed"/>
        <w:tblLook w:firstColumn="1" w:firstRow="1" w:lastColumn="0" w:lastRow="0" w:noHBand="0" w:noVBand="1" w:val="04A0"/>
      </w:tblPr>
      <w:tblGrid>
        <w:gridCol w:w="1584"/>
        <w:gridCol w:w="3240"/>
        <w:gridCol w:w="1584"/>
        <w:gridCol w:w="3240"/>
      </w:tblGrid>
      <w:tr>
        <w:tc>
          <w:tcPr>
            <w:tcW w:type="dxa" w:w="2570"/>
            <w:shd w:fill="EAF4F4"/>
            <w:tcMar>
              <w:top w:w="100" w:type="dxa"/>
              <w:start w:w="120" w:type="dxa"/>
              <w:bottom w:w="100" w:type="dxa"/>
              <w:end w:w="120" w:type="dxa"/>
            </w:tcMar>
          </w:tcPr>
          <w:p>
            <w:r>
              <w:rPr>
                <w:b/>
                <w:color w:val="173536"/>
                <w:sz w:val="18"/>
              </w:rPr>
              <w:t>Tipo</w:t>
            </w:r>
          </w:p>
        </w:tc>
        <w:tc>
          <w:tcPr>
            <w:tcW w:type="dxa" w:w="2570"/>
            <w:tcMar>
              <w:top w:w="100" w:type="dxa"/>
              <w:start w:w="120" w:type="dxa"/>
              <w:bottom w:w="100" w:type="dxa"/>
              <w:end w:w="120" w:type="dxa"/>
            </w:tcMar>
          </w:tcPr>
          <w:p>
            <w:r>
              <w:rPr>
                <w:color w:val="333333"/>
                <w:sz w:val="18"/>
              </w:rPr>
              <w:t>Bug</w:t>
            </w:r>
          </w:p>
        </w:tc>
        <w:tc>
          <w:tcPr>
            <w:tcW w:type="dxa" w:w="2570"/>
            <w:shd w:fill="EAF4F4"/>
            <w:tcMar>
              <w:top w:w="100" w:type="dxa"/>
              <w:start w:w="120" w:type="dxa"/>
              <w:bottom w:w="100" w:type="dxa"/>
              <w:end w:w="120" w:type="dxa"/>
            </w:tcMar>
          </w:tcPr>
          <w:p>
            <w:r>
              <w:rPr>
                <w:b/>
                <w:color w:val="173536"/>
                <w:sz w:val="18"/>
              </w:rPr>
              <w:t>Prioridad sugerida</w:t>
            </w:r>
          </w:p>
        </w:tc>
        <w:tc>
          <w:tcPr>
            <w:tcW w:type="dxa" w:w="2570"/>
            <w:tcMar>
              <w:top w:w="100" w:type="dxa"/>
              <w:start w:w="120" w:type="dxa"/>
              <w:bottom w:w="100" w:type="dxa"/>
              <w:end w:w="120" w:type="dxa"/>
            </w:tcMar>
          </w:tcPr>
          <w:p>
            <w:r>
              <w:rPr>
                <w:color w:val="333333"/>
                <w:sz w:val="18"/>
              </w:rPr>
              <w:t>Alta</w:t>
            </w:r>
          </w:p>
        </w:tc>
      </w:tr>
      <w:tr>
        <w:tc>
          <w:tcPr>
            <w:tcW w:type="dxa" w:w="2570"/>
            <w:shd w:fill="EAF4F4"/>
            <w:tcMar>
              <w:top w:w="100" w:type="dxa"/>
              <w:start w:w="120" w:type="dxa"/>
              <w:bottom w:w="100" w:type="dxa"/>
              <w:end w:w="120" w:type="dxa"/>
            </w:tcMar>
          </w:tcPr>
          <w:p>
            <w:r>
              <w:rPr>
                <w:b/>
                <w:color w:val="173536"/>
                <w:sz w:val="18"/>
              </w:rPr>
              <w:t>Relación</w:t>
            </w:r>
          </w:p>
        </w:tc>
        <w:tc>
          <w:tcPr>
            <w:tcW w:type="dxa" w:w="2570"/>
            <w:tcMar>
              <w:top w:w="100" w:type="dxa"/>
              <w:start w:w="120" w:type="dxa"/>
              <w:bottom w:w="100" w:type="dxa"/>
              <w:end w:w="120" w:type="dxa"/>
            </w:tcMar>
          </w:tcPr>
          <w:p>
            <w:r>
              <w:rPr>
                <w:color w:val="333333"/>
                <w:sz w:val="18"/>
              </w:rPr>
              <w:t>M1-V47 · M1-V60 · M01-RGL-008 · M01-RGL-014</w:t>
            </w:r>
          </w:p>
        </w:tc>
        <w:tc>
          <w:tcPr>
            <w:tcW w:type="dxa" w:w="2570"/>
            <w:shd w:fill="EAF4F4"/>
            <w:tcMar>
              <w:top w:w="100" w:type="dxa"/>
              <w:start w:w="120" w:type="dxa"/>
              <w:bottom w:w="100" w:type="dxa"/>
              <w:end w:w="120" w:type="dxa"/>
            </w:tcMar>
          </w:tcPr>
          <w:p>
            <w:r>
              <w:rPr>
                <w:b/>
                <w:color w:val="173536"/>
                <w:sz w:val="18"/>
              </w:rPr>
              <w:t>Estado de evidencia</w:t>
            </w:r>
          </w:p>
        </w:tc>
        <w:tc>
          <w:tcPr>
            <w:tcW w:type="dxa" w:w="2570"/>
            <w:tcMar>
              <w:top w:w="100" w:type="dxa"/>
              <w:start w:w="120" w:type="dxa"/>
              <w:bottom w:w="100" w:type="dxa"/>
              <w:end w:w="120" w:type="dxa"/>
            </w:tcMar>
          </w:tcPr>
          <w:p>
            <w:r>
              <w:rPr>
                <w:color w:val="333333"/>
                <w:sz w:val="18"/>
              </w:rPr>
              <w:t>Confirmado</w:t>
            </w:r>
          </w:p>
        </w:tc>
      </w:tr>
    </w:tbl>
    <w:p>
      <w:pPr>
        <w:spacing w:after="40"/>
      </w:pPr>
    </w:p>
    <w:p>
      <w:pPr>
        <w:spacing w:after="80" w:line="252" w:lineRule="auto"/>
      </w:pPr>
      <w:r>
        <w:rPr>
          <w:b/>
          <w:color w:val="173536"/>
          <w:sz w:val="20"/>
        </w:rPr>
        <w:t xml:space="preserve">Resultado observado: </w:t>
      </w:r>
      <w:r>
        <w:rPr>
          <w:color w:val="333333"/>
          <w:sz w:val="20"/>
        </w:rPr>
        <w:t>La secuencia parte con 5/15 documentos visibles. El usuario sale mediante la ruta segura mientras el análisis continúa, reingresa, recibe “No pudimos cargar la información”, pulsa “Reintentar” y la revisión posterior muestra 1/15. La UI no informa el destino/estado de los otros documentos.</w:t>
      </w:r>
    </w:p>
    <w:p>
      <w:pPr>
        <w:spacing w:after="80" w:line="252" w:lineRule="auto"/>
      </w:pPr>
      <w:r>
        <w:rPr>
          <w:b/>
          <w:color w:val="173536"/>
          <w:sz w:val="20"/>
        </w:rPr>
        <w:t xml:space="preserve">Comportamiento esperado: </w:t>
      </w:r>
      <w:r>
        <w:rPr>
          <w:color w:val="333333"/>
          <w:sz w:val="20"/>
        </w:rPr>
        <w:t>La salida durante análisis y un fallo recuperable deben conservar el conjunto documental, checkpoint y correlación del job. Si un documento cambia a un estado no utilizable, esa transición debe quedar identificada y explicada.</w:t>
      </w:r>
    </w:p>
    <w:p>
      <w:pPr>
        <w:spacing w:after="80" w:line="252" w:lineRule="auto"/>
      </w:pPr>
      <w:r>
        <w:rPr>
          <w:b/>
          <w:color w:val="173536"/>
          <w:sz w:val="20"/>
        </w:rPr>
        <w:t xml:space="preserve">Pasos de reproducción: </w:t>
      </w:r>
      <w:r>
        <w:rPr>
          <w:color w:val="333333"/>
          <w:sz w:val="20"/>
        </w:rPr>
      </w:r>
    </w:p>
    <w:p>
      <w:pPr>
        <w:pStyle w:val="ListNumber"/>
        <w:spacing w:after="40"/>
        <w:ind w:left="360"/>
      </w:pPr>
      <w:r>
        <w:rPr>
          <w:rFonts w:ascii="Aptos" w:hAnsi="Aptos"/>
          <w:sz w:val="20"/>
        </w:rPr>
        <w:t>Cargar varios documentos hasta observar 5/15.</w:t>
      </w:r>
    </w:p>
    <w:p>
      <w:pPr>
        <w:pStyle w:val="ListNumber"/>
        <w:spacing w:after="40"/>
        <w:ind w:left="360"/>
      </w:pPr>
      <w:r>
        <w:rPr>
          <w:rFonts w:ascii="Aptos" w:hAnsi="Aptos"/>
          <w:sz w:val="20"/>
        </w:rPr>
        <w:t>Iniciar análisis y usar la salida segura mientras el job está en progreso.</w:t>
      </w:r>
    </w:p>
    <w:p>
      <w:pPr>
        <w:pStyle w:val="ListNumber"/>
        <w:spacing w:after="40"/>
        <w:ind w:left="360"/>
      </w:pPr>
      <w:r>
        <w:rPr>
          <w:rFonts w:ascii="Aptos" w:hAnsi="Aptos"/>
          <w:sz w:val="20"/>
        </w:rPr>
        <w:t>Reingresar a Walvy.</w:t>
      </w:r>
    </w:p>
    <w:p>
      <w:pPr>
        <w:pStyle w:val="ListNumber"/>
        <w:spacing w:after="40"/>
        <w:ind w:left="360"/>
      </w:pPr>
      <w:r>
        <w:rPr>
          <w:rFonts w:ascii="Aptos" w:hAnsi="Aptos"/>
          <w:sz w:val="20"/>
        </w:rPr>
        <w:t>Ante el error recuperable, pulsar “Reintentar”.</w:t>
      </w:r>
    </w:p>
    <w:p>
      <w:pPr>
        <w:pStyle w:val="ListNumber"/>
        <w:spacing w:after="40"/>
        <w:ind w:left="360"/>
      </w:pPr>
      <w:r>
        <w:rPr>
          <w:rFonts w:ascii="Aptos" w:hAnsi="Aptos"/>
          <w:sz w:val="20"/>
        </w:rPr>
        <w:t>Comparar el conjunto visible antes y después de la retoma.</w:t>
      </w:r>
    </w:p>
    <w:p>
      <w:pPr>
        <w:spacing w:after="80" w:line="252" w:lineRule="auto"/>
      </w:pPr>
      <w:r>
        <w:rPr>
          <w:b/>
          <w:color w:val="173536"/>
          <w:sz w:val="20"/>
        </w:rPr>
        <w:t xml:space="preserve">Impacto: </w:t>
      </w:r>
      <w:r>
        <w:rPr>
          <w:color w:val="333333"/>
          <w:sz w:val="20"/>
        </w:rPr>
        <w:t>Riesgo de pérdida silenciosa de evidencia financiera y de construir suficiencia/diagnóstico sobre un conjunto diferente al que el usuario cargó.</w:t>
      </w:r>
    </w:p>
    <w:p>
      <w:pPr>
        <w:spacing w:after="80" w:line="252" w:lineRule="auto"/>
      </w:pPr>
      <w:r>
        <w:rPr>
          <w:b/>
          <w:color w:val="173536"/>
          <w:sz w:val="20"/>
        </w:rPr>
        <w:t xml:space="preserve">Solicitud de cierre: </w:t>
      </w:r>
      <w:r>
        <w:rPr>
          <w:color w:val="333333"/>
          <w:sz w:val="20"/>
        </w:rPr>
        <w:t>Conservar document_ids/estados y job/correlation_id durante salida, error y retry. El POST debe contener el mismo conjunto PRE o una transición individual explicada por documento. “Reintentar” debe mantener la correlación con el intento original sin pérdidas o duplicados.</w:t>
      </w:r>
    </w:p>
    <w:tbl>
      <w:tblPr>
        <w:tblW w:type="auto" w:w="0"/>
        <w:jc w:val="center"/>
        <w:tblLayout w:type="fixed"/>
        <w:tblLook w:firstColumn="1" w:firstRow="1" w:lastColumn="0" w:lastRow="0" w:noHBand="0" w:noVBand="1" w:val="04A0"/>
      </w:tblPr>
      <w:tblGrid>
        <w:gridCol w:w="4824"/>
        <w:gridCol w:w="4824"/>
      </w:tblGrid>
      <w:tr>
        <w:tc>
          <w:tcPr>
            <w:tcW w:type="dxa" w:w="5141"/>
            <w:tcMar>
              <w:top w:w="40" w:type="dxa"/>
              <w:start w:w="40" w:type="dxa"/>
              <w:bottom w:w="20" w:type="dxa"/>
              <w:end w:w="40" w:type="dxa"/>
            </w:tcMar>
          </w:tcPr>
          <w:p>
            <w:pPr>
              <w:jc w:val="center"/>
            </w:pPr>
            <w:r>
              <w:drawing>
                <wp:inline xmlns:a="http://schemas.openxmlformats.org/drawingml/2006/main" xmlns:pic="http://schemas.openxmlformats.org/drawingml/2006/picture">
                  <wp:extent cx="2697480" cy="5994400"/>
                  <wp:docPr id="3" name="Picture 3"/>
                  <wp:cNvGraphicFramePr>
                    <a:graphicFrameLocks noChangeAspect="1"/>
                  </wp:cNvGraphicFramePr>
                  <a:graphic>
                    <a:graphicData uri="http://schemas.openxmlformats.org/drawingml/2006/picture">
                      <pic:pic>
                        <pic:nvPicPr>
                          <pic:cNvPr id="0" name="EV04_PRE_5de15.png"/>
                          <pic:cNvPicPr/>
                        </pic:nvPicPr>
                        <pic:blipFill>
                          <a:blip r:embed="rId13"/>
                          <a:stretch>
                            <a:fillRect/>
                          </a:stretch>
                        </pic:blipFill>
                        <pic:spPr>
                          <a:xfrm>
                            <a:off x="0" y="0"/>
                            <a:ext cx="2697480" cy="5994400"/>
                          </a:xfrm>
                          <a:prstGeom prst="rect"/>
                        </pic:spPr>
                      </pic:pic>
                    </a:graphicData>
                  </a:graphic>
                </wp:inline>
              </w:drawing>
            </w:r>
          </w:p>
        </w:tc>
        <w:tc>
          <w:tcPr>
            <w:tcW w:type="dxa" w:w="5141"/>
            <w:tcMar>
              <w:top w:w="40" w:type="dxa"/>
              <w:start w:w="40" w:type="dxa"/>
              <w:bottom w:w="20" w:type="dxa"/>
              <w:end w:w="40" w:type="dxa"/>
            </w:tcMar>
          </w:tcPr>
          <w:p>
            <w:pPr>
              <w:jc w:val="center"/>
            </w:pPr>
            <w:r>
              <w:drawing>
                <wp:inline xmlns:a="http://schemas.openxmlformats.org/drawingml/2006/main" xmlns:pic="http://schemas.openxmlformats.org/drawingml/2006/picture">
                  <wp:extent cx="2697480" cy="5994400"/>
                  <wp:docPr id="4" name="Picture 4"/>
                  <wp:cNvGraphicFramePr>
                    <a:graphicFrameLocks noChangeAspect="1"/>
                  </wp:cNvGraphicFramePr>
                  <a:graphic>
                    <a:graphicData uri="http://schemas.openxmlformats.org/drawingml/2006/picture">
                      <pic:pic>
                        <pic:nvPicPr>
                          <pic:cNvPr id="0" name="EV05_salida_segura_background.png"/>
                          <pic:cNvPicPr/>
                        </pic:nvPicPr>
                        <pic:blipFill>
                          <a:blip r:embed="rId14"/>
                          <a:stretch>
                            <a:fillRect/>
                          </a:stretch>
                        </pic:blipFill>
                        <pic:spPr>
                          <a:xfrm>
                            <a:off x="0" y="0"/>
                            <a:ext cx="2697480" cy="5994400"/>
                          </a:xfrm>
                          <a:prstGeom prst="rect"/>
                        </pic:spPr>
                      </pic:pic>
                    </a:graphicData>
                  </a:graphic>
                </wp:inline>
              </w:drawing>
            </w:r>
          </w:p>
        </w:tc>
      </w:tr>
      <w:tr>
        <w:tc>
          <w:tcPr>
            <w:tcW w:type="dxa" w:w="5141"/>
            <w:tcMar>
              <w:top w:w="10" w:type="dxa"/>
              <w:start w:w="40" w:type="dxa"/>
              <w:bottom w:w="40" w:type="dxa"/>
              <w:end w:w="40" w:type="dxa"/>
            </w:tcMar>
          </w:tcPr>
          <w:p>
            <w:pPr>
              <w:jc w:val="center"/>
            </w:pPr>
            <w:r>
              <w:rPr>
                <w:i/>
                <w:color w:val="5D6969"/>
                <w:sz w:val="15"/>
              </w:rPr>
              <w:t>1 · PRE · 5/15</w:t>
            </w:r>
          </w:p>
        </w:tc>
        <w:tc>
          <w:tcPr>
            <w:tcW w:type="dxa" w:w="5141"/>
            <w:tcMar>
              <w:top w:w="10" w:type="dxa"/>
              <w:start w:w="40" w:type="dxa"/>
              <w:bottom w:w="40" w:type="dxa"/>
              <w:end w:w="40" w:type="dxa"/>
            </w:tcMar>
          </w:tcPr>
          <w:p>
            <w:pPr>
              <w:jc w:val="center"/>
            </w:pPr>
            <w:r>
              <w:rPr>
                <w:i/>
                <w:color w:val="5D6969"/>
                <w:sz w:val="15"/>
              </w:rPr>
              <w:t>2 · salida segura / background</w:t>
            </w:r>
          </w:p>
        </w:tc>
      </w:tr>
      <w:tr>
        <w:tc>
          <w:tcPr>
            <w:tcW w:type="dxa" w:w="5141"/>
            <w:tcMar>
              <w:top w:w="40" w:type="dxa"/>
              <w:start w:w="40" w:type="dxa"/>
              <w:bottom w:w="20" w:type="dxa"/>
              <w:end w:w="40" w:type="dxa"/>
            </w:tcMar>
          </w:tcPr>
          <w:p>
            <w:pPr>
              <w:jc w:val="center"/>
            </w:pPr>
            <w:r>
              <w:drawing>
                <wp:inline xmlns:a="http://schemas.openxmlformats.org/drawingml/2006/main" xmlns:pic="http://schemas.openxmlformats.org/drawingml/2006/picture">
                  <wp:extent cx="2697480" cy="5994400"/>
                  <wp:docPr id="5" name="Picture 5"/>
                  <wp:cNvGraphicFramePr>
                    <a:graphicFrameLocks noChangeAspect="1"/>
                  </wp:cNvGraphicFramePr>
                  <a:graphic>
                    <a:graphicData uri="http://schemas.openxmlformats.org/drawingml/2006/picture">
                      <pic:pic>
                        <pic:nvPicPr>
                          <pic:cNvPr id="0" name="EV06_error_reintentar.png"/>
                          <pic:cNvPicPr/>
                        </pic:nvPicPr>
                        <pic:blipFill>
                          <a:blip r:embed="rId15"/>
                          <a:stretch>
                            <a:fillRect/>
                          </a:stretch>
                        </pic:blipFill>
                        <pic:spPr>
                          <a:xfrm>
                            <a:off x="0" y="0"/>
                            <a:ext cx="2697480" cy="5994400"/>
                          </a:xfrm>
                          <a:prstGeom prst="rect"/>
                        </pic:spPr>
                      </pic:pic>
                    </a:graphicData>
                  </a:graphic>
                </wp:inline>
              </w:drawing>
            </w:r>
          </w:p>
        </w:tc>
        <w:tc>
          <w:tcPr>
            <w:tcW w:type="dxa" w:w="5141"/>
            <w:tcMar>
              <w:top w:w="40" w:type="dxa"/>
              <w:start w:w="40" w:type="dxa"/>
              <w:bottom w:w="20" w:type="dxa"/>
              <w:end w:w="40" w:type="dxa"/>
            </w:tcMar>
          </w:tcPr>
          <w:p>
            <w:pPr>
              <w:jc w:val="center"/>
            </w:pPr>
            <w:r>
              <w:drawing>
                <wp:inline xmlns:a="http://schemas.openxmlformats.org/drawingml/2006/main" xmlns:pic="http://schemas.openxmlformats.org/drawingml/2006/picture">
                  <wp:extent cx="2697480" cy="5994400"/>
                  <wp:docPr id="6" name="Picture 6"/>
                  <wp:cNvGraphicFramePr>
                    <a:graphicFrameLocks noChangeAspect="1"/>
                  </wp:cNvGraphicFramePr>
                  <a:graphic>
                    <a:graphicData uri="http://schemas.openxmlformats.org/drawingml/2006/picture">
                      <pic:pic>
                        <pic:nvPicPr>
                          <pic:cNvPr id="0" name="EV07_POST_1de15.png"/>
                          <pic:cNvPicPr/>
                        </pic:nvPicPr>
                        <pic:blipFill>
                          <a:blip r:embed="rId16"/>
                          <a:stretch>
                            <a:fillRect/>
                          </a:stretch>
                        </pic:blipFill>
                        <pic:spPr>
                          <a:xfrm>
                            <a:off x="0" y="0"/>
                            <a:ext cx="2697480" cy="5994400"/>
                          </a:xfrm>
                          <a:prstGeom prst="rect"/>
                        </pic:spPr>
                      </pic:pic>
                    </a:graphicData>
                  </a:graphic>
                </wp:inline>
              </w:drawing>
            </w:r>
          </w:p>
        </w:tc>
      </w:tr>
      <w:tr>
        <w:tc>
          <w:tcPr>
            <w:tcW w:type="dxa" w:w="5141"/>
            <w:tcMar>
              <w:top w:w="10" w:type="dxa"/>
              <w:start w:w="40" w:type="dxa"/>
              <w:bottom w:w="40" w:type="dxa"/>
              <w:end w:w="40" w:type="dxa"/>
            </w:tcMar>
          </w:tcPr>
          <w:p>
            <w:pPr>
              <w:jc w:val="center"/>
            </w:pPr>
            <w:r>
              <w:rPr>
                <w:i/>
                <w:color w:val="5D6969"/>
                <w:sz w:val="15"/>
              </w:rPr>
              <w:t>3 · fallo recuperable / Reintentar</w:t>
            </w:r>
          </w:p>
        </w:tc>
        <w:tc>
          <w:tcPr>
            <w:tcW w:type="dxa" w:w="5141"/>
            <w:tcMar>
              <w:top w:w="10" w:type="dxa"/>
              <w:start w:w="40" w:type="dxa"/>
              <w:bottom w:w="40" w:type="dxa"/>
              <w:end w:w="40" w:type="dxa"/>
            </w:tcMar>
          </w:tcPr>
          <w:p>
            <w:pPr>
              <w:jc w:val="center"/>
            </w:pPr>
            <w:r>
              <w:rPr>
                <w:i/>
                <w:color w:val="5D6969"/>
                <w:sz w:val="15"/>
              </w:rPr>
              <w:t>4 · POST · 1/15</w:t>
            </w:r>
          </w:p>
        </w:tc>
      </w:tr>
    </w:tbl>
    <w:p>
      <w:pPr>
        <w:spacing w:after="40"/>
      </w:pPr>
    </w:p>
    <w:p>
      <w:pPr>
        <w:spacing w:after="80" w:line="252" w:lineRule="auto"/>
      </w:pPr>
      <w:r>
        <w:rPr>
          <w:b/>
          <w:color w:val="173536"/>
          <w:sz w:val="20"/>
        </w:rPr>
        <w:t xml:space="preserve">Evidencia: </w:t>
      </w:r>
      <w:r>
        <w:rPr>
          <w:color w:val="333333"/>
          <w:sz w:val="20"/>
        </w:rPr>
        <w:t>EV04–EV07 y clips EV08–EV11.</w:t>
      </w:r>
    </w:p>
    <w:p>
      <w:pPr>
        <w:spacing w:before="140" w:after="100"/>
      </w:pPr>
      <w:r>
        <w:rPr>
          <w:rFonts w:ascii="Aptos" w:hAnsi="Aptos"/>
          <w:b/>
          <w:color w:val="155C5D"/>
          <w:sz w:val="26"/>
        </w:rPr>
        <w:t>M01-JIRA-003 · Correo OTP comunica 15 minutos frente al baseline de 10 minutos</w:t>
      </w:r>
    </w:p>
    <w:tbl>
      <w:tblPr>
        <w:tblW w:type="auto" w:w="0"/>
        <w:jc w:val="center"/>
        <w:tblLayout w:type="fixed"/>
        <w:tblLook w:firstColumn="1" w:firstRow="1" w:lastColumn="0" w:lastRow="0" w:noHBand="0" w:noVBand="1" w:val="04A0"/>
      </w:tblPr>
      <w:tblGrid>
        <w:gridCol w:w="1584"/>
        <w:gridCol w:w="3240"/>
        <w:gridCol w:w="1584"/>
        <w:gridCol w:w="3240"/>
      </w:tblGrid>
      <w:tr>
        <w:tc>
          <w:tcPr>
            <w:tcW w:type="dxa" w:w="2570"/>
            <w:shd w:fill="EAF4F4"/>
            <w:tcMar>
              <w:top w:w="100" w:type="dxa"/>
              <w:start w:w="120" w:type="dxa"/>
              <w:bottom w:w="100" w:type="dxa"/>
              <w:end w:w="120" w:type="dxa"/>
            </w:tcMar>
          </w:tcPr>
          <w:p>
            <w:r>
              <w:rPr>
                <w:b/>
                <w:color w:val="173536"/>
                <w:sz w:val="18"/>
              </w:rPr>
              <w:t>Tipo</w:t>
            </w:r>
          </w:p>
        </w:tc>
        <w:tc>
          <w:tcPr>
            <w:tcW w:type="dxa" w:w="2570"/>
            <w:tcMar>
              <w:top w:w="100" w:type="dxa"/>
              <w:start w:w="120" w:type="dxa"/>
              <w:bottom w:w="100" w:type="dxa"/>
              <w:end w:w="120" w:type="dxa"/>
            </w:tcMar>
          </w:tcPr>
          <w:p>
            <w:r>
              <w:rPr>
                <w:color w:val="333333"/>
                <w:sz w:val="18"/>
              </w:rPr>
              <w:t>Bug / Configuración</w:t>
            </w:r>
          </w:p>
        </w:tc>
        <w:tc>
          <w:tcPr>
            <w:tcW w:type="dxa" w:w="2570"/>
            <w:shd w:fill="EAF4F4"/>
            <w:tcMar>
              <w:top w:w="100" w:type="dxa"/>
              <w:start w:w="120" w:type="dxa"/>
              <w:bottom w:w="100" w:type="dxa"/>
              <w:end w:w="120" w:type="dxa"/>
            </w:tcMar>
          </w:tcPr>
          <w:p>
            <w:r>
              <w:rPr>
                <w:b/>
                <w:color w:val="173536"/>
                <w:sz w:val="18"/>
              </w:rPr>
              <w:t>Prioridad sugerida</w:t>
            </w:r>
          </w:p>
        </w:tc>
        <w:tc>
          <w:tcPr>
            <w:tcW w:type="dxa" w:w="2570"/>
            <w:tcMar>
              <w:top w:w="100" w:type="dxa"/>
              <w:start w:w="120" w:type="dxa"/>
              <w:bottom w:w="100" w:type="dxa"/>
              <w:end w:w="120" w:type="dxa"/>
            </w:tcMar>
          </w:tcPr>
          <w:p>
            <w:r>
              <w:rPr>
                <w:color w:val="333333"/>
                <w:sz w:val="18"/>
              </w:rPr>
              <w:t>Media</w:t>
            </w:r>
          </w:p>
        </w:tc>
      </w:tr>
      <w:tr>
        <w:tc>
          <w:tcPr>
            <w:tcW w:type="dxa" w:w="2570"/>
            <w:shd w:fill="EAF4F4"/>
            <w:tcMar>
              <w:top w:w="100" w:type="dxa"/>
              <w:start w:w="120" w:type="dxa"/>
              <w:bottom w:w="100" w:type="dxa"/>
              <w:end w:w="120" w:type="dxa"/>
            </w:tcMar>
          </w:tcPr>
          <w:p>
            <w:r>
              <w:rPr>
                <w:b/>
                <w:color w:val="173536"/>
                <w:sz w:val="18"/>
              </w:rPr>
              <w:t>Relación</w:t>
            </w:r>
          </w:p>
        </w:tc>
        <w:tc>
          <w:tcPr>
            <w:tcW w:type="dxa" w:w="2570"/>
            <w:tcMar>
              <w:top w:w="100" w:type="dxa"/>
              <w:start w:w="120" w:type="dxa"/>
              <w:bottom w:w="100" w:type="dxa"/>
              <w:end w:w="120" w:type="dxa"/>
            </w:tcMar>
          </w:tcPr>
          <w:p>
            <w:r>
              <w:rPr>
                <w:color w:val="333333"/>
                <w:sz w:val="18"/>
              </w:rPr>
              <w:t>M1-V16 · M1-DP-010 / AX-M1-001</w:t>
            </w:r>
          </w:p>
        </w:tc>
        <w:tc>
          <w:tcPr>
            <w:tcW w:type="dxa" w:w="2570"/>
            <w:shd w:fill="EAF4F4"/>
            <w:tcMar>
              <w:top w:w="100" w:type="dxa"/>
              <w:start w:w="120" w:type="dxa"/>
              <w:bottom w:w="100" w:type="dxa"/>
              <w:end w:w="120" w:type="dxa"/>
            </w:tcMar>
          </w:tcPr>
          <w:p>
            <w:r>
              <w:rPr>
                <w:b/>
                <w:color w:val="173536"/>
                <w:sz w:val="18"/>
              </w:rPr>
              <w:t>Estado de evidencia</w:t>
            </w:r>
          </w:p>
        </w:tc>
        <w:tc>
          <w:tcPr>
            <w:tcW w:type="dxa" w:w="2570"/>
            <w:tcMar>
              <w:top w:w="100" w:type="dxa"/>
              <w:start w:w="120" w:type="dxa"/>
              <w:bottom w:w="100" w:type="dxa"/>
              <w:end w:w="120" w:type="dxa"/>
            </w:tcMar>
          </w:tcPr>
          <w:p>
            <w:r>
              <w:rPr>
                <w:color w:val="333333"/>
                <w:sz w:val="18"/>
              </w:rPr>
              <w:t>Confirmado en copy; TTL backend por confirmar</w:t>
            </w:r>
          </w:p>
        </w:tc>
      </w:tr>
    </w:tbl>
    <w:p>
      <w:pPr>
        <w:spacing w:after="40"/>
      </w:pPr>
    </w:p>
    <w:p>
      <w:pPr>
        <w:spacing w:after="80" w:line="252" w:lineRule="auto"/>
      </w:pPr>
      <w:r>
        <w:rPr>
          <w:b/>
          <w:color w:val="173536"/>
          <w:sz w:val="20"/>
        </w:rPr>
        <w:t xml:space="preserve">Resultado observado: </w:t>
      </w:r>
      <w:r>
        <w:rPr>
          <w:color w:val="333333"/>
          <w:sz w:val="20"/>
        </w:rPr>
        <w:t>El correo de verificación recibido por el usuario informa “Expira en 15 minutos”.</w:t>
      </w:r>
    </w:p>
    <w:p>
      <w:pPr>
        <w:spacing w:after="80" w:line="252" w:lineRule="auto"/>
      </w:pPr>
      <w:r>
        <w:rPr>
          <w:b/>
          <w:color w:val="173536"/>
          <w:sz w:val="20"/>
        </w:rPr>
        <w:t xml:space="preserve">Comportamiento esperado: </w:t>
      </w:r>
      <w:r>
        <w:rPr>
          <w:color w:val="333333"/>
          <w:sz w:val="20"/>
        </w:rPr>
        <w:t>El baseline aprobado para el OTP de verificación establece TTL de 10 minutos. El texto visible, la configuración efectiva y el comportamiento del backend deben ser coherentes.</w:t>
      </w:r>
    </w:p>
    <w:p>
      <w:pPr>
        <w:spacing w:after="80" w:line="252" w:lineRule="auto"/>
      </w:pPr>
      <w:r>
        <w:rPr>
          <w:b/>
          <w:color w:val="173536"/>
          <w:sz w:val="20"/>
        </w:rPr>
        <w:t xml:space="preserve">Impacto: </w:t>
      </w:r>
      <w:r>
        <w:rPr>
          <w:color w:val="333333"/>
          <w:sz w:val="20"/>
        </w:rPr>
        <w:t>La divergencia puede comunicar una ventana distinta a la efectiva o reflejar un TTL superior al aprobado.</w:t>
      </w:r>
    </w:p>
    <w:p>
      <w:pPr>
        <w:spacing w:after="80" w:line="252" w:lineRule="auto"/>
      </w:pPr>
      <w:r>
        <w:rPr>
          <w:b/>
          <w:color w:val="173536"/>
          <w:sz w:val="20"/>
        </w:rPr>
        <w:t xml:space="preserve">Solicitud de cierre: </w:t>
      </w:r>
      <w:r>
        <w:rPr>
          <w:color w:val="333333"/>
          <w:sz w:val="20"/>
        </w:rPr>
        <w:t>Confirmar el TTL efectivo del build. Alinear correo/app/configuración con 10 minutos o presentar un cambio formal aprobado. Revalidar single-use e invalidación del código anterior al reenviar.</w:t>
      </w:r>
    </w:p>
    <w:p>
      <w:pPr>
        <w:jc w:val="center"/>
      </w:pPr>
      <w:r>
        <w:drawing>
          <wp:inline xmlns:a="http://schemas.openxmlformats.org/drawingml/2006/main" xmlns:pic="http://schemas.openxmlformats.org/drawingml/2006/picture">
            <wp:extent cx="3931920" cy="9138442"/>
            <wp:docPr id="7" name="Picture 7"/>
            <wp:cNvGraphicFramePr>
              <a:graphicFrameLocks noChangeAspect="1"/>
            </wp:cNvGraphicFramePr>
            <a:graphic>
              <a:graphicData uri="http://schemas.openxmlformats.org/drawingml/2006/picture">
                <pic:pic>
                  <pic:nvPicPr>
                    <pic:cNvPr id="0" name="EV12_OTP_EMAIL_COPY_TTL.png"/>
                    <pic:cNvPicPr/>
                  </pic:nvPicPr>
                  <pic:blipFill>
                    <a:blip r:embed="rId17"/>
                    <a:stretch>
                      <a:fillRect/>
                    </a:stretch>
                  </pic:blipFill>
                  <pic:spPr>
                    <a:xfrm>
                      <a:off x="0" y="0"/>
                      <a:ext cx="3931920" cy="9138442"/>
                    </a:xfrm>
                    <a:prstGeom prst="rect"/>
                  </pic:spPr>
                </pic:pic>
              </a:graphicData>
            </a:graphic>
          </wp:inline>
        </w:drawing>
      </w:r>
    </w:p>
    <w:p>
      <w:pPr>
        <w:spacing w:after="120"/>
        <w:jc w:val="center"/>
      </w:pPr>
      <w:r>
        <w:rPr>
          <w:rFonts w:ascii="Aptos" w:hAnsi="Aptos"/>
          <w:i/>
          <w:color w:val="5D6969"/>
          <w:sz w:val="17"/>
        </w:rPr>
        <w:t>EV12 · correo de verificación con OTP redaccionado. La misma evidencia soporta el ajuste de copy M01-JIRA-006.</w:t>
      </w:r>
    </w:p>
    <w:p>
      <w:pPr>
        <w:spacing w:before="140" w:after="100"/>
      </w:pPr>
      <w:r>
        <w:rPr>
          <w:rFonts w:ascii="Aptos" w:hAnsi="Aptos"/>
          <w:b/>
          <w:color w:val="155C5D"/>
          <w:sz w:val="26"/>
        </w:rPr>
        <w:t>M01-JIRA-004 · Recorte de descendentes en textos de registro y primer ingreso</w:t>
      </w:r>
    </w:p>
    <w:tbl>
      <w:tblPr>
        <w:tblW w:type="auto" w:w="0"/>
        <w:jc w:val="center"/>
        <w:tblLayout w:type="fixed"/>
        <w:tblLook w:firstColumn="1" w:firstRow="1" w:lastColumn="0" w:lastRow="0" w:noHBand="0" w:noVBand="1" w:val="04A0"/>
      </w:tblPr>
      <w:tblGrid>
        <w:gridCol w:w="1584"/>
        <w:gridCol w:w="3240"/>
        <w:gridCol w:w="1584"/>
        <w:gridCol w:w="3240"/>
      </w:tblGrid>
      <w:tr>
        <w:tc>
          <w:tcPr>
            <w:tcW w:type="dxa" w:w="2570"/>
            <w:shd w:fill="EAF4F4"/>
            <w:tcMar>
              <w:top w:w="100" w:type="dxa"/>
              <w:start w:w="120" w:type="dxa"/>
              <w:bottom w:w="100" w:type="dxa"/>
              <w:end w:w="120" w:type="dxa"/>
            </w:tcMar>
          </w:tcPr>
          <w:p>
            <w:r>
              <w:rPr>
                <w:b/>
                <w:color w:val="173536"/>
                <w:sz w:val="18"/>
              </w:rPr>
              <w:t>Tipo</w:t>
            </w:r>
          </w:p>
        </w:tc>
        <w:tc>
          <w:tcPr>
            <w:tcW w:type="dxa" w:w="2570"/>
            <w:tcMar>
              <w:top w:w="100" w:type="dxa"/>
              <w:start w:w="120" w:type="dxa"/>
              <w:bottom w:w="100" w:type="dxa"/>
              <w:end w:w="120" w:type="dxa"/>
            </w:tcMar>
          </w:tcPr>
          <w:p>
            <w:r>
              <w:rPr>
                <w:color w:val="333333"/>
                <w:sz w:val="18"/>
              </w:rPr>
              <w:t>Bug UI</w:t>
            </w:r>
          </w:p>
        </w:tc>
        <w:tc>
          <w:tcPr>
            <w:tcW w:type="dxa" w:w="2570"/>
            <w:shd w:fill="EAF4F4"/>
            <w:tcMar>
              <w:top w:w="100" w:type="dxa"/>
              <w:start w:w="120" w:type="dxa"/>
              <w:bottom w:w="100" w:type="dxa"/>
              <w:end w:w="120" w:type="dxa"/>
            </w:tcMar>
          </w:tcPr>
          <w:p>
            <w:r>
              <w:rPr>
                <w:b/>
                <w:color w:val="173536"/>
                <w:sz w:val="18"/>
              </w:rPr>
              <w:t>Prioridad sugerida</w:t>
            </w:r>
          </w:p>
        </w:tc>
        <w:tc>
          <w:tcPr>
            <w:tcW w:type="dxa" w:w="2570"/>
            <w:tcMar>
              <w:top w:w="100" w:type="dxa"/>
              <w:start w:w="120" w:type="dxa"/>
              <w:bottom w:w="100" w:type="dxa"/>
              <w:end w:w="120" w:type="dxa"/>
            </w:tcMar>
          </w:tcPr>
          <w:p>
            <w:r>
              <w:rPr>
                <w:color w:val="333333"/>
                <w:sz w:val="18"/>
              </w:rPr>
              <w:t>Media</w:t>
            </w:r>
          </w:p>
        </w:tc>
      </w:tr>
      <w:tr>
        <w:tc>
          <w:tcPr>
            <w:tcW w:type="dxa" w:w="2570"/>
            <w:shd w:fill="EAF4F4"/>
            <w:tcMar>
              <w:top w:w="100" w:type="dxa"/>
              <w:start w:w="120" w:type="dxa"/>
              <w:bottom w:w="100" w:type="dxa"/>
              <w:end w:w="120" w:type="dxa"/>
            </w:tcMar>
          </w:tcPr>
          <w:p>
            <w:r>
              <w:rPr>
                <w:b/>
                <w:color w:val="173536"/>
                <w:sz w:val="18"/>
              </w:rPr>
              <w:t>Relación</w:t>
            </w:r>
          </w:p>
        </w:tc>
        <w:tc>
          <w:tcPr>
            <w:tcW w:type="dxa" w:w="2570"/>
            <w:tcMar>
              <w:top w:w="100" w:type="dxa"/>
              <w:start w:w="120" w:type="dxa"/>
              <w:bottom w:w="100" w:type="dxa"/>
              <w:end w:w="120" w:type="dxa"/>
            </w:tcMar>
          </w:tcPr>
          <w:p>
            <w:r>
              <w:rPr>
                <w:color w:val="333333"/>
                <w:sz w:val="18"/>
              </w:rPr>
              <w:t>M1-V08 / M1-V09 / M1-V24 · representación visual</w:t>
            </w:r>
          </w:p>
        </w:tc>
        <w:tc>
          <w:tcPr>
            <w:tcW w:type="dxa" w:w="2570"/>
            <w:shd w:fill="EAF4F4"/>
            <w:tcMar>
              <w:top w:w="100" w:type="dxa"/>
              <w:start w:w="120" w:type="dxa"/>
              <w:bottom w:w="100" w:type="dxa"/>
              <w:end w:w="120" w:type="dxa"/>
            </w:tcMar>
          </w:tcPr>
          <w:p>
            <w:r>
              <w:rPr>
                <w:b/>
                <w:color w:val="173536"/>
                <w:sz w:val="18"/>
              </w:rPr>
              <w:t>Estado de evidencia</w:t>
            </w:r>
          </w:p>
        </w:tc>
        <w:tc>
          <w:tcPr>
            <w:tcW w:type="dxa" w:w="2570"/>
            <w:tcMar>
              <w:top w:w="100" w:type="dxa"/>
              <w:start w:w="120" w:type="dxa"/>
              <w:bottom w:w="100" w:type="dxa"/>
              <w:end w:w="120" w:type="dxa"/>
            </w:tcMar>
          </w:tcPr>
          <w:p>
            <w:r>
              <w:rPr>
                <w:color w:val="333333"/>
                <w:sz w:val="18"/>
              </w:rPr>
              <w:t>Confirmado</w:t>
            </w:r>
          </w:p>
        </w:tc>
      </w:tr>
    </w:tbl>
    <w:p>
      <w:pPr>
        <w:spacing w:after="40"/>
      </w:pPr>
    </w:p>
    <w:p>
      <w:pPr>
        <w:spacing w:after="80" w:line="252" w:lineRule="auto"/>
      </w:pPr>
      <w:r>
        <w:rPr>
          <w:b/>
          <w:color w:val="173536"/>
          <w:sz w:val="20"/>
        </w:rPr>
        <w:t xml:space="preserve">Resultado observado: </w:t>
      </w:r>
      <w:r>
        <w:rPr>
          <w:color w:val="333333"/>
          <w:sz w:val="20"/>
        </w:rPr>
        <w:t>Se observan descendentes recortadas en palabras como “lugar”, “experiencia”, “Walvy” y “prefieras”. La condición se observa en la ejecución JR y en la revisión de Victoria; Andrea la corrobora en Samsung Z Flip 7 con Android 16.</w:t>
      </w:r>
    </w:p>
    <w:p>
      <w:pPr>
        <w:spacing w:after="80" w:line="252" w:lineRule="auto"/>
      </w:pPr>
      <w:r>
        <w:rPr>
          <w:b/>
          <w:color w:val="173536"/>
          <w:sz w:val="20"/>
        </w:rPr>
        <w:t xml:space="preserve">Comportamiento esperado: </w:t>
      </w:r>
      <w:r>
        <w:rPr>
          <w:color w:val="333333"/>
          <w:sz w:val="20"/>
        </w:rPr>
        <w:t>Los textos deben renderizarse completos, sin clipping de glifos, en los viewports soportados.</w:t>
      </w:r>
    </w:p>
    <w:p>
      <w:pPr>
        <w:spacing w:after="80" w:line="252" w:lineRule="auto"/>
      </w:pPr>
      <w:r>
        <w:rPr>
          <w:b/>
          <w:color w:val="173536"/>
          <w:sz w:val="20"/>
        </w:rPr>
        <w:t xml:space="preserve">Impacto: </w:t>
      </w:r>
      <w:r>
        <w:rPr>
          <w:color w:val="333333"/>
          <w:sz w:val="20"/>
        </w:rPr>
        <w:t>Defecto visual transversal que afecta legibilidad y calidad percibida en varias pantallas del onboarding/registro.</w:t>
      </w:r>
    </w:p>
    <w:p>
      <w:pPr>
        <w:spacing w:after="80" w:line="252" w:lineRule="auto"/>
      </w:pPr>
      <w:r>
        <w:rPr>
          <w:b/>
          <w:color w:val="173536"/>
          <w:sz w:val="20"/>
        </w:rPr>
        <w:t xml:space="preserve">Solicitud de cierre: </w:t>
      </w:r>
      <w:r>
        <w:rPr>
          <w:color w:val="333333"/>
          <w:sz w:val="20"/>
        </w:rPr>
        <w:t>Ajustar line-height/altura de contenedores/estilos tipográficos y ejecutar regresión al menos en Galaxy S23 y Z Flip 7/Android 16, incluyendo textos de dos líneas.</w:t>
      </w:r>
    </w:p>
    <w:p>
      <w:pPr>
        <w:jc w:val="center"/>
      </w:pPr>
      <w:r>
        <w:drawing>
          <wp:inline xmlns:a="http://schemas.openxmlformats.org/drawingml/2006/main" xmlns:pic="http://schemas.openxmlformats.org/drawingml/2006/picture">
            <wp:extent cx="5989320" cy="11100206"/>
            <wp:docPr id="8" name="Picture 8"/>
            <wp:cNvGraphicFramePr>
              <a:graphicFrameLocks noChangeAspect="1"/>
            </wp:cNvGraphicFramePr>
            <a:graphic>
              <a:graphicData uri="http://schemas.openxmlformats.org/drawingml/2006/picture">
                <pic:pic>
                  <pic:nvPicPr>
                    <pic:cNvPr id="0" name="EV13_TEXT_CLIPPING_MULTIFUENTE.png"/>
                    <pic:cNvPicPr/>
                  </pic:nvPicPr>
                  <pic:blipFill>
                    <a:blip r:embed="rId18"/>
                    <a:stretch>
                      <a:fillRect/>
                    </a:stretch>
                  </pic:blipFill>
                  <pic:spPr>
                    <a:xfrm>
                      <a:off x="0" y="0"/>
                      <a:ext cx="5989320" cy="11100206"/>
                    </a:xfrm>
                    <a:prstGeom prst="rect"/>
                  </pic:spPr>
                </pic:pic>
              </a:graphicData>
            </a:graphic>
          </wp:inline>
        </w:drawing>
      </w:r>
    </w:p>
    <w:p>
      <w:pPr>
        <w:spacing w:after="120"/>
        <w:jc w:val="center"/>
      </w:pPr>
      <w:r>
        <w:rPr>
          <w:rFonts w:ascii="Aptos" w:hAnsi="Aptos"/>
          <w:i/>
          <w:color w:val="5D6969"/>
          <w:sz w:val="17"/>
        </w:rPr>
        <w:t>EV13 · evidencia JR + Victoria y corroboración Andrea. Los frames completos EV13A–EV13C quedan adjuntos.</w:t>
      </w:r>
    </w:p>
    <w:p>
      <w:pPr>
        <w:spacing w:before="140" w:after="100"/>
      </w:pPr>
      <w:r>
        <w:rPr>
          <w:rFonts w:ascii="Aptos" w:hAnsi="Aptos"/>
          <w:b/>
          <w:color w:val="155C5D"/>
          <w:sz w:val="26"/>
        </w:rPr>
        <w:t>M01-JIRA-005 · Eliminar repetición de “lo importante de tu mes” en primera lámina del carrusel</w:t>
      </w:r>
    </w:p>
    <w:tbl>
      <w:tblPr>
        <w:tblW w:type="auto" w:w="0"/>
        <w:jc w:val="center"/>
        <w:tblLayout w:type="fixed"/>
        <w:tblLook w:firstColumn="1" w:firstRow="1" w:lastColumn="0" w:lastRow="0" w:noHBand="0" w:noVBand="1" w:val="04A0"/>
      </w:tblPr>
      <w:tblGrid>
        <w:gridCol w:w="1584"/>
        <w:gridCol w:w="3240"/>
        <w:gridCol w:w="1584"/>
        <w:gridCol w:w="3240"/>
      </w:tblGrid>
      <w:tr>
        <w:tc>
          <w:tcPr>
            <w:tcW w:type="dxa" w:w="2570"/>
            <w:shd w:fill="EAF4F4"/>
            <w:tcMar>
              <w:top w:w="100" w:type="dxa"/>
              <w:start w:w="120" w:type="dxa"/>
              <w:bottom w:w="100" w:type="dxa"/>
              <w:end w:w="120" w:type="dxa"/>
            </w:tcMar>
          </w:tcPr>
          <w:p>
            <w:r>
              <w:rPr>
                <w:b/>
                <w:color w:val="173536"/>
                <w:sz w:val="18"/>
              </w:rPr>
              <w:t>Tipo</w:t>
            </w:r>
          </w:p>
        </w:tc>
        <w:tc>
          <w:tcPr>
            <w:tcW w:type="dxa" w:w="2570"/>
            <w:tcMar>
              <w:top w:w="100" w:type="dxa"/>
              <w:start w:w="120" w:type="dxa"/>
              <w:bottom w:w="100" w:type="dxa"/>
              <w:end w:w="120" w:type="dxa"/>
            </w:tcMar>
          </w:tcPr>
          <w:p>
            <w:r>
              <w:rPr>
                <w:color w:val="333333"/>
                <w:sz w:val="18"/>
              </w:rPr>
              <w:t>Ajuste UX / Copy</w:t>
            </w:r>
          </w:p>
        </w:tc>
        <w:tc>
          <w:tcPr>
            <w:tcW w:type="dxa" w:w="2570"/>
            <w:shd w:fill="EAF4F4"/>
            <w:tcMar>
              <w:top w:w="100" w:type="dxa"/>
              <w:start w:w="120" w:type="dxa"/>
              <w:bottom w:w="100" w:type="dxa"/>
              <w:end w:w="120" w:type="dxa"/>
            </w:tcMar>
          </w:tcPr>
          <w:p>
            <w:r>
              <w:rPr>
                <w:b/>
                <w:color w:val="173536"/>
                <w:sz w:val="18"/>
              </w:rPr>
              <w:t>Prioridad sugerida</w:t>
            </w:r>
          </w:p>
        </w:tc>
        <w:tc>
          <w:tcPr>
            <w:tcW w:type="dxa" w:w="2570"/>
            <w:tcMar>
              <w:top w:w="100" w:type="dxa"/>
              <w:start w:w="120" w:type="dxa"/>
              <w:bottom w:w="100" w:type="dxa"/>
              <w:end w:w="120" w:type="dxa"/>
            </w:tcMar>
          </w:tcPr>
          <w:p>
            <w:r>
              <w:rPr>
                <w:color w:val="333333"/>
                <w:sz w:val="18"/>
              </w:rPr>
              <w:t>Baja</w:t>
            </w:r>
          </w:p>
        </w:tc>
      </w:tr>
      <w:tr>
        <w:tc>
          <w:tcPr>
            <w:tcW w:type="dxa" w:w="2570"/>
            <w:shd w:fill="EAF4F4"/>
            <w:tcMar>
              <w:top w:w="100" w:type="dxa"/>
              <w:start w:w="120" w:type="dxa"/>
              <w:bottom w:w="100" w:type="dxa"/>
              <w:end w:w="120" w:type="dxa"/>
            </w:tcMar>
          </w:tcPr>
          <w:p>
            <w:r>
              <w:rPr>
                <w:b/>
                <w:color w:val="173536"/>
                <w:sz w:val="18"/>
              </w:rPr>
              <w:t>Relación</w:t>
            </w:r>
          </w:p>
        </w:tc>
        <w:tc>
          <w:tcPr>
            <w:tcW w:type="dxa" w:w="2570"/>
            <w:tcMar>
              <w:top w:w="100" w:type="dxa"/>
              <w:start w:w="120" w:type="dxa"/>
              <w:bottom w:w="100" w:type="dxa"/>
              <w:end w:w="120" w:type="dxa"/>
            </w:tcMar>
          </w:tcPr>
          <w:p>
            <w:r>
              <w:rPr>
                <w:color w:val="333333"/>
                <w:sz w:val="18"/>
              </w:rPr>
              <w:t>M1-V27 · copy de onboarding</w:t>
            </w:r>
          </w:p>
        </w:tc>
        <w:tc>
          <w:tcPr>
            <w:tcW w:type="dxa" w:w="2570"/>
            <w:shd w:fill="EAF4F4"/>
            <w:tcMar>
              <w:top w:w="100" w:type="dxa"/>
              <w:start w:w="120" w:type="dxa"/>
              <w:bottom w:w="100" w:type="dxa"/>
              <w:end w:w="120" w:type="dxa"/>
            </w:tcMar>
          </w:tcPr>
          <w:p>
            <w:r>
              <w:rPr>
                <w:b/>
                <w:color w:val="173536"/>
                <w:sz w:val="18"/>
              </w:rPr>
              <w:t>Estado de evidencia</w:t>
            </w:r>
          </w:p>
        </w:tc>
        <w:tc>
          <w:tcPr>
            <w:tcW w:type="dxa" w:w="2570"/>
            <w:tcMar>
              <w:top w:w="100" w:type="dxa"/>
              <w:start w:w="120" w:type="dxa"/>
              <w:bottom w:w="100" w:type="dxa"/>
              <w:end w:w="120" w:type="dxa"/>
            </w:tcMar>
          </w:tcPr>
          <w:p>
            <w:r>
              <w:rPr>
                <w:color w:val="333333"/>
                <w:sz w:val="18"/>
              </w:rPr>
              <w:t>Confirmado</w:t>
            </w:r>
          </w:p>
        </w:tc>
      </w:tr>
    </w:tbl>
    <w:p>
      <w:pPr>
        <w:spacing w:after="40"/>
      </w:pPr>
    </w:p>
    <w:p>
      <w:pPr>
        <w:spacing w:after="80" w:line="252" w:lineRule="auto"/>
      </w:pPr>
      <w:r>
        <w:rPr>
          <w:b/>
          <w:color w:val="173536"/>
          <w:sz w:val="20"/>
        </w:rPr>
        <w:t xml:space="preserve">Resultado observado: </w:t>
      </w:r>
      <w:r>
        <w:rPr>
          <w:color w:val="333333"/>
          <w:sz w:val="20"/>
        </w:rPr>
        <w:t>La primera lámina contiene “Reunimos lo importante de tu mes…” y, en el bloque inferior, “En pocos pasos verás lo importante de tu mes…”. La misma idea se repite dentro de la misma pantalla.</w:t>
      </w:r>
    </w:p>
    <w:p>
      <w:pPr>
        <w:spacing w:after="80" w:line="252" w:lineRule="auto"/>
      </w:pPr>
      <w:r>
        <w:rPr>
          <w:b/>
          <w:color w:val="173536"/>
          <w:sz w:val="20"/>
        </w:rPr>
        <w:t xml:space="preserve">Comportamiento esperado: </w:t>
      </w:r>
      <w:r>
        <w:rPr>
          <w:color w:val="333333"/>
          <w:sz w:val="20"/>
        </w:rPr>
        <w:t>Aplicar el copy corregido/acordado con Producto sin redundancia entre los dos bloques.</w:t>
      </w:r>
    </w:p>
    <w:p>
      <w:pPr>
        <w:spacing w:after="80" w:line="252" w:lineRule="auto"/>
      </w:pPr>
      <w:r>
        <w:rPr>
          <w:b/>
          <w:color w:val="173536"/>
          <w:sz w:val="20"/>
        </w:rPr>
        <w:t xml:space="preserve">Solicitud de cierre: </w:t>
      </w:r>
      <w:r>
        <w:rPr>
          <w:color w:val="333333"/>
          <w:sz w:val="20"/>
        </w:rPr>
        <w:t>Actualizar el copy y revisar el resto del carrusel para mantener consistencia editorial. Este ajuste no cambia el resultado funcional de M1-V27.</w:t>
      </w:r>
    </w:p>
    <w:p>
      <w:pPr>
        <w:jc w:val="center"/>
      </w:pPr>
      <w:r>
        <w:drawing>
          <wp:inline xmlns:a="http://schemas.openxmlformats.org/drawingml/2006/main" xmlns:pic="http://schemas.openxmlformats.org/drawingml/2006/picture">
            <wp:extent cx="4069080" cy="9438005"/>
            <wp:docPr id="9" name="Picture 9"/>
            <wp:cNvGraphicFramePr>
              <a:graphicFrameLocks noChangeAspect="1"/>
            </wp:cNvGraphicFramePr>
            <a:graphic>
              <a:graphicData uri="http://schemas.openxmlformats.org/drawingml/2006/picture">
                <pic:pic>
                  <pic:nvPicPr>
                    <pic:cNvPr id="0" name="EV14_CARRUSEL_COPY_REPETIDO_JR.png"/>
                    <pic:cNvPicPr/>
                  </pic:nvPicPr>
                  <pic:blipFill>
                    <a:blip r:embed="rId19"/>
                    <a:stretch>
                      <a:fillRect/>
                    </a:stretch>
                  </pic:blipFill>
                  <pic:spPr>
                    <a:xfrm>
                      <a:off x="0" y="0"/>
                      <a:ext cx="4069080" cy="9438005"/>
                    </a:xfrm>
                    <a:prstGeom prst="rect"/>
                  </pic:spPr>
                </pic:pic>
              </a:graphicData>
            </a:graphic>
          </wp:inline>
        </w:drawing>
      </w:r>
    </w:p>
    <w:p>
      <w:pPr>
        <w:spacing w:after="120"/>
        <w:jc w:val="center"/>
      </w:pPr>
      <w:r>
        <w:rPr>
          <w:rFonts w:ascii="Aptos" w:hAnsi="Aptos"/>
          <w:i/>
          <w:color w:val="5D6969"/>
          <w:sz w:val="17"/>
        </w:rPr>
        <w:t>EV14 · frame de la ejecución JR en Samsung Galaxy S23.</w:t>
      </w:r>
    </w:p>
    <w:p>
      <w:pPr>
        <w:spacing w:before="140" w:after="100"/>
      </w:pPr>
      <w:r>
        <w:rPr>
          <w:rFonts w:ascii="Aptos" w:hAnsi="Aptos"/>
          <w:b/>
          <w:color w:val="155C5D"/>
          <w:sz w:val="26"/>
        </w:rPr>
        <w:t>M01-JIRA-006 · Revisar estructura y saludo del correo de verificación</w:t>
      </w:r>
    </w:p>
    <w:tbl>
      <w:tblPr>
        <w:tblW w:type="auto" w:w="0"/>
        <w:jc w:val="center"/>
        <w:tblLayout w:type="fixed"/>
        <w:tblLook w:firstColumn="1" w:firstRow="1" w:lastColumn="0" w:lastRow="0" w:noHBand="0" w:noVBand="1" w:val="04A0"/>
      </w:tblPr>
      <w:tblGrid>
        <w:gridCol w:w="1584"/>
        <w:gridCol w:w="3240"/>
        <w:gridCol w:w="1584"/>
        <w:gridCol w:w="3240"/>
      </w:tblGrid>
      <w:tr>
        <w:tc>
          <w:tcPr>
            <w:tcW w:type="dxa" w:w="2570"/>
            <w:shd w:fill="EAF4F4"/>
            <w:tcMar>
              <w:top w:w="100" w:type="dxa"/>
              <w:start w:w="120" w:type="dxa"/>
              <w:bottom w:w="100" w:type="dxa"/>
              <w:end w:w="120" w:type="dxa"/>
            </w:tcMar>
          </w:tcPr>
          <w:p>
            <w:r>
              <w:rPr>
                <w:b/>
                <w:color w:val="173536"/>
                <w:sz w:val="18"/>
              </w:rPr>
              <w:t>Tipo</w:t>
            </w:r>
          </w:p>
        </w:tc>
        <w:tc>
          <w:tcPr>
            <w:tcW w:type="dxa" w:w="2570"/>
            <w:tcMar>
              <w:top w:w="100" w:type="dxa"/>
              <w:start w:w="120" w:type="dxa"/>
              <w:bottom w:w="100" w:type="dxa"/>
              <w:end w:w="120" w:type="dxa"/>
            </w:tcMar>
          </w:tcPr>
          <w:p>
            <w:r>
              <w:rPr>
                <w:color w:val="333333"/>
                <w:sz w:val="18"/>
              </w:rPr>
              <w:t>Ajuste UX / Copy</w:t>
            </w:r>
          </w:p>
        </w:tc>
        <w:tc>
          <w:tcPr>
            <w:tcW w:type="dxa" w:w="2570"/>
            <w:shd w:fill="EAF4F4"/>
            <w:tcMar>
              <w:top w:w="100" w:type="dxa"/>
              <w:start w:w="120" w:type="dxa"/>
              <w:bottom w:w="100" w:type="dxa"/>
              <w:end w:w="120" w:type="dxa"/>
            </w:tcMar>
          </w:tcPr>
          <w:p>
            <w:r>
              <w:rPr>
                <w:b/>
                <w:color w:val="173536"/>
                <w:sz w:val="18"/>
              </w:rPr>
              <w:t>Prioridad sugerida</w:t>
            </w:r>
          </w:p>
        </w:tc>
        <w:tc>
          <w:tcPr>
            <w:tcW w:type="dxa" w:w="2570"/>
            <w:tcMar>
              <w:top w:w="100" w:type="dxa"/>
              <w:start w:w="120" w:type="dxa"/>
              <w:bottom w:w="100" w:type="dxa"/>
              <w:end w:w="120" w:type="dxa"/>
            </w:tcMar>
          </w:tcPr>
          <w:p>
            <w:r>
              <w:rPr>
                <w:color w:val="333333"/>
                <w:sz w:val="18"/>
              </w:rPr>
              <w:t>Baja</w:t>
            </w:r>
          </w:p>
        </w:tc>
      </w:tr>
      <w:tr>
        <w:tc>
          <w:tcPr>
            <w:tcW w:type="dxa" w:w="2570"/>
            <w:shd w:fill="EAF4F4"/>
            <w:tcMar>
              <w:top w:w="100" w:type="dxa"/>
              <w:start w:w="120" w:type="dxa"/>
              <w:bottom w:w="100" w:type="dxa"/>
              <w:end w:w="120" w:type="dxa"/>
            </w:tcMar>
          </w:tcPr>
          <w:p>
            <w:r>
              <w:rPr>
                <w:b/>
                <w:color w:val="173536"/>
                <w:sz w:val="18"/>
              </w:rPr>
              <w:t>Relación</w:t>
            </w:r>
          </w:p>
        </w:tc>
        <w:tc>
          <w:tcPr>
            <w:tcW w:type="dxa" w:w="2570"/>
            <w:tcMar>
              <w:top w:w="100" w:type="dxa"/>
              <w:start w:w="120" w:type="dxa"/>
              <w:bottom w:w="100" w:type="dxa"/>
              <w:end w:w="120" w:type="dxa"/>
            </w:tcMar>
          </w:tcPr>
          <w:p>
            <w:r>
              <w:rPr>
                <w:color w:val="333333"/>
                <w:sz w:val="18"/>
              </w:rPr>
              <w:t>M1-V13 / M1-V16 · correo OTP</w:t>
            </w:r>
          </w:p>
        </w:tc>
        <w:tc>
          <w:tcPr>
            <w:tcW w:type="dxa" w:w="2570"/>
            <w:shd w:fill="EAF4F4"/>
            <w:tcMar>
              <w:top w:w="100" w:type="dxa"/>
              <w:start w:w="120" w:type="dxa"/>
              <w:bottom w:w="100" w:type="dxa"/>
              <w:end w:w="120" w:type="dxa"/>
            </w:tcMar>
          </w:tcPr>
          <w:p>
            <w:r>
              <w:rPr>
                <w:b/>
                <w:color w:val="173536"/>
                <w:sz w:val="18"/>
              </w:rPr>
              <w:t>Estado de evidencia</w:t>
            </w:r>
          </w:p>
        </w:tc>
        <w:tc>
          <w:tcPr>
            <w:tcW w:type="dxa" w:w="2570"/>
            <w:tcMar>
              <w:top w:w="100" w:type="dxa"/>
              <w:start w:w="120" w:type="dxa"/>
              <w:bottom w:w="100" w:type="dxa"/>
              <w:end w:w="120" w:type="dxa"/>
            </w:tcMar>
          </w:tcPr>
          <w:p>
            <w:r>
              <w:rPr>
                <w:color w:val="333333"/>
                <w:sz w:val="18"/>
              </w:rPr>
              <w:t>Confirmado</w:t>
            </w:r>
          </w:p>
        </w:tc>
      </w:tr>
    </w:tbl>
    <w:p>
      <w:pPr>
        <w:spacing w:after="40"/>
      </w:pPr>
    </w:p>
    <w:p>
      <w:pPr>
        <w:spacing w:after="80" w:line="252" w:lineRule="auto"/>
      </w:pPr>
      <w:r>
        <w:rPr>
          <w:b/>
          <w:color w:val="173536"/>
          <w:sz w:val="20"/>
        </w:rPr>
        <w:t xml:space="preserve">Resultado observado: </w:t>
      </w:r>
      <w:r>
        <w:rPr>
          <w:color w:val="333333"/>
          <w:sz w:val="20"/>
        </w:rPr>
        <w:t>El correo muestra “Hola:” seguido de “que bueno tenerte por aquí”, sin identificación del usuario y con redacción que requiere ajuste editorial.</w:t>
      </w:r>
    </w:p>
    <w:p>
      <w:pPr>
        <w:spacing w:after="80" w:line="252" w:lineRule="auto"/>
      </w:pPr>
      <w:r>
        <w:rPr>
          <w:b/>
          <w:color w:val="173536"/>
          <w:sz w:val="20"/>
        </w:rPr>
        <w:t xml:space="preserve">Comportamiento esperado: </w:t>
      </w:r>
      <w:r>
        <w:rPr>
          <w:color w:val="333333"/>
          <w:sz w:val="20"/>
        </w:rPr>
        <w:t>Definir un saludo neutral o personalizado y un copy final consistente con la identidad Walvy, sin depender de datos que aún no estén disponibles en esa etapa.</w:t>
      </w:r>
    </w:p>
    <w:p>
      <w:pPr>
        <w:spacing w:after="80" w:line="252" w:lineRule="auto"/>
      </w:pPr>
      <w:r>
        <w:rPr>
          <w:b/>
          <w:color w:val="173536"/>
          <w:sz w:val="20"/>
        </w:rPr>
        <w:t xml:space="preserve">Solicitud de cierre: </w:t>
      </w:r>
      <w:r>
        <w:rPr>
          <w:color w:val="333333"/>
          <w:sz w:val="20"/>
        </w:rPr>
        <w:t>Producto/Kabeli deben acordar el copy final y corregir estructura, puntuación y acentuación. Evidencia: EV12.</w:t>
      </w:r>
    </w:p>
    <w:p>
      <w:pPr>
        <w:spacing w:before="200" w:after="100"/>
      </w:pPr>
      <w:r>
        <w:rPr>
          <w:rFonts w:ascii="Aptos" w:hAnsi="Aptos"/>
          <w:b/>
          <w:color w:val="155C5D"/>
          <w:sz w:val="32"/>
        </w:rPr>
        <w:t>2. Solicitud técnica · elegibilidad documental antes de Kread</w:t>
      </w:r>
    </w:p>
    <w:tbl>
      <w:tblPr>
        <w:tblW w:type="auto" w:w="0"/>
        <w:jc w:val="center"/>
        <w:tblLayout w:type="fixed"/>
        <w:tblLook w:firstColumn="1" w:firstRow="1" w:lastColumn="0" w:lastRow="0" w:noHBand="0" w:noVBand="1" w:val="04A0"/>
      </w:tblPr>
      <w:tblGrid>
        <w:gridCol w:w="9936"/>
      </w:tblGrid>
      <w:tr>
        <w:tc>
          <w:tcPr>
            <w:tcW w:type="dxa" w:w="10282"/>
            <w:tcMar>
              <w:top w:w="120" w:type="dxa"/>
              <w:start w:w="160" w:type="dxa"/>
              <w:bottom w:w="120" w:type="dxa"/>
              <w:end w:w="160" w:type="dxa"/>
            </w:tcMar>
            <w:shd w:fill="FFF2DF"/>
          </w:tcPr>
          <w:p>
            <w:pPr>
              <w:spacing w:after="0"/>
            </w:pPr>
            <w:r>
              <w:rPr>
                <w:rFonts w:ascii="Aptos" w:hAnsi="Aptos"/>
                <w:b/>
                <w:color w:val="173536"/>
                <w:sz w:val="20"/>
              </w:rPr>
              <w:t>M01-TECH-001 · Esta solicitud no declara un FAIL de M1-V40 en este corte. Se requiere para cerrar el contrato de prevalidación y evitar consumo innecesario de Kread con documentos no elegibles.</w:t>
            </w:r>
          </w:p>
        </w:tc>
      </w:tr>
    </w:tbl>
    <w:p>
      <w:pPr>
        <w:spacing w:after="20"/>
      </w:pPr>
    </w:p>
    <w:p>
      <w:pPr>
        <w:spacing w:after="100" w:line="259" w:lineRule="auto"/>
      </w:pPr>
      <w:r>
        <w:rPr>
          <w:rFonts w:ascii="Aptos" w:hAnsi="Aptos"/>
          <w:color w:val="333333"/>
          <w:sz w:val="21"/>
        </w:rPr>
        <w:t>Caso de referencia: `omni-manual.PDF` es un PDF técnicamente válido cuyo contenido corresponde a un manual de producto y no a una cartola/documento financiero. Andrea reporta que quedó procesando. La reproducción JR con tiempo/estado final se realizará en el siguiente corte.</w:t>
      </w:r>
    </w:p>
    <w:p>
      <w:pPr>
        <w:spacing w:after="80" w:line="252" w:lineRule="auto"/>
      </w:pPr>
      <w:r>
        <w:rPr>
          <w:b/>
          <w:color w:val="173536"/>
          <w:sz w:val="20"/>
        </w:rPr>
        <w:t xml:space="preserve">Condición requerida: </w:t>
      </w:r>
      <w:r>
        <w:rPr>
          <w:color w:val="333333"/>
          <w:sz w:val="20"/>
        </w:rPr>
        <w:t>Kread es un servicio SaaS con consumo/límites. Walvy requiere confirmar que sólo se invoca después de superar los controles previos de admisión y elegibilidad aplicables; un archivo claramente no elegible no debe utilizar una llamada al servicio únicamente para determinar que no corresponde.</w:t>
      </w:r>
    </w:p>
    <w:p>
      <w:pPr>
        <w:spacing w:after="80" w:line="252" w:lineRule="auto"/>
      </w:pPr>
      <w:r>
        <w:rPr>
          <w:b/>
          <w:color w:val="173536"/>
          <w:sz w:val="20"/>
        </w:rPr>
        <w:t xml:space="preserve">Confirmaciones solicitadas: </w:t>
      </w:r>
      <w:r>
        <w:rPr>
          <w:color w:val="333333"/>
          <w:sz w:val="20"/>
        </w:rPr>
        <w:t>Detallar controles PRE-Kread (extensión, MIME real, tamaño, seguridad, estructura y/o tipo documental); indicar si el fixture de referencia invoca Kread; identificar el componente que decide no usable/no procesable/no corresponde; documentar estado/código, timeout y retry; confirmar que el archivo no participa de suficiencia/diagnóstico; aportar evidencia sanitizada de request/job/status.</w:t>
      </w:r>
    </w:p>
    <w:p>
      <w:pPr>
        <w:spacing w:after="80" w:line="252" w:lineRule="auto"/>
      </w:pPr>
      <w:r>
        <w:rPr>
          <w:b/>
          <w:color w:val="173536"/>
          <w:sz w:val="20"/>
        </w:rPr>
        <w:t xml:space="preserve">Resultado UX esperado: </w:t>
      </w:r>
      <w:r>
        <w:rPr>
          <w:color w:val="333333"/>
          <w:sz w:val="20"/>
        </w:rPr>
        <w:t>Cuando un documento no puede utilizarse, la interfaz debe informar la causa y permitir reemplazarlo o cargar otra evidencia conforme M1-V40 / M01-RGL-010.</w:t>
      </w:r>
    </w:p>
    <w:p>
      <w:pPr>
        <w:spacing w:before="200" w:after="100"/>
      </w:pPr>
      <w:r>
        <w:rPr>
          <w:rFonts w:ascii="Aptos" w:hAnsi="Aptos"/>
          <w:b/>
          <w:color w:val="155C5D"/>
          <w:sz w:val="32"/>
        </w:rPr>
        <w:t>3. Observaciones que no se elevan a incumplimiento en este corte</w:t>
      </w:r>
    </w:p>
    <w:p>
      <w:pPr>
        <w:spacing w:after="80"/>
      </w:pPr>
      <w:r>
        <w:rPr>
          <w:b/>
          <w:color w:val="173536"/>
          <w:sz w:val="20"/>
        </w:rPr>
        <w:t xml:space="preserve">Notificación de término · M1-V46: </w:t>
      </w:r>
      <w:r>
        <w:rPr>
          <w:color w:val="333333"/>
          <w:sz w:val="20"/>
        </w:rPr>
        <w:t>La UI ofrece aviso y al salir promete notificar, pero la ejecución JR terminó posteriormente en el fallo M1-V47. Se requiere repetir con un job exitoso antes de concluir incumplimiento.</w:t>
      </w:r>
    </w:p>
    <w:p>
      <w:pPr>
        <w:spacing w:after="80"/>
      </w:pPr>
      <w:r>
        <w:rPr>
          <w:b/>
          <w:color w:val="173536"/>
          <w:sz w:val="20"/>
        </w:rPr>
        <w:t xml:space="preserve">Nitidez de assets · M1-V27: </w:t>
      </w:r>
      <w:r>
        <w:rPr>
          <w:color w:val="333333"/>
          <w:sz w:val="20"/>
        </w:rPr>
        <w:t>Se percibe menor nitidez en algunas ilustraciones del carrusel. Un frame de video no permite aislar asset fuente, escalamiento o compresión; se requiere comparativo controlado.</w:t>
      </w:r>
    </w:p>
    <w:p>
      <w:pPr>
        <w:spacing w:after="80"/>
      </w:pPr>
      <w:r>
        <w:rPr>
          <w:b/>
          <w:color w:val="173536"/>
          <w:sz w:val="20"/>
        </w:rPr>
        <w:t xml:space="preserve">Refresh biométrico · M1-V26: </w:t>
      </w:r>
      <w:r>
        <w:rPr>
          <w:color w:val="333333"/>
          <w:sz w:val="20"/>
        </w:rPr>
        <w:t>Tras enrolar huella con Walvy ya abierta, la pantalla no se actualizó hasta reingresar; luego activación y login biométrico funcionaron. La matriz no exige hot-refresh.</w:t>
      </w:r>
    </w:p>
    <w:p>
      <w:pPr>
        <w:spacing w:after="80"/>
      </w:pPr>
      <w:r>
        <w:rPr>
          <w:b/>
          <w:color w:val="173536"/>
          <w:sz w:val="20"/>
        </w:rPr>
        <w:t xml:space="preserve">Consistencia de mensajes de error: </w:t>
      </w:r>
      <w:r>
        <w:rPr>
          <w:color w:val="333333"/>
          <w:sz w:val="20"/>
        </w:rPr>
        <w:t>Andrea reporta diferencias de ubicación entre errores de formato y de envío. No se identificó un criterio canónico que fije posición exacta; contrastar con Figma/copy congelado antes de abrir bug funcional.</w:t>
      </w:r>
    </w:p>
    <w:p>
      <w:pPr>
        <w:spacing w:after="80"/>
      </w:pPr>
      <w:r>
        <w:rPr>
          <w:b/>
          <w:color w:val="173536"/>
          <w:sz w:val="20"/>
        </w:rPr>
        <w:t xml:space="preserve">Tiempo de lectura de la landing: </w:t>
      </w:r>
      <w:r>
        <w:rPr>
          <w:color w:val="333333"/>
          <w:sz w:val="20"/>
        </w:rPr>
        <w:t>Andrea percibe poco tiempo para leer el texto inferior. Walvy no definió un tiempo de autoplay; tratar como observación de usabilidad si Producto decide un objetivo.</w:t>
      </w:r>
    </w:p>
    <w:p>
      <w:pPr>
        <w:spacing w:after="80"/>
      </w:pPr>
      <w:r>
        <w:rPr>
          <w:b/>
          <w:color w:val="173536"/>
          <w:sz w:val="20"/>
        </w:rPr>
        <w:t xml:space="preserve">Espaciado de “¡Listo!” / Acceso rápido: </w:t>
      </w:r>
      <w:r>
        <w:rPr>
          <w:color w:val="333333"/>
          <w:sz w:val="20"/>
        </w:rPr>
        <w:t>Victoria propone reducir espacio vertical para mostrar más contenido. Se mantiene como mejora UX.</w:t>
      </w:r>
    </w:p>
    <w:p>
      <w:pPr>
        <w:spacing w:after="80"/>
      </w:pPr>
      <w:r>
        <w:rPr>
          <w:b/>
          <w:color w:val="173536"/>
          <w:sz w:val="20"/>
        </w:rPr>
        <w:t xml:space="preserve">Sugerencias de dominios de correo: </w:t>
      </w:r>
      <w:r>
        <w:rPr>
          <w:color w:val="333333"/>
          <w:sz w:val="20"/>
        </w:rPr>
        <w:t>Victoria propone sugerir Gmail/Hotmail/Yahoo/Outlook al escribir @. Es una mejora de conveniencia, no un requisito vigente.</w:t>
      </w:r>
    </w:p>
    <w:p>
      <w:pPr>
        <w:spacing w:after="80"/>
      </w:pPr>
      <w:r>
        <w:rPr>
          <w:b/>
          <w:color w:val="173536"/>
          <w:sz w:val="20"/>
        </w:rPr>
        <w:t xml:space="preserve">Completar información clave · M1-V51: </w:t>
      </w:r>
      <w:r>
        <w:rPr>
          <w:color w:val="333333"/>
          <w:sz w:val="20"/>
        </w:rPr>
        <w:t>Capacidad reconocida como deuda técnica pendiente. Revalidar M01-RGL-011 cuando exista implementación.</w:t>
      </w:r>
    </w:p>
    <w:p>
      <w:pPr>
        <w:spacing w:before="200" w:after="100"/>
      </w:pPr>
      <w:r>
        <w:rPr>
          <w:rFonts w:ascii="Aptos" w:hAnsi="Aptos"/>
          <w:b/>
          <w:color w:val="155C5D"/>
          <w:sz w:val="32"/>
        </w:rPr>
        <w:t>4. Pruebas pendientes para el siguiente corte</w:t>
      </w:r>
    </w:p>
    <w:p>
      <w:pPr>
        <w:pStyle w:val="ListBullet"/>
        <w:spacing w:after="60"/>
      </w:pPr>
      <w:r>
        <w:rPr>
          <w:sz w:val="20"/>
        </w:rPr>
        <w:t>M1-V21 · código inválido en recuperación: Andrea reporta que el código no puede editarse después del error. Reproducir en una cuenta controlada antes de cambiar la clasificación de la variante.</w:t>
      </w:r>
    </w:p>
    <w:p>
      <w:pPr>
        <w:pStyle w:val="ListBullet"/>
        <w:spacing w:after="60"/>
      </w:pPr>
      <w:r>
        <w:rPr>
          <w:sz w:val="20"/>
        </w:rPr>
        <w:t>M1-V40 · PDF no financiero: Reproducir con `omni-manual.PDF`, registrar tiempo/estado final y correlacionar con M01-TECH-001 para confirmar si existe invocación a Kread.</w:t>
      </w:r>
    </w:p>
    <w:p>
      <w:pPr>
        <w:pStyle w:val="ListBullet"/>
        <w:spacing w:after="60"/>
      </w:pPr>
      <w:r>
        <w:rPr>
          <w:sz w:val="20"/>
        </w:rPr>
        <w:t>Validación de RUT: No usar “rutificador” como requisito. Probar un RUT sintácticamente válido con dígito verificador incorrecto y confirmar la validación efectiva.</w:t>
      </w:r>
    </w:p>
    <w:p>
      <w:pPr>
        <w:pStyle w:val="ListBullet"/>
        <w:spacing w:after="60"/>
      </w:pPr>
      <w:r>
        <w:rPr>
          <w:sz w:val="20"/>
        </w:rPr>
        <w:t>Indicador de procesamiento: Verificar en video temporal si los puntos/feedback de “Leyendo movimientos” están animados o permanecen estáticos.</w:t>
      </w:r>
    </w:p>
    <w:p>
      <w:pPr>
        <w:pStyle w:val="ListBullet"/>
        <w:spacing w:after="60"/>
      </w:pPr>
      <w:r>
        <w:rPr>
          <w:sz w:val="20"/>
        </w:rPr>
        <w:t>Notificación de término exitoso: Repetir M1-V46 con job que finalice correctamente.</w:t>
      </w:r>
    </w:p>
    <w:p>
      <w:pPr>
        <w:pStyle w:val="ListBullet"/>
        <w:spacing w:after="60"/>
      </w:pPr>
      <w:r>
        <w:rPr>
          <w:sz w:val="20"/>
        </w:rPr>
        <w:t>CSV: Ejecutar carga con fixture CSV válido.</w:t>
      </w:r>
    </w:p>
    <w:p>
      <w:pPr>
        <w:pStyle w:val="ListBullet"/>
        <w:spacing w:after="60"/>
      </w:pPr>
      <w:r>
        <w:rPr>
          <w:sz w:val="20"/>
        </w:rPr>
        <w:t>Deduplicación persistente post-M01: Probar el mismo contenido, idealmente renombrado, cuando exista carga documental en M04/M05/M06.</w:t>
      </w:r>
    </w:p>
    <w:p>
      <w:pPr>
        <w:pStyle w:val="ListBullet"/>
        <w:spacing w:after="60"/>
      </w:pPr>
      <w:r>
        <w:rPr>
          <w:sz w:val="20"/>
        </w:rPr>
        <w:t>QA visual de assets: Comparar PNG/Figma original versus render nativo antes de convertir la observación de nitidez en bug.</w:t>
      </w:r>
    </w:p>
    <w:p>
      <w:pPr>
        <w:spacing w:before="200" w:after="100"/>
      </w:pPr>
      <w:r>
        <w:rPr>
          <w:rFonts w:ascii="Aptos" w:hAnsi="Aptos"/>
          <w:b/>
          <w:color w:val="155C5D"/>
          <w:sz w:val="32"/>
        </w:rPr>
        <w:t>5. Adjuntos de este corte</w:t>
      </w:r>
    </w:p>
    <w:p>
      <w:pPr>
        <w:spacing w:after="100" w:line="259" w:lineRule="auto"/>
      </w:pPr>
      <w:r>
        <w:rPr>
          <w:rFonts w:ascii="Aptos" w:hAnsi="Aptos"/>
          <w:color w:val="333333"/>
          <w:sz w:val="21"/>
        </w:rPr>
        <w:t>La matriz `02_MATRIZ_VALIDACION_M01_WALVY_2026-09-02_v1.0.xlsx` conserva los 60 IDs canónicos y el resultado Walvy de cada variante. `04_INDICE_EVIDENCIAS.xlsx` relaciona cada evidencia incluida con su fuente primaria y el ticket/tema que acredita. La carpeta `03_EVIDENCIAS` contiene únicamente los prints y clips necesarios para los ítems de este handoff.</w:t>
      </w:r>
    </w:p>
    <w:tbl>
      <w:tblPr>
        <w:tblW w:type="auto" w:w="0"/>
        <w:jc w:val="center"/>
        <w:tblLayout w:type="fixed"/>
        <w:tblLook w:firstColumn="1" w:firstRow="1" w:lastColumn="0" w:lastRow="0" w:noHBand="0" w:noVBand="1" w:val="04A0"/>
      </w:tblPr>
      <w:tblGrid>
        <w:gridCol w:w="9936"/>
      </w:tblGrid>
      <w:tr>
        <w:tc>
          <w:tcPr>
            <w:tcW w:type="dxa" w:w="10282"/>
            <w:tcMar>
              <w:top w:w="120" w:type="dxa"/>
              <w:start w:w="160" w:type="dxa"/>
              <w:bottom w:w="120" w:type="dxa"/>
              <w:end w:w="160" w:type="dxa"/>
            </w:tcMar>
            <w:shd w:fill="EAF4F4"/>
          </w:tcPr>
          <w:p>
            <w:pPr>
              <w:spacing w:after="0"/>
            </w:pPr>
            <w:r>
              <w:rPr>
                <w:rFonts w:ascii="Aptos" w:hAnsi="Aptos"/>
                <w:b w:val="0"/>
                <w:color w:val="173536"/>
                <w:sz w:val="20"/>
              </w:rPr>
              <w:t>Los reportes internos de QA, conversaciones de trabajo, fuentes rectoras y material de reconstrucción no forman parte de este paquete externo para Kabeli/Jira.</w:t>
            </w:r>
          </w:p>
        </w:tc>
      </w:tr>
    </w:tbl>
    <w:p>
      <w:pPr>
        <w:spacing w:after="20"/>
      </w:pPr>
    </w:p>
    <w:sectPr w:rsidR="00FC693F" w:rsidRPr="0006063C" w:rsidSect="00034616">
      <w:headerReference w:type="default" r:id="rId9"/>
      <w:footerReference w:type="default" r:id="rId10"/>
      <w:pgSz w:w="12240" w:h="15840"/>
      <w:pgMar w:top="864"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969"/>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969"/>
        <w:sz w:val="17"/>
      </w:rPr>
      <w:t>Walvy · M01 · Handoff de hallazgos para Jira / Kabeli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