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rial" w:hAnsi="Arial"/>
          <w:b/>
          <w:color w:val="0B5D61"/>
          <w:sz w:val="48"/>
        </w:rPr>
        <w:t>Walvy · Módulo 4 / Ruta Despeje</w:t>
      </w:r>
    </w:p>
    <w:p>
      <w:pPr>
        <w:jc w:val="center"/>
      </w:pPr>
      <w:r>
        <w:rPr>
          <w:b/>
          <w:color w:val="183238"/>
          <w:sz w:val="34"/>
        </w:rPr>
        <w:t>Documentación Funcional Consolidada · v1.0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3EC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0B5D61"/>
                <w:sz w:val="20"/>
              </w:rPr>
              <w:t>Estado documental | Documento funcional vigente del Módulo 4. Versión publicada v1.0. Las fuentes especializadas vigentes complementan esta lectura según su ámbito.</w:t>
            </w:r>
          </w:p>
          <w:p>
            <w:pPr>
              <w:spacing w:after="0"/>
            </w:pPr>
            <w:r>
              <w:rPr>
                <w:color w:val="183238"/>
                <w:sz w:val="18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5141"/>
          </w:tcPr>
          <w:p>
            <w:r>
              <w:t>Versión</w:t>
            </w:r>
          </w:p>
        </w:tc>
        <w:tc>
          <w:tcPr>
            <w:tcW w:type="dxa" w:w="5141"/>
          </w:tcPr>
          <w:p>
            <w:r>
              <w:t>v1.0</w:t>
            </w:r>
          </w:p>
        </w:tc>
      </w:tr>
      <w:tr>
        <w:tc>
          <w:tcPr>
            <w:tcW w:type="dxa" w:w="5141"/>
          </w:tcPr>
          <w:p>
            <w:r>
              <w:t>Estado</w:t>
            </w:r>
          </w:p>
        </w:tc>
        <w:tc>
          <w:tcPr>
            <w:tcW w:type="dxa" w:w="5141"/>
          </w:tcPr>
          <w:p>
            <w:r>
              <w:t>Vigente</w:t>
            </w:r>
          </w:p>
        </w:tc>
      </w:tr>
      <w:tr>
        <w:tc>
          <w:tcPr>
            <w:tcW w:type="dxa" w:w="5141"/>
          </w:tcPr>
          <w:p>
            <w:r>
              <w:t>Alcance</w:t>
            </w:r>
          </w:p>
        </w:tc>
        <w:tc>
          <w:tcPr>
            <w:tcW w:type="dxa" w:w="5141"/>
          </w:tcPr>
          <w:p>
            <w:r>
              <w:t>M04 / Ruta Despeje</w:t>
            </w:r>
          </w:p>
        </w:tc>
      </w:tr>
      <w:tr>
        <w:tc>
          <w:tcPr>
            <w:tcW w:type="dxa" w:w="5141"/>
          </w:tcPr>
          <w:p>
            <w:r>
              <w:t>Destinatarios</w:t>
            </w:r>
          </w:p>
        </w:tc>
        <w:tc>
          <w:tcPr>
            <w:tcW w:type="dxa" w:w="5141"/>
          </w:tcPr>
          <w:p>
            <w:r>
              <w:t>Producto, UX, Desarrollo, QA y Kabeli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100"/>
      </w:pPr>
      <w:r>
        <w:t>1. Propósito y uso del documento</w:t>
      </w:r>
    </w:p>
    <w:p>
      <w:pPr>
        <w:spacing w:after="100" w:line="259" w:lineRule="auto"/>
      </w:pPr>
      <w:r>
        <w:rPr>
          <w:color w:val="183238"/>
          <w:sz w:val="19"/>
        </w:rPr>
        <w:t>Este documento concentra la lectura funcional vigente del Módulo 4 / Ruta Despeje y sirve como referencia integrada para Producto, UX, Desarrollo y QA.</w:t>
      </w:r>
    </w:p>
    <w:p>
      <w:pPr>
        <w:spacing w:after="100" w:line="259" w:lineRule="auto"/>
      </w:pPr>
      <w:r>
        <w:rPr>
          <w:color w:val="183238"/>
          <w:sz w:val="19"/>
        </w:rPr>
        <w:t>El consolidado integra alcance, flujo, estados, decisiones, contratos financieros, superficies, dependencias y guardrails. Las especificaciones atómicas, BDD y de implementación vigentes complementan este documento dentro de su ámbito.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2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0B5D61"/>
                <w:sz w:val="20"/>
              </w:rPr>
              <w:t>Regla de lectura</w:t>
            </w:r>
          </w:p>
          <w:p>
            <w:pPr>
              <w:spacing w:after="0"/>
            </w:pPr>
            <w:r>
              <w:rPr>
                <w:color w:val="183238"/>
                <w:sz w:val="18"/>
              </w:rPr>
              <w:t>Este Word es la puerta de entrada humana del módulo. La Matriz Interna gobierna la trazabilidad atómica; el Anexo BDD gobierna la definición funcional-productiva de datos y reglas; el Assessment gobierna los casos de validación. Figma cerrado gobierna la materialización visual observada, sin inventar reglas no visuales.</w:t>
            </w:r>
          </w:p>
        </w:tc>
      </w:tr>
    </w:tbl>
    <w:p>
      <w:pPr>
        <w:spacing w:after="40"/>
      </w:pPr>
    </w:p>
    <w:p>
      <w:pPr>
        <w:pStyle w:val="ListBullet"/>
      </w:pPr>
      <w:r>
        <w:t>Las dependencias M02/M05/M06 se expresan como contratos de entrada/salida. Que el cálculo viva en otro módulo no deja incompleto a M04.</w:t>
      </w:r>
    </w:p>
    <w:p>
      <w:pPr>
        <w:pStyle w:val="ListBullet"/>
      </w:pPr>
      <w:r>
        <w:t>En Plan y Avance, Backend entrega cálculos, estados y siguientes pasos deterministas; Home y Perfil solo consumen esos resultados.</w:t>
      </w:r>
    </w:p>
    <w:p>
      <w:pPr>
        <w:pStyle w:val="ListBullet"/>
      </w:pPr>
      <w:r>
        <w:t>Si los datos ya son suficientes, M04 calcula Presión, Salud y elegibilidad de Ruta; esos ejes son distintos y no se sustituyen entre sí.</w:t>
      </w:r>
    </w:p>
    <w:p>
      <w:pPr>
        <w:pStyle w:val="ListBullet"/>
      </w:pPr>
      <w:r>
        <w:t>Si el usuario está revisando datos de deuda, M04 primero confirma, completa o actualiza la información necesaria antes de emitir una conclusión fuerte.</w:t>
      </w:r>
    </w:p>
    <w:p>
      <w:pPr>
        <w:pStyle w:val="Heading1"/>
      </w:pPr>
      <w:r>
        <w:t>1.1 Cómo leer M04 en términos operativos</w:t>
      </w:r>
    </w:p>
    <w:p>
      <w:pPr>
        <w:pStyle w:val="Heading1"/>
        <w:spacing w:before="160" w:after="100"/>
      </w:pPr>
      <w:r>
        <w:t>2. Alcance consolidado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Incluye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 incluye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Ruta funcional completa OD / DD / RD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Diseño técnico de APIs, tablas físicas o infraestructura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Gate de calidad, Presión, Salud y Ruta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Orquestación global de Home, winner intermodular, cadencia o cooldown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Contrato P4 y 25 Contract IDs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CORE-SIGNAL o motor global de señales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Contrato productor/proyección BC-M04-002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Push, email, centro de notificaciones o campana no aprobados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Secuencia FLOW-M04-023 cerrada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8"/>
              </w:rPr>
              <w:t>Recalcular Disponible M02 o usarlo como proxy de Margen, headroom o reserva. El contrato M02 ya está cerrado y M04 no lo redefine.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Fronteras M04↔M05↔M06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Reasignación automática de dinero o ejecución de pagos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Guardrails, negativos y compatibilidad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Refinanciamiento, consolidación bancaria o producto financiero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t>3. Fuentes y autoridad funcional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Fuente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Rol / autoridad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3427"/>
          </w:tcPr>
          <w:p>
            <w:r>
              <w:t>Walvy_Modulo4_Matriz_Trazabilidad_Interna_v1_0.xlsx</w:t>
            </w:r>
          </w:p>
        </w:tc>
        <w:tc>
          <w:tcPr>
            <w:tcW w:type="dxa" w:w="3427"/>
          </w:tcPr>
          <w:p>
            <w:r>
              <w:t>Trazabilidad atómica, reglas Walvy, Contract P4, estados, familias y fronteras</w:t>
            </w:r>
          </w:p>
        </w:tc>
        <w:tc>
          <w:tcPr>
            <w:tcW w:type="dxa" w:w="3427"/>
          </w:tcPr>
          <w:p>
            <w:r>
              <w:t>Fuente funcional vigente</w:t>
            </w:r>
          </w:p>
        </w:tc>
      </w:tr>
      <w:tr>
        <w:tc>
          <w:tcPr>
            <w:tcW w:type="dxa" w:w="3427"/>
          </w:tcPr>
          <w:p>
            <w:r>
              <w:t>Walvy_Modulo4_Fase3_Anexo_BDD_Reglas_Productivas_v1_0.docx</w:t>
            </w:r>
          </w:p>
        </w:tc>
        <w:tc>
          <w:tcPr>
            <w:tcW w:type="dxa" w:w="3427"/>
          </w:tcPr>
          <w:p>
            <w:r>
              <w:t>Reglas productivas, entidades, estados, enums, cálculos y guardrails</w:t>
            </w:r>
          </w:p>
        </w:tc>
        <w:tc>
          <w:tcPr>
            <w:tcW w:type="dxa" w:w="3427"/>
          </w:tcPr>
          <w:p>
            <w:r>
              <w:t>Fuente funcional vigente</w:t>
            </w:r>
          </w:p>
        </w:tc>
      </w:tr>
      <w:tr>
        <w:tc>
          <w:tcPr>
            <w:tcW w:type="dxa" w:w="3427"/>
          </w:tcPr>
          <w:p>
            <w:r>
              <w:t>Figma M04 vigente</w:t>
            </w:r>
          </w:p>
        </w:tc>
        <w:tc>
          <w:tcPr>
            <w:tcW w:type="dxa" w:w="3427"/>
          </w:tcPr>
          <w:p>
            <w:r>
              <w:t>Recorrido y materialización visual de M04</w:t>
            </w:r>
          </w:p>
        </w:tc>
        <w:tc>
          <w:tcPr>
            <w:tcW w:type="dxa" w:w="3427"/>
          </w:tcPr>
          <w:p>
            <w:r>
              <w:t>Fuente visual vigente</w:t>
            </w:r>
          </w:p>
        </w:tc>
      </w:tr>
      <w:tr>
        <w:tc>
          <w:tcPr>
            <w:tcW w:type="dxa" w:w="3427"/>
          </w:tcPr>
          <w:p>
            <w:r>
              <w:t>Walvy_Modulo4_Mis_Avisos_Parte_II_v1_0.docx</w:t>
            </w:r>
          </w:p>
        </w:tc>
        <w:tc>
          <w:tcPr>
            <w:tcW w:type="dxa" w:w="3427"/>
          </w:tcPr>
          <w:p>
            <w:r>
              <w:t>Contrato modular vigente de avisos y señales M04</w:t>
            </w:r>
          </w:p>
        </w:tc>
        <w:tc>
          <w:tcPr>
            <w:tcW w:type="dxa" w:w="3427"/>
          </w:tcPr>
          <w:p>
            <w:r>
              <w:t>Fuente especializada vigente</w:t>
            </w:r>
          </w:p>
        </w:tc>
      </w:tr>
      <w:tr>
        <w:tc>
          <w:tcPr>
            <w:tcW w:type="dxa" w:w="3427"/>
          </w:tcPr>
          <w:p>
            <w:r>
              <w:t>Artefactos de Protección de Datos M04 vigentes</w:t>
            </w:r>
          </w:p>
        </w:tc>
        <w:tc>
          <w:tcPr>
            <w:tcW w:type="dxa" w:w="3427"/>
          </w:tcPr>
          <w:p>
            <w:r>
              <w:t>Clasificación, requisitos de protección y evidencia técnica aplicable a M04</w:t>
            </w:r>
          </w:p>
        </w:tc>
        <w:tc>
          <w:tcPr>
            <w:tcW w:type="dxa" w:w="3427"/>
          </w:tcPr>
          <w:p>
            <w:r>
              <w:t>Fuente especializada vigente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pStyle w:val="Heading1"/>
        <w:spacing w:before="160" w:after="100"/>
      </w:pPr>
      <w:r>
        <w:t>4. Resumen ejecutivo vigente</w:t>
      </w:r>
    </w:p>
    <w:p>
      <w:pPr>
        <w:pStyle w:val="ListBullet"/>
        <w:spacing w:after="40"/>
      </w:pPr>
      <w:r>
        <w:rPr>
          <w:sz w:val="19"/>
        </w:rPr>
        <w:t>M04 organiza el dominio de deuda y Ruta Despeje sin convertir cada condición en una pantalla o señal independiente.</w:t>
      </w:r>
    </w:p>
    <w:p>
      <w:pPr>
        <w:pStyle w:val="ListBullet"/>
        <w:spacing w:after="40"/>
      </w:pPr>
      <w:r>
        <w:rPr>
          <w:sz w:val="19"/>
        </w:rPr>
        <w:t>La Presión financiera se calcula con un contrato reproducible: calidad/suficiencia → C×K×D → floors causales válidos → Presión final.</w:t>
      </w:r>
    </w:p>
    <w:p>
      <w:pPr>
        <w:pStyle w:val="ListBullet"/>
        <w:spacing w:after="40"/>
      </w:pPr>
      <w:r>
        <w:rPr>
          <w:sz w:val="19"/>
        </w:rPr>
        <w:t>Presión, Salud de Deuda y estado de Ruta son ejes distintos. Ninguno debe usarse como sustituto de otro.</w:t>
      </w:r>
    </w:p>
    <w:p>
      <w:pPr>
        <w:pStyle w:val="ListBullet"/>
        <w:spacing w:after="40"/>
      </w:pPr>
      <w:r>
        <w:rPr>
          <w:sz w:val="19"/>
        </w:rPr>
        <w:t>Ruta elegible no equivale a Ruta activa. Riesgo + deuda confirmada + suficiencia mínima habilita elegibilidad; el primer “Seguir plan” válido desde RD-02 activa la Ruta.</w:t>
      </w:r>
    </w:p>
    <w:p>
      <w:pPr>
        <w:pStyle w:val="ListBullet"/>
        <w:spacing w:after="40"/>
      </w:pPr>
      <w:r>
        <w:rPr>
          <w:sz w:val="19"/>
        </w:rPr>
        <w:t>RGL-020 y RGL-021 pueden imponer floors causales; RGL-022 es detector contextual y no agrega severidad por sí solo.</w:t>
      </w:r>
    </w:p>
    <w:p>
      <w:pPr>
        <w:pStyle w:val="ListBullet"/>
        <w:spacing w:after="40"/>
      </w:pPr>
      <w:r>
        <w:rPr>
          <w:sz w:val="19"/>
        </w:rPr>
        <w:t>Home y Perfil consumen outputs M04; no recalculan Presión, Salud ni route_state.</w:t>
      </w:r>
    </w:p>
    <w:p>
      <w:pPr>
        <w:pStyle w:val="ListBullet"/>
        <w:spacing w:after="40"/>
      </w:pPr>
      <w:r>
        <w:rPr>
          <w:sz w:val="19"/>
        </w:rPr>
        <w:t>La acción operativa por pago/vencimiento/mora conserva owner M06. M04 consume aging/recurrencia cuando corresponde.</w:t>
      </w:r>
    </w:p>
    <w:p>
      <w:pPr>
        <w:pStyle w:val="ListBullet"/>
        <w:spacing w:after="40"/>
      </w:pPr>
      <w:r>
        <w:rPr>
          <w:sz w:val="19"/>
        </w:rPr>
        <w:t>El headroom/capacidad residual proviene de M05; M04 no recalcula presupuesto ni trata liquidez financiada como ingreso.</w:t>
      </w:r>
    </w:p>
    <w:p>
      <w:pPr>
        <w:pStyle w:val="ListBullet"/>
        <w:spacing w:after="40"/>
      </w:pPr>
      <w:r>
        <w:rPr>
          <w:sz w:val="19"/>
        </w:rPr>
        <w:t>Capacidad liberada es un fact/output del cierre y no equivale automáticamente a ahorro, margen disponible ni transferencia de dinero.</w:t>
      </w:r>
    </w:p>
    <w:p>
      <w:pPr>
        <w:pStyle w:val="ListBullet"/>
        <w:spacing w:after="40"/>
      </w:pPr>
      <w:r>
        <w:rPr>
          <w:sz w:val="19"/>
        </w:rPr>
        <w:t>FLOW-M04-023 está cerrado: 100% → Posible deuda cerrada → Confirmar cierre → ¡Felicitaciones! → Continuar con el plan → RD-03 Avance actualizado.</w:t>
      </w:r>
    </w:p>
    <w:p>
      <w:pPr>
        <w:pStyle w:val="Heading1"/>
        <w:spacing w:before="160" w:after="100"/>
      </w:pPr>
      <w:r>
        <w:t>5. Modelo funcional: ejes que no deben mezclarse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Eje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Pregunta que responde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Estados / salida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 equivale a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Calidad / suficiencia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¿Existe evidencia suficiente para sostener la conclusión?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evaluable / parcial / no calculable; pendientes F2→F1→F3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Presión favorable ni valor cero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Presión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¿Qué nivel financiero resulta de C, K, D y floors válidos?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En Control / Atención / Riesgo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Salud, aging ni Ruta activa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Salud de Deuda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¿Qué lectura cualitativa resulta de Presión + aging con base suficiente?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Sana / Requiere atención / Presionada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Presión, score ni CTA automático de Ruta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Elegibilidad de Ruta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¿Se cumplen Riesgo + deuda confirmada + suficiencia mínima?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no elegible / pendiente / elegible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Activación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Route state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¿La persona inició efectivamente la Ruta?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inactiva / activa / continuidad / cerrada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Visibilidad de una recomendación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Situación proyectable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¿Existe un cambio/acción M04 comunicable?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F1…F7 + states/reasons/outputs absorbidos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Aviso autónomo por cada reason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t>6. Inventario funcional y superficies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 / superficie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Rol vigente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Tratamiento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OD-01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Método y captura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Carga manual/documental; no activa Ruta.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OD-02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Validación y completitud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Confirmar, completar, actualizar, deduplicar y resolver No corresponde.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OD-03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Resultado / derivación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Produce lectura según gate: seguimiento, completar o elegibilidad.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DD-01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Detalle / seguimiento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Vista secundaria para deuda manejable o revisión sin plan activo.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RD-01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Resumen Ruta Despeje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Presenta situación/prioridad cuando la Ruta corresponde.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RD-02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Plan y priorización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Orden, próxima acción, simulaciones y CTA “Seguir plan”; primer uso válido activa la Ruta.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RD-03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Avance / cierre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Avance, posible cierre, confirmación, recálculo y continuidad post-cierre.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Home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Consumidor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Representa estado/candidato M04; no recalcula ni elige ganador global.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Perfil Financiero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Consumidor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Consume Salud, calidad, Ruta y CTA compacto; no crea motor paralelo.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M06 / Pagos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Owner operativo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Pago, vencimiento, mora, aging y recurrencia operativa.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M05 / Presupuesto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Productor upstream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Ingreso canónico y headroom/capacidad residual para K.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100"/>
      </w:pPr>
      <w:r>
        <w:t>7. Flujo end-to-end vigente</w:t>
      </w:r>
    </w:p>
    <w:p>
      <w:pPr>
        <w:pStyle w:val="ListNumber"/>
        <w:spacing w:after="40"/>
      </w:pPr>
      <w:r>
        <w:rPr>
          <w:sz w:val="19"/>
        </w:rPr>
        <w:t>Entrada desde Home, Perfil u Onboarding: identificar si existe deuda registrada, detectada o situación M04 pertinente.</w:t>
      </w:r>
    </w:p>
    <w:p>
      <w:pPr>
        <w:pStyle w:val="ListNumber"/>
        <w:spacing w:after="40"/>
      </w:pPr>
      <w:r>
        <w:rPr>
          <w:sz w:val="19"/>
        </w:rPr>
        <w:t>Si la deuda no está confirmada, priorizar F2 Confirmar deuda. No usarla para conclusión fuerte ni Ruta.</w:t>
      </w:r>
    </w:p>
    <w:p>
      <w:pPr>
        <w:pStyle w:val="ListNumber"/>
        <w:spacing w:after="40"/>
      </w:pPr>
      <w:r>
        <w:rPr>
          <w:sz w:val="19"/>
        </w:rPr>
        <w:t>Si está confirmada pero falta información material, priorizar F1 Completar información; si el dato perdió vigencia/confianza, F3 Actualizar/validar.</w:t>
      </w:r>
    </w:p>
    <w:p>
      <w:pPr>
        <w:pStyle w:val="ListNumber"/>
        <w:spacing w:after="40"/>
      </w:pPr>
      <w:r>
        <w:rPr>
          <w:sz w:val="19"/>
        </w:rPr>
        <w:t>Con calidad suficiente, evaluar C, K y D y producir Presión base; aplicar floors causales válidos con deduplicación.</w:t>
      </w:r>
    </w:p>
    <w:p>
      <w:pPr>
        <w:pStyle w:val="ListNumber"/>
        <w:spacing w:after="40"/>
      </w:pPr>
      <w:r>
        <w:rPr>
          <w:sz w:val="19"/>
        </w:rPr>
        <w:t>Derivar Presión final y Salud de Deuda como outputs separados.</w:t>
      </w:r>
    </w:p>
    <w:p>
      <w:pPr>
        <w:pStyle w:val="ListNumber"/>
        <w:spacing w:after="40"/>
      </w:pPr>
      <w:r>
        <w:rPr>
          <w:sz w:val="19"/>
        </w:rPr>
        <w:t>Si Presión final ≠ Riesgo, mantener seguimiento/Atención según corresponda. Si es Riesgo, verificar confirmación+suficiencia para route_eligibility_status=elegible.</w:t>
      </w:r>
    </w:p>
    <w:p>
      <w:pPr>
        <w:pStyle w:val="ListNumber"/>
        <w:spacing w:after="40"/>
      </w:pPr>
      <w:r>
        <w:rPr>
          <w:sz w:val="19"/>
        </w:rPr>
        <w:t>La elegibilidad permite orientar hacia Ruta; el primer “Seguir plan” válido desde RD-02 activa route_state=active de forma idempotente.</w:t>
      </w:r>
    </w:p>
    <w:p>
      <w:pPr>
        <w:pStyle w:val="ListNumber"/>
        <w:spacing w:after="40"/>
      </w:pPr>
      <w:r>
        <w:rPr>
          <w:sz w:val="19"/>
        </w:rPr>
        <w:t>Ruta activa conserva continuidad en reingresos; simulaciones no activan, reinician ni ejecutan pagos.</w:t>
      </w:r>
    </w:p>
    <w:p>
      <w:pPr>
        <w:pStyle w:val="ListNumber"/>
        <w:spacing w:after="40"/>
      </w:pPr>
      <w:r>
        <w:rPr>
          <w:sz w:val="19"/>
        </w:rPr>
        <w:t>En RD-03, possible_closure=true hace nacer F6 y solicita confirmación. El cierre confirmado actualiza debt_status/functional_debt_state, gatilla recálculo y resuelve F6.</w:t>
      </w:r>
    </w:p>
    <w:p>
      <w:pPr>
        <w:pStyle w:val="ListNumber"/>
        <w:spacing w:after="40"/>
      </w:pPr>
      <w:r>
        <w:rPr>
          <w:sz w:val="19"/>
        </w:rPr>
        <w:t>Después del cierre confirmado, FLOW023 retorna a RD-03 Avance actualizado y puede producir F7 Siguiente deuda sugerida sin cambiar Foco del Mes automáticamente.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2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sz w:val="18"/>
              </w:rPr>
              <w:t>Prioridad local M04 · Para la misma deuda se aplican F2 Confirmar → F1 Completar → F3 Actualizar/validar; F5 Riesgo accionable &gt; F4 Atención; F6 Posible cierre debe resolverse antes de F7 Siguiente deuda. Después se asigna P0–P3 y se marca m04_local_top_candidate. Esta prioridad es local M04 y no decide Home.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t>8. Onboarding y seguimiento</w:t>
      </w:r>
    </w:p>
    <w:p>
      <w:pPr>
        <w:pStyle w:val="Heading2"/>
        <w:spacing w:before="100" w:after="100"/>
      </w:pPr>
      <w:r>
        <w:t>8.1 OD-01 · Método y captura</w:t>
      </w:r>
    </w:p>
    <w:p>
      <w:pPr>
        <w:pStyle w:val="ListBullet"/>
        <w:spacing w:after="40"/>
      </w:pPr>
      <w:r>
        <w:rPr>
          <w:sz w:val="19"/>
        </w:rPr>
        <w:t>Permite registro manual, deuda informal/préstamo personal y carga documental permitida.</w:t>
      </w:r>
    </w:p>
    <w:p>
      <w:pPr>
        <w:pStyle w:val="ListBullet"/>
        <w:spacing w:after="40"/>
      </w:pPr>
      <w:r>
        <w:rPr>
          <w:sz w:val="19"/>
        </w:rPr>
        <w:t>Una carga documental inicia procesamiento; no implica conexión bancaria, CMF ni Open Finance.</w:t>
      </w:r>
    </w:p>
    <w:p>
      <w:pPr>
        <w:pStyle w:val="ListBullet"/>
        <w:spacing w:after="40"/>
      </w:pPr>
      <w:r>
        <w:rPr>
          <w:sz w:val="19"/>
        </w:rPr>
        <w:t>La detección automática/documental es candidata hasta revisión/confirmación.</w:t>
      </w:r>
    </w:p>
    <w:p>
      <w:pPr>
        <w:pStyle w:val="Heading2"/>
        <w:spacing w:before="100" w:after="100"/>
      </w:pPr>
      <w:r>
        <w:t>8.2 OD-02 · Validación y completitud</w:t>
      </w:r>
    </w:p>
    <w:p>
      <w:pPr>
        <w:pStyle w:val="ListBullet"/>
        <w:spacing w:after="40"/>
      </w:pPr>
      <w:r>
        <w:rPr>
          <w:sz w:val="19"/>
        </w:rPr>
        <w:t>Resolver confirmación, datos mínimos, vigencia/confianza, duplicidad, lote y No corresponde.</w:t>
      </w:r>
    </w:p>
    <w:p>
      <w:pPr>
        <w:pStyle w:val="ListBullet"/>
        <w:spacing w:after="40"/>
      </w:pPr>
      <w:r>
        <w:rPr>
          <w:sz w:val="19"/>
        </w:rPr>
        <w:t>Missing no equivale a cero. Un faltante material bloquea una conclusión favorable.</w:t>
      </w:r>
    </w:p>
    <w:p>
      <w:pPr>
        <w:pStyle w:val="ListBullet"/>
        <w:spacing w:after="40"/>
      </w:pPr>
      <w:r>
        <w:rPr>
          <w:sz w:val="19"/>
        </w:rPr>
        <w:t>Completar el gate puede dejar la Ruta elegible; no la activa.</w:t>
      </w:r>
    </w:p>
    <w:p>
      <w:pPr>
        <w:pStyle w:val="Heading2"/>
        <w:spacing w:before="100" w:after="100"/>
      </w:pPr>
      <w:r>
        <w:t>8.3 OD-03 · Resultado / derivación</w:t>
      </w:r>
    </w:p>
    <w:p>
      <w:pPr>
        <w:pStyle w:val="ListBullet"/>
        <w:spacing w:after="40"/>
      </w:pPr>
      <w:r>
        <w:rPr>
          <w:sz w:val="19"/>
        </w:rPr>
        <w:t>En Control: seguimiento/detalle; puede existir CTA operativo M06 sin cambiar ownership.</w:t>
      </w:r>
    </w:p>
    <w:p>
      <w:pPr>
        <w:pStyle w:val="ListBullet"/>
        <w:spacing w:after="40"/>
      </w:pPr>
      <w:r>
        <w:rPr>
          <w:sz w:val="19"/>
        </w:rPr>
        <w:t>Atención: revisión preventiva/contextual; no Ruta automática.</w:t>
      </w:r>
    </w:p>
    <w:p>
      <w:pPr>
        <w:pStyle w:val="ListBullet"/>
        <w:spacing w:after="40"/>
      </w:pPr>
      <w:r>
        <w:rPr>
          <w:sz w:val="19"/>
        </w:rPr>
        <w:t>Riesgo con gate incompleto: resolver F2/F1/F3.</w:t>
      </w:r>
    </w:p>
    <w:p>
      <w:pPr>
        <w:pStyle w:val="ListBullet"/>
        <w:spacing w:after="40"/>
      </w:pPr>
      <w:r>
        <w:rPr>
          <w:sz w:val="19"/>
        </w:rPr>
        <w:t>Riesgo + confirmación + suficiencia: Ruta elegible/prioritaria, no activa hasta “Seguir plan”.</w:t>
      </w:r>
    </w:p>
    <w:p>
      <w:pPr>
        <w:pStyle w:val="Heading2"/>
        <w:spacing w:before="100" w:after="100"/>
      </w:pPr>
      <w:r>
        <w:t>8.4 DD-01 · Detalle / seguimiento</w:t>
      </w:r>
    </w:p>
    <w:p>
      <w:pPr>
        <w:spacing w:after="100" w:line="259" w:lineRule="auto"/>
      </w:pPr>
      <w:r>
        <w:rPr>
          <w:color w:val="183238"/>
          <w:sz w:val="19"/>
        </w:rPr>
        <w:t>DD-01 permite consultar una deuda individual sin presentar crisis o plan completo cuando el contrato no habilita Ruta. Debe mantener lenguaje sereno y preservar la separación entre información de deuda, acción operativa M06 y orientación M04.</w:t>
      </w:r>
    </w:p>
    <w:p>
      <w:pPr>
        <w:pStyle w:val="Heading2"/>
      </w:pPr>
      <w:r>
        <w:t>8.5 Reglas operativas de revisión, completitud y fallback</w:t>
      </w:r>
    </w:p>
    <w:p>
      <w:pPr/>
      <w:r>
        <w:t>Las siguientes reglas cierran casos operativos que no deben quedar implícitos en el consolidado. Se mantienen subordinadas al contrato funcional vigente y al Anexo BDD.</w:t>
      </w:r>
    </w:p>
    <w:p>
      <w:pPr>
        <w:pStyle w:val="ListBullet"/>
      </w:pPr>
      <w:r>
        <w:t>Registro manual e informal (M04-RGL-005): puede representar deuda formal, préstamo personal o compromiso informal con lenguaje no estigmatizante. Si faltan datos para evaluar Presión/Ruta, conservar la instancia como pendiente/incompleta y no producir conclusión fuerte.</w:t>
      </w:r>
    </w:p>
    <w:p>
      <w:pPr>
        <w:pStyle w:val="ListBullet"/>
      </w:pPr>
      <w:r>
        <w:t>No corresponde (M04-RGL-007): si el usuario descarta una deuda detectada, excluirla de cálculos y de la lectura funcional vigente, conservando la provenance mínima necesaria de origen y de la decisión de descarte.</w:t>
      </w:r>
    </w:p>
    <w:p>
      <w:pPr>
        <w:pStyle w:val="ListBullet"/>
      </w:pPr>
      <w:r>
        <w:t>Duplicados (M04-RGL-008): una coincidencia probable requiere revisión del usuario; no fusionar automáticamente ni doble contabilizar mientras no se resuelva la instancia válida.</w:t>
      </w:r>
    </w:p>
    <w:p>
      <w:pPr>
        <w:pStyle w:val="ListBullet"/>
      </w:pPr>
      <w:r>
        <w:t>Documento protegido (M04-RGL-009): tratarlo como estado recuperable. Solicitar clave solo cuando sea necesaria; una clave correcta permite procesar y no debe persistirse como atributo de deuda; una clave incorrecta mantiene la recuperación/reintento; si la clave no está disponible, ofrecer otro documento o carga manual sin bloquear M04.</w:t>
      </w:r>
    </w:p>
    <w:p>
      <w:pPr>
        <w:pStyle w:val="ListBullet"/>
      </w:pPr>
      <w:r>
        <w:t>Documento no procesable (M04-RGL-010): ofrecer explícitamente otro documento o registro manual; no producir deuda confirmada ni lectura fuerte y no bloquear el módulo.</w:t>
      </w:r>
    </w:p>
    <w:p>
      <w:pPr>
        <w:pStyle w:val="ListBullet"/>
      </w:pPr>
      <w:r>
        <w:t>Lote con múltiples deudas (M04-RGL-011): separar instancias y revisarlas individualmente; mantener la revisión pendiente hasta resolver cada elemento relevante. No confirmar ni consolidar el lote completo por defecto.</w:t>
      </w:r>
    </w:p>
    <w:p>
      <w:pPr>
        <w:pStyle w:val="ListBullet"/>
      </w:pPr>
      <w:r>
        <w:t>Datos mínimos para Ruta completa (M04-RGL-012): deuda confirmada, identificación/tipo, saldo o monto actual, pago mínimo/cuota/compromiso mensual o equivalente, origen y suficiencia para evaluar Presión. Si un dato crítico falta, la instancia puede persistir como pendiente, pero no habilita conclusión fuerte ni Ruta completa.</w:t>
      </w:r>
    </w:p>
    <w:p>
      <w:pPr>
        <w:pStyle w:val="ListBullet"/>
      </w:pPr>
      <w:r>
        <w:t>Frescura/confianza (M04-RGL-013): la fuerza de la conclusión depende de la vigencia y confianza. Para MVP, los datos críticos de deuda usan 30 días; documentos y deuda informal, 60 días; tarjetas se evalúan por ciclo vigente. Un dato no vigente degrada o bloquea la conclusión según su impacto.</w:t>
      </w:r>
    </w:p>
    <w:p>
      <w:pPr>
        <w:pStyle w:val="ListBullet"/>
      </w:pPr>
      <w:r>
        <w:t>OD-02 (M04-RGL-043): cada card mantiene separadas las dimensiones tipo de deuda, origen del dato y estado de validación. Si falta un dato crítico, la interfaz identifica concretamente qué falta y ofrece una acción de completitud; un valor indeterminado sin acción no es suficiente.</w:t>
      </w:r>
    </w:p>
    <w:p>
      <w:pPr>
        <w:pStyle w:val="Heading1"/>
        <w:spacing w:before="160" w:after="100"/>
      </w:pPr>
      <w:r>
        <w:t>9. Ruta Despeje</w:t>
      </w:r>
    </w:p>
    <w:p>
      <w:pPr>
        <w:pStyle w:val="Heading2"/>
      </w:pPr>
      <w:r>
        <w:t>9.1 Priorización base, capacidad recuperable y proyección</w:t>
      </w:r>
    </w:p>
    <w:p>
      <w:pPr>
        <w:pStyle w:val="ListBullet"/>
      </w:pPr>
      <w:r>
        <w:t>Capacidad recuperable M04 (M04-RGL-027) representa compromisos mensuales o cargos recurrentes confirmados que podrían liberarse al cerrar o reducir una deuda. No equivale a capacidad de ahorro de M05.</w:t>
      </w:r>
    </w:p>
    <w:p>
      <w:pPr>
        <w:pStyle w:val="ListBullet"/>
      </w:pPr>
      <w:r>
        <w:t>Prioridad base snowball (M04-RGL-028): ordenar primero la deuda confirmada de menor saldo actual y mantener los pagos mínimos/cuotas/compromisos de las demás mientras sigan activas.</w:t>
      </w:r>
    </w:p>
    <w:p>
      <w:pPr>
        <w:pStyle w:val="ListBullet"/>
      </w:pPr>
      <w:r>
        <w:t>Tras un cierre confirmado (M04-RGL-029), la capacidad liberada puede incorporarse conceptualmente al siguiente paso del plan; no existe movimiento, transferencia, ahorro ni reasignación automática de dinero.</w:t>
      </w:r>
    </w:p>
    <w:p>
      <w:pPr>
        <w:pStyle w:val="ListBullet"/>
      </w:pPr>
      <w:r>
        <w:t>Cronograma y duración (M04-RGL-031) son estimaciones condicionadas a datos, supuestos, confianza y versión. Si cambian saldos, mínimos, compromisos, headroom, cierre, ingreso, gasto relevante o versión de regla, invalidar/recalcular la proyección; no comunicar una fecha garantizada ni reutilizar una proyección obsoleta.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Superficie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Contrato vigente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Negativos obligatorios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RD-01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Resumen de situación, deuda prioritaria, calidad y acceso al plan cuando corresponde.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No fabricar Ruta desde Atención o datos insuficientes.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RD-02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Plan/priorización, próxima acción, simulación y “Seguir plan”. El primer uso válido activa la Ruta.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Ver plan, navegar o simular no activa. No pago automático.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RD-03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Avance/cierre, F6 posible cierre, confirmación, recálculo y continuidad.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Pago reportado no auto-cierra; cierre requiere confirmación funcional.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9.2 RD-02 · Simulación, aceptación y restauración del plan</w:t>
      </w:r>
    </w:p>
    <w:p>
      <w:pPr/>
      <w:r>
        <w:t>En RD-02 la simulación sirve para explorar y seleccionar una configuración de planificación. Simular no mueve dinero, no registra pagos y no activa ni desactiva la Ruta.</w:t>
      </w:r>
    </w:p>
    <w:p>
      <w:pPr>
        <w:pStyle w:val="ListBullet"/>
      </w:pPr>
      <w:r>
        <w:t>Aporte recomendado positivo: cuando M05 entrega un outcome prudencial evaluable &gt; 0, M04 puede mostrar el monto como recomendación y permitir Ver simulación.</w:t>
      </w:r>
    </w:p>
    <w:p>
      <w:pPr>
        <w:pStyle w:val="ListBullet"/>
      </w:pPr>
      <w:r>
        <w:t>0 / no recomendado: es un resultado conocido, no un missing. Mantener el plan actual y explicar que, por ahora, Walvy no recomienda un aporte adicional. El usuario puede explorar un monto manual si el simulador está disponible, siempre como escenario referencial.</w:t>
      </w:r>
    </w:p>
    <w:p>
      <w:pPr>
        <w:pStyle w:val="ListBullet"/>
      </w:pPr>
      <w:r>
        <w:t>No evaluable: no inventar un máximo. Si existen inputs suficientes para proyectar, permitir un monto manual como escenario hipotético; si no, explicar qué información falta para simular.</w:t>
      </w:r>
    </w:p>
    <w:p>
      <w:pPr>
        <w:pStyle w:val="ListBullet"/>
      </w:pPr>
      <w:r>
        <w:t>Monto manual: puede calcularse y aceptarse como configuración de planificación seleccionada, pero conserva condición manual/referencial y no se convierte en aporte sostenible ni recomendación Walvy.</w:t>
      </w:r>
    </w:p>
    <w:p>
      <w:pPr>
        <w:pStyle w:val="ListBullet"/>
      </w:pPr>
      <w:r>
        <w:t>Cancelar preview antes de aceptar descarta el escenario transitorio y retorna al plan seleccionado vigente sin guardar una nueva revisión.</w:t>
      </w:r>
    </w:p>
    <w:p>
      <w:pPr>
        <w:pStyle w:val="ListBullet"/>
      </w:pPr>
      <w:r>
        <w:t>Aceptar simulación convierte el escenario en la configuración de planificación seleccionada vigente de RD-02, conserva supuestos/versiones mínimos y un único snapshot restaurable del plan inmediatamente anterior. Aceptar no paga ni activa la Ruta.</w:t>
      </w:r>
    </w:p>
    <w:p>
      <w:pPr>
        <w:pStyle w:val="ListBullet"/>
      </w:pPr>
      <w:r>
        <w:t>Rollback MVP: mientras el snapshot anterior siga válido, el usuario puede volver al plan inmediatamente anterior. La restauración recalcula RD-02, conserva route_state y nunca revierte pagos, cierres ni otros hechos financieros reales.</w:t>
      </w:r>
    </w:p>
    <w:p>
      <w:pPr>
        <w:pStyle w:val="ListBullet"/>
      </w:pPr>
      <w:r>
        <w:t>Seguir plan por sí solo no invalida el rollback. Lo invalidan cambios materiales posteriores en deuda/pagos/cierre/snapshots M05-M06/versiones de regla o la aceptación de otra simulación.</w:t>
      </w:r>
    </w:p>
    <w:p>
      <w:pPr/>
      <w:r>
        <w:t>La representación visual exacta del rollback y de los estados 0/no recomendado y no evaluable puede precisarse en Figma sin reabrir este contrato funcional.</w:t>
      </w:r>
    </w:p>
    <w:p>
      <w:pPr>
        <w:pStyle w:val="Heading1"/>
        <w:spacing w:before="160" w:after="100"/>
      </w:pPr>
      <w:r>
        <w:t>10. Contrato financiero P4</w:t>
      </w:r>
    </w:p>
    <w:p>
      <w:pPr>
        <w:spacing w:after="100" w:line="259" w:lineRule="auto"/>
      </w:pPr>
      <w:r>
        <w:rPr>
          <w:color w:val="183238"/>
          <w:sz w:val="19"/>
        </w:rPr>
        <w:t>El contrato P4 constituye la lógica financiera vigente de M04. Sus identificadores P4-CNT son referencias documentales del contrato y no reglas independientes adicionales. La implementación debe conservar una definición canónica por objeto, parámetros versionables, provenance y fixtures de borde.</w:t>
      </w:r>
    </w:p>
    <w:p>
      <w:pPr>
        <w:pStyle w:val="Heading2"/>
        <w:spacing w:before="100" w:after="100"/>
      </w:pPr>
      <w:r>
        <w:t>10.1 Gate de calidad / suficiencia</w:t>
      </w:r>
    </w:p>
    <w:p>
      <w:pPr>
        <w:pStyle w:val="ListBullet"/>
        <w:spacing w:after="40"/>
      </w:pPr>
      <w:r>
        <w:rPr>
          <w:sz w:val="19"/>
        </w:rPr>
        <w:t>La calidad se evalúa antes de C×K×D y antes de cualquier conclusión favorable.</w:t>
      </w:r>
    </w:p>
    <w:p>
      <w:pPr>
        <w:pStyle w:val="ListBullet"/>
        <w:spacing w:after="40"/>
      </w:pPr>
      <w:r>
        <w:rPr>
          <w:sz w:val="19"/>
        </w:rPr>
        <w:t>Evidencia adversa suficientemente sólida puede sostener Atención/Riesgo aunque otros datos estén incompletos; un faltante material bloquea En Control.</w:t>
      </w:r>
    </w:p>
    <w:p>
      <w:pPr>
        <w:pStyle w:val="ListBullet"/>
        <w:spacing w:after="40"/>
      </w:pPr>
      <w:r>
        <w:rPr>
          <w:sz w:val="19"/>
        </w:rPr>
        <w:t>La salida puede ser evaluable, parcial o no calculable; insuficiencia no crea un cuarto estado de Salud.</w:t>
      </w:r>
    </w:p>
    <w:p>
      <w:pPr>
        <w:pStyle w:val="Heading2"/>
        <w:spacing w:before="100" w:after="100"/>
      </w:pPr>
      <w:r>
        <w:t>10.2 C · Carga mensual de servicio de deuda</w:t>
      </w:r>
    </w:p>
    <w:p>
      <w:pPr>
        <w:spacing w:after="100" w:line="259" w:lineRule="auto"/>
      </w:pPr>
      <w:r>
        <w:rPr>
          <w:color w:val="183238"/>
          <w:sz w:val="19"/>
        </w:rPr>
        <w:t>C normaliza obligaciones activas, confirmadas y cuantificables sobre ingreso mensual neto canónico M05. Saldo, principal o límite de crédito no sustituyen servicio mensual.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Banda C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C1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&lt; 25%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C2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≥ 25% y &lt; 50%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C3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≥ 50%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t>10.3 K · Capacidad residual / headroom</w:t>
      </w:r>
    </w:p>
    <w:p>
      <w:pPr>
        <w:spacing w:after="100" w:line="259" w:lineRule="auto"/>
      </w:pPr>
      <w:r>
        <w:rPr>
          <w:color w:val="183238"/>
          <w:sz w:val="19"/>
        </w:rPr>
        <w:t>M04 consume el headroom reconciliado del período producido upstream por M05. No recalcula presupuesto y la liquidez financiada no infla ingreso.</w:t>
      </w:r>
    </w:p>
    <w:p>
      <w:pPr>
        <w:pStyle w:val="ListBullet"/>
      </w:pPr>
      <w:r>
        <w:t>La regla anterior del 5% de holgura (M04-RGL-023) no constituye floor independiente ni mapping directo a Salud/Ruta. La capacidad para Presión se gobierna exclusivamente por K canónico.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Banda K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K2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&gt; 20%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K1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&gt; 0% y ≤ 20%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K0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≤ 0%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t>10.4 D · Deterioro confirmado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Banda D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Lectura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D0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Sin deterioro relevante; total/cuotas al día y costo ordinario no implican deterioro.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D1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Evento relevante aislado: solo mínimo/parcial final/arrastre aislado, según ciclo reconciliado.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D2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Comportamiento recurrente/persistente confirmado.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t>10.5 Matriz de Presión base C×K×D</w:t>
      </w:r>
    </w:p>
    <w:p>
      <w:r>
        <w:rPr>
          <w:b/>
          <w:color w:val="0B5D61"/>
          <w:sz w:val="19"/>
        </w:rPr>
        <w:t>D0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 \ K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K2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K1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K0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C1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En Control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C2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En Control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C3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</w:tr>
    </w:tbl>
    <w:p>
      <w:pPr>
        <w:spacing w:after="40"/>
      </w:pPr>
    </w:p>
    <w:p>
      <w:r>
        <w:rPr>
          <w:b/>
          <w:color w:val="0B5D61"/>
          <w:sz w:val="19"/>
        </w:rPr>
        <w:t>D1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 \ K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K2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K1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K0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C1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C2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C3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</w:tr>
    </w:tbl>
    <w:p>
      <w:pPr>
        <w:spacing w:after="40"/>
      </w:pPr>
    </w:p>
    <w:p>
      <w:r>
        <w:rPr>
          <w:b/>
          <w:color w:val="0B5D61"/>
          <w:sz w:val="19"/>
        </w:rPr>
        <w:t>D2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 \ K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K2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K1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K0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C1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C2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Atención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C3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Riesgo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t>10.6 Precedencia, floors y detector contextual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Contrato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Tratamiento vigente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Efecto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RGL-020 · deuda→deuda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Exige causalidad. K2 sin floor; K1 floor Atención; K0 floor Riesgo. 2+ ciclos consecutivos qualifying → Riesgo estructural.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Puede retener/empeorar; nunca sumar score.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RGL-021 · liquidez financiada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Finalidad desconocida=contexto; flujo ordinario no financiero=floor Atención; destino deuda delega a RGL-020; recurrencia 2+ ciclos qualifying=floor Riesgo.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inferir finalidad ni contar línea no usada.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RGL-022 · muchas cuotas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Detector si count≥4 y ratio agregado≥8%.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Flag contextual; no floor de Presión.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Deduplicación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Un mismo hecho económico no impacta por múltiples etiquetas/vías.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Preservar razones, no sumar severidad.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t>10.7 Salud de Deuda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Salud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Al día + Presión En Control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Sana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Al día + Atención/Riesgo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Requiere atención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1–59 días de atraso confirmado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Requiere atención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60–89 días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Presionada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≥90 días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Presionada + criticidad interna alta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color w:val="183238"/>
          <w:sz w:val="19"/>
        </w:rPr>
        <w:t>Salud consume Presión y aging, pero no equivale a Ruta activa. RGL-020/RGL-021 no fabrican Salud Presionada sin aging suficiente. La acción operativa por mora sigue perteneciendo a M06.</w:t>
      </w:r>
    </w:p>
    <w:p>
      <w:pPr>
        <w:pStyle w:val="Heading2"/>
        <w:spacing w:before="100" w:after="100"/>
      </w:pPr>
      <w:r>
        <w:t>10.8 Elegibilidad, activación y continuidad de Ruta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Elegibilidad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Presión final=Riesgo + deuda confirmada + suficiencia mínima → route eligible/disponible. Atención no genera elegibilidad automática.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Activación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Primer “Seguir plan” válido desde RD-02 con estado elegible → Ruta activa. Evento idempotente.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Continuidad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Reingreso conserva route_state/momento inicial; no reactiva ni reinicia.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Simulación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Escenario hipotético; no activa Ruta, no ejecuta pagos y monto manual no prueba sostenibilidad.</w:t>
            </w:r>
          </w:p>
        </w:tc>
      </w:tr>
    </w:tbl>
    <w:p>
      <w:pPr>
        <w:spacing w:after="40"/>
      </w:pPr>
    </w:p>
    <w:p>
      <w:pPr>
        <w:pStyle w:val="Heading2"/>
        <w:spacing w:before="100" w:after="100"/>
      </w:pPr>
      <w:r>
        <w:t>10.9 Sostenibilidad, recálculo, provenance y versión</w:t>
      </w:r>
    </w:p>
    <w:p>
      <w:pPr>
        <w:pStyle w:val="ListBullet"/>
        <w:spacing w:after="40"/>
      </w:pPr>
      <w:r>
        <w:rPr>
          <w:sz w:val="19"/>
        </w:rPr>
        <w:t>No afirmar “máximo sostenible” sin política prudencial evaluable y aprobada. Si no, mantener simulación referencial/no calculable.</w:t>
      </w:r>
    </w:p>
    <w:p>
      <w:pPr>
        <w:pStyle w:val="ListBullet"/>
        <w:spacing w:after="40"/>
      </w:pPr>
      <w:r>
        <w:rPr>
          <w:sz w:val="19"/>
        </w:rPr>
        <w:t>Cambios en saldos, mínimos, headroom, pago, cierre o versión invalidan snapshots obsoletos y gatillan recálculo.</w:t>
      </w:r>
    </w:p>
    <w:p>
      <w:pPr>
        <w:pStyle w:val="ListBullet"/>
        <w:spacing w:after="40"/>
      </w:pPr>
      <w:r>
        <w:rPr>
          <w:sz w:val="19"/>
        </w:rPr>
        <w:t>Cada evaluación debe preservar source/provenance, deduplicación y versión lógica usada.</w:t>
      </w:r>
    </w:p>
    <w:p>
      <w:pPr>
        <w:pStyle w:val="ListBullet"/>
        <w:spacing w:after="40"/>
      </w:pPr>
      <w:r>
        <w:rPr>
          <w:sz w:val="19"/>
        </w:rPr>
        <w:t>Parámetros de C, K, R022 y otros deben ser versionables; cambios no se aplican retroactivamente sin recálculo explícito.</w:t>
      </w:r>
    </w:p>
    <w:p>
      <w:r>
        <w:br w:type="page"/>
      </w:r>
    </w:p>
    <w:p>
      <w:pPr>
        <w:pStyle w:val="Heading1"/>
        <w:spacing w:before="160" w:after="100"/>
      </w:pPr>
      <w:r>
        <w:t>11. Contrato productor/proyección BC-M04-002</w:t>
      </w:r>
    </w:p>
    <w:p>
      <w:pPr>
        <w:spacing w:after="100" w:line="259" w:lineRule="auto"/>
      </w:pPr>
      <w:r>
        <w:rPr>
          <w:color w:val="183238"/>
          <w:sz w:val="19"/>
        </w:rPr>
        <w:t>BC-M04-002 está cerrado para producción/proyección M04. Define cómo una salida del módulo se convierte en situación proyectable hacia consumidores sin crear señales autónomas por cada reason, estado, navegación o superficie.</w:t>
      </w:r>
    </w:p>
    <w:p>
      <w:pPr>
        <w:pStyle w:val="Heading2"/>
      </w:pPr>
      <w:r>
        <w:t>11.1 Lifecycle productor/proyección, protección funcional y fallbacks</w:t>
      </w:r>
    </w:p>
    <w:p>
      <w:pPr>
        <w:pStyle w:val="ListBullet"/>
      </w:pPr>
      <w:r>
        <w:t>Lifecycle productor/proyección (M04-RGL-039): cada situación se deriva de cálculo/evento → estado → transición born/update/resolved → rol canónico (familia/reason/state/pending/output) → acción/destino del owner → proyección permitida. La persistencia de una situación no crea un nuevo nacimiento (rebirth) y una superficie consumidora no crea otra señal.</w:t>
      </w:r>
    </w:p>
    <w:p>
      <w:pPr>
        <w:pStyle w:val="ListBullet"/>
      </w:pPr>
      <w:r>
        <w:t>Protección funcional de datos (M04-RGL-040): los datos y derivados M04 deben aplicar clasificación, minimización, autorización, lifecycle y logging, evitando payload financiero innecesario. Los documentos originales conservan el lifecycle específico de tercero cuando aplique. La materialización y evidencia técnica se validarán en los artefactos de Protección de Datos/Validación Técnica, sin convertir ese frente futuro en ausencia funcional.</w:t>
      </w:r>
    </w:p>
    <w:p>
      <w:pPr>
        <w:pStyle w:val="ListBullet"/>
      </w:pPr>
      <w:r>
        <w:t>Dependencias y fallback (M04-RGL-042): la indisponibilidad de Alertas, M06/Pagos, M05/Presupuesto o una superficie dependiente no bloquea el flujo principal M04. Usar el fallback documentado dentro de la superficie vigente, conservando ownership, estado y siguiente acción, sin crear funcionalidad paralela.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Familia</w:t>
            </w:r>
          </w:p>
        </w:tc>
        <w:tc>
          <w:tcPr>
            <w:tcW w:type="dxa" w:w="2056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Nacimiento / condición</w:t>
            </w:r>
          </w:p>
        </w:tc>
        <w:tc>
          <w:tcPr>
            <w:tcW w:type="dxa" w:w="2056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Acción / destino</w:t>
            </w:r>
          </w:p>
        </w:tc>
        <w:tc>
          <w:tcPr>
            <w:tcW w:type="dxa" w:w="2056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Proyección permitida</w:t>
            </w:r>
          </w:p>
        </w:tc>
        <w:tc>
          <w:tcPr>
            <w:tcW w:type="dxa" w:w="2056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Negativo</w:t>
            </w:r>
          </w:p>
        </w:tc>
      </w:tr>
      <w:tr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F1 · Completar información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Faltante material accionable en deuda confirmada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Completar información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M04 / Home Revisa y confirma / Perfil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inventar conclusión financiera.</w:t>
            </w:r>
          </w:p>
        </w:tc>
      </w:tr>
      <w:tr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F2 · Confirmar deuda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Nueva candidata no confirmada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Confirmar / revisar deuda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M04 / Home Revisa y confirma / Perfil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Precede F1/F3 sobre la misma deuda.</w:t>
            </w:r>
          </w:p>
        </w:tc>
      </w:tr>
      <w:tr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F3 · Actualizar/validar dato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Dato pasa a no vigente/baja confianza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Actualizar información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M04 / Home Revisa y confirma / Perfil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afirmar que empeoró la situación.</w:t>
            </w:r>
          </w:p>
        </w:tc>
      </w:tr>
      <w:tr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F4 · Atención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Presión cambia a Atención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Revisar situación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M04 / Home elegible / Perfil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R020/R021/R022 no crean avisos separados.</w:t>
            </w:r>
          </w:p>
        </w:tc>
      </w:tr>
      <w:tr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F5 · Riesgo accionable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Riesgo + confirmación + suficiencia + elegible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Ir/revisar Ruta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M04 / Home elegible / Perfil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Riesgo con gate bloqueado no expone Ruta.</w:t>
            </w:r>
          </w:p>
        </w:tc>
      </w:tr>
      <w:tr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F6 · Posible cierre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possible_closure false→true con closed=false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Confirmar cierre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RD-03 / Revisa y confirma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auto-cerrar por pago.</w:t>
            </w:r>
          </w:p>
        </w:tc>
      </w:tr>
      <w:tr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F7 · Siguiente deuda sugerida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Cierre/avance + recálculo produce nueva next_suggested_debt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Continuar con el plan / siguiente paso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RD-03 / Lo importante</w:t>
            </w:r>
          </w:p>
        </w:tc>
        <w:tc>
          <w:tcPr>
            <w:tcW w:type="dxa" w:w="2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cambiar Foco del Mes; output no es ahorro.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2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0B5D61"/>
                <w:sz w:val="20"/>
              </w:rPr>
              <w:t>Roles no autónomos</w:t>
            </w:r>
          </w:p>
          <w:p>
            <w:pPr>
              <w:spacing w:after="0"/>
            </w:pPr>
            <w:r>
              <w:rPr>
                <w:color w:val="183238"/>
                <w:sz w:val="18"/>
              </w:rPr>
              <w:t>Salud y route_state son estados proyectables; capacidad liberada es fact/output; RGL-020/021/022 son reasons/contexto; navegación, lotes, duplicados y señales parciales no se convierten automáticamente en familias nuevas.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t>12. FLOW-M04-023 · cierre de deuda y continuidad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Estado / acción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1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Deuda llega a 100%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Puede originar possible_closure; no auto-cierre.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2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“Posible deuda cerrada”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F6 solicita confirmación.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3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“Confirmar cierre”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Actualiza estado canónico si existe evidencia funcional suficiente.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4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Modal “¡Felicitaciones!”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Feedback posterior al cierre confirmado.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5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“Continuar con el plan”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No crea un postestado alternativo.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6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RD-03 · Avance actualizado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7"/>
              </w:rPr>
              <w:t>Retorno visual cerrado; dispara recálculo/continuidad según reglas vigentes.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color w:val="183238"/>
          <w:sz w:val="19"/>
        </w:rPr>
        <w:t>FLOW-M04-023 / TR-M04-129 está cerrado. No modifica el cálculo de Presión, la regla canónica de cierre, la capacidad liberada ni la lógica de recálculo; únicamente fija la transición visual post-confirmación observada en Figma cerrado.</w:t>
      </w:r>
    </w:p>
    <w:p>
      <w:pPr>
        <w:pStyle w:val="Heading1"/>
        <w:spacing w:before="160" w:after="100"/>
      </w:pPr>
      <w:r>
        <w:t>13. Datos y estados de alto nivel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Objeto / campo lógico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confirmation_status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unconfirmed / confirmed / dismissed / pending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data_freshness_status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vigente / desactualizado / desconocido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debt_status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active / closed / pending / dismissed / no_corresponde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functional_debt_state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registrada / detectada / confirmada sin presión / bajo presión / Ruta activa / cerrada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pressure_evaluation_status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evaluada / sin presión / posible presión / bajo presión / no calculable; la salida visible canónica usa En Control/Atención/Riesgo cuando evaluable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route_eligibility_status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elegible / pendiente confirmación / pendiente datos / elegible / activa / cerrada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route_state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estado persistible separado de elegibilidad; active solo por evento canónico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possible_closure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flag de posible cierre; no equivale a closed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rule_version / evaluated_at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reproducibilidad de evaluación y snapshot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provenance / event identity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deduplicación de hechos y razones trazables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100"/>
      </w:pPr>
      <w:r>
        <w:t>14. Fronteras intermodulares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Dominio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M04 consume / produce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 debe hacer M04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Ingreso y headroom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M05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8"/>
              </w:rPr>
              <w:t>Consume ingreso/headroom y, cuando aplique a la simulación, outcome prudencial M05 ya evaluado. M04 no recalcula presupuesto ni política de resiliencia.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recalcular presupuesto ni tratar liquidez financiada como ingreso.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Pagos, vencimiento, aging y recurrencia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M06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8"/>
              </w:rPr>
              <w:t>Consume eventos/ciclos/aging/recurrencia según contrato M06; M06 conserva la acción operativa y la evidencia runtime.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apropiarse de la operación de pagos/mora.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Perfil Financiero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M02 / superficie consumidora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Proyecta Salud, Ruta, calidad y CTA según contrato M04.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permitir que Perfil recalcule M04.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Home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M03 / superficie consumidora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Proyecta candidato/estado M04.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No decidir winner global, competencia, cadencia/cooldown o canales.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5"/>
              </w:rPr>
              <w:t>Disponible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8"/>
              </w:rPr>
              <w:t>M02 · contrato cerrado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8"/>
              </w:rPr>
              <w:t>M04 no calcula Disponible. Si un flujo futuro requiere resiliencia/sostenibilidad, consume el outcome normalizado del módulo owner correspondiente; no usa Disponible como proxy directo.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8"/>
              </w:rPr>
              <w:t>No recalcular Disponible, no tratar missing como $0 ni confundirlo con Margen/headroom/reserva.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t>15. Guardrails y negativos obligatorios</w:t>
      </w:r>
    </w:p>
    <w:p>
      <w:pPr>
        <w:pStyle w:val="ListBullet"/>
        <w:spacing w:after="40"/>
      </w:pPr>
      <w:r>
        <w:rPr>
          <w:sz w:val="19"/>
        </w:rPr>
        <w:t>No pago automático, transferencia automática ni reasignación automática de capacidad.</w:t>
      </w:r>
    </w:p>
    <w:p>
      <w:pPr>
        <w:pStyle w:val="ListBullet"/>
        <w:spacing w:after="40"/>
      </w:pPr>
      <w:r>
        <w:rPr>
          <w:sz w:val="19"/>
        </w:rPr>
        <w:t>No refinanciamiento, consolidación bancaria o recomendación de contratar producto financiero.</w:t>
      </w:r>
    </w:p>
    <w:p>
      <w:pPr>
        <w:pStyle w:val="ListBullet"/>
        <w:spacing w:after="40"/>
      </w:pPr>
      <w:r>
        <w:rPr>
          <w:sz w:val="19"/>
        </w:rPr>
        <w:t>No promesa de fecha, ahorro o capacidad si la evidencia/política no permite sostenerla.</w:t>
      </w:r>
    </w:p>
    <w:p>
      <w:pPr>
        <w:pStyle w:val="ListBullet"/>
        <w:spacing w:after="40"/>
      </w:pPr>
      <w:r>
        <w:rPr>
          <w:sz w:val="19"/>
        </w:rPr>
        <w:t>No usar porcentajes o indicadores visibles en Figma como fórmula, score o threshold funcional.</w:t>
      </w:r>
    </w:p>
    <w:p>
      <w:pPr>
        <w:pStyle w:val="ListBullet"/>
        <w:spacing w:after="40"/>
      </w:pPr>
      <w:r>
        <w:rPr>
          <w:sz w:val="19"/>
        </w:rPr>
        <w:t>No convertir missing en cero ni fabricar En Control por falta de evidencia.</w:t>
      </w:r>
    </w:p>
    <w:p>
      <w:pPr>
        <w:pStyle w:val="ListBullet"/>
        <w:spacing w:after="40"/>
      </w:pPr>
      <w:r>
        <w:rPr>
          <w:sz w:val="19"/>
        </w:rPr>
        <w:t>No usar aging operativo como trigger automático F4/F5 cuando Presión no lo determine.</w:t>
      </w:r>
    </w:p>
    <w:p>
      <w:pPr>
        <w:pStyle w:val="ListBullet"/>
        <w:spacing w:after="40"/>
      </w:pPr>
      <w:r>
        <w:rPr>
          <w:sz w:val="19"/>
        </w:rPr>
        <w:t>No crear una señal nueva por superficie: M04 produce una identidad y Home/Perfil la representan.</w:t>
      </w:r>
    </w:p>
    <w:p>
      <w:pPr>
        <w:pStyle w:val="ListBullet"/>
        <w:spacing w:after="40"/>
      </w:pPr>
      <w:r>
        <w:rPr>
          <w:sz w:val="19"/>
        </w:rPr>
        <w:t>No crear señal autónoma por RGL-020, RGL-021, RGL-022, route_state, Salud, navegación, lote o output.</w:t>
      </w:r>
    </w:p>
    <w:p>
      <w:pPr>
        <w:pStyle w:val="ListBullet"/>
        <w:spacing w:after="40"/>
      </w:pPr>
      <w:r>
        <w:rPr>
          <w:sz w:val="19"/>
        </w:rPr>
        <w:t>No considerar “Ruta visible” como Ruta activa.</w:t>
      </w:r>
    </w:p>
    <w:p>
      <w:pPr>
        <w:pStyle w:val="ListBullet"/>
        <w:spacing w:after="40"/>
      </w:pPr>
      <w:r>
        <w:rPr>
          <w:sz w:val="19"/>
        </w:rPr>
        <w:t>No convertir próxima deuda sugerida en Foco del Mes automáticamente.</w:t>
      </w:r>
    </w:p>
    <w:p>
      <w:pPr>
        <w:pStyle w:val="Heading1"/>
        <w:spacing w:before="160" w:after="100"/>
      </w:pPr>
      <w:r>
        <w:t>16. Compatibilidad y reglas no vigentes</w:t>
      </w:r>
    </w:p>
    <w:p>
      <w:pPr>
        <w:spacing w:after="100" w:line="259" w:lineRule="auto"/>
      </w:pPr>
      <w:r>
        <w:rPr>
          <w:color w:val="183238"/>
          <w:sz w:val="19"/>
        </w:rPr>
        <w:t>Las siguientes reglas no forman parte del contrato funcional vigente. Se incluyen únicamente para evitar interpretaciones incompatibles con M04 v1.0.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Regla no vigente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Regla vigente</w:t>
            </w:r>
          </w:p>
        </w:tc>
        <w:tc>
          <w:tcPr>
            <w:tcW w:type="dxa" w:w="3427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Referencia vigente</w:t>
            </w:r>
          </w:p>
        </w:tc>
      </w:tr>
      <w:tr>
        <w:tc>
          <w:tcPr>
            <w:tcW w:type="dxa" w:w="3427"/>
          </w:tcPr>
          <w:p>
            <w:r>
              <w:t>Severidad S0–S4 como eje operativo</w:t>
            </w:r>
          </w:p>
        </w:tc>
        <w:tc>
          <w:tcPr>
            <w:tcW w:type="dxa" w:w="3427"/>
          </w:tcPr>
          <w:p>
            <w:r>
              <w:t>No vigente. Presión se gobierna por el contrato P4; S0–S4 no determina Presión, Salud, elegibilidad ni Ruta.</w:t>
            </w:r>
          </w:p>
        </w:tc>
        <w:tc>
          <w:tcPr>
            <w:tcW w:type="dxa" w:w="3427"/>
          </w:tcPr>
          <w:p>
            <w:r>
              <w:t>P4-CNT-001…025; M04-RGL-038 y reglas asociadas</w:t>
            </w:r>
          </w:p>
        </w:tc>
      </w:tr>
      <w:tr>
        <w:tc>
          <w:tcPr>
            <w:tcW w:type="dxa" w:w="3427"/>
          </w:tcPr>
          <w:p>
            <w:r>
              <w:t>Deuda confirmada + datos + presión activa Ruta</w:t>
            </w:r>
          </w:p>
        </w:tc>
        <w:tc>
          <w:tcPr>
            <w:tcW w:type="dxa" w:w="3427"/>
          </w:tcPr>
          <w:p>
            <w:r>
              <w:t>No vigente. Ese gate produce elegibilidad; la activación exige el primer “Seguir plan” válido desde RD-02.</w:t>
            </w:r>
          </w:p>
        </w:tc>
        <w:tc>
          <w:tcPr>
            <w:tcW w:type="dxa" w:w="3427"/>
          </w:tcPr>
          <w:p>
            <w:r>
              <w:t>P4-CNT-018/019/020</w:t>
            </w:r>
          </w:p>
        </w:tc>
      </w:tr>
      <w:tr>
        <w:tc>
          <w:tcPr>
            <w:tcW w:type="dxa" w:w="3427"/>
          </w:tcPr>
          <w:p>
            <w:r>
              <w:t>Muchas cuotas pequeñas como severidad preventiva</w:t>
            </w:r>
          </w:p>
        </w:tc>
        <w:tc>
          <w:tcPr>
            <w:tcW w:type="dxa" w:w="3427"/>
          </w:tcPr>
          <w:p>
            <w:r>
              <w:t>No vigente. RGL-022 es detector contextual count≥4 y ratio≥8%; no impone floor de Presión.</w:t>
            </w:r>
          </w:p>
        </w:tc>
        <w:tc>
          <w:tcPr>
            <w:tcW w:type="dxa" w:w="3427"/>
          </w:tcPr>
          <w:p>
            <w:r>
              <w:t>P4-CNT-014</w:t>
            </w:r>
          </w:p>
        </w:tc>
      </w:tr>
      <w:tr>
        <w:tc>
          <w:tcPr>
            <w:tcW w:type="dxa" w:w="3427"/>
          </w:tcPr>
          <w:p>
            <w:r>
              <w:t>RGL-020/021 por etiquetas o intuición</w:t>
            </w:r>
          </w:p>
        </w:tc>
        <w:tc>
          <w:tcPr>
            <w:tcW w:type="dxa" w:w="3427"/>
          </w:tcPr>
          <w:p>
            <w:r>
              <w:t>No vigente. Requieren causalidad/finalidad/recurrencia demostrables y aplican floors acotados.</w:t>
            </w:r>
          </w:p>
        </w:tc>
        <w:tc>
          <w:tcPr>
            <w:tcW w:type="dxa" w:w="3427"/>
          </w:tcPr>
          <w:p>
            <w:r>
              <w:t>P4-CNT-009…013</w:t>
            </w:r>
          </w:p>
        </w:tc>
      </w:tr>
      <w:tr>
        <w:tc>
          <w:tcPr>
            <w:tcW w:type="dxa" w:w="3427"/>
          </w:tcPr>
          <w:p>
            <w:r>
              <w:t>Capacidad sostenible derivada por porcentaje anterior</w:t>
            </w:r>
          </w:p>
        </w:tc>
        <w:tc>
          <w:tcPr>
            <w:tcW w:type="dxa" w:w="3427"/>
          </w:tcPr>
          <w:p>
            <w:r>
              <w:t>No vigente. Solo existe claim sostenible si la política prudencial es evaluable; de otro modo la simulación es referencial/no calculable.</w:t>
            </w:r>
          </w:p>
        </w:tc>
        <w:tc>
          <w:tcPr>
            <w:tcW w:type="dxa" w:w="3427"/>
          </w:tcPr>
          <w:p>
            <w:r>
              <w:t>P4-CNT-021/022</w:t>
            </w:r>
          </w:p>
        </w:tc>
      </w:tr>
      <w:tr>
        <w:tc>
          <w:tcPr>
            <w:tcW w:type="dxa" w:w="3427"/>
          </w:tcPr>
          <w:p>
            <w:r>
              <w:t>RD-03 opcional o absorbible en RD-02</w:t>
            </w:r>
          </w:p>
        </w:tc>
        <w:tc>
          <w:tcPr>
            <w:tcW w:type="dxa" w:w="3427"/>
          </w:tcPr>
          <w:p>
            <w:r>
              <w:t>No vigente. RD-03 forma parte del flujo vigente y FLOW-M04-023 fija la continuidad posterior al cierre.</w:t>
            </w:r>
          </w:p>
        </w:tc>
        <w:tc>
          <w:tcPr>
            <w:tcW w:type="dxa" w:w="3427"/>
          </w:tcPr>
          <w:p>
            <w:r>
              <w:t>TR-M04-126/129 + FLOW-M04-023</w:t>
            </w:r>
          </w:p>
        </w:tc>
      </w:tr>
      <w:tr>
        <w:tc>
          <w:tcPr>
            <w:tcW w:type="dxa" w:w="3427"/>
          </w:tcPr>
          <w:p>
            <w:r>
              <w:t>Salud inferida desde severidad</w:t>
            </w:r>
          </w:p>
        </w:tc>
        <w:tc>
          <w:tcPr>
            <w:tcW w:type="dxa" w:w="3427"/>
          </w:tcPr>
          <w:p>
            <w:r>
              <w:t>No vigente. Salud usa Presión + aging con estados Sana / Requiere atención / Presionada.</w:t>
            </w:r>
          </w:p>
        </w:tc>
        <w:tc>
          <w:tcPr>
            <w:tcW w:type="dxa" w:w="3427"/>
          </w:tcPr>
          <w:p>
            <w:r>
              <w:t>P4-CNT-016/017</w:t>
            </w:r>
          </w:p>
        </w:tc>
      </w:tr>
      <w:tr>
        <w:tc>
          <w:tcPr>
            <w:tcW w:type="dxa" w:w="3427"/>
          </w:tcPr>
          <w:p>
            <w:r>
              <w:t>Home/Perfil recalculan o reinterpretan señales M04</w:t>
            </w:r>
          </w:p>
        </w:tc>
        <w:tc>
          <w:tcPr>
            <w:tcW w:type="dxa" w:w="3427"/>
          </w:tcPr>
          <w:p>
            <w:r>
              <w:t>No vigente. Home y Perfil son consumidores; no recalculan M04 ni crean identidad paralela.</w:t>
            </w:r>
          </w:p>
        </w:tc>
        <w:tc>
          <w:tcPr>
            <w:tcW w:type="dxa" w:w="3427"/>
          </w:tcPr>
          <w:p>
            <w:r>
              <w:t>BC-M04-002 / TR-M04-044/047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t>17. Pendientes vigentes y fuera de alcance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t>Frente</w:t>
            </w:r>
          </w:p>
        </w:tc>
        <w:tc>
          <w:tcPr>
            <w:tcW w:type="dxa" w:w="2570"/>
          </w:tcPr>
          <w:p>
            <w:r>
              <w:t>Estado</w:t>
            </w:r>
          </w:p>
        </w:tc>
        <w:tc>
          <w:tcPr>
            <w:tcW w:type="dxa" w:w="2570"/>
          </w:tcPr>
          <w:p>
            <w:r>
              <w:t>Owner</w:t>
            </w:r>
          </w:p>
        </w:tc>
        <w:tc>
          <w:tcPr>
            <w:tcW w:type="dxa" w:w="2570"/>
          </w:tcPr>
          <w:p>
            <w:r>
              <w:t>Tratamiento</w:t>
            </w:r>
          </w:p>
        </w:tc>
      </w:tr>
      <w:tr>
        <w:tc>
          <w:tcPr>
            <w:tcW w:type="dxa" w:w="2570"/>
          </w:tcPr>
          <w:p>
            <w:r>
              <w:t>Validación de cumplimiento técnico runtime</w:t>
            </w:r>
          </w:p>
        </w:tc>
        <w:tc>
          <w:tcPr>
            <w:tcW w:type="dxa" w:w="2570"/>
          </w:tcPr>
          <w:p>
            <w:r>
              <w:t>NO EVALUADO</w:t>
            </w:r>
          </w:p>
        </w:tc>
        <w:tc>
          <w:tcPr>
            <w:tcW w:type="dxa" w:w="2570"/>
          </w:tcPr>
          <w:p>
            <w:r>
              <w:t>Kabeli/Owners/Walvy</w:t>
            </w:r>
          </w:p>
        </w:tc>
        <w:tc>
          <w:tcPr>
            <w:tcW w:type="dxa" w:w="2570"/>
          </w:tcPr>
          <w:p>
            <w:r>
              <w:t>Completar implementación/evidencia y evaluar control por control</w:t>
            </w:r>
          </w:p>
        </w:tc>
      </w:tr>
      <w:tr>
        <w:tc>
          <w:tcPr>
            <w:tcW w:type="dxa" w:w="2570"/>
          </w:tcPr>
          <w:p>
            <w:r>
              <w:t>Validación Kabeli de Matriz de Trazabilidad Cliente</w:t>
            </w:r>
          </w:p>
        </w:tc>
        <w:tc>
          <w:tcPr>
            <w:tcW w:type="dxa" w:w="2570"/>
          </w:tcPr>
          <w:p>
            <w:r>
              <w:t>PENDIENTE</w:t>
            </w:r>
          </w:p>
        </w:tc>
        <w:tc>
          <w:tcPr>
            <w:tcW w:type="dxa" w:w="2570"/>
          </w:tcPr>
          <w:p>
            <w:r>
              <w:t>Kabeli</w:t>
            </w:r>
          </w:p>
        </w:tc>
        <w:tc>
          <w:tcPr>
            <w:tcW w:type="dxa" w:w="2570"/>
          </w:tcPr>
          <w:p>
            <w:r>
              <w:t>Registrar validación en capa prevista sin reescribir Walvy</w:t>
            </w:r>
          </w:p>
        </w:tc>
      </w:tr>
      <w:tr>
        <w:tc>
          <w:tcPr>
            <w:tcW w:type="dxa" w:w="2570"/>
          </w:tcPr>
          <w:p>
            <w:r>
              <w:t>Disponible canónico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CERRADO EXTERNO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Contrato M02 cerrado; no es input directo ni proxy de M04.</w:t>
            </w:r>
          </w:p>
        </w:tc>
      </w:tr>
      <w:tr>
        <w:tc>
          <w:tcPr>
            <w:tcW w:type="dxa" w:w="2570"/>
          </w:tcPr>
          <w:p>
            <w:r>
              <w:t>Aporte adicional sostenible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CONTRATO CONSUMIDOR CERRADO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M05 → M04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M04 consume outcome prudencial de tres estados; M05 resuelve cálculo/política.</w:t>
            </w:r>
          </w:p>
        </w:tc>
      </w:tr>
      <w:tr>
        <w:tc>
          <w:tcPr>
            <w:tcW w:type="dxa" w:w="2570"/>
          </w:tcPr>
          <w:p>
            <w:r>
              <w:t>Variantes UX aporte adicional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UX/MATERIALIZACIÓN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UX/M04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Semántica cerrada: positivo / 0-no recomendado / no evaluable. UX decide mostrar u ocultar el bloque cuando el resultado evaluable es 0.</w:t>
            </w:r>
          </w:p>
        </w:tc>
      </w:tr>
      <w:tr>
        <w:tc>
          <w:tcPr>
            <w:tcW w:type="dxa" w:w="2570"/>
          </w:tcPr>
          <w:p>
            <w:r>
              <w:t>Ganador Home + Alerta</w:t>
            </w:r>
          </w:p>
        </w:tc>
        <w:tc>
          <w:tcPr>
            <w:tcW w:type="dxa" w:w="2570"/>
          </w:tcPr>
          <w:p>
            <w:r>
              <w:t>FUERA DE M04 · OWNER M03</w:t>
            </w:r>
          </w:p>
        </w:tc>
        <w:tc>
          <w:tcPr>
            <w:tcW w:type="dxa" w:w="2570"/>
          </w:tcPr>
          <w:p>
            <w:r>
              <w:t>Orquestación M04/M05/M06/Home</w:t>
            </w:r>
          </w:p>
        </w:tc>
        <w:tc>
          <w:tcPr>
            <w:tcW w:type="dxa" w:w="2570"/>
          </w:tcPr>
          <w:p>
            <w:r>
              <w:t>Resolver en frente transversal</w:t>
            </w:r>
          </w:p>
        </w:tc>
      </w:tr>
      <w:tr>
        <w:tc>
          <w:tcPr>
            <w:tcW w:type="dxa" w:w="2570"/>
          </w:tcPr>
          <w:p>
            <w:r>
              <w:t>Campana/superficie de avisos</w:t>
            </w:r>
          </w:p>
        </w:tc>
        <w:tc>
          <w:tcPr>
            <w:tcW w:type="dxa" w:w="2570"/>
          </w:tcPr>
          <w:p>
            <w:r>
              <w:t>FUERA DE M04 · UX TRANSVERSAL</w:t>
            </w:r>
          </w:p>
        </w:tc>
        <w:tc>
          <w:tcPr>
            <w:tcW w:type="dxa" w:w="2570"/>
          </w:tcPr>
          <w:p>
            <w:r>
              <w:t>M02/M03/transversal</w:t>
            </w:r>
          </w:p>
        </w:tc>
        <w:tc>
          <w:tcPr>
            <w:tcW w:type="dxa" w:w="2570"/>
          </w:tcPr>
          <w:p>
            <w:r>
              <w:t>No inventar centro; resolver UX/Figma transversal</w:t>
            </w:r>
          </w:p>
        </w:tc>
      </w:tr>
      <w:tr>
        <w:tc>
          <w:tcPr>
            <w:tcW w:type="dxa" w:w="2570"/>
          </w:tcPr>
          <w:p>
            <w:r>
              <w:t>push/email + cadencia/cooldown</w:t>
            </w:r>
          </w:p>
        </w:tc>
        <w:tc>
          <w:tcPr>
            <w:tcW w:type="dxa" w:w="2570"/>
          </w:tcPr>
          <w:p>
            <w:r>
              <w:t>DIFERIDO</w:t>
            </w:r>
          </w:p>
        </w:tc>
        <w:tc>
          <w:tcPr>
            <w:tcW w:type="dxa" w:w="2570"/>
          </w:tcPr>
          <w:p>
            <w:r>
              <w:t>Avisos</w:t>
            </w:r>
          </w:p>
        </w:tc>
        <w:tc>
          <w:tcPr>
            <w:tcW w:type="dxa" w:w="2570"/>
          </w:tcPr>
          <w:p>
            <w:r>
              <w:t>Resolver en diseño transversal posterior</w:t>
            </w:r>
          </w:p>
        </w:tc>
      </w:tr>
      <w:tr>
        <w:tc>
          <w:tcPr>
            <w:tcW w:type="dxa" w:w="2570"/>
          </w:tcPr>
          <w:p>
            <w:r>
              <w:t>Copy capacidad liberada != ahorro</w:t>
            </w:r>
          </w:p>
        </w:tc>
        <w:tc>
          <w:tcPr>
            <w:tcW w:type="dxa" w:w="2570"/>
          </w:tcPr>
          <w:p>
            <w:r>
              <w:t>PENDIENTE</w:t>
            </w:r>
          </w:p>
        </w:tc>
        <w:tc>
          <w:tcPr>
            <w:tcW w:type="dxa" w:w="2570"/>
          </w:tcPr>
          <w:p>
            <w:r>
              <w:t>M04/UX</w:t>
            </w:r>
          </w:p>
        </w:tc>
        <w:tc>
          <w:tcPr>
            <w:tcW w:type="dxa" w:w="2570"/>
          </w:tcPr>
          <w:p>
            <w:r>
              <w:t>Resolver copy sin cambiar contrato de output</w:t>
            </w:r>
          </w:p>
        </w:tc>
      </w:tr>
      <w:tr>
        <w:tc>
          <w:tcPr>
            <w:tcW w:type="dxa" w:w="2570"/>
          </w:tcPr>
          <w:p>
            <w:r>
              <w:t>GAP-COPY-M04-FOCO</w:t>
            </w:r>
          </w:p>
        </w:tc>
        <w:tc>
          <w:tcPr>
            <w:tcW w:type="dxa" w:w="2570"/>
          </w:tcPr>
          <w:p>
            <w:r>
              <w:t>PENDIENTE</w:t>
            </w:r>
          </w:p>
        </w:tc>
        <w:tc>
          <w:tcPr>
            <w:tcW w:type="dxa" w:w="2570"/>
          </w:tcPr>
          <w:p>
            <w:r>
              <w:t>M04/UX</w:t>
            </w:r>
          </w:p>
        </w:tc>
        <w:tc>
          <w:tcPr>
            <w:tcW w:type="dxa" w:w="2570"/>
          </w:tcPr>
          <w:p>
            <w:r>
              <w:t>Resolver en materialización</w:t>
            </w:r>
          </w:p>
        </w:tc>
      </w:tr>
      <w:tr>
        <w:tc>
          <w:tcPr>
            <w:tcW w:type="dxa" w:w="2570"/>
          </w:tcPr>
          <w:p>
            <w:r>
              <w:t>GAP-MAT-M04-TAGS</w:t>
            </w:r>
          </w:p>
        </w:tc>
        <w:tc>
          <w:tcPr>
            <w:tcW w:type="dxa" w:w="2570"/>
          </w:tcPr>
          <w:p>
            <w:r>
              <w:t>PENDIENTE</w:t>
            </w:r>
          </w:p>
        </w:tc>
        <w:tc>
          <w:tcPr>
            <w:tcW w:type="dxa" w:w="2570"/>
          </w:tcPr>
          <w:p>
            <w:r>
              <w:t>M04/BDD/UX</w:t>
            </w:r>
          </w:p>
        </w:tc>
        <w:tc>
          <w:tcPr>
            <w:tcW w:type="dxa" w:w="2570"/>
          </w:tcPr>
          <w:p>
            <w:r>
              <w:t>Verificar as-built; no crear ID PD por defecto</w:t>
            </w:r>
          </w:p>
        </w:tc>
      </w:tr>
      <w:tr>
        <w:tc>
          <w:tcPr>
            <w:tcW w:type="dxa" w:w="2570"/>
          </w:tcPr>
          <w:p>
            <w:r>
              <w:t>BD-CORE-DATA-01</w:t>
            </w:r>
          </w:p>
        </w:tc>
        <w:tc>
          <w:tcPr>
            <w:tcW w:type="dxa" w:w="2570"/>
          </w:tcPr>
          <w:p>
            <w:r>
              <w:t>PENDIENTE</w:t>
            </w:r>
          </w:p>
        </w:tc>
        <w:tc>
          <w:tcPr>
            <w:tcW w:type="dxa" w:w="2570"/>
          </w:tcPr>
          <w:p>
            <w:r>
              <w:t>Transversal técnico</w:t>
            </w:r>
          </w:p>
        </w:tc>
        <w:tc>
          <w:tcPr>
            <w:tcW w:type="dxa" w:w="2570"/>
          </w:tcPr>
          <w:p>
            <w:r>
              <w:t>No inferir; resolver en frente técnico aplicable</w:t>
            </w:r>
          </w:p>
        </w:tc>
      </w:tr>
      <w:tr>
        <w:tc>
          <w:tcPr>
            <w:tcW w:type="dxa" w:w="2570"/>
          </w:tcPr>
          <w:p>
            <w:r>
              <w:t>Handoff delta M05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CONTRATO EMITIDO</w:t>
            </w:r>
          </w:p>
        </w:tc>
        <w:tc>
          <w:tcPr>
            <w:tcW w:type="dxa" w:w="2570"/>
          </w:tcPr>
          <w:p>
            <w:r>
              <w:t>M05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Handoff M05 de resiliencia/outcome prudencial incluido en el paquete final; implementación/evidencia se valida en M05.</w:t>
            </w:r>
          </w:p>
        </w:tc>
      </w:tr>
      <w:tr>
        <w:tc>
          <w:tcPr>
            <w:tcW w:type="dxa" w:w="2570"/>
          </w:tcPr>
          <w:p>
            <w:r>
              <w:t>Handoff delta M06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CONTRATO EXISTENTE</w:t>
            </w:r>
          </w:p>
        </w:tc>
        <w:tc>
          <w:tcPr>
            <w:tcW w:type="dxa" w:w="2570"/>
          </w:tcPr>
          <w:p>
            <w:r>
              <w:t>M06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M06 mantiene owner de pagos/ciclo/aging; M04 consume el contrato vigente. Evidencia runtime se valida cuando exista implementación.</w:t>
            </w:r>
          </w:p>
        </w:tc>
      </w:tr>
      <w:tr>
        <w:tc>
          <w:tcPr>
            <w:tcW w:type="dxa" w:w="2570"/>
          </w:tcPr>
          <w:p>
            <w:r>
              <w:t>CORE-SIGNAL</w:t>
            </w:r>
          </w:p>
        </w:tc>
        <w:tc>
          <w:tcPr>
            <w:tcW w:type="dxa" w:w="2570"/>
          </w:tcPr>
          <w:p>
            <w:r>
              <w:t>FUERA DE M04 · OWNER TRANSVERSAL</w:t>
            </w:r>
          </w:p>
        </w:tc>
        <w:tc>
          <w:tcPr>
            <w:tcW w:type="dxa" w:w="2570"/>
          </w:tcPr>
          <w:p>
            <w:r>
              <w:t>Transversal</w:t>
            </w:r>
          </w:p>
        </w:tc>
        <w:tc>
          <w:tcPr>
            <w:tcW w:type="dxa" w:w="2570"/>
          </w:tcPr>
          <w:p>
            <w:r>
              <w:t>Mantener separado hasta gate propio</w:t>
            </w:r>
          </w:p>
        </w:tc>
      </w:tr>
      <w:tr>
        <w:tc>
          <w:tcPr>
            <w:tcW w:type="dxa" w:w="2570"/>
          </w:tcPr>
          <w:p>
            <w:r>
              <w:t>Reserva 3–6 meses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OWNER EXTERNO · M05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2570"/>
          </w:tcPr>
          <w:p>
            <w:r>
              <w:rPr>
                <w:sz w:val="18"/>
              </w:rPr>
              <w:t>M05 calcula meses de resiliencia y puede recomendar alcanzar 3 meses y luego 6 meses; hitos elegibles para gamificación. No son thresholds M04.</w:t>
            </w:r>
          </w:p>
        </w:tc>
      </w:tr>
    </w:tbl>
    <w:p>
      <w:pPr>
        <w:spacing w:after="40"/>
      </w:pPr>
    </w:p>
    <w:p>
      <w:pPr>
        <w:pStyle w:val="Heading1"/>
        <w:spacing w:before="160" w:after="100"/>
      </w:pPr>
      <w:r>
        <w:t>18. Criterios de consistencia y aceptación funcional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5141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Autoridad funcional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El documento distingue la referencia integrada M04 de las fuentes especializadas vigentes que complementan su ámbito.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Presión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C×K×D, quality y floors válidos quedan como única lectura financiera canónica de este consolidado.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Salud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Se mantiene separada de Presión y Ruta y usa aging según contrato vigente.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Ruta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Elegibilidad, activación y continuidad quedan separadas e idempotentes.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BC-M04-002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Las 7 familias y roles no autónomos se preservan sin proliferar señales.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FLOW023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La secuencia de cierre post-confirmación queda documentada sin cambiar reglas financieras.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Fronteras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M05/M06/Home/Perfil conservan ownership y no recalculan M04.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Compatibilidad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Las reglas expresamente identificadas como no vigentes no pueden utilizarse para reinterpretar Presión, Salud, Ruta, estados o ownership.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Dependencias vigentes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Los pendientes y dependencias permanecen clasificados por owner y tratamiento sin convertirse en decisiones funcionales cerradas.</w:t>
            </w:r>
          </w:p>
        </w:tc>
      </w:tr>
      <w:tr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No automatización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6"/>
              </w:rPr>
              <w:t>No existen pagos, transferencias, ahorro garantizado o reasignación automática implícitos.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100"/>
      </w:pPr>
      <w:r>
        <w:t>Anexo A · Índice de Contract IDs P4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Contract ID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Objeto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Definición canónica</w:t>
            </w:r>
          </w:p>
        </w:tc>
        <w:tc>
          <w:tcPr>
            <w:tcW w:type="dxa" w:w="2570"/>
            <w:shd w:fill="0B5D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Estado / condición funcional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P4-CNT-001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QUALITY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Gate epistemológico de suficiencia/calidad separado de las bandas financieras.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P4-CNT-002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C-DEBT-SERVICE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Carga mensual normalizada de servicio de deuda sobre ingreso mensual canónico.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P4-CNT-003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C-BANDS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Bandas de Carga para Presión.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P4-CNT-004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K-HEADROOM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Capacidad residual/headroom canónico producido upstream; M04 no recalcula presupuesto.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 · input condicionado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P4-CNT-005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K-BANDS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Bandas de Capacidad para Presión.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P4-CNT-006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D-MAPPING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Deterioro confirmado separado de carga/capacidad.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P4-CNT-007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PRES-BASE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Presión base composicional C×K×D, sin score.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P4-CNT-008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PRES-PRECEDENCE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Floors causales solo empeoran/retienen; nunca degradan ni suman score.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P4-CNT-009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R020-EVENT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Evento deuda→deuda causalmente demostrado.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P4-CNT-010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R020-REC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Recurrencia deuda→deuda adversa.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P4-CNT-011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R021-EVENT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Evento de liquidez financiada para flujo ordinario.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P4-CNT-012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R021-REC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Dependencia recurrente de liquidez financiada para flujo ordinario.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P4-CNT-013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R021-PUNCTUAL-REC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Frontera puntual justificable→recurrente.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P4-CNT-014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R022-DETECTOR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Detector contextual de fragmentación de cuotas.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P4-CNT-015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R041-CYCLE-D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Mapping tarjeta/ciclo a D sin falso positivo.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P4-CNT-016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HEALTH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Salud de Deuda independiente de Presión y Ruta.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P4-CNT-017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HEALTH-AGING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Backbone de aging para Salud.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P4-CNT-018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ROUTE-ELIGIBILITY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Gate de elegibilidad separado de activación.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P4-CNT-019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ROUTE-ACTIVATION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Evento canónico de activación.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P4-CNT-020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ROUTE-CONTINUITY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Continuidad/retoma de Ruta activa.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P4-CNT-021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SIMULATION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Aporte manual como escenario hipotético.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P4-CNT-022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SUSTAINABILITY-GATE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8"/>
              </w:rPr>
              <w:t>Gate prudencial consumido por M04 para distinguir aporte sostenible evaluable positivo, evaluable sin aporte recomendado y no evaluable. El cálculo/política prudencial es owner M05.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 · input condicionado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P4-CNT-023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RECALCULATION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Recalcular snapshots/proyección cuando cambian inputs relevantes.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P4-CNT-024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DEDUP-PROVENANCE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Dedupe y provenance de hechos económicos.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  <w:tr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P4-CNT-025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PARAM-VERSION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Versionamiento de thresholds/reglas/snapshot.</w:t>
            </w:r>
          </w:p>
        </w:tc>
        <w:tc>
          <w:tcPr>
            <w:tcW w:type="dxa" w:w="2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183238"/>
                <w:sz w:val="13"/>
              </w:rPr>
              <w:t>Vigente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pStyle w:val="Heading1"/>
      </w:pPr>
      <w:r>
        <w:t>Prioridad local M04 y frontera con M03</w:t>
      </w:r>
    </w:p>
    <w:p>
      <w:r>
        <w:t>En lenguaje simple: M04 sí decide qué situación de deuda es más importante dentro de su propio dominio. M03 decide después en qué superficie se muestra y cómo compite con M05/M06. Son decisiones distintas.</w:t>
      </w:r>
    </w:p>
    <w:p>
      <w:r>
        <w:t>Antes de ordenar candidatos, M04 resuelve conflictos sobre la misma deuda: F2 Confirmar → F1 Completar → F3 Actualizar/validar; F5 Riesgo accionable prevalece sobre F4 Atención; y F6 Posible cierre debe resolverse antes de que pueda nacer F7 Siguiente deuda sugerida.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r>
              <w:rPr>
                <w:b/>
              </w:rPr>
              <w:t>Familia</w:t>
            </w:r>
          </w:p>
        </w:tc>
        <w:tc>
          <w:tcPr>
            <w:tcW w:type="dxa" w:w="3427"/>
          </w:tcPr>
          <w:p>
            <w:r>
              <w:rPr>
                <w:b/>
              </w:rPr>
              <w:t>Prioridad local</w:t>
            </w:r>
          </w:p>
        </w:tc>
        <w:tc>
          <w:tcPr>
            <w:tcW w:type="dxa" w:w="3427"/>
          </w:tcPr>
          <w:p>
            <w:r>
              <w:rPr>
                <w:b/>
              </w:rPr>
              <w:t>Lectura</w:t>
            </w:r>
          </w:p>
        </w:tc>
      </w:tr>
      <w:tr>
        <w:tc>
          <w:tcPr>
            <w:tcW w:type="dxa" w:w="3427"/>
          </w:tcPr>
          <w:p>
            <w:r>
              <w:t>F1 · Completar información</w:t>
            </w:r>
          </w:p>
        </w:tc>
        <w:tc>
          <w:tcPr>
            <w:tcW w:type="dxa" w:w="3427"/>
          </w:tcPr>
          <w:p>
            <w:r>
              <w:t>P0 si bloquea una evaluación necesaria; P2 si no bloquea</w:t>
            </w:r>
          </w:p>
        </w:tc>
        <w:tc>
          <w:tcPr>
            <w:tcW w:type="dxa" w:w="3427"/>
          </w:tcPr>
          <w:p>
            <w:r>
              <w:t>Calidad/completitud</w:t>
            </w:r>
          </w:p>
        </w:tc>
      </w:tr>
      <w:tr>
        <w:tc>
          <w:tcPr>
            <w:tcW w:type="dxa" w:w="3427"/>
          </w:tcPr>
          <w:p>
            <w:r>
              <w:t>F2 · Confirmar deuda</w:t>
            </w:r>
          </w:p>
        </w:tc>
        <w:tc>
          <w:tcPr>
            <w:tcW w:type="dxa" w:w="3427"/>
          </w:tcPr>
          <w:p>
            <w:r>
              <w:t>P1</w:t>
            </w:r>
          </w:p>
        </w:tc>
        <w:tc>
          <w:tcPr>
            <w:tcW w:type="dxa" w:w="3427"/>
          </w:tcPr>
          <w:p>
            <w:r>
              <w:t>Calidad/confirmación</w:t>
            </w:r>
          </w:p>
        </w:tc>
      </w:tr>
      <w:tr>
        <w:tc>
          <w:tcPr>
            <w:tcW w:type="dxa" w:w="3427"/>
          </w:tcPr>
          <w:p>
            <w:r>
              <w:t>F3 · Actualizar/validar dato</w:t>
            </w:r>
          </w:p>
        </w:tc>
        <w:tc>
          <w:tcPr>
            <w:tcW w:type="dxa" w:w="3427"/>
          </w:tcPr>
          <w:p>
            <w:r>
              <w:t>P2</w:t>
            </w:r>
          </w:p>
        </w:tc>
        <w:tc>
          <w:tcPr>
            <w:tcW w:type="dxa" w:w="3427"/>
          </w:tcPr>
          <w:p>
            <w:r>
              <w:t>Calidad/vigencia</w:t>
            </w:r>
          </w:p>
        </w:tc>
      </w:tr>
      <w:tr>
        <w:tc>
          <w:tcPr>
            <w:tcW w:type="dxa" w:w="3427"/>
          </w:tcPr>
          <w:p>
            <w:r>
              <w:t>F4 · Atención</w:t>
            </w:r>
          </w:p>
        </w:tc>
        <w:tc>
          <w:tcPr>
            <w:tcW w:type="dxa" w:w="3427"/>
          </w:tcPr>
          <w:p>
            <w:r>
              <w:t>P2</w:t>
            </w:r>
          </w:p>
        </w:tc>
        <w:tc>
          <w:tcPr>
            <w:tcW w:type="dxa" w:w="3427"/>
          </w:tcPr>
          <w:p>
            <w:r>
              <w:t>Situación financiera</w:t>
            </w:r>
          </w:p>
        </w:tc>
      </w:tr>
      <w:tr>
        <w:tc>
          <w:tcPr>
            <w:tcW w:type="dxa" w:w="3427"/>
          </w:tcPr>
          <w:p>
            <w:r>
              <w:t>F5 · Riesgo accionable</w:t>
            </w:r>
          </w:p>
        </w:tc>
        <w:tc>
          <w:tcPr>
            <w:tcW w:type="dxa" w:w="3427"/>
          </w:tcPr>
          <w:p>
            <w:r>
              <w:t>P0</w:t>
            </w:r>
          </w:p>
        </w:tc>
        <w:tc>
          <w:tcPr>
            <w:tcW w:type="dxa" w:w="3427"/>
          </w:tcPr>
          <w:p>
            <w:r>
              <w:t>Situación financiera con gate completo</w:t>
            </w:r>
          </w:p>
        </w:tc>
      </w:tr>
      <w:tr>
        <w:tc>
          <w:tcPr>
            <w:tcW w:type="dxa" w:w="3427"/>
          </w:tcPr>
          <w:p>
            <w:r>
              <w:t>F6 · Posible cierre</w:t>
            </w:r>
          </w:p>
        </w:tc>
        <w:tc>
          <w:tcPr>
            <w:tcW w:type="dxa" w:w="3427"/>
          </w:tcPr>
          <w:p>
            <w:r>
              <w:t>P1</w:t>
            </w:r>
          </w:p>
        </w:tc>
        <w:tc>
          <w:tcPr>
            <w:tcW w:type="dxa" w:w="3427"/>
          </w:tcPr>
          <w:p>
            <w:r>
              <w:t>Lifecycle/cierre</w:t>
            </w:r>
          </w:p>
        </w:tc>
      </w:tr>
      <w:tr>
        <w:tc>
          <w:tcPr>
            <w:tcW w:type="dxa" w:w="3427"/>
          </w:tcPr>
          <w:p>
            <w:r>
              <w:t>F7 · Siguiente deuda sugerida</w:t>
            </w:r>
          </w:p>
        </w:tc>
        <w:tc>
          <w:tcPr>
            <w:tcW w:type="dxa" w:w="3427"/>
          </w:tcPr>
          <w:p>
            <w:r>
              <w:t>P3</w:t>
            </w:r>
          </w:p>
        </w:tc>
        <w:tc>
          <w:tcPr>
            <w:tcW w:type="dxa" w:w="3427"/>
          </w:tcPr>
          <w:p>
            <w:r>
              <w:t>Continuidad post-cierre</w:t>
            </w:r>
          </w:p>
        </w:tc>
      </w:tr>
    </w:tbl>
    <w:p>
      <w:r>
        <w:t>Después de aplicar estas reglas, cada candidato válido recibe local_priority_band y M04 marca un único m04_local_top_candidate entre los de mayor prioridad efectiva. Los candidatos secundarios siguen existiendo mientras su condición siga activa.</w:t>
      </w:r>
    </w:p>
    <w:p>
      <w:r>
        <w:t>Si F1 bloquea la evaluación global necesaria de M04, ese bloqueo prevalece. Si F1 afecta otra instancia y existe un F5 plenamente válido, prevalece F5. Dentro de P1, F2 precede a F6. Dentro de P2, F4 precede a F1 no bloqueante y luego F3. Para empates equivalentes se reutiliza el orden canónico de deuda/Ruta cuando aplique; un desempate técnico estable no crea una nueva prioridad Producto.</w:t>
      </w:r>
    </w:p>
    <w:p>
      <w:r>
        <w:t>local_priority_band es ordinal y local a M04. No es un score financiero, no se suma con otras señales y no decide Home. M03/orquestación es owner de Home + Alerta, Lo importante para avanzar, Revisa y confirma, cantidad visible, deduplicación entre superficies y competencia M04/M05/M06.</w:t>
      </w:r>
    </w:p>
    <w:sectPr w:rsidR="00FC693F" w:rsidRPr="0006063C" w:rsidSect="00034616">
      <w:footerReference w:type="default" r:id="rId9"/>
      <w:pgSz w:w="12240" w:h="15840"/>
      <w:pgMar w:top="835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0"/>
        <w:sz w:val="15"/>
      </w:rPr>
      <w:t>Walvy · M04 Ruta Despeje · Documentación Funcional Consolidada v1.0 · 2026-08-24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5D6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7B7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8323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5D6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5E6B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RC1: remediación quirúrgica QA-A2-001..013 + precisiones RGL-005/023/029/031; pendiente re-QA Zero Trust.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