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xe6kjtwbm1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Debido a la estrechez de la calzada, el cambio de sentido no puede realizarse de un solo giro, ¿qué está obligado a hacer el conductor?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la marcha hasta encontrar un lugar adecuado.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el cambio de sentido con el menor número de maniobras posible.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hasta que no haya tráfico para realizar el cambio de sentido.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1ue13d5pia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analgésicos para combatir dolores leves, ¿puede afectar a las capacidades para realizar una conducción segura?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mezclan con alcohol.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analgésicos no tienen efectos secundarios.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si se consumen de forma abusiva y sin control médico.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bzh2x16bzu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conlleva la utilización de las técnicas de conducción eficiente?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incremento del nivel de ruido que produce el vehículo.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aumento del consumo de combustible y la contaminación ambiental.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reducción de los costes de uso y mantenimiento del vehículo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3z9wgq4cmjs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mal estado del vehículo, ¿es un factor de riesgo?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cuando el vehículo alcanza poca velocidad.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a175kpvjy2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¿Dónde se puede encontrar esta señal?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autopistas, autovías y vías para automóviles.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convencionales.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cualquier tipo de vía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66vny38s3p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¿Están obligadas las motocicletas a llevar la luz de cruce durante el día?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como norma general.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circule por vías interurbanas.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tipo de vías.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m5f8xoa7tk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carril reservado para autobuses y tranvías.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cruce con una línea de tranvía.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reservado para parada de tranvías.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k6yuttsv8b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acuerdo con la señalización, ¿es correcto utilizar el alumbrado del vehículo?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al menos, la luz de cruce porque el vehículo circula por un carril reversible.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de día y las condiciones meteorológicas son favorables.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circula en sentido contrario al habitual.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xbbipsbiyps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¿cómo debe avisar la intención de girar a la derecha?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los indicadores de dirección y, si no es posible, con el brazo.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los indicadores de dirección o con el claxon.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brazo y, en su defecto, con los indicadores de dirección.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eve5ppa7n4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carga transportada en una motocicleta de anchura inferior a 1 metro, ¿puede sobresalir por la parte delantera o trasera?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parte delantera, no, por la trasera sí, hasta 0,25 metros.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hasta 0,50 metros tanto por la parte delantera como por la trasera.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por la parte trasera hasta 0,50 metros.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5h58n6wv92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situada sobre un refugio?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lados del refugio por donde está prohibido pasar.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lados del refugio por donde los vehículos han de pasar.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lados de la calzada en los que está permitido estacionar.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0t8yswwem3z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probabilidad de sufrir un accidente mortal es mayor cuando se circula a velocidad...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moderada.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excesiva.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adecuada.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twdijmqtfgg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las glorietas se circulará dejando el centro...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izquierda.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derecha.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izquierda o a la derecha, es indistint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l60zorse23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No deberá iniciar un adelantamiento sin comprobar previamente que...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existe espacio suficiente para volver al carril derecho cuando termine la maniobra.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que circulan detrás mantienen la distancia de seguridad.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de delante reduce su velocidad para facilitar la maniobra.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ku2oqrel9ha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anfetaminas, ¿son peligrosas para conducir?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son tranquilizantes.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retrasan la aparición de sueño.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a79fa55680n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menores de edad de estatura igual o inferior a 135 centímetros deberán utilizar sistemas de retención infantil homologados debidamente adaptados a...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talla y edad.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edad y peso.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talla y peso.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kgg5sx5ylxv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las circunstancias que se dan en la imagen, el vehículo verde, ¿puede adelantar al vehículo blanco?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está prohibido cambiar de carril.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vienen vehículos en sentido contrario.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marca vial prohíbe adelantar.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vsaa3sbnm97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va a prestar ayuda en un accidente, respecto al uso del chaleco reflectante, debe saber que: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Hay que ponérselo antes de salir del vehículo.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uso solo es obligatorio en zona urbana.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uso no es obligatorio en caso de accidente al ser una situación de emergencia.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r5l1cd431l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señal: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 el acceso a los vehículos de más de 3,5 toneladas dedicados al transporte de mercancías, cuando circulan vacíos.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acceso a los vehículos destinados al transporte de mercancías de más de 3,5 toneladas de MMA.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acceso a todo tipo de vehículo con más de 3,5 toneladas de MMA.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2m0osia6212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se debe actuar cuando las ruedas traseras derrapen?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el volante hacia el lado contrario.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Agarrar el volante fuerte y no girarlo.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el volante hacia el mismo lado.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ze413z2p9x4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Conduce un camión de 3.000 kg de MMA. ¿Qué distancia debe dejar en este tramo de carretera?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metros.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de seguridad.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que permita a otros vehículos adelantarm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0nhx2kc8bqv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con remolque, ¿es obligatorio que lleve una rueda de repuesto del remolque?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remolque no es ligero.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hdnypyf5hag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amortiguador en malas condiciones, ¿qué consecuencias puede tener?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disminuya la distancia de frenado.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vehículo gane estabilidad.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luces oscilen durante la marcha y puedan deslumbrar.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drrsan2m2e1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inscripción "BUS" dentro de un carril indica que es...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la vía reservada sólo a turismos y autobuses.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carril reservado para la circulación de autobuses.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carril destinado al estacionamiento de autobuses.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bb5y9tj1cc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Relativo a la disposición de la carga en un vehículo, ¿cómo es obligatorio transportar siempre las materias que produzcan polvo o puedan caer?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vehículos totalmente cerrados.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pequeños contenedores.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Cubriéndolas total y eficazmente.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75fgd4du6bv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grupo de riesgo es el más vulnerable y tiene mayor probabilidad de fallecer o sufrir graves lesiones en un accidente de tráfico?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jóvenes.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profesionales.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v61mjyn8o52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de la derecha indica...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estrechamiento de la calzada.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peligro distinto de los advertidos por otras señales.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vía en obras.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m5j1l5h1d7e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distancia lateral debe guardar el conductor de una motocicleta al efectuar un adelantamiento en vía interurbana?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distancia no inferior a 1,50 metros.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Depende de la velocidad y del tipo de vehículo al que adelante.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distancia no superior a 1,50 metros.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civ8wooqplg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luz antiniebla trasera se utilizará siempre que...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circule a velocidad anormalmente reducida.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circule por carreteras de montaña.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condiciones meteorológicas sean especialmente desfavorables.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ntcd4wz9nbg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que...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puede desplazarse lateralmente ni a la derecha ni a la izquierda.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circular en el sentido indicado por la flecha, ya que es una calzada de sentido único.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el cambio de direcció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