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320"/>
      </w:pPr>
    </w:p>
    <w:p>
      <w:pPr>
        <w:spacing w:after="700"/>
        <w:jc w:val="center"/>
      </w:pPr>
      <w:r>
        <w:rPr>
          <w:rFonts w:ascii="Times New Roman" w:hAnsi="Times New Roman"/>
          <w:color w:val="000000"/>
          <w:sz w:val="22"/>
        </w:rPr>
        <w:drawing>
          <wp:inline xmlns:a="http://schemas.openxmlformats.org/drawingml/2006/main" xmlns:pic="http://schemas.openxmlformats.org/drawingml/2006/picture">
            <wp:extent cx="4068000" cy="1990518"/>
            <wp:docPr id="1" name="Picture 1"/>
            <wp:cNvGraphicFramePr>
              <a:graphicFrameLocks noChangeAspect="1"/>
            </wp:cNvGraphicFramePr>
            <a:graphic>
              <a:graphicData uri="http://schemas.openxmlformats.org/drawingml/2006/picture">
                <pic:pic>
                  <pic:nvPicPr>
                    <pic:cNvPr id="0" name="logo_uloyola.png"/>
                    <pic:cNvPicPr/>
                  </pic:nvPicPr>
                  <pic:blipFill>
                    <a:blip r:embed="rId9"/>
                    <a:stretch>
                      <a:fillRect/>
                    </a:stretch>
                  </pic:blipFill>
                  <pic:spPr>
                    <a:xfrm>
                      <a:off x="0" y="0"/>
                      <a:ext cx="4068000" cy="1990518"/>
                    </a:xfrm>
                    <a:prstGeom prst="rect"/>
                  </pic:spPr>
                </pic:pic>
              </a:graphicData>
            </a:graphic>
          </wp:inline>
        </w:drawing>
      </w:r>
    </w:p>
    <w:p>
      <w:pPr>
        <w:spacing w:before="0" w:after="120" w:line="240" w:lineRule="auto"/>
        <w:jc w:val="center"/>
      </w:pPr>
      <w:r>
        <w:rPr>
          <w:rFonts w:ascii="Times New Roman" w:hAnsi="Times New Roman" w:eastAsia="Liberation Serif" w:cs="Liberation Serif"/>
          <w:b/>
          <w:color w:val="082B66"/>
          <w:sz w:val="32"/>
        </w:rPr>
        <w:t>Ampliación de Bases de Datos</w:t>
      </w:r>
    </w:p>
    <w:p>
      <w:pPr>
        <w:spacing w:before="0" w:after="60" w:line="240" w:lineRule="auto"/>
        <w:jc w:val="center"/>
      </w:pPr>
      <w:r>
        <w:rPr>
          <w:rFonts w:ascii="Times New Roman" w:hAnsi="Times New Roman" w:eastAsia="Liberation Serif" w:cs="Liberation Serif"/>
          <w:color w:val="000000"/>
          <w:sz w:val="24"/>
        </w:rPr>
        <w:t>Grado en Ingeniería del Software</w:t>
      </w:r>
    </w:p>
    <w:p>
      <w:pPr>
        <w:spacing w:before="0" w:after="560" w:line="240" w:lineRule="auto"/>
        <w:jc w:val="center"/>
      </w:pPr>
      <w:r>
        <w:rPr>
          <w:rFonts w:ascii="Times New Roman" w:hAnsi="Times New Roman" w:eastAsia="Liberation Serif" w:cs="Liberation Serif"/>
          <w:color w:val="000000"/>
          <w:sz w:val="24"/>
        </w:rPr>
        <w:t>Curso académico 2026/2027</w:t>
      </w:r>
    </w:p>
    <w:tbl>
      <w:tblPr>
        <w:tblW w:type="auto" w:w="0"/>
        <w:jc w:val="center"/>
        <w:tblLayout w:type="fixed"/>
        <w:tblLook w:firstColumn="1" w:firstRow="1" w:lastColumn="0" w:lastRow="0" w:noHBand="0" w:noVBand="1" w:val="04A0"/>
      </w:tblPr>
      <w:tblGrid>
        <w:gridCol w:w="9178"/>
      </w:tblGrid>
      <w:tr>
        <w:tc>
          <w:tcPr>
            <w:tcW w:type="dxa" w:w="7710"/>
            <w:shd w:fill="EEF5FA"/>
            <w:tcMar>
              <w:top w:w="300" w:type="dxa"/>
              <w:start w:w="120" w:type="dxa"/>
              <w:bottom w:w="300" w:type="dxa"/>
              <w:end w:w="120" w:type="dxa"/>
            </w:tcMar>
          </w:tcPr>
          <w:p>
            <w:r>
              <w:rPr>
                <w:rFonts w:ascii="Times New Roman" w:hAnsi="Times New Roman"/>
                <w:b/>
                <w:color w:val="082B66"/>
                <w:sz w:val="24"/>
              </w:rPr>
              <w:t>TPI 1 · BASES DE DATOS ESPECIALIZADAS</w:t>
              <w:br/>
              <w:t>Avisos ciudadanos de Madrid: análisis espacial y evolución temporal</w:t>
            </w:r>
          </w:p>
        </w:tc>
      </w:tr>
    </w:tbl>
    <w:p>
      <w:pPr>
        <w:spacing w:before="1100" w:after="0"/>
      </w:pPr>
    </w:p>
    <w:tbl>
      <w:tblPr>
        <w:tblW w:type="auto" w:w="0"/>
        <w:jc w:val="center"/>
        <w:tblLayout w:type="fixed"/>
        <w:tblLook w:firstColumn="1" w:firstRow="1" w:lastColumn="0" w:lastRow="0" w:noHBand="0" w:noVBand="1" w:val="04A0"/>
      </w:tblPr>
      <w:tblGrid>
        <w:gridCol w:w="2041"/>
        <w:gridCol w:w="4762"/>
      </w:tblGrid>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Times New Roman" w:hAnsi="Times New Roman" w:eastAsia="Liberation Serif" w:cs="Liberation Serif"/>
                <w:b/>
                <w:color w:val="000000"/>
                <w:sz w:val="22"/>
              </w:rPr>
              <w:t>Estudiante:</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rPr>
                <w:rFonts w:ascii="Times New Roman" w:hAnsi="Times New Roman"/>
                <w:color w:val="000000"/>
                <w:sz w:val="22"/>
              </w:rPr>
              <w:t>Miguel Garcia Galan</w:t>
            </w:r>
          </w:p>
        </w:tc>
      </w:tr>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Times New Roman" w:hAnsi="Times New Roman" w:eastAsia="Liberation Serif" w:cs="Liberation Serif"/>
                <w:b/>
                <w:color w:val="000000"/>
                <w:sz w:val="22"/>
              </w:rPr>
              <w:t>Profesor:</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rPr>
                <w:rFonts w:ascii="Times New Roman" w:hAnsi="Times New Roman"/>
                <w:color w:val="000000"/>
                <w:sz w:val="22"/>
              </w:rPr>
              <w:t>Dr. Anier Soria Lorente</w:t>
            </w:r>
          </w:p>
        </w:tc>
      </w:tr>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Times New Roman" w:hAnsi="Times New Roman" w:eastAsia="Liberation Serif" w:cs="Liberation Serif"/>
                <w:b/>
                <w:color w:val="000000"/>
                <w:sz w:val="22"/>
              </w:rPr>
              <w:t>Fecha de entrega:</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rPr>
                <w:rFonts w:ascii="Times New Roman" w:hAnsi="Times New Roman"/>
                <w:color w:val="000000"/>
                <w:sz w:val="22"/>
              </w:rPr>
              <w:t>21/10/2026</w:t>
            </w:r>
          </w:p>
        </w:tc>
      </w:tr>
    </w:tbl>
    <w:p>
      <w:pPr>
        <w:spacing w:before="1400"/>
        <w:jc w:val="center"/>
      </w:pPr>
      <w:r>
        <w:rPr>
          <w:rFonts w:ascii="Times New Roman" w:hAnsi="Times New Roman" w:eastAsia="Liberation Serif" w:cs="Liberation Serif"/>
          <w:color w:val="000000"/>
          <w:sz w:val="20"/>
        </w:rPr>
        <w:t>Universidad Loyola Andalucía</w:t>
      </w:r>
    </w:p>
    <w:p>
      <w:pPr>
        <w:sectPr>
          <w:pgSz w:w="12240" w:h="15840"/>
          <w:pgMar w:top="1417" w:right="1531" w:bottom="1417" w:left="1531" w:header="283" w:footer="283" w:gutter="0"/>
          <w:cols w:space="720"/>
          <w:titlePg/>
          <w:docGrid w:linePitch="360"/>
        </w:sectPr>
      </w:pPr>
    </w:p>
    <w:p>
      <w:pPr>
        <w:spacing w:before="0" w:after="160" w:line="240" w:lineRule="auto"/>
      </w:pPr>
      <w:r>
        <w:rPr>
          <w:rFonts w:ascii="Times New Roman" w:hAnsi="Times New Roman" w:eastAsia="Liberation Serif" w:cs="Liberation Serif"/>
          <w:b w:val="0"/>
          <w:color w:val="082B66"/>
          <w:sz w:val="22"/>
        </w:rPr>
        <w:t>Índice</w:t>
      </w:r>
    </w:p>
    <w:p>
      <w:pPr>
        <w:spacing w:before="0" w:after="0" w:line="240" w:lineRule="auto"/>
      </w:pPr>
      <w:r>
        <w:rPr>
          <w:rFonts w:ascii="Times New Roman" w:hAnsi="Times New Roman"/>
          <w:color w:val="000000"/>
          <w:sz w:val="22"/>
        </w:rPr>
        <w:fldChar w:fldCharType="begin"/>
        <w:instrText xml:space="preserve">TOC \o "1-2" \h \z \u</w:instrText>
        <w:fldChar w:fldCharType="separate"/>
        <w:t/>
        <w:fldChar w:fldCharType="end"/>
      </w:r>
    </w:p>
    <w:p>
      <w:pPr>
        <w:tabs>
          <w:tab w:pos="8674" w:val="right" w:leader="dot"/>
        </w:tabs>
        <w:spacing w:before="0" w:after="100" w:line="252" w:lineRule="auto"/>
        <w:ind w:right="0"/>
      </w:pPr>
      <w:r>
        <w:rPr>
          <w:rFonts w:ascii="Times New Roman" w:hAnsi="Times New Roman" w:eastAsia="Liberation Serif" w:cs="Liberation Serif"/>
          <w:b/>
          <w:color w:val="000000"/>
          <w:sz w:val="22"/>
        </w:rPr>
        <w:t>1.  Problema real y contexto</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2.  Necesidad relacionada con los datos y objetivos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2.1.  Necesidad identificada</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2.2.  Objetivo general</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2.3.  Objetivos específicos</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3.  Conceptos y tecnologías aplicadas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3.1. Puntos geográficos y SRID ETRS89 UTM 30N</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left="317" w:right="0"/>
      </w:pPr>
      <w:r>
        <w:rPr>
          <w:rFonts w:ascii="Times New Roman" w:hAnsi="Times New Roman"/>
          <w:b w:val="0"/>
          <w:color w:val="000000"/>
          <w:sz w:val="22"/>
        </w:rPr>
        <w:t>3.2. PostGIS, InfluxDB e índices especializados</w:t>
      </w:r>
    </w:p>
    <w:p>
      <w:pPr>
        <w:tabs>
          <w:tab w:pos="8674" w:val="right" w:leader="dot"/>
        </w:tabs>
        <w:spacing w:before="0" w:after="100" w:line="252" w:lineRule="auto"/>
        <w:ind w:right="0"/>
      </w:pPr>
      <w:r>
        <w:rPr>
          <w:rFonts w:ascii="Times New Roman" w:hAnsi="Times New Roman" w:eastAsia="Liberation Serif" w:cs="Liberation Serif"/>
          <w:b/>
          <w:color w:val="000000"/>
          <w:sz w:val="22"/>
        </w:rPr>
        <w:t>4.  Desarrollo del trabajo</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4.1.  Diseño o planteamiento de la solución</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left="317" w:right="0"/>
      </w:pPr>
      <w:r>
        <w:rPr>
          <w:rFonts w:ascii="Times New Roman" w:hAnsi="Times New Roman" w:eastAsia="Liberation Serif" w:cs="Liberation Serif"/>
          <w:b w:val="0"/>
          <w:color w:val="000000"/>
          <w:sz w:val="22"/>
        </w:rPr>
        <w:t>4.2.  Implementación o procedimiento</w:t>
      </w:r>
      <w:r>
        <w:rPr>
          <w:rFonts w:ascii="Times New Roman" w:hAnsi="Times New Roman" w:eastAsia="Liberation Serif" w:cs="Liberation Serif"/>
          <w:b w:val="0"/>
          <w:color w:val="000000"/>
          <w:sz w:val="22"/>
        </w:rPr>
      </w:r>
      <w:r>
        <w:rPr>
          <w:rFonts w:ascii="Times New Roman" w:hAnsi="Times New Roman" w:eastAsia="Liberation Serif" w:cs="Liberation Serif"/>
          <w:b w:val="0"/>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5.  Resultados obtenidos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6.  Análisis e interpretación de los resultados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r>
        <w:rPr>
          <w:rFonts w:ascii="Times New Roman" w:hAnsi="Times New Roman"/>
          <w:b/>
          <w:color w:val="000000"/>
          <w:sz w:val="22"/>
        </w:rPr>
        <w:t>7.  Decisiones tomadas y justificación</w:t>
      </w:r>
    </w:p>
    <w:p>
      <w:pPr>
        <w:tabs>
          <w:tab w:pos="8674" w:val="right" w:leader="dot"/>
        </w:tabs>
        <w:spacing w:before="0" w:after="100" w:line="252" w:lineRule="auto"/>
        <w:ind w:right="0"/>
      </w:pPr>
      <w:r>
        <w:rPr>
          <w:rFonts w:ascii="Times New Roman" w:hAnsi="Times New Roman" w:eastAsia="Liberation Serif" w:cs="Liberation Serif"/>
          <w:b/>
          <w:color w:val="000000"/>
          <w:sz w:val="22"/>
        </w:rPr>
        <w:t>8.  Conclusiones y aprendizaje</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9.  Declaración de uso de inteligencia artificial</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10. Referencias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pPr>
        <w:tabs>
          <w:tab w:pos="8674" w:val="right" w:leader="dot"/>
        </w:tabs>
        <w:spacing w:before="0" w:after="100" w:line="252" w:lineRule="auto"/>
        <w:ind w:right="0"/>
      </w:pPr>
      <w:r>
        <w:rPr>
          <w:rFonts w:ascii="Times New Roman" w:hAnsi="Times New Roman" w:eastAsia="Liberation Serif" w:cs="Liberation Serif"/>
          <w:b/>
          <w:color w:val="000000"/>
          <w:sz w:val="22"/>
        </w:rPr>
        <w:t>A.  Anexos</w:t>
      </w:r>
      <w:r>
        <w:rPr>
          <w:rFonts w:ascii="Times New Roman" w:hAnsi="Times New Roman" w:eastAsia="Liberation Serif" w:cs="Liberation Serif"/>
          <w:b/>
          <w:color w:val="000000"/>
          <w:sz w:val="22"/>
        </w:rPr>
      </w:r>
      <w:r>
        <w:rPr>
          <w:rFonts w:ascii="Times New Roman" w:hAnsi="Times New Roman" w:eastAsia="Liberation Serif" w:cs="Liberation Serif"/>
          <w:b/>
          <w:color w:val="000000"/>
          <w:sz w:val="22"/>
        </w:rPr>
      </w:r>
    </w:p>
    <w:p>
      <w:r>
        <w:rPr>
          <w:rFonts w:ascii="Times New Roman" w:hAnsi="Times New Roman"/>
          <w:color w:val="000000"/>
          <w:sz w:val="22"/>
        </w:rPr>
        <w:br w:type="page"/>
      </w:r>
    </w:p>
    <w:p>
      <w:pPr>
        <w:pStyle w:val="Heading1"/>
        <w:keepNext/>
        <w:keepLines/>
      </w:pPr>
      <w:r>
        <w:rPr>
          <w:rFonts w:ascii="Times New Roman" w:hAnsi="Times New Roman"/>
          <w:color w:val="082B66"/>
          <w:sz w:val="28"/>
        </w:rPr>
        <w:t>1.  Problema real y contexto</w:t>
      </w:r>
    </w:p>
    <w:p>
      <w:pPr>
        <w:spacing w:before="0" w:after="240" w:line="259" w:lineRule="auto"/>
        <w:widowControl w:val="1"/>
      </w:pPr>
      <w:r>
        <w:rPr>
          <w:rFonts w:ascii="Times New Roman" w:hAnsi="Times New Roman"/>
          <w:color w:val="000000"/>
          <w:sz w:val="22"/>
        </w:rPr>
        <w:t>El Ayuntamiento de Madrid recibe avisos sobre incidencias de limpieza, arbolado, señales y otros servicios urbanos. El conjunto abierto Avisos ciudadanos recibidos (SIC) publica registros con fecha, categoría, distrito, dirección y coordenadas [1, 2]. Una unidad municipal necesita detectar avisos cercanos para apoyar el triaje y conocer cómo cambia el volumen por zona y categoría. Este trabajo desarrolla un proyecto reproducible con PostGIS para el análisis geográfico e InfluxDB para los agregados temporales. La memoria presenta una muestra real de cinco avisos de 2026; el repositorio deja preparado el flujo para procesar un CSV más amplio.</w:t>
      </w:r>
    </w:p>
    <w:p>
      <w:pPr>
        <w:pStyle w:val="Heading1"/>
        <w:keepNext/>
        <w:keepLines/>
      </w:pPr>
      <w:r>
        <w:rPr>
          <w:rFonts w:ascii="Times New Roman" w:hAnsi="Times New Roman"/>
          <w:color w:val="082B66"/>
          <w:sz w:val="28"/>
        </w:rPr>
        <w:t>2.  Necesidad relacionada con los datos y objetivos</w:t>
      </w:r>
    </w:p>
    <w:p>
      <w:pPr>
        <w:pStyle w:val="Heading2"/>
        <w:keepNext/>
        <w:keepLines/>
      </w:pPr>
      <w:r>
        <w:rPr>
          <w:rFonts w:ascii="Times New Roman" w:hAnsi="Times New Roman"/>
          <w:color w:val="082B66"/>
          <w:sz w:val="24"/>
        </w:rPr>
        <w:t>2.1.  Necesidad identificada</w:t>
      </w:r>
    </w:p>
    <w:p>
      <w:pPr>
        <w:spacing w:before="0" w:after="140" w:line="259" w:lineRule="auto"/>
        <w:widowControl w:val="1"/>
      </w:pPr>
      <w:r>
        <w:rPr>
          <w:rFonts w:ascii="Times New Roman" w:hAnsi="Times New Roman"/>
          <w:color w:val="000000"/>
          <w:sz w:val="22"/>
        </w:rPr>
        <w:t>Un listado tabular permite filtrar por categoría o distrito, pero no identifica directamente dos avisos físicamente próximos. La proximidad puede ayudar a revisar posibles incidencias relacionadas. Como los datos también tienen fecha, distrito y categoría, una serie temporal agregada puede servir para observar la evolución de la carga. Son consultas distintas y se modelan con dos bases especializadas.</w:t>
      </w:r>
    </w:p>
    <w:p>
      <w:pPr>
        <w:pStyle w:val="Heading2"/>
        <w:keepNext/>
        <w:keepLines/>
      </w:pPr>
      <w:r>
        <w:rPr>
          <w:rFonts w:ascii="Times New Roman" w:hAnsi="Times New Roman"/>
          <w:color w:val="082B66"/>
          <w:sz w:val="24"/>
        </w:rPr>
        <w:t>2.2.  Objetivo general</w:t>
      </w:r>
    </w:p>
    <w:p>
      <w:pPr>
        <w:spacing w:before="0" w:after="140" w:line="259" w:lineRule="auto"/>
        <w:widowControl w:val="1"/>
      </w:pPr>
      <w:r>
        <w:rPr>
          <w:rFonts w:ascii="Times New Roman" w:hAnsi="Times New Roman"/>
          <w:color w:val="000000"/>
          <w:sz w:val="22"/>
        </w:rPr>
        <w:t>Diseñar un prototipo reproducible que use PostGIS para consultar avisos reales de Madrid por proximidad e InfluxDB para almacenar y consultar agregados diarios por distrito y categoría.</w:t>
      </w:r>
    </w:p>
    <w:p>
      <w:pPr>
        <w:pStyle w:val="Heading2"/>
        <w:keepNext/>
        <w:keepLines/>
      </w:pPr>
      <w:r>
        <w:rPr>
          <w:rFonts w:ascii="Times New Roman" w:hAnsi="Times New Roman"/>
          <w:color w:val="082B66"/>
          <w:sz w:val="24"/>
        </w:rPr>
        <w:t>2.3.  Objetivos específicos</w:t>
      </w:r>
    </w:p>
    <w:p>
      <w:pPr>
        <w:pStyle w:val="ListBullet"/>
        <w:spacing w:before="0" w:after="80" w:line="240" w:lineRule="auto"/>
        <w:ind w:left="369" w:hanging="142"/>
      </w:pPr>
      <w:r>
        <w:rPr>
          <w:rFonts w:ascii="Times New Roman" w:hAnsi="Times New Roman"/>
          <w:color w:val="000000"/>
          <w:sz w:val="22"/>
        </w:rPr>
        <w:t>Tomar una muestra reproducible del conjunto municipal, conservar la atribución y el sistema de referencia de las coordenadas, y validar el flujo en PostGIS e InfluxDB.</w:t>
      </w:r>
    </w:p>
    <w:p>
      <w:pPr>
        <w:pStyle w:val="ListBullet"/>
        <w:spacing w:before="0" w:after="80" w:line="240" w:lineRule="auto"/>
        <w:ind w:left="369" w:hanging="142"/>
      </w:pPr>
      <w:r>
        <w:rPr>
          <w:rFonts w:ascii="Times New Roman" w:hAnsi="Times New Roman"/>
          <w:color w:val="000000"/>
          <w:sz w:val="22"/>
        </w:rPr>
        <w:t>Representar cada aviso como un punto EPSG:25830 e indexarlo con GiST para consultas de proximidad en metros.</w:t>
      </w:r>
    </w:p>
    <w:p>
      <w:pPr>
        <w:pStyle w:val="ListBullet"/>
        <w:spacing w:before="0" w:after="80" w:line="240" w:lineRule="auto"/>
        <w:ind w:left="369" w:hanging="142"/>
      </w:pPr>
      <w:r>
        <w:rPr>
          <w:rFonts w:ascii="Times New Roman" w:hAnsi="Times New Roman"/>
          <w:color w:val="000000"/>
          <w:sz w:val="22"/>
        </w:rPr>
        <w:t>Agregar los avisos por fecha, distrito y categoría para escribir una serie temporal en InfluxDB; contrastar la consulta espacial con una ejecución local SQLite/R-tree.</w:t>
      </w:r>
    </w:p>
    <w:p>
      <w:pPr>
        <w:pStyle w:val="Heading1"/>
        <w:keepNext/>
        <w:keepLines/>
      </w:pPr>
      <w:r>
        <w:rPr>
          <w:rFonts w:ascii="Times New Roman" w:hAnsi="Times New Roman"/>
          <w:color w:val="082B66"/>
          <w:sz w:val="28"/>
        </w:rPr>
        <w:t>3.  Conceptos y tecnologías aplicadas</w:t>
      </w:r>
    </w:p>
    <w:p>
      <w:pPr>
        <w:pStyle w:val="Heading2"/>
        <w:keepNext/>
        <w:keepLines/>
      </w:pPr>
      <w:r>
        <w:rPr>
          <w:rFonts w:ascii="Times New Roman" w:hAnsi="Times New Roman"/>
          <w:color w:val="082B66"/>
          <w:sz w:val="24"/>
        </w:rPr>
        <w:t>3.1. Puntos geográficos y SRID ETRS89 UTM 30N</w:t>
      </w:r>
    </w:p>
    <w:p>
      <w:pPr>
        <w:spacing w:before="0" w:after="140" w:line="259" w:lineRule="auto"/>
        <w:widowControl w:val="1"/>
      </w:pPr>
      <w:r>
        <w:rPr>
          <w:rFonts w:ascii="Times New Roman" w:hAnsi="Times New Roman"/>
          <w:color w:val="000000"/>
          <w:sz w:val="22"/>
        </w:rPr>
        <w:t>Cada aviso se representa como geometry(Point, 25830), ya que el diccionario municipal describe sus coordenadas reales en UTM-30 ETRS89. En esa proyección, las distancias se expresan en metros dentro del ámbito de Madrid [3]. La tabla conserva identificador, fecha, categorías y dirección, además de la geometría.</w:t>
      </w:r>
    </w:p>
    <w:p>
      <w:pPr>
        <w:pStyle w:val="Heading2"/>
        <w:keepNext/>
        <w:keepLines/>
      </w:pPr>
      <w:r>
        <w:rPr>
          <w:rFonts w:ascii="Times New Roman" w:hAnsi="Times New Roman"/>
          <w:color w:val="082B66"/>
          <w:sz w:val="24"/>
        </w:rPr>
        <w:t>3.2. PostGIS, InfluxDB e índices especializados</w:t>
      </w:r>
    </w:p>
    <w:p>
      <w:pPr>
        <w:spacing w:before="0" w:after="160" w:line="259" w:lineRule="auto"/>
        <w:widowControl w:val="1"/>
      </w:pPr>
      <w:r>
        <w:rPr>
          <w:rFonts w:ascii="Times New Roman" w:hAnsi="Times New Roman"/>
          <w:color w:val="000000"/>
          <w:sz w:val="22"/>
        </w:rPr>
        <w:t>En PostGIS, ST_DWithin selecciona pares de puntos a 50 metros o menos y un índice GiST puede reducir los candidatos [4]. La consulta excluye el mismo aviso y evita duplicados ordenando los identificadores. InfluxDB cubre la pregunta temporal: almacena el total diario como campo y distrito y categoría como etiquetas [5]. El identificador individual no se usa como etiqueta para evitar cardinalidad innecesaria.</w:t>
      </w:r>
    </w:p>
    <w:p>
      <w:pPr>
        <w:pStyle w:val="Heading1"/>
        <w:keepNext/>
        <w:keepLines/>
      </w:pPr>
      <w:r>
        <w:rPr>
          <w:rFonts w:ascii="Times New Roman" w:hAnsi="Times New Roman"/>
          <w:color w:val="082B66"/>
          <w:sz w:val="28"/>
        </w:rPr>
        <w:t>4.  Desarrollo del trabajo</w:t>
      </w:r>
    </w:p>
    <w:p>
      <w:pPr>
        <w:pStyle w:val="Heading2"/>
        <w:keepNext/>
        <w:keepLines/>
      </w:pPr>
      <w:r>
        <w:rPr>
          <w:rFonts w:ascii="Times New Roman" w:hAnsi="Times New Roman"/>
          <w:color w:val="082B66"/>
          <w:sz w:val="24"/>
        </w:rPr>
        <w:t>4.1.  Diseño o planteamiento de la solución</w:t>
      </w:r>
    </w:p>
    <w:p>
      <w:pPr>
        <w:spacing w:before="0" w:after="140" w:line="259" w:lineRule="auto"/>
        <w:widowControl w:val="1"/>
      </w:pPr>
      <w:r>
        <w:rPr>
          <w:rFonts w:ascii="Times New Roman" w:hAnsi="Times New Roman"/>
          <w:color w:val="000000"/>
          <w:sz w:val="22"/>
        </w:rPr>
        <w:t>La solución divide el trabajo entre dos motores. PostgreSQL/PostGIS almacena cada aviso con geometry(Point, 25830), categorías, fecha y dirección; GiST indexa la geometría. InfluxDB recibe conteos agregados por día, distrito y categoría. Docker Compose configura ambos servicios. La muestra de cinco filas alimenta la demostración espacial y también sirve para ilustrar los agregados temporales, aunque no permite estudiar tendencias.</w:t>
      </w:r>
    </w:p>
    <w:p>
      <w:pPr>
        <w:pStyle w:val="Heading2"/>
        <w:keepNext/>
        <w:keepLines/>
      </w:pPr>
      <w:r>
        <w:rPr>
          <w:rFonts w:ascii="Times New Roman" w:hAnsi="Times New Roman"/>
          <w:color w:val="082B66"/>
          <w:sz w:val="24"/>
        </w:rPr>
        <w:t>4.2.  Implementación o procedimiento</w:t>
      </w:r>
    </w:p>
    <w:p>
      <w:pPr>
        <w:spacing w:before="0" w:after="160" w:line="259" w:lineRule="auto"/>
        <w:widowControl w:val="1"/>
      </w:pPr>
      <w:r>
        <w:rPr>
          <w:rFonts w:ascii="Times New Roman" w:hAnsi="Times New Roman"/>
          <w:color w:val="000000"/>
          <w:sz w:val="22"/>
        </w:rPr>
        <w:t>Se levantaron PostGIS 16-3.4 e InfluxDB 2.7 con Docker Compose. El cargador procesó las cinco filas del CSV y las insertó en PostGIS como puntos de SRID 25830; además escribió cinco agregados en InfluxDB. Se repitió la carga: PostGIS mantuvo cinco IDs únicos e InfluxDB siguió devolviendo cinco puntos diarios. La consulta espacial y una consulta temporal devolvieron resultados correctos. SQLite/R-tree también se conserva como demostración local independiente.</w:t>
      </w:r>
    </w:p>
    <w:p>
      <w:pPr>
        <w:pStyle w:val="Heading1"/>
        <w:keepNext/>
        <w:keepLines/>
      </w:pPr>
      <w:r>
        <w:rPr>
          <w:rFonts w:ascii="Times New Roman" w:hAnsi="Times New Roman"/>
          <w:color w:val="082B66"/>
          <w:sz w:val="28"/>
        </w:rPr>
        <w:t>5.  Resultados obtenidos</w:t>
      </w:r>
    </w:p>
    <w:tbl>
      <w:tblPr>
        <w:tblStyle w:val="TableGrid"/>
        <w:tblW w:type="auto" w:w="0"/>
        <w:tblLook w:firstColumn="1" w:firstRow="1" w:lastColumn="0" w:lastRow="0" w:noHBand="0" w:noVBand="1" w:val="04A0"/>
      </w:tblPr>
      <w:tblGrid>
        <w:gridCol w:w="2294"/>
        <w:gridCol w:w="2294"/>
        <w:gridCol w:w="2294"/>
        <w:gridCol w:w="2294"/>
      </w:tblGrid>
      <w:tr>
        <w:trPr>
          <w:cantSplit/>
        </w:trPr>
        <w:tc>
          <w:tcPr>
            <w:tcW w:type="dxa" w:w="2294"/>
          </w:tcPr>
          <w:p>
            <w:r>
              <w:rPr>
                <w:rFonts w:ascii="Times New Roman" w:hAnsi="Times New Roman"/>
                <w:b/>
                <w:color w:val="000000"/>
                <w:sz w:val="22"/>
              </w:rPr>
              <w:t>Aviso A</w:t>
            </w:r>
          </w:p>
        </w:tc>
        <w:tc>
          <w:tcPr>
            <w:tcW w:type="dxa" w:w="2294"/>
          </w:tcPr>
          <w:p>
            <w:r>
              <w:rPr>
                <w:rFonts w:ascii="Times New Roman" w:hAnsi="Times New Roman"/>
                <w:b/>
                <w:color w:val="000000"/>
                <w:sz w:val="22"/>
              </w:rPr>
              <w:t>Aviso B</w:t>
            </w:r>
          </w:p>
        </w:tc>
        <w:tc>
          <w:tcPr>
            <w:tcW w:type="dxa" w:w="2294"/>
          </w:tcPr>
          <w:p>
            <w:r>
              <w:rPr>
                <w:rFonts w:ascii="Times New Roman" w:hAnsi="Times New Roman"/>
                <w:b/>
                <w:color w:val="000000"/>
                <w:sz w:val="22"/>
              </w:rPr>
              <w:t>Categorías</w:t>
            </w:r>
          </w:p>
        </w:tc>
        <w:tc>
          <w:tcPr>
            <w:tcW w:type="dxa" w:w="2294"/>
          </w:tcPr>
          <w:p>
            <w:r>
              <w:rPr>
                <w:rFonts w:ascii="Times New Roman" w:hAnsi="Times New Roman"/>
                <w:b/>
                <w:color w:val="000000"/>
                <w:sz w:val="22"/>
              </w:rPr>
              <w:t>Distancia</w:t>
            </w:r>
          </w:p>
        </w:tc>
      </w:tr>
      <w:tr>
        <w:trPr>
          <w:cantSplit/>
        </w:trPr>
        <w:tc>
          <w:tcPr>
            <w:tcW w:type="dxa" w:w="2294"/>
          </w:tcPr>
          <w:p>
            <w:r>
              <w:rPr>
                <w:rFonts w:ascii="Times New Roman" w:hAnsi="Times New Roman"/>
                <w:color w:val="000000"/>
                <w:sz w:val="22"/>
              </w:rPr>
              <w:t>2 · Moratalaz</w:t>
              <w:br/>
              <w:t>C. Corregidor Diego de Valderrábano, 32</w:t>
            </w:r>
          </w:p>
        </w:tc>
        <w:tc>
          <w:tcPr>
            <w:tcW w:type="dxa" w:w="2294"/>
          </w:tcPr>
          <w:p>
            <w:r>
              <w:rPr>
                <w:rFonts w:ascii="Times New Roman" w:hAnsi="Times New Roman"/>
                <w:color w:val="000000"/>
                <w:sz w:val="22"/>
              </w:rPr>
              <w:t>4 · Moratalaz</w:t>
              <w:br/>
              <w:t>C. Corregidor Diego de Valderrábano, 26</w:t>
            </w:r>
          </w:p>
        </w:tc>
        <w:tc>
          <w:tcPr>
            <w:tcW w:type="dxa" w:w="2294"/>
          </w:tcPr>
          <w:p>
            <w:r>
              <w:rPr>
                <w:rFonts w:ascii="Times New Roman" w:hAnsi="Times New Roman"/>
                <w:color w:val="000000"/>
                <w:sz w:val="22"/>
              </w:rPr>
              <w:t>Limpieza de vía pública / Incidencia en señal</w:t>
            </w:r>
          </w:p>
        </w:tc>
        <w:tc>
          <w:tcPr>
            <w:tcW w:type="dxa" w:w="2294"/>
          </w:tcPr>
          <w:p>
            <w:r>
              <w:rPr>
                <w:rFonts w:ascii="Times New Roman" w:hAnsi="Times New Roman"/>
                <w:color w:val="000000"/>
                <w:sz w:val="22"/>
              </w:rPr>
              <w:t>21,0 m</w:t>
            </w:r>
          </w:p>
        </w:tc>
      </w:tr>
    </w:tbl>
    <w:p>
      <w:pPr>
        <w:spacing w:before="0" w:after="240" w:line="259" w:lineRule="auto"/>
        <w:widowControl w:val="1"/>
      </w:pPr>
      <w:r>
        <w:rPr>
          <w:rFonts w:ascii="Times New Roman" w:hAnsi="Times New Roman"/>
          <w:color w:val="000000"/>
          <w:sz w:val="22"/>
        </w:rPr>
        <w:t>En la muestra de cinco avisos, PostGIS y la prueba SQLite/R-tree encontraron el mismo único par a 50 m o menos: los avisos 2 y 4, del barrio Media Legua, calle Corregidor Diego de Valderrabano, números 32 y 26. Pertenecen a categorías distintas y están separados por 21,0 m. InfluxDB recibió cinco puntos con marca temporal de medianoche UTC del 1 de enero de 2026, uno por cada combinación de distrito y categoría. La consulta Flux devolvió cinco grupos, todos con total 1. La agregación diaria etiqueta cada resultado con el final de la ventana; por eso la interfaz muestra el 2 de enero a la 01:00 (hora local), aunque los puntos originales correspondan al 1 de enero. Tras repetir la carga, ambos motores conservaron cinco registros/grupos. Como todos los avisos comparten fecha, la muestra valida la escritura y consulta, pero no permite evaluar tendencias temporales.</w:t>
      </w:r>
    </w:p>
    <w:p>
      <w:pPr>
        <w:pStyle w:val="Heading1"/>
        <w:keepNext/>
        <w:keepLines/>
      </w:pPr>
      <w:r>
        <w:rPr>
          <w:rFonts w:ascii="Times New Roman" w:hAnsi="Times New Roman"/>
          <w:color w:val="082B66"/>
          <w:sz w:val="28"/>
        </w:rPr>
        <w:t>6.  Análisis e interpretación de los resultados</w:t>
      </w:r>
    </w:p>
    <w:p>
      <w:pPr>
        <w:spacing w:before="0" w:after="200" w:line="259" w:lineRule="auto"/>
        <w:widowControl w:val="1"/>
      </w:pPr>
      <w:r>
        <w:rPr>
          <w:rFonts w:ascii="Times New Roman" w:hAnsi="Times New Roman"/>
          <w:color w:val="000000"/>
          <w:sz w:val="22"/>
        </w:rPr>
        <w:t>La proximidad identifica avisos de servicios distintos en un área reducida y puede orientar una revisión; 21,0 m no prueba que sean duplicados ni que deban asignarse al mismo equipo. La consulta usa distancia en el sistema proyectado, no modela la red de calles ni obstáculos. La prueba confirma que PostGIS e InfluxDB cargan y consultan la muestra; al cubrir solo un día, no permite inferir tendencias temporales.</w:t>
      </w:r>
    </w:p>
    <w:p>
      <w:pPr>
        <w:pStyle w:val="Heading1"/>
        <w:keepNext/>
        <w:keepLines/>
      </w:pPr>
      <w:r>
        <w:rPr>
          <w:rFonts w:ascii="Times New Roman" w:hAnsi="Times New Roman"/>
          <w:color w:val="082B66"/>
          <w:sz w:val="28"/>
        </w:rPr>
        <w:t>7.  Decisiones tomadas y justificación</w:t>
      </w:r>
    </w:p>
    <w:p>
      <w:pPr>
        <w:pStyle w:val="ListBullet"/>
        <w:spacing w:before="0" w:after="80" w:line="240" w:lineRule="auto"/>
        <w:ind w:left="369" w:hanging="142"/>
      </w:pPr>
      <w:r>
        <w:rPr>
          <w:rFonts w:ascii="Times New Roman" w:hAnsi="Times New Roman"/>
          <w:color w:val="000000"/>
          <w:sz w:val="22"/>
        </w:rPr>
        <w:t>PostGIS se usó para las consultas de geometría y proximidad; InfluxDB organizó los agregados diarios. Ambos motores se ejecutaron en contenedores y devolvieron los resultados esperados.</w:t>
      </w:r>
    </w:p>
    <w:p>
      <w:pPr>
        <w:pStyle w:val="ListBullet"/>
        <w:spacing w:before="0" w:after="80" w:line="240" w:lineRule="auto"/>
        <w:ind w:left="369" w:hanging="142"/>
      </w:pPr>
      <w:r>
        <w:rPr>
          <w:rFonts w:ascii="Times New Roman" w:hAnsi="Times New Roman"/>
          <w:color w:val="000000"/>
          <w:sz w:val="22"/>
        </w:rPr>
        <w:t>Se usa geometry(Point, 25830) porque el portal publica coordenadas UTM-30 ETRS89 en metros. De esta forma, el umbral de 50 m utiliza las unidades del sistema proyectado.</w:t>
      </w:r>
    </w:p>
    <w:p>
      <w:pPr>
        <w:pStyle w:val="ListBullet"/>
        <w:spacing w:before="0" w:after="80" w:line="240" w:lineRule="auto"/>
        <w:ind w:left="369" w:hanging="142"/>
      </w:pPr>
      <w:r>
        <w:rPr>
          <w:rFonts w:ascii="Times New Roman" w:hAnsi="Times New Roman"/>
          <w:color w:val="000000"/>
          <w:sz w:val="22"/>
        </w:rPr>
        <w:t>SQLite/R-tree ofreció una comprobación independiente de la distancia. La consulta PostGIS con GiST y ST_DWithin devolvió el mismo par a 21,0 m; InfluxDB devolvió los cinco agregados. No se comparó rendimiento porque el conjunto es demasiado pequeño.</w:t>
      </w:r>
    </w:p>
    <w:p>
      <w:pPr>
        <w:pStyle w:val="Heading1"/>
        <w:keepNext/>
        <w:keepLines/>
      </w:pPr>
      <w:r>
        <w:rPr>
          <w:rFonts w:ascii="Times New Roman" w:hAnsi="Times New Roman"/>
          <w:color w:val="082B66"/>
          <w:sz w:val="28"/>
        </w:rPr>
        <w:t>8.  Conclusiones y aprendizaje</w:t>
      </w:r>
    </w:p>
    <w:p>
      <w:pPr>
        <w:spacing w:before="0" w:after="0" w:line="259" w:lineRule="auto"/>
        <w:widowControl w:val="1"/>
      </w:pPr>
      <w:r>
        <w:rPr>
          <w:rFonts w:ascii="Times New Roman" w:hAnsi="Times New Roman"/>
          <w:color w:val="000000"/>
          <w:sz w:val="22"/>
        </w:rPr>
        <w:t>El proyecto aplica PostGIS al análisis espacial e InfluxDB a la agregación temporal de avisos reales. La ejecución con Docker cargó los cinco registros, encontró un par a 21,0 m y consultó los cinco agregados diarios. Ambos flujos quedan validados con la muestra disponible; analizar tendencias requiere datos de muchas más fechas.</w:t>
      </w:r>
    </w:p>
    <w:p>
      <w:pPr>
        <w:pStyle w:val="Heading1"/>
        <w:keepNext/>
        <w:keepLines/>
      </w:pPr>
      <w:r>
        <w:rPr>
          <w:rFonts w:ascii="Times New Roman" w:hAnsi="Times New Roman"/>
          <w:color w:val="082B66"/>
          <w:sz w:val="28"/>
        </w:rPr>
        <w:t>9.  Declaración de uso de inteligencia artificial</w:t>
      </w:r>
    </w:p>
    <w:p>
      <w:pPr>
        <w:spacing w:before="0" w:after="100" w:line="259" w:lineRule="auto"/>
        <w:widowControl w:val="1"/>
      </w:pPr>
      <w:r>
        <w:rPr>
          <w:rFonts w:ascii="Times New Roman" w:hAnsi="Times New Roman"/>
          <w:color w:val="000000"/>
          <w:sz w:val="22"/>
        </w:rPr>
        <w:t>Se declara el apoyo de inteligencia artificial utilizado durante la elaboración de esta memoria.</w:t>
      </w:r>
    </w:p>
    <w:p>
      <w:pPr>
        <w:spacing w:before="0" w:after="80" w:line="240" w:lineRule="auto"/>
        <w:ind w:left="312" w:hanging="170"/>
      </w:pPr>
      <w:r>
        <w:rPr>
          <w:rFonts w:ascii="Times New Roman" w:hAnsi="Times New Roman" w:eastAsia="DejaVu Sans" w:cs="DejaVu Sans"/>
          <w:color w:val="000000"/>
          <w:sz w:val="22"/>
        </w:rPr>
        <w:t>☐  No he utilizado herramientas de inteligencia artificial en la realización de este trabajo.</w:t>
      </w:r>
      <w:r>
        <w:rPr>
          <w:rFonts w:ascii="Times New Roman" w:hAnsi="Times New Roman" w:eastAsia="Liberation Serif" w:cs="Liberation Serif"/>
          <w:b/>
          <w:color w:val="000000"/>
          <w:sz w:val="22"/>
        </w:rPr>
      </w:r>
      <w:r>
        <w:rPr>
          <w:rFonts w:ascii="Times New Roman" w:hAnsi="Times New Roman" w:eastAsia="Liberation Serif" w:cs="Liberation Serif"/>
          <w:color w:val="000000"/>
          <w:sz w:val="22"/>
        </w:rPr>
      </w:r>
    </w:p>
    <w:p>
      <w:pPr>
        <w:spacing w:before="0" w:after="80" w:line="240" w:lineRule="auto"/>
        <w:ind w:left="312" w:hanging="170"/>
      </w:pPr>
      <w:r>
        <w:rPr>
          <w:rFonts w:ascii="Times New Roman" w:hAnsi="Times New Roman" w:eastAsia="DejaVu Sans" w:cs="DejaVu Sans"/>
          <w:color w:val="000000"/>
          <w:sz w:val="22"/>
        </w:rPr>
        <w:t>☒  Sí he utilizado herramientas de inteligencia artificial como apoyo en este trabajo.</w:t>
      </w:r>
      <w:r>
        <w:rPr>
          <w:rFonts w:ascii="Times New Roman" w:hAnsi="Times New Roman" w:eastAsia="Liberation Serif" w:cs="Liberation Serif"/>
          <w:b/>
          <w:color w:val="000000"/>
          <w:sz w:val="22"/>
        </w:rPr>
      </w:r>
      <w:r>
        <w:rPr>
          <w:rFonts w:ascii="Times New Roman" w:hAnsi="Times New Roman" w:eastAsia="Liberation Serif" w:cs="Liberation Serif"/>
          <w:color w:val="000000"/>
          <w:sz w:val="22"/>
        </w:rPr>
      </w:r>
    </w:p>
    <w:p>
      <w:pPr>
        <w:spacing w:before="0" w:after="0" w:line="259" w:lineRule="auto"/>
        <w:widowControl w:val="1"/>
      </w:pPr>
      <w:r>
        <w:rPr>
          <w:rFonts w:ascii="Times New Roman" w:hAnsi="Times New Roman" w:eastAsia="Liberation Serif" w:cs="Liberation Serif"/>
          <w:b/>
          <w:color w:val="000000"/>
          <w:sz w:val="22"/>
        </w:rPr>
        <w:t>Herramienta(s) utilizada(s):</w:t>
      </w:r>
      <w:r>
        <w:rPr>
          <w:rFonts w:ascii="Times New Roman" w:hAnsi="Times New Roman" w:eastAsia="Liberation Serif" w:cs="Liberation Serif"/>
          <w:color w:val="000000"/>
          <w:sz w:val="22"/>
        </w:rPr>
      </w:r>
    </w:p>
    <w:p>
      <w:pPr>
        <w:spacing w:before="0" w:after="100" w:line="259" w:lineRule="auto"/>
        <w:widowControl w:val="1"/>
      </w:pPr>
      <w:r>
        <w:rPr>
          <w:rFonts w:ascii="Times New Roman" w:hAnsi="Times New Roman" w:eastAsia="Liberation Serif" w:cs="Liberation Serif"/>
          <w:color w:val="000000"/>
          <w:sz w:val="22"/>
        </w:rPr>
        <w:t>ChatGPT (OpenAI).</w:t>
      </w:r>
    </w:p>
    <w:p>
      <w:pPr>
        <w:spacing w:before="0" w:after="0" w:line="259" w:lineRule="auto"/>
        <w:widowControl w:val="1"/>
      </w:pPr>
      <w:r>
        <w:rPr>
          <w:rFonts w:ascii="Times New Roman" w:hAnsi="Times New Roman" w:eastAsia="Liberation Serif" w:cs="Liberation Serif"/>
          <w:b/>
          <w:color w:val="000000"/>
          <w:sz w:val="22"/>
        </w:rPr>
        <w:t>Uso concreto realizado:</w:t>
      </w:r>
      <w:r>
        <w:rPr>
          <w:rFonts w:ascii="Times New Roman" w:hAnsi="Times New Roman" w:eastAsia="Liberation Serif" w:cs="Liberation Serif"/>
          <w:color w:val="000000"/>
          <w:sz w:val="22"/>
        </w:rPr>
      </w:r>
    </w:p>
    <w:p>
      <w:pPr>
        <w:spacing w:before="0" w:after="100" w:line="259" w:lineRule="auto"/>
        <w:widowControl w:val="1"/>
      </w:pPr>
      <w:r>
        <w:rPr>
          <w:rFonts w:ascii="Times New Roman" w:hAnsi="Times New Roman"/>
          <w:color w:val="000000"/>
          <w:sz w:val="22"/>
        </w:rPr>
        <w:t>ChatGPT (OpenAI) se utilizó como apoyo para estructurar y redactar la memoria, preparar el código del proyecto y aclarar el diseño de la carga espacial y temporal.</w:t>
      </w:r>
    </w:p>
    <w:p>
      <w:pPr>
        <w:spacing w:before="0" w:after="0" w:line="259" w:lineRule="auto"/>
        <w:widowControl w:val="1"/>
      </w:pPr>
      <w:r>
        <w:rPr>
          <w:rFonts w:ascii="Times New Roman" w:hAnsi="Times New Roman"/>
          <w:color w:val="000000"/>
          <w:sz w:val="22"/>
        </w:rPr>
        <w:t>Comprobaciones realizadas:</w:t>
      </w:r>
    </w:p>
    <w:p>
      <w:pPr>
        <w:spacing w:before="0" w:after="140" w:line="259" w:lineRule="auto"/>
        <w:widowControl w:val="1"/>
      </w:pPr>
      <w:r>
        <w:rPr>
          <w:rFonts w:ascii="Times New Roman" w:hAnsi="Times New Roman"/>
          <w:color w:val="000000"/>
          <w:sz w:val="22"/>
        </w:rPr>
        <w:t>La carga con Docker, la consulta espacial de PostGIS y la consulta temporal de InfluxDB se ejecutaron con la muestra descrita. La distancia de 21,0 m se contrastó también con SQLite/R-tree; los resultados y las limitaciones de la muestra se explican en esta memoria.</w:t>
      </w:r>
    </w:p>
    <w:p>
      <w:pPr>
        <w:pStyle w:val="Heading1"/>
        <w:keepNext/>
        <w:keepLines/>
      </w:pPr>
      <w:r>
        <w:rPr>
          <w:rFonts w:ascii="Times New Roman" w:hAnsi="Times New Roman"/>
          <w:color w:val="082B66"/>
          <w:sz w:val="28"/>
        </w:rPr>
        <w:t>10. Referencias</w:t>
      </w:r>
    </w:p>
    <w:p>
      <w:pPr>
        <w:spacing w:before="0" w:after="100" w:line="259" w:lineRule="auto"/>
        <w:widowControl w:val="1"/>
      </w:pPr>
      <w:r>
        <w:rPr>
          <w:rFonts w:ascii="Times New Roman" w:hAnsi="Times New Roman"/>
          <w:color w:val="000000"/>
          <w:sz w:val="22"/>
        </w:rPr>
        <w:t>Fuentes consultadas</w:t>
      </w:r>
    </w:p>
    <w:p>
      <w:pPr>
        <w:spacing w:before="0" w:after="100" w:line="240" w:lineRule="auto"/>
        <w:ind w:left="142" w:hanging="142"/>
      </w:pPr>
      <w:r>
        <w:rPr>
          <w:rFonts w:ascii="Times New Roman" w:hAnsi="Times New Roman"/>
          <w:color w:val="000000"/>
          <w:sz w:val="22"/>
        </w:rPr>
        <w:t>[1] Ayuntamiento de Madrid, “Avisos ciudadanos”, conjunto 212411-0-madrid-avisa. https://datos.madrid.es/dataset/212411-0-madrid-avisa. Consulta: 20/10/2026.</w:t>
        <w:br/>
        <w:t>[2] Ayuntamiento de Madrid, “Avisos ciudadanos recibidos (SIC), recurso CSV 2026”, https://datos.madrid.es/dataset/212411-0-madrid-avisa/resource/212411-17-madrid-avisa-csv.</w:t>
        <w:br/>
        <w:t>[3] Ayuntamiento de Madrid, Diccionario de datos del conjunto, coordenadas UTM-30 ETRS89.</w:t>
        <w:br/>
        <w:t>[4] PostGIS, ST_DWithin, https://postgis.net/docs/ST_DWithin.html.</w:t>
        <w:br/>
        <w:t>[5] InfluxData, documentación InfluxDB 2, https://docs.influxdata.com/influxdb/v2/.</w:t>
      </w:r>
    </w:p>
    <w:p>
      <w:pPr>
        <w:pStyle w:val="Heading1"/>
        <w:keepNext/>
        <w:keepLines/>
      </w:pPr>
      <w:r>
        <w:rPr>
          <w:rFonts w:ascii="Times New Roman" w:hAnsi="Times New Roman"/>
          <w:color w:val="082B66"/>
          <w:sz w:val="28"/>
        </w:rPr>
        <w:t>A. Anexos</w:t>
      </w:r>
    </w:p>
    <w:p>
      <w:r>
        <w:rPr>
          <w:rFonts w:ascii="Times New Roman" w:hAnsi="Times New Roman"/>
          <w:color w:val="000000"/>
          <w:sz w:val="22"/>
        </w:rPr>
        <w:t>La memoria se acompaña del proyecto madrid-avisa-tpi1: main.tex, README, docker-compose.yml, scripts/load_data.py, sql/schema.sql, sql/nearby.sql, sql/serie_diaria.flux y el CSV reproducible de cinco avisos. El prototipo SQLite/R-tree se ejecuta desde scripts/prototype_sqlite.py. El README contiene los pasos de instalación y carga.</w:t>
      </w:r>
    </w:p>
    <w:p>
      <w:pPr>
        <w:spacing w:before="0" w:after="0" w:line="259" w:lineRule="auto"/>
        <w:widowControl w:val="1"/>
      </w:pPr>
      <w:r>
        <w:rPr>
          <w:rFonts w:ascii="Times New Roman" w:hAnsi="Times New Roman"/>
          <w:color w:val="000000"/>
          <w:sz w:val="22"/>
        </w:rPr>
        <w:t>Anexo A. Consulta PostGIS ejecutada. El emparejamiento ordena los identificadores para evitar pares repetidos y aplica ST_DWithin con un umbral de 50 metros. El archivo sql/nearby.sql devolvió el par de avisos 2 y 4, separados por 21,0 m.</w:t>
      </w:r>
    </w:p>
    <w:sectPr w:rsidR="00FC693F" w:rsidRPr="0006063C" w:rsidSect="00034616">
      <w:headerReference w:type="default" r:id="rId10"/>
      <w:footerReference w:type="default" r:id="rId11"/>
      <w:pgSz w:w="12240" w:h="15840"/>
      <w:pgMar w:top="1417" w:right="1531" w:bottom="1417" w:left="1531" w:header="652" w:footer="652"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 w:lineRule="auto"/>
    </w:pPr>
  </w:p>
  <w:tbl>
    <w:tblPr>
      <w:tblW w:type="auto" w:w="0"/>
      <w:jc w:val="center"/>
      <w:tblLayout w:type="fixed"/>
      <w:tblLook w:firstColumn="1" w:firstRow="1" w:lastColumn="0" w:lastRow="0" w:noHBand="0" w:noVBand="1" w:val="04A0"/>
    </w:tblPr>
    <w:tblGrid>
      <w:gridCol w:w="5386"/>
      <w:gridCol w:w="3458"/>
    </w:tblGrid>
    <w:tr>
      <w:tc>
        <w:tcPr>
          <w:tcW w:type="dxa" w:w="4422"/>
        </w:tcPr>
        <w:p>
          <w:pPr>
            <w:jc w:val="left"/>
          </w:pPr>
          <w:r>
            <w:rPr>
              <w:rFonts w:ascii="Liberation Serif" w:hAnsi="Liberation Serif" w:eastAsia="Liberation Serif" w:cs="Liberation Serif"/>
              <w:color w:val="374151"/>
              <w:sz w:val="14"/>
            </w:rPr>
            <w:t>Universidad Loyola Andalucía</w:t>
          </w:r>
        </w:p>
      </w:tc>
      <w:tc>
        <w:tcPr>
          <w:tcW w:type="dxa" w:w="4422"/>
        </w:tcPr>
        <w:p>
          <w:pPr>
            <w:jc w:val="right"/>
          </w:pPr>
          <w:r>
            <w:rPr>
              <w:rFonts w:ascii="Liberation Serif" w:hAnsi="Liberation Serif" w:eastAsia="Liberation Serif" w:cs="Liberation Serif"/>
              <w:color w:val="374151"/>
              <w:sz w:val="14"/>
            </w:rPr>
            <w:t xml:space="preserve">Página </w:t>
          </w:r>
          <w:r>
            <w:rPr>
              <w:rFonts w:ascii="Liberation Serif" w:hAnsi="Liberation Serif" w:eastAsia="Liberation Serif" w:cs="Liberation Serif"/>
              <w:color w:val="374151"/>
              <w:sz w:val="14"/>
            </w:rPr>
            <w:fldChar w:fldCharType="begin"/>
            <w:instrText xml:space="preserve">PAGE</w:instrText>
            <w:fldChar w:fldCharType="separate"/>
            <w:t>1</w:t>
            <w:fldChar w:fldCharType="end"/>
          </w:r>
          <w:r>
            <w:rPr>
              <w:rFonts w:ascii="Liberation Serif" w:hAnsi="Liberation Serif" w:eastAsia="Liberation Serif" w:cs="Liberation Serif"/>
              <w:color w:val="374151"/>
              <w:sz w:val="14"/>
            </w:rPr>
            <w:t xml:space="preserve"> de </w:t>
          </w:r>
          <w:r>
            <w:rPr>
              <w:rFonts w:ascii="Liberation Serif" w:hAnsi="Liberation Serif" w:eastAsia="Liberation Serif" w:cs="Liberation Serif"/>
              <w:color w:val="374151"/>
              <w:sz w:val="14"/>
            </w:rPr>
            <w:fldChar w:fldCharType="begin"/>
            <w:instrText xml:space="preserve">SECTIONPAGES</w:instrText>
            <w:fldChar w:fldCharType="separate"/>
            <w:t>5</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 w:lineRule="auto"/>
      <w:jc w:val="left"/>
    </w:pPr>
  </w:p>
  <w:tbl>
    <w:tblPr>
      <w:tblW w:type="auto" w:w="0"/>
      <w:jc w:val="center"/>
      <w:tblLayout w:type="fixed"/>
      <w:tblLook w:firstColumn="1" w:firstRow="1" w:lastColumn="0" w:lastRow="0" w:noHBand="0" w:noVBand="1" w:val="04A0"/>
    </w:tblPr>
    <w:tblGrid>
      <w:gridCol w:w="5386"/>
      <w:gridCol w:w="3458"/>
    </w:tblGrid>
    <w:tr>
      <w:tc>
        <w:tcPr>
          <w:tcW w:type="dxa" w:w="4422"/>
          <w:tcBorders>
            <w:bottom w:sz="7" w:val="single" w:color="5CC8DF" w:space="0"/>
          </w:tcBorders>
          <w:tcMar>
            <w:top w:w="0" w:type="dxa"/>
            <w:start w:w="0" w:type="dxa"/>
            <w:bottom w:w="30" w:type="dxa"/>
            <w:end w:w="0" w:type="dxa"/>
          </w:tcMar>
        </w:tcPr>
        <w:p>
          <w:pPr>
            <w:spacing w:before="0" w:after="20" w:line="240" w:lineRule="auto"/>
            <w:jc w:val="left"/>
          </w:pPr>
          <w:r>
            <w:rPr>
              <w:rFonts w:ascii="Liberation Serif" w:hAnsi="Liberation Serif" w:eastAsia="Liberation Serif" w:cs="Liberation Serif"/>
              <w:color w:val="082B66"/>
              <w:sz w:val="15"/>
            </w:rPr>
            <w:t>Ampliación de Bases de Datos</w:t>
          </w:r>
        </w:p>
      </w:tc>
      <w:tc>
        <w:tcPr>
          <w:tcW w:type="dxa" w:w="4422"/>
          <w:tcBorders>
            <w:bottom w:sz="7" w:val="single" w:color="5CC8DF" w:space="0"/>
          </w:tcBorders>
          <w:tcMar>
            <w:top w:w="0" w:type="dxa"/>
            <w:start w:w="0" w:type="dxa"/>
            <w:bottom w:w="30" w:type="dxa"/>
            <w:end w:w="0" w:type="dxa"/>
          </w:tcMar>
        </w:tcPr>
        <w:p>
          <w:pPr>
            <w:spacing w:before="0" w:after="20" w:line="240" w:lineRule="auto"/>
            <w:jc w:val="right"/>
          </w:pPr>
          <w:r>
            <w:rPr>
              <w:rFonts w:ascii="Liberation Serif" w:hAnsi="Liberation Serif" w:eastAsia="Liberation Serif" w:cs="Liberation Serif"/>
              <w:color w:val="374151"/>
              <w:sz w:val="15"/>
            </w:rPr>
            <w:t>Curso 2026/2027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82B66"/>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082B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Liberation Serif" w:hAnsi="Liberation Serif"/>
      <w:color w:val="082B66"/>
      <w:sz w:val="19"/>
    </w:rPr>
  </w:style>
  <w:style w:type="paragraph" w:customStyle="1" w:styleId="TOC2">
    <w:name w:val="TOC 2"/>
    <w:pPr>
      <w:spacing w:after="40"/>
      <w:ind w:left="255"/>
    </w:pPr>
    <w:rPr>
      <w:rFonts w:ascii="Liberation Serif" w:hAnsi="Liberation Serif"/>
      <w:color w:val="082B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1: avisos ciudadanos de Madrid, PostGIS e InfluxDB</dc:title>
  <dc:subject>Proyecto práctico de bases de datos especializadas</dc:subject>
  <dc:creator>Dr. Anier Soria Lorente</dc:creator>
  <cp:keywords>TPI, Ampliación de Bases de Datos, Universidad Loyola Andalucía</cp:keywords>
  <dc:description>generated by python-docx</dc:description>
  <cp:lastModifiedBy/>
  <cp:revision>1</cp:revision>
  <dcterms:created xsi:type="dcterms:W3CDTF">2013-12-23T23:15:00Z</dcterms:created>
  <dcterms:modified xsi:type="dcterms:W3CDTF">2013-12-23T23:15:00Z</dcterms:modified>
  <cp:category/>
</cp:coreProperties>
</file>