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B07D3A"/>
          <w:spacing w:val="50"/>
          <w:sz w:val="17"/>
          <w:szCs w:val="17"/>
        </w:rPr>
        <w:t xml:space="preserve">ACTIVIDAD: FICHEROS DE AGENDA</w:t>
      </w:r>
    </w:p>
    <w:p>
      <w:pPr>
        <w:spacing w:after="60"/>
      </w:pPr>
      <w:r>
        <w:rPr>
          <w:rFonts w:ascii="Georgia" w:cs="Georgia" w:eastAsia="Georgia" w:hAnsi="Georgia"/>
          <w:b/>
          <w:bCs/>
          <w:color w:val="1B3A5C"/>
          <w:sz w:val="30"/>
          <w:szCs w:val="30"/>
        </w:rPr>
        <w:t xml:space="preserve">Agenda secuencial, de acceso directo e indexada</w:t>
      </w:r>
    </w:p>
    <w:p>
      <w:pPr>
        <w:pBdr>
          <w:bottom w:val="single" w:color="B07D3A" w:sz="10" w:space="6"/>
        </w:pBdr>
        <w:spacing w:after="60"/>
      </w:pPr>
    </w:p>
    <w:p>
      <w:pPr>
        <w:spacing w:after="200"/>
      </w:pPr>
      <w:r>
        <w:rPr>
          <w:rFonts w:ascii="Calibri" w:cs="Calibri" w:eastAsia="Calibri" w:hAnsi="Calibri"/>
          <w:color w:val="5A5A5A"/>
          <w:sz w:val="19"/>
          <w:szCs w:val="19"/>
        </w:rPr>
        <w:t xml:space="preserve">Miguel López González  ·  1.º DAM  ·  IES Matemático Puig Adam (Getafe)  ·  Curso 2026/2027</w:t>
      </w:r>
    </w:p>
    <w:p>
      <w:pPr>
        <w:pStyle w:val="Heading1"/>
        <w:pBdr>
          <w:bottom w:val="single" w:color="DCDCDC" w:sz="6" w:space="5"/>
        </w:pBdr>
        <w:spacing w:after="30" w:before="220"/>
      </w:pPr>
      <w:r>
        <w:rPr>
          <w:rFonts w:ascii="Georgia" w:cs="Georgia" w:eastAsia="Georgia" w:hAnsi="Georgia"/>
          <w:b/>
          <w:bCs/>
          <w:color w:val="B07D3A"/>
          <w:sz w:val="23"/>
          <w:szCs w:val="23"/>
        </w:rPr>
        <w:t xml:space="preserve">1.  </w:t>
      </w:r>
      <w:r>
        <w:rPr>
          <w:rFonts w:ascii="Georgia" w:cs="Georgia" w:eastAsia="Georgia" w:hAnsi="Georgia"/>
          <w:b/>
          <w:bCs/>
          <w:color w:val="1B3A5C"/>
          <w:sz w:val="23"/>
          <w:szCs w:val="23"/>
        </w:rPr>
        <w:t xml:space="preserve">Fichero secuencial</w:t>
      </w:r>
    </w:p>
    <w:p>
      <w:pPr>
        <w:spacing w:after="130" w:line="264"/>
        <w:jc w:val="both"/>
      </w:pPr>
      <w:r>
        <w:rPr>
          <w:rFonts w:ascii="Calibri" w:cs="Calibri" w:eastAsia="Calibri" w:hAnsi="Calibri"/>
          <w:b w:val="false"/>
          <w:bCs w:val="false"/>
          <w:i w:val="false"/>
          <w:iCs w:val="false"/>
          <w:color w:val="262626"/>
          <w:sz w:val="21"/>
          <w:szCs w:val="21"/>
        </w:rPr>
        <w:t xml:space="preserve">El fichero agenda_secuencial.txt tiene 8 contactos de seis ciudades distintas (Getafe, Madrid, Barcelona, Sevilla, Valencia y Zaragoza). He usado los caracteres de organización que vienen en los apuntes: la almohadilla # separa los campos de un registro, el dólar $ marca el fin de cada registro y el porcentaje % el fin del fichero.</w:t>
      </w:r>
    </w:p>
    <w:p>
      <w:pPr>
        <w:spacing w:after="130" w:line="264"/>
        <w:jc w:val="both"/>
      </w:pPr>
      <w:r>
        <w:rPr>
          <w:rFonts w:ascii="Calibri" w:cs="Calibri" w:eastAsia="Calibri" w:hAnsi="Calibri"/>
          <w:b w:val="false"/>
          <w:bCs w:val="false"/>
          <w:i w:val="false"/>
          <w:iCs w:val="false"/>
          <w:color w:val="262626"/>
          <w:sz w:val="21"/>
          <w:szCs w:val="21"/>
        </w:rPr>
        <w:t xml:space="preserve">Los registros van escritos uno detrás de otro, en posiciones contiguas y con longitud variable, así que para leer un contacto concreto hay que ir recorriendo todos los anteriores hasta llegar a él. Aquí sí he dejado las tildes y la ñ porque al no haber posiciones fijas no molestan.</w:t>
      </w:r>
    </w:p>
    <w:p>
      <w:pPr>
        <w:pStyle w:val="Heading1"/>
        <w:pBdr>
          <w:bottom w:val="single" w:color="DCDCDC" w:sz="6" w:space="5"/>
        </w:pBdr>
        <w:spacing w:after="30" w:before="220"/>
      </w:pPr>
      <w:r>
        <w:rPr>
          <w:rFonts w:ascii="Georgia" w:cs="Georgia" w:eastAsia="Georgia" w:hAnsi="Georgia"/>
          <w:b/>
          <w:bCs/>
          <w:color w:val="B07D3A"/>
          <w:sz w:val="23"/>
          <w:szCs w:val="23"/>
        </w:rPr>
        <w:t xml:space="preserve">2.  </w:t>
      </w:r>
      <w:r>
        <w:rPr>
          <w:rFonts w:ascii="Georgia" w:cs="Georgia" w:eastAsia="Georgia" w:hAnsi="Georgia"/>
          <w:b/>
          <w:bCs/>
          <w:color w:val="1B3A5C"/>
          <w:sz w:val="23"/>
          <w:szCs w:val="23"/>
        </w:rPr>
        <w:t xml:space="preserve">Fichero de acceso directo y justificación de los tamaños</w:t>
      </w:r>
    </w:p>
    <w:p>
      <w:pPr>
        <w:spacing w:after="130" w:line="264"/>
        <w:jc w:val="both"/>
      </w:pPr>
      <w:r>
        <w:rPr>
          <w:rFonts w:ascii="Calibri" w:cs="Calibri" w:eastAsia="Calibri" w:hAnsi="Calibri"/>
          <w:b w:val="false"/>
          <w:bCs w:val="false"/>
          <w:i w:val="false"/>
          <w:iCs w:val="false"/>
          <w:color w:val="262626"/>
          <w:sz w:val="21"/>
          <w:szCs w:val="21"/>
        </w:rPr>
        <w:t xml:space="preserve">En agenda_acceso_directo.txt todos los registros ocupan lo mismo, rellenando con espacios lo que sobra. Así se puede saltar directo a cualquier contacto sin leer los de antes.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900"/>
      </w:tblGrid>
      <w:tr>
        <w:tc>
          <w:tcPr>
            <w:tcW w:type="dxa" w:w="2000"/>
            <w:tcBorders>
              <w:top w:val="none"/>
              <w:left w:val="none"/>
              <w:bottom w:val="none"/>
              <w:right w:val="none"/>
            </w:tcBorders>
            <w:shd w:fill="F6F4F1" w:color="auto" w:val="clear"/>
            <w:tcMar>
              <w:top w:type="dxa" w:w="65"/>
              <w:left w:type="dxa" w:w="130"/>
              <w:bottom w:type="dxa" w:w="65"/>
              <w:right w:type="dxa" w:w="130"/>
            </w:tcMar>
          </w:tcPr>
          <w:p>
            <w:pPr>
              <w:spacing w:after="0" w:line="252"/>
              <w:jc w:val="left"/>
            </w:pPr>
            <w:r>
              <w:rPr>
                <w:rFonts w:ascii="Calibri" w:cs="Calibri" w:eastAsia="Calibri" w:hAnsi="Calibri"/>
                <w:b/>
                <w:bCs/>
                <w:color w:val="1B3A5C"/>
                <w:sz w:val="19"/>
                <w:szCs w:val="19"/>
              </w:rPr>
              <w:t xml:space="preserve">Campo</w:t>
            </w:r>
          </w:p>
        </w:tc>
        <w:tc>
          <w:tcPr>
            <w:tcW w:type="dxa" w:w="1200"/>
            <w:tcBorders>
              <w:top w:val="none"/>
              <w:left w:val="none"/>
              <w:bottom w:val="none"/>
              <w:right w:val="none"/>
            </w:tcBorders>
            <w:shd w:fill="F6F4F1" w:color="auto" w:val="clear"/>
            <w:tcMar>
              <w:top w:type="dxa" w:w="65"/>
              <w:left w:type="dxa" w:w="130"/>
              <w:bottom w:type="dxa" w:w="65"/>
              <w:right w:type="dxa" w:w="130"/>
            </w:tcMar>
          </w:tcPr>
          <w:p>
            <w:pPr>
              <w:spacing w:after="0" w:line="252"/>
              <w:jc w:val="center"/>
            </w:pPr>
            <w:r>
              <w:rPr>
                <w:rFonts w:ascii="Calibri" w:cs="Calibri" w:eastAsia="Calibri" w:hAnsi="Calibri"/>
                <w:b/>
                <w:bCs/>
                <w:color w:val="1B3A5C"/>
                <w:sz w:val="19"/>
                <w:szCs w:val="19"/>
              </w:rPr>
              <w:t xml:space="preserve">Caract.</w:t>
            </w:r>
          </w:p>
        </w:tc>
        <w:tc>
          <w:tcPr>
            <w:tcW w:type="dxa" w:w="5900"/>
            <w:tcBorders>
              <w:top w:val="none"/>
              <w:left w:val="none"/>
              <w:bottom w:val="none"/>
              <w:right w:val="none"/>
            </w:tcBorders>
            <w:shd w:fill="F6F4F1" w:color="auto" w:val="clear"/>
            <w:tcMar>
              <w:top w:type="dxa" w:w="65"/>
              <w:left w:type="dxa" w:w="130"/>
              <w:bottom w:type="dxa" w:w="65"/>
              <w:right w:type="dxa" w:w="130"/>
            </w:tcMar>
          </w:tcPr>
          <w:p>
            <w:pPr>
              <w:spacing w:after="0" w:line="252"/>
              <w:jc w:val="left"/>
            </w:pPr>
            <w:r>
              <w:rPr>
                <w:rFonts w:ascii="Calibri" w:cs="Calibri" w:eastAsia="Calibri" w:hAnsi="Calibri"/>
                <w:b/>
                <w:bCs/>
                <w:color w:val="1B3A5C"/>
                <w:sz w:val="19"/>
                <w:szCs w:val="19"/>
              </w:rPr>
              <w:t xml:space="preserve">Por qué ese tamaño</w:t>
            </w:r>
          </w:p>
        </w:tc>
      </w:tr>
      <w:tr>
        <w:tc>
          <w:tcPr>
            <w:tcW w:type="dxa" w:w="2000"/>
            <w:tcBorders>
              <w:top w:val="none"/>
              <w:left w:val="none"/>
              <w:bottom w:val="none"/>
              <w:right w:val="none"/>
            </w:tcBorders>
            <w:shd w:fill="FFFFFF" w:color="auto" w:val="clear"/>
            <w:tcMar>
              <w:top w:type="dxa" w:w="65"/>
              <w:left w:type="dxa" w:w="130"/>
              <w:bottom w:type="dxa" w:w="65"/>
              <w:right w:type="dxa" w:w="130"/>
            </w:tcMar>
          </w:tcPr>
          <w:p>
            <w:pPr>
              <w:spacing w:after="0" w:line="252"/>
              <w:jc w:val="left"/>
            </w:pPr>
            <w:r>
              <w:rPr>
                <w:rFonts w:ascii="Calibri" w:cs="Calibri" w:eastAsia="Calibri" w:hAnsi="Calibri"/>
                <w:b w:val="false"/>
                <w:bCs w:val="false"/>
                <w:color w:val="262626"/>
                <w:sz w:val="20"/>
                <w:szCs w:val="20"/>
              </w:rPr>
              <w:t xml:space="preserve">Nombre</w:t>
            </w:r>
          </w:p>
        </w:tc>
        <w:tc>
          <w:tcPr>
            <w:tcW w:type="dxa" w:w="1200"/>
            <w:tcBorders>
              <w:top w:val="none"/>
              <w:left w:val="none"/>
              <w:bottom w:val="none"/>
              <w:right w:val="none"/>
            </w:tcBorders>
            <w:shd w:fill="FFFFFF" w:color="auto" w:val="clear"/>
            <w:tcMar>
              <w:top w:type="dxa" w:w="65"/>
              <w:left w:type="dxa" w:w="130"/>
              <w:bottom w:type="dxa" w:w="65"/>
              <w:right w:type="dxa" w:w="130"/>
            </w:tcMar>
          </w:tcPr>
          <w:p>
            <w:pPr>
              <w:spacing w:after="0" w:line="252"/>
              <w:jc w:val="center"/>
            </w:pPr>
            <w:r>
              <w:rPr>
                <w:rFonts w:ascii="Calibri" w:cs="Calibri" w:eastAsia="Calibri" w:hAnsi="Calibri"/>
                <w:b w:val="false"/>
                <w:bCs w:val="false"/>
                <w:color w:val="262626"/>
                <w:sz w:val="20"/>
                <w:szCs w:val="20"/>
              </w:rPr>
              <w:t xml:space="preserve">15</w:t>
            </w:r>
          </w:p>
        </w:tc>
        <w:tc>
          <w:tcPr>
            <w:tcW w:type="dxa" w:w="5900"/>
            <w:tcBorders>
              <w:top w:val="none"/>
              <w:left w:val="none"/>
              <w:bottom w:val="none"/>
              <w:right w:val="none"/>
            </w:tcBorders>
            <w:shd w:fill="FFFFFF" w:color="auto" w:val="clear"/>
            <w:tcMar>
              <w:top w:type="dxa" w:w="65"/>
              <w:left w:type="dxa" w:w="130"/>
              <w:bottom w:type="dxa" w:w="65"/>
              <w:right w:type="dxa" w:w="130"/>
            </w:tcMar>
          </w:tcPr>
          <w:p>
            <w:pPr>
              <w:spacing w:after="0" w:line="252"/>
              <w:jc w:val="left"/>
            </w:pPr>
            <w:r>
              <w:rPr>
                <w:rFonts w:ascii="Calibri" w:cs="Calibri" w:eastAsia="Calibri" w:hAnsi="Calibri"/>
                <w:b w:val="false"/>
                <w:bCs w:val="false"/>
                <w:color w:val="262626"/>
                <w:sz w:val="20"/>
                <w:szCs w:val="20"/>
              </w:rPr>
              <w:t xml:space="preserve">Con 15 entran de sobra los nombres normales e incluso alguno compuesto corto.</w:t>
            </w:r>
          </w:p>
        </w:tc>
      </w:tr>
      <w:tr>
        <w:tc>
          <w:tcPr>
            <w:tcW w:type="dxa" w:w="2000"/>
            <w:tcBorders>
              <w:top w:val="none"/>
              <w:left w:val="none"/>
              <w:bottom w:val="none"/>
              <w:right w:val="none"/>
            </w:tcBorders>
            <w:shd w:fill="F6F4F1" w:color="auto" w:val="clear"/>
            <w:tcMar>
              <w:top w:type="dxa" w:w="65"/>
              <w:left w:type="dxa" w:w="130"/>
              <w:bottom w:type="dxa" w:w="65"/>
              <w:right w:type="dxa" w:w="130"/>
            </w:tcMar>
          </w:tcPr>
          <w:p>
            <w:pPr>
              <w:spacing w:after="0" w:line="252"/>
              <w:jc w:val="left"/>
            </w:pPr>
            <w:r>
              <w:rPr>
                <w:rFonts w:ascii="Calibri" w:cs="Calibri" w:eastAsia="Calibri" w:hAnsi="Calibri"/>
                <w:b w:val="false"/>
                <w:bCs w:val="false"/>
                <w:color w:val="262626"/>
                <w:sz w:val="20"/>
                <w:szCs w:val="20"/>
              </w:rPr>
              <w:t xml:space="preserve">Apellidos</w:t>
            </w:r>
          </w:p>
        </w:tc>
        <w:tc>
          <w:tcPr>
            <w:tcW w:type="dxa" w:w="1200"/>
            <w:tcBorders>
              <w:top w:val="none"/>
              <w:left w:val="none"/>
              <w:bottom w:val="none"/>
              <w:right w:val="none"/>
            </w:tcBorders>
            <w:shd w:fill="F6F4F1" w:color="auto" w:val="clear"/>
            <w:tcMar>
              <w:top w:type="dxa" w:w="65"/>
              <w:left w:type="dxa" w:w="130"/>
              <w:bottom w:type="dxa" w:w="65"/>
              <w:right w:type="dxa" w:w="130"/>
            </w:tcMar>
          </w:tcPr>
          <w:p>
            <w:pPr>
              <w:spacing w:after="0" w:line="252"/>
              <w:jc w:val="center"/>
            </w:pPr>
            <w:r>
              <w:rPr>
                <w:rFonts w:ascii="Calibri" w:cs="Calibri" w:eastAsia="Calibri" w:hAnsi="Calibri"/>
                <w:b w:val="false"/>
                <w:bCs w:val="false"/>
                <w:color w:val="262626"/>
                <w:sz w:val="20"/>
                <w:szCs w:val="20"/>
              </w:rPr>
              <w:t xml:space="preserve">25</w:t>
            </w:r>
          </w:p>
        </w:tc>
        <w:tc>
          <w:tcPr>
            <w:tcW w:type="dxa" w:w="5900"/>
            <w:tcBorders>
              <w:top w:val="none"/>
              <w:left w:val="none"/>
              <w:bottom w:val="none"/>
              <w:right w:val="none"/>
            </w:tcBorders>
            <w:shd w:fill="F6F4F1" w:color="auto" w:val="clear"/>
            <w:tcMar>
              <w:top w:type="dxa" w:w="65"/>
              <w:left w:type="dxa" w:w="130"/>
              <w:bottom w:type="dxa" w:w="65"/>
              <w:right w:type="dxa" w:w="130"/>
            </w:tcMar>
          </w:tcPr>
          <w:p>
            <w:pPr>
              <w:spacing w:after="0" w:line="252"/>
              <w:jc w:val="left"/>
            </w:pPr>
            <w:r>
              <w:rPr>
                <w:rFonts w:ascii="Calibri" w:cs="Calibri" w:eastAsia="Calibri" w:hAnsi="Calibri"/>
                <w:b w:val="false"/>
                <w:bCs w:val="false"/>
                <w:color w:val="262626"/>
                <w:sz w:val="20"/>
                <w:szCs w:val="20"/>
              </w:rPr>
              <w:t xml:space="preserve">Son dos apellidos con un espacio en medio, y los españoles largos rondan las 11 o 12 letras cada uno.</w:t>
            </w:r>
          </w:p>
        </w:tc>
      </w:tr>
      <w:tr>
        <w:tc>
          <w:tcPr>
            <w:tcW w:type="dxa" w:w="2000"/>
            <w:tcBorders>
              <w:top w:val="none"/>
              <w:left w:val="none"/>
              <w:bottom w:val="none"/>
              <w:right w:val="none"/>
            </w:tcBorders>
            <w:shd w:fill="FFFFFF" w:color="auto" w:val="clear"/>
            <w:tcMar>
              <w:top w:type="dxa" w:w="65"/>
              <w:left w:type="dxa" w:w="130"/>
              <w:bottom w:type="dxa" w:w="65"/>
              <w:right w:type="dxa" w:w="130"/>
            </w:tcMar>
          </w:tcPr>
          <w:p>
            <w:pPr>
              <w:spacing w:after="0" w:line="252"/>
              <w:jc w:val="left"/>
            </w:pPr>
            <w:r>
              <w:rPr>
                <w:rFonts w:ascii="Calibri" w:cs="Calibri" w:eastAsia="Calibri" w:hAnsi="Calibri"/>
                <w:b w:val="false"/>
                <w:bCs w:val="false"/>
                <w:color w:val="262626"/>
                <w:sz w:val="20"/>
                <w:szCs w:val="20"/>
              </w:rPr>
              <w:t xml:space="preserve">Dirección</w:t>
            </w:r>
          </w:p>
        </w:tc>
        <w:tc>
          <w:tcPr>
            <w:tcW w:type="dxa" w:w="1200"/>
            <w:tcBorders>
              <w:top w:val="none"/>
              <w:left w:val="none"/>
              <w:bottom w:val="none"/>
              <w:right w:val="none"/>
            </w:tcBorders>
            <w:shd w:fill="FFFFFF" w:color="auto" w:val="clear"/>
            <w:tcMar>
              <w:top w:type="dxa" w:w="65"/>
              <w:left w:type="dxa" w:w="130"/>
              <w:bottom w:type="dxa" w:w="65"/>
              <w:right w:type="dxa" w:w="130"/>
            </w:tcMar>
          </w:tcPr>
          <w:p>
            <w:pPr>
              <w:spacing w:after="0" w:line="252"/>
              <w:jc w:val="center"/>
            </w:pPr>
            <w:r>
              <w:rPr>
                <w:rFonts w:ascii="Calibri" w:cs="Calibri" w:eastAsia="Calibri" w:hAnsi="Calibri"/>
                <w:b w:val="false"/>
                <w:bCs w:val="false"/>
                <w:color w:val="262626"/>
                <w:sz w:val="20"/>
                <w:szCs w:val="20"/>
              </w:rPr>
              <w:t xml:space="preserve">30</w:t>
            </w:r>
          </w:p>
        </w:tc>
        <w:tc>
          <w:tcPr>
            <w:tcW w:type="dxa" w:w="5900"/>
            <w:tcBorders>
              <w:top w:val="none"/>
              <w:left w:val="none"/>
              <w:bottom w:val="none"/>
              <w:right w:val="none"/>
            </w:tcBorders>
            <w:shd w:fill="FFFFFF" w:color="auto" w:val="clear"/>
            <w:tcMar>
              <w:top w:type="dxa" w:w="65"/>
              <w:left w:type="dxa" w:w="130"/>
              <w:bottom w:type="dxa" w:w="65"/>
              <w:right w:type="dxa" w:w="130"/>
            </w:tcMar>
          </w:tcPr>
          <w:p>
            <w:pPr>
              <w:spacing w:after="0" w:line="252"/>
              <w:jc w:val="left"/>
            </w:pPr>
            <w:r>
              <w:rPr>
                <w:rFonts w:ascii="Calibri" w:cs="Calibri" w:eastAsia="Calibri" w:hAnsi="Calibri"/>
                <w:b w:val="false"/>
                <w:bCs w:val="false"/>
                <w:color w:val="262626"/>
                <w:sz w:val="20"/>
                <w:szCs w:val="20"/>
              </w:rPr>
              <w:t xml:space="preserve">Es el campo más largo porque lleva el tipo de vía, el nombre y el número.</w:t>
            </w:r>
          </w:p>
        </w:tc>
      </w:tr>
      <w:tr>
        <w:tc>
          <w:tcPr>
            <w:tcW w:type="dxa" w:w="2000"/>
            <w:tcBorders>
              <w:top w:val="none"/>
              <w:left w:val="none"/>
              <w:bottom w:val="none"/>
              <w:right w:val="none"/>
            </w:tcBorders>
            <w:shd w:fill="F6F4F1" w:color="auto" w:val="clear"/>
            <w:tcMar>
              <w:top w:type="dxa" w:w="65"/>
              <w:left w:type="dxa" w:w="130"/>
              <w:bottom w:type="dxa" w:w="65"/>
              <w:right w:type="dxa" w:w="130"/>
            </w:tcMar>
          </w:tcPr>
          <w:p>
            <w:pPr>
              <w:spacing w:after="0" w:line="252"/>
              <w:jc w:val="left"/>
            </w:pPr>
            <w:r>
              <w:rPr>
                <w:rFonts w:ascii="Calibri" w:cs="Calibri" w:eastAsia="Calibri" w:hAnsi="Calibri"/>
                <w:b w:val="false"/>
                <w:bCs w:val="false"/>
                <w:color w:val="262626"/>
                <w:sz w:val="20"/>
                <w:szCs w:val="20"/>
              </w:rPr>
              <w:t xml:space="preserve">Ciudad</w:t>
            </w:r>
          </w:p>
        </w:tc>
        <w:tc>
          <w:tcPr>
            <w:tcW w:type="dxa" w:w="1200"/>
            <w:tcBorders>
              <w:top w:val="none"/>
              <w:left w:val="none"/>
              <w:bottom w:val="none"/>
              <w:right w:val="none"/>
            </w:tcBorders>
            <w:shd w:fill="F6F4F1" w:color="auto" w:val="clear"/>
            <w:tcMar>
              <w:top w:type="dxa" w:w="65"/>
              <w:left w:type="dxa" w:w="130"/>
              <w:bottom w:type="dxa" w:w="65"/>
              <w:right w:type="dxa" w:w="130"/>
            </w:tcMar>
          </w:tcPr>
          <w:p>
            <w:pPr>
              <w:spacing w:after="0" w:line="252"/>
              <w:jc w:val="center"/>
            </w:pPr>
            <w:r>
              <w:rPr>
                <w:rFonts w:ascii="Calibri" w:cs="Calibri" w:eastAsia="Calibri" w:hAnsi="Calibri"/>
                <w:b w:val="false"/>
                <w:bCs w:val="false"/>
                <w:color w:val="262626"/>
                <w:sz w:val="20"/>
                <w:szCs w:val="20"/>
              </w:rPr>
              <w:t xml:space="preserve">15</w:t>
            </w:r>
          </w:p>
        </w:tc>
        <w:tc>
          <w:tcPr>
            <w:tcW w:type="dxa" w:w="5900"/>
            <w:tcBorders>
              <w:top w:val="none"/>
              <w:left w:val="none"/>
              <w:bottom w:val="none"/>
              <w:right w:val="none"/>
            </w:tcBorders>
            <w:shd w:fill="F6F4F1" w:color="auto" w:val="clear"/>
            <w:tcMar>
              <w:top w:type="dxa" w:w="65"/>
              <w:left w:type="dxa" w:w="130"/>
              <w:bottom w:type="dxa" w:w="65"/>
              <w:right w:type="dxa" w:w="130"/>
            </w:tcMar>
          </w:tcPr>
          <w:p>
            <w:pPr>
              <w:spacing w:after="0" w:line="252"/>
              <w:jc w:val="left"/>
            </w:pPr>
            <w:r>
              <w:rPr>
                <w:rFonts w:ascii="Calibri" w:cs="Calibri" w:eastAsia="Calibri" w:hAnsi="Calibri"/>
                <w:b w:val="false"/>
                <w:bCs w:val="false"/>
                <w:color w:val="262626"/>
                <w:sz w:val="20"/>
                <w:szCs w:val="20"/>
              </w:rPr>
              <w:t xml:space="preserve">Con 15 caben casi todas las ciudades españolas. Alguna muy larga se quedaría corta, pero para esta agenda vale.</w:t>
            </w:r>
          </w:p>
        </w:tc>
      </w:tr>
      <w:tr>
        <w:tc>
          <w:tcPr>
            <w:tcW w:type="dxa" w:w="2000"/>
            <w:tcBorders>
              <w:top w:val="none"/>
              <w:left w:val="none"/>
              <w:bottom w:val="none"/>
              <w:right w:val="none"/>
            </w:tcBorders>
            <w:shd w:fill="FFFFFF" w:color="auto" w:val="clear"/>
            <w:tcMar>
              <w:top w:type="dxa" w:w="65"/>
              <w:left w:type="dxa" w:w="130"/>
              <w:bottom w:type="dxa" w:w="65"/>
              <w:right w:type="dxa" w:w="130"/>
            </w:tcMar>
          </w:tcPr>
          <w:p>
            <w:pPr>
              <w:spacing w:after="0" w:line="252"/>
              <w:jc w:val="left"/>
            </w:pPr>
            <w:r>
              <w:rPr>
                <w:rFonts w:ascii="Calibri" w:cs="Calibri" w:eastAsia="Calibri" w:hAnsi="Calibri"/>
                <w:b w:val="false"/>
                <w:bCs w:val="false"/>
                <w:color w:val="262626"/>
                <w:sz w:val="20"/>
                <w:szCs w:val="20"/>
              </w:rPr>
              <w:t xml:space="preserve">Teléfono</w:t>
            </w:r>
          </w:p>
        </w:tc>
        <w:tc>
          <w:tcPr>
            <w:tcW w:type="dxa" w:w="1200"/>
            <w:tcBorders>
              <w:top w:val="none"/>
              <w:left w:val="none"/>
              <w:bottom w:val="none"/>
              <w:right w:val="none"/>
            </w:tcBorders>
            <w:shd w:fill="FFFFFF" w:color="auto" w:val="clear"/>
            <w:tcMar>
              <w:top w:type="dxa" w:w="65"/>
              <w:left w:type="dxa" w:w="130"/>
              <w:bottom w:type="dxa" w:w="65"/>
              <w:right w:type="dxa" w:w="130"/>
            </w:tcMar>
          </w:tcPr>
          <w:p>
            <w:pPr>
              <w:spacing w:after="0" w:line="252"/>
              <w:jc w:val="center"/>
            </w:pPr>
            <w:r>
              <w:rPr>
                <w:rFonts w:ascii="Calibri" w:cs="Calibri" w:eastAsia="Calibri" w:hAnsi="Calibri"/>
                <w:b w:val="false"/>
                <w:bCs w:val="false"/>
                <w:color w:val="262626"/>
                <w:sz w:val="20"/>
                <w:szCs w:val="20"/>
              </w:rPr>
              <w:t xml:space="preserve">9</w:t>
            </w:r>
          </w:p>
        </w:tc>
        <w:tc>
          <w:tcPr>
            <w:tcW w:type="dxa" w:w="5900"/>
            <w:tcBorders>
              <w:top w:val="none"/>
              <w:left w:val="none"/>
              <w:bottom w:val="none"/>
              <w:right w:val="none"/>
            </w:tcBorders>
            <w:shd w:fill="FFFFFF" w:color="auto" w:val="clear"/>
            <w:tcMar>
              <w:top w:type="dxa" w:w="65"/>
              <w:left w:type="dxa" w:w="130"/>
              <w:bottom w:type="dxa" w:w="65"/>
              <w:right w:type="dxa" w:w="130"/>
            </w:tcMar>
          </w:tcPr>
          <w:p>
            <w:pPr>
              <w:spacing w:after="0" w:line="252"/>
              <w:jc w:val="left"/>
            </w:pPr>
            <w:r>
              <w:rPr>
                <w:rFonts w:ascii="Calibri" w:cs="Calibri" w:eastAsia="Calibri" w:hAnsi="Calibri"/>
                <w:b w:val="false"/>
                <w:bCs w:val="false"/>
                <w:color w:val="262626"/>
                <w:sz w:val="20"/>
                <w:szCs w:val="20"/>
              </w:rPr>
              <w:t xml:space="preserve">En España los fijos y los móviles tienen exactamente 9 dígitos, así que ni sobra ni falta.</w:t>
            </w:r>
          </w:p>
        </w:tc>
      </w:tr>
    </w:tbl>
    <w:p>
      <w:pPr>
        <w:spacing w:after="110" w:line="264"/>
        <w:jc w:val="both"/>
      </w:pPr>
      <w:r>
        <w:rPr>
          <w:rFonts w:ascii="Calibri" w:cs="Calibri" w:eastAsia="Calibri" w:hAnsi="Calibri"/>
          <w:b w:val="false"/>
          <w:bCs w:val="false"/>
          <w:i w:val="false"/>
          <w:iCs w:val="false"/>
          <w:color w:val="262626"/>
          <w:sz w:val="21"/>
          <w:szCs w:val="21"/>
        </w:rPr>
        <w:t xml:space="preserve">En total cada registro son 94 caracteres más el salto de línea, o sea 95. Para ir al registro número n solo hay que colocarse en la posición (n - 1) × 95. Por ejemplo, el cuarto contacto empieza en el byte 285.</w:t>
      </w:r>
    </w:p>
    <w:p>
      <w:pPr>
        <w:spacing w:after="130" w:line="264"/>
        <w:jc w:val="both"/>
      </w:pPr>
      <w:r>
        <w:rPr>
          <w:rFonts w:ascii="Calibri" w:cs="Calibri" w:eastAsia="Calibri" w:hAnsi="Calibri"/>
          <w:b w:val="false"/>
          <w:bCs w:val="false"/>
          <w:i w:val="false"/>
          <w:iCs w:val="false"/>
          <w:color w:val="262626"/>
          <w:sz w:val="21"/>
          <w:szCs w:val="21"/>
        </w:rPr>
        <w:t xml:space="preserve">En este fichero he quitado las tildes y la ñ a propósito. Guardado en UTF-8 esos caracteres ocupan dos bytes en vez de uno y descuadrarían las posiciones, así que dejándolo todo en ASCII cada carácter es un byte y las cuentas salen siempre.</w:t>
      </w:r>
    </w:p>
    <w:p>
      <w:pPr>
        <w:pStyle w:val="Heading1"/>
        <w:pBdr>
          <w:bottom w:val="single" w:color="DCDCDC" w:sz="6" w:space="5"/>
        </w:pBdr>
        <w:spacing w:after="30" w:before="220"/>
      </w:pPr>
      <w:r>
        <w:rPr>
          <w:rFonts w:ascii="Georgia" w:cs="Georgia" w:eastAsia="Georgia" w:hAnsi="Georgia"/>
          <w:b/>
          <w:bCs/>
          <w:color w:val="B07D3A"/>
          <w:sz w:val="23"/>
          <w:szCs w:val="23"/>
        </w:rPr>
        <w:t xml:space="preserve">3.  </w:t>
      </w:r>
      <w:r>
        <w:rPr>
          <w:rFonts w:ascii="Georgia" w:cs="Georgia" w:eastAsia="Georgia" w:hAnsi="Georgia"/>
          <w:b/>
          <w:bCs/>
          <w:color w:val="1B3A5C"/>
          <w:sz w:val="23"/>
          <w:szCs w:val="23"/>
        </w:rPr>
        <w:t xml:space="preserve">Fichero indexado e índices</w:t>
      </w:r>
    </w:p>
    <w:p>
      <w:pPr>
        <w:spacing w:after="130" w:line="264"/>
        <w:jc w:val="both"/>
      </w:pPr>
      <w:r>
        <w:rPr>
          <w:rFonts w:ascii="Calibri" w:cs="Calibri" w:eastAsia="Calibri" w:hAnsi="Calibri"/>
          <w:b w:val="false"/>
          <w:bCs w:val="false"/>
          <w:i w:val="false"/>
          <w:iCs w:val="false"/>
          <w:color w:val="262626"/>
          <w:sz w:val="21"/>
          <w:szCs w:val="21"/>
        </w:rPr>
        <w:t xml:space="preserve">agenda_indexada.txt es una copia del de acceso directo, y encima tiene dos ficheros de índice. Un índice no guarda los datos, solo la clave y el número de registro donde está ese contacto, así que se busca en el índice (que es pequeño y está ordenado) y luego se salta directo al registro.</w:t>
      </w:r>
    </w:p>
    <w:p>
      <w:pPr>
        <w:pStyle w:val="ListParagraph"/>
        <w:numPr>
          <w:ilvl w:val="0"/>
          <w:numId w:val="2"/>
        </w:numPr>
        <w:spacing w:after="60" w:line="264"/>
        <w:jc w:val="left"/>
      </w:pPr>
      <w:r>
        <w:rPr>
          <w:rFonts w:ascii="Consolas" w:cs="Consolas" w:eastAsia="Consolas" w:hAnsi="Consolas"/>
          <w:b w:val="false"/>
          <w:bCs w:val="false"/>
          <w:color w:val="1B3A5C"/>
          <w:sz w:val="19"/>
          <w:szCs w:val="19"/>
        </w:rPr>
        <w:t xml:space="preserve">agenda_apellidos_nombre.txt</w:t>
      </w:r>
      <w:r>
        <w:rPr>
          <w:rFonts w:ascii="Calibri" w:cs="Calibri" w:eastAsia="Calibri" w:hAnsi="Calibri"/>
          <w:b w:val="false"/>
          <w:bCs w:val="false"/>
          <w:color w:val="262626"/>
          <w:sz w:val="21"/>
          <w:szCs w:val="21"/>
        </w:rPr>
        <w:t xml:space="preserve">: clave de 40 caracteres con apellidos y nombre, y detrás el número de línea. Ordenado por apellidos y, si coinciden, por nombre.</w:t>
      </w:r>
    </w:p>
    <w:p>
      <w:pPr>
        <w:pStyle w:val="ListParagraph"/>
        <w:numPr>
          <w:ilvl w:val="0"/>
          <w:numId w:val="2"/>
        </w:numPr>
        <w:spacing w:after="60" w:line="264"/>
        <w:jc w:val="left"/>
      </w:pPr>
      <w:r>
        <w:rPr>
          <w:rFonts w:ascii="Consolas" w:cs="Consolas" w:eastAsia="Consolas" w:hAnsi="Consolas"/>
          <w:b w:val="false"/>
          <w:bCs w:val="false"/>
          <w:color w:val="1B3A5C"/>
          <w:sz w:val="19"/>
          <w:szCs w:val="19"/>
        </w:rPr>
        <w:t xml:space="preserve">agenda_ciudad.txt</w:t>
      </w:r>
      <w:r>
        <w:rPr>
          <w:rFonts w:ascii="Calibri" w:cs="Calibri" w:eastAsia="Calibri" w:hAnsi="Calibri"/>
          <w:b w:val="false"/>
          <w:bCs w:val="false"/>
          <w:color w:val="262626"/>
          <w:sz w:val="21"/>
          <w:szCs w:val="21"/>
        </w:rPr>
        <w:t xml:space="preserve">: clave de 15 caracteres con la ciudad y detrás el número de línea. Dentro de la misma ciudad van por apellidos.</w:t>
      </w:r>
    </w:p>
    <w:p>
      <w:pPr>
        <w:spacing w:after="130" w:line="264"/>
        <w:jc w:val="both"/>
      </w:pPr>
      <w:r>
        <w:rPr>
          <w:rFonts w:ascii="Calibri" w:cs="Calibri" w:eastAsia="Calibri" w:hAnsi="Calibri"/>
          <w:b w:val="false"/>
          <w:bCs w:val="false"/>
          <w:i w:val="false"/>
          <w:iCs w:val="false"/>
          <w:color w:val="262626"/>
          <w:sz w:val="21"/>
          <w:szCs w:val="21"/>
        </w:rPr>
        <w:t xml:space="preserve">El número va pegado a la clave, sin separador, porque la clave siempre ocupa lo mismo y ya se sabe dónde termina, igual que en el ejemplo de los apuntes.</w:t>
      </w:r>
    </w:p>
    <w:p>
      <w:pPr>
        <w:pStyle w:val="Heading1"/>
        <w:pBdr>
          <w:bottom w:val="single" w:color="DCDCDC" w:sz="6" w:space="5"/>
        </w:pBdr>
        <w:spacing w:after="30" w:before="220"/>
      </w:pPr>
      <w:r>
        <w:rPr>
          <w:rFonts w:ascii="Georgia" w:cs="Georgia" w:eastAsia="Georgia" w:hAnsi="Georgia"/>
          <w:b/>
          <w:bCs/>
          <w:color w:val="B07D3A"/>
          <w:sz w:val="23"/>
          <w:szCs w:val="23"/>
        </w:rPr>
        <w:t xml:space="preserve">4.  </w:t>
      </w:r>
      <w:r>
        <w:rPr>
          <w:rFonts w:ascii="Georgia" w:cs="Georgia" w:eastAsia="Georgia" w:hAnsi="Georgia"/>
          <w:b/>
          <w:bCs/>
          <w:color w:val="1B3A5C"/>
          <w:sz w:val="23"/>
          <w:szCs w:val="23"/>
        </w:rPr>
        <w:t xml:space="preserve">Baja e inserción</w:t>
      </w:r>
    </w:p>
    <w:p>
      <w:pPr>
        <w:spacing w:after="130" w:line="264"/>
        <w:jc w:val="both"/>
      </w:pPr>
      <w:r>
        <w:rPr>
          <w:rFonts w:ascii="Calibri" w:cs="Calibri" w:eastAsia="Calibri" w:hAnsi="Calibri"/>
          <w:b w:val="false"/>
          <w:bCs w:val="false"/>
          <w:i w:val="false"/>
          <w:iCs w:val="false"/>
          <w:color w:val="262626"/>
          <w:sz w:val="21"/>
          <w:szCs w:val="21"/>
        </w:rPr>
        <w:t xml:space="preserve">He dado de baja a Daniel Serrano Vega, que era el registro 5. En un fichero de acceso directo no se puede quitar la línea sin más porque se descolocarían todas las posiciones de detrás, así que lo que se hace es una baja lógica: se marca el registro con un asterisco al principio y se deja el resto en blanco, manteniendo los 95 caracteres.</w:t>
      </w:r>
    </w:p>
    <w:p>
      <w:pPr>
        <w:spacing w:after="130" w:line="264"/>
        <w:jc w:val="both"/>
      </w:pPr>
      <w:r>
        <w:rPr>
          <w:rFonts w:ascii="Calibri" w:cs="Calibri" w:eastAsia="Calibri" w:hAnsi="Calibri"/>
          <w:b w:val="false"/>
          <w:bCs w:val="false"/>
          <w:i w:val="false"/>
          <w:iCs w:val="false"/>
          <w:color w:val="262626"/>
          <w:sz w:val="21"/>
          <w:szCs w:val="21"/>
        </w:rPr>
        <w:t xml:space="preserve">Después he dado de alta a Sara Vidal Campos (Bilbao), que se ha escrito al final como registro 9. Los dos índices los he actualizado a la vez: he quitado a Daniel de los dos y he metido a Sara en su sitio, en la V del índice de apellidos y en la B del de ciudades. El hueco del registro 5 queda libre para reaprovecharlo en una próxima alta.</w:t>
      </w:r>
    </w:p>
    <w:sectPr>
      <w:footerReference w:type="default" r:id="rId7"/>
      <w:pgSz w:w="11906" w:h="16838" w:orient="portrait"/>
      <w:pgMar w:top="1191" w:right="1361" w:bottom="1021" w:left="136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9A9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30"/>
      </w:pPr>
      <w:rPr>
        <w:color w:val="B07D3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 secuencial, de acceso directo e indexada</dc:title>
  <dc:creator>Miguel López González</dc:creator>
  <cp:lastModifiedBy>Un-named</cp:lastModifiedBy>
  <cp:revision>1</cp:revision>
  <dcterms:created xsi:type="dcterms:W3CDTF">2026-09-18T18:33:00.879Z</dcterms:created>
  <dcterms:modified xsi:type="dcterms:W3CDTF">2026-09-18T18:33:00.881Z</dcterms:modified>
</cp:coreProperties>
</file>

<file path=docProps/custom.xml><?xml version="1.0" encoding="utf-8"?>
<Properties xmlns="http://schemas.openxmlformats.org/officeDocument/2006/custom-properties" xmlns:vt="http://schemas.openxmlformats.org/officeDocument/2006/docPropsVTypes"/>
</file>