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S2. Mixed-effects model for taxonomic richness by treatment</w:t>
      </w:r>
    </w:p>
    <w:p>
      <w:pPr>
        <w:pStyle w:val="Normal"/>
      </w:pPr>
      <w:r>
        <w:t xml:space="preserve">LMM results for richness across ASAN, ASEN, MSAN, MSEN, HSAN, and HSEN treatments (site as a 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treatmentASEN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treatmentMSAN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treatmentMSEN</w:t>
            </w:r>
          </w:p>
        </w:tc>
        <w:tc>
          <w:p>
            <w:pPr>
              <w:pStyle w:val="Normal"/>
            </w:pPr>
            <w:r>
              <w:t>1.0759183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1.0417835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3.005815e-01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treatmentHSAN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treatmentHSEN</w:t>
            </w:r>
          </w:p>
        </w:tc>
        <w:tc>
          <w:p>
            <w:pPr>
              <w:pStyle w:val="Normal"/>
            </w:pPr>
            <w:r>
              <w:t>-3.3052762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-3.4958630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7.726031e-04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2025-11-15T19:35:40Z</dcterms:modified>
  <cp:category/>
</cp:coreProperties>
</file>