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E6CA4"/>
          <w:spacing w:val="20"/>
          <w:sz w:val="20"/>
          <w:szCs w:val="20"/>
        </w:rPr>
        <w:t xml:space="preserve">Guía de trabajo — Sesión 2</w:t>
      </w:r>
    </w:p>
    <w:p>
      <w:pPr>
        <w:pBdr>
          <w:bottom w:val="single" w:color="2E6CA4" w:sz="12" w:space="6"/>
        </w:pBdr>
        <w:spacing w:after="60"/>
      </w:pPr>
      <w:r>
        <w:rPr>
          <w:b/>
          <w:bCs/>
          <w:color w:val="1F3A5F"/>
          <w:sz w:val="40"/>
          <w:szCs w:val="40"/>
        </w:rPr>
        <w:t xml:space="preserve">Arquitectura cognitiva de tu feature</w:t>
      </w:r>
    </w:p>
    <w:p>
      <w:pPr>
        <w:spacing w:after="200"/>
      </w:pPr>
      <w:r>
        <w:rPr>
          <w:i/>
          <w:iCs/>
          <w:color w:val="707070"/>
          <w:sz w:val="20"/>
          <w:szCs w:val="20"/>
        </w:rPr>
        <w:t xml:space="preserve">Proyecto Final · AI Data Engineer — BSG Institute</w:t>
      </w:r>
    </w:p>
    <w:p>
      <w:pPr>
        <w:spacing w:after="160" w:line="276"/>
      </w:pPr>
      <w:r>
        <w:rPr>
          <w:sz w:val="22"/>
          <w:szCs w:val="22"/>
        </w:rPr>
        <w:t xml:space="preserve">En la sesión 1 definiste el caso de uso. Aquí lo conviertes en una arquitectura cognitiva: la descripción de cómo tu sistema usa el modelo para razonar y actuar. En cuatro pasos entenderás la feature, decidirás cuánta autonomía necesita (una llamada simple, un flujo, un agente o varios), y describirás las herramientas que usa y las fuentes a las que se conectan. El resultado es el mapa que guiará la construcción.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3DCC8" w:sz="4"/>
              <w:left w:val="single" w:color="E3DCC8" w:sz="4"/>
              <w:bottom w:val="single" w:color="E3DCC8" w:sz="4"/>
              <w:right w:val="single" w:color="E3DCC8" w:sz="4"/>
            </w:tcBorders>
            <w:shd w:fill="F4F1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6B5B33"/>
                <w:sz w:val="22"/>
                <w:szCs w:val="22"/>
              </w:rPr>
              <w:t xml:space="preserve">Cómo usar esta guía</w:t>
            </w:r>
          </w:p>
          <w:p>
            <w:pPr>
              <w:spacing w:after="0" w:line="264"/>
            </w:pPr>
            <w:r>
              <w:rPr>
                <w:color w:val="5A4E30"/>
                <w:sz w:val="21"/>
                <w:szCs w:val="21"/>
              </w:rPr>
              <w:t xml:space="preserve">Los recuadros azules traen un ejemplo resuelto que explica qué se espera en cada campo; léelos como referencia. Los recuadros en blanco son para que tu equipo complete con su propio proyecto. El ejemplo a lo largo de la guía es un asistente de mesa de ayuda interna.</w:t>
            </w:r>
          </w:p>
        </w:tc>
      </w:tr>
    </w:tbl>
    <w:p>
      <w:pPr>
        <w:pStyle w:val="Heading1"/>
        <w:spacing w:after="120" w:before="320"/>
      </w:pPr>
      <w:r>
        <w:t xml:space="preserve">Parte A · Entender la feature</w:t>
      </w:r>
    </w:p>
    <w:p>
      <w:pPr>
        <w:spacing w:after="160" w:line="276"/>
      </w:pPr>
      <w:r>
        <w:rPr>
          <w:sz w:val="22"/>
          <w:szCs w:val="22"/>
        </w:rPr>
        <w:t xml:space="preserve">Como el proyecto del curso tiene un alcance acotado, trabajarás una sola feature: la que es el núcleo del caso de uso o la que habilita a las demás. Descríbela con precisión, porque todo lo que sigue depende de entender bien qué debe hacer. Define qué recibe como entrada, qué entrega como salida y quién la usa.</w:t>
      </w:r>
    </w:p>
    <w:p>
      <w:pPr>
        <w:spacing w:after="60"/>
      </w:pPr>
      <w:r>
        <w:rPr>
          <w:b/>
          <w:bCs/>
          <w:color w:val="2E6CA4"/>
          <w:spacing w:val="20"/>
          <w:sz w:val="16"/>
          <w:szCs w:val="16"/>
        </w:rPr>
        <w:t xml:space="preserve">EJEMPLO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D6EA" w:sz="4"/>
              <w:left w:val="single" w:color="C4D6EA" w:sz="4"/>
              <w:bottom w:val="single" w:color="C4D6EA" w:sz="4"/>
              <w:right w:val="single" w:color="C4D6EA" w:sz="4"/>
            </w:tcBorders>
            <w:shd w:fill="EAF1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line="264"/>
            </w:pPr>
            <w:r>
              <w:rPr>
                <w:color w:val="30435A"/>
                <w:sz w:val="21"/>
                <w:szCs w:val="21"/>
              </w:rPr>
              <w:t xml:space="preserve">Feature: Asistente conversacional de soporte que responde preguntas de los agentes humanos y consulta el estado de tickets. Es el núcleo del producto y habilita después la sugerencia automática de respuesta.</w:t>
            </w:r>
          </w:p>
          <w:p>
            <w:pPr>
              <w:spacing w:after="0" w:line="264"/>
            </w:pPr>
            <w:r>
              <w:rPr>
                <w:color w:val="30435A"/>
                <w:sz w:val="21"/>
                <w:szCs w:val="21"/>
              </w:rPr>
              <w:t xml:space="preserve">Entrada: una pregunta en lenguaje natural del agente de soporte. Salida: una respuesta con las fuentes citadas y, cuando aplica, el estado del ticket. Usuario: el agente de la mesa de ayuda.</w:t>
            </w:r>
          </w:p>
        </w:tc>
      </w:tr>
    </w:tbl>
    <w:p>
      <w:pPr>
        <w:spacing w:after="40" w:before="60"/>
      </w:pPr>
      <w:r>
        <w:rPr>
          <w:b/>
          <w:bCs/>
          <w:color w:val="2E6CA4"/>
          <w:spacing w:val="20"/>
          <w:sz w:val="16"/>
          <w:szCs w:val="16"/>
        </w:rPr>
        <w:t xml:space="preserve">TU RESPUESTA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100" w:hRule="atLeast"/>
        </w:trPr>
        <w:tc>
          <w:tcPr>
            <w:tcW w:type="dxa" w:w="9360"/>
            <w:tcBorders>
              <w:top w:val="single" w:color="9DB7D1" w:sz="4"/>
              <w:left w:val="single" w:color="9DB7D1" w:sz="4"/>
              <w:bottom w:val="single" w:color="9DB7D1" w:sz="4"/>
              <w:right w:val="single" w:color="9DB7D1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/>
            </w:r>
          </w:p>
        </w:tc>
      </w:tr>
    </w:tbl>
    <w:p>
      <w:pPr>
        <w:pStyle w:val="Heading1"/>
        <w:spacing w:after="120" w:before="360"/>
      </w:pPr>
      <w:r>
        <w:t xml:space="preserve">Parte B · Diseñar la arquitectura cognitiva</w:t>
      </w:r>
    </w:p>
    <w:p>
      <w:pPr>
        <w:spacing w:after="160" w:line="276"/>
      </w:pPr>
      <w:r>
        <w:rPr>
          <w:sz w:val="22"/>
          <w:szCs w:val="22"/>
        </w:rPr>
        <w:t xml:space="preserve">La arquitectura cognitiva responde a cómo razona tu sistema. Se define en cuatro pasos encadenados: cuánta autonomía necesita, en qué agentes o roles se divide, qué herramientas puede invocar, y a qué fuentes se conectan esas herramientas. Al final los reúnes en un mapa.</w:t>
      </w:r>
    </w:p>
    <w:p>
      <w:pPr>
        <w:pStyle w:val="Heading2"/>
        <w:spacing w:after="100" w:before="200"/>
      </w:pPr>
      <w:r>
        <w:t xml:space="preserve">B.1 ¿Cuánta autonomía necesita?</w:t>
      </w:r>
    </w:p>
    <w:p>
      <w:pPr>
        <w:spacing w:after="160" w:line="276"/>
      </w:pPr>
      <w:r>
        <w:rPr>
          <w:sz w:val="22"/>
          <w:szCs w:val="22"/>
        </w:rPr>
        <w:t xml:space="preserve">Lo primero es decidir cuánto control le entregas al modelo. Hay cuatro niveles, de menor a mayor autonomía. Elige el más simple que resuelva tu feature: más autonomía da flexibilidad, pero suma costo, latencia y puntos de falla.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3DCC8" w:sz="4"/>
              <w:left w:val="single" w:color="E3DCC8" w:sz="4"/>
              <w:bottom w:val="single" w:color="E3DCC8" w:sz="4"/>
              <w:right w:val="single" w:color="E3DCC8" w:sz="4"/>
            </w:tcBorders>
            <w:shd w:fill="F4F1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6B5B33"/>
                <w:sz w:val="22"/>
                <w:szCs w:val="22"/>
              </w:rPr>
              <w:t xml:space="preserve">Los cuatro niveles de autonomía</w:t>
            </w:r>
          </w:p>
          <w:p>
            <w:pPr>
              <w:spacing w:after="50" w:line="256"/>
            </w:pPr>
            <w:r>
              <w:rPr>
                <w:b/>
                <w:bCs/>
                <w:color w:val="5A4E30"/>
                <w:sz w:val="20"/>
                <w:szCs w:val="20"/>
              </w:rPr>
              <w:t xml:space="preserve">Llamada simple — </w:t>
            </w:r>
            <w:r>
              <w:rPr>
                <w:color w:val="5A4E30"/>
                <w:sz w:val="20"/>
                <w:szCs w:val="20"/>
              </w:rPr>
              <w:t xml:space="preserve">El código controla todo; el modelo hace un solo paso, como clasificar, resumir o extraer.</w:t>
            </w:r>
          </w:p>
          <w:p>
            <w:pPr>
              <w:spacing w:after="50" w:line="256"/>
            </w:pPr>
            <w:r>
              <w:rPr>
                <w:b/>
                <w:bCs/>
                <w:color w:val="5A4E30"/>
                <w:sz w:val="20"/>
                <w:szCs w:val="20"/>
              </w:rPr>
              <w:t xml:space="preserve">Workflow o cadena — </w:t>
            </w:r>
            <w:r>
              <w:rPr>
                <w:color w:val="5A4E30"/>
                <w:sz w:val="20"/>
                <w:szCs w:val="20"/>
              </w:rPr>
              <w:t xml:space="preserve">Pasos fijos en un orden predefinido; el modelo se invoca en cada paso (por ejemplo RAG: recuperar y luego generar).</w:t>
            </w:r>
          </w:p>
          <w:p>
            <w:pPr>
              <w:spacing w:after="50" w:line="256"/>
            </w:pPr>
            <w:r>
              <w:rPr>
                <w:b/>
                <w:bCs/>
                <w:color w:val="5A4E30"/>
                <w:sz w:val="20"/>
                <w:szCs w:val="20"/>
              </w:rPr>
              <w:t xml:space="preserve">Agente único — </w:t>
            </w:r>
            <w:r>
              <w:rPr>
                <w:color w:val="5A4E30"/>
                <w:sz w:val="20"/>
                <w:szCs w:val="20"/>
              </w:rPr>
              <w:t xml:space="preserve">El modelo decide en un ciclo qué herramientas usar y cuándo terminar, según la entrada.</w:t>
            </w:r>
          </w:p>
          <w:p>
            <w:pPr>
              <w:spacing w:after="50" w:line="256"/>
            </w:pPr>
            <w:r>
              <w:rPr>
                <w:b/>
                <w:bCs/>
                <w:color w:val="5A4E30"/>
                <w:sz w:val="20"/>
                <w:szCs w:val="20"/>
              </w:rPr>
              <w:t xml:space="preserve">Multi-agente — </w:t>
            </w:r>
            <w:r>
              <w:rPr>
                <w:color w:val="5A4E30"/>
                <w:sz w:val="20"/>
                <w:szCs w:val="20"/>
              </w:rPr>
              <w:t xml:space="preserve">Varios agentes especializados que se coordinan: un orquestador con trabajadores, o una cadena de roles.</w:t>
            </w:r>
          </w:p>
        </w:tc>
      </w:tr>
    </w:tbl>
    <w:p>
      <w:pPr>
        <w:spacing w:after="60"/>
      </w:pPr>
      <w:r>
        <w:rPr>
          <w:b/>
          <w:bCs/>
          <w:color w:val="2E6CA4"/>
          <w:spacing w:val="20"/>
          <w:sz w:val="16"/>
          <w:szCs w:val="16"/>
        </w:rPr>
        <w:t xml:space="preserve">EJEMPLO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D6EA" w:sz="4"/>
              <w:left w:val="single" w:color="C4D6EA" w:sz="4"/>
              <w:bottom w:val="single" w:color="C4D6EA" w:sz="4"/>
              <w:right w:val="single" w:color="C4D6EA" w:sz="4"/>
            </w:tcBorders>
            <w:shd w:fill="EAF1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4"/>
            </w:pPr>
            <w:r>
              <w:rPr>
                <w:color w:val="30435A"/>
                <w:sz w:val="21"/>
                <w:szCs w:val="21"/>
              </w:rPr>
              <w:t xml:space="preserve">Nivel elegido: agente único. La respuesta depende de la pregunta —a veces hay que buscar en la base de conocimiento, a veces consultar el estado de un ticket, a veces ambas—, así que el modelo debe decidir sobre la marcha qué herramientas invocar. No es multi-agente porque no hay subtareas heterogéneas que justifiquen especializar varios agentes.</w:t>
            </w:r>
          </w:p>
        </w:tc>
      </w:tr>
    </w:tbl>
    <w:p>
      <w:pPr>
        <w:spacing w:after="40" w:before="60"/>
      </w:pPr>
      <w:r>
        <w:rPr>
          <w:b/>
          <w:bCs/>
          <w:color w:val="2E6CA4"/>
          <w:spacing w:val="20"/>
          <w:sz w:val="16"/>
          <w:szCs w:val="16"/>
        </w:rPr>
        <w:t xml:space="preserve">TU RESPUESTA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900" w:hRule="atLeast"/>
        </w:trPr>
        <w:tc>
          <w:tcPr>
            <w:tcW w:type="dxa" w:w="9360"/>
            <w:tcBorders>
              <w:top w:val="single" w:color="9DB7D1" w:sz="4"/>
              <w:left w:val="single" w:color="9DB7D1" w:sz="4"/>
              <w:bottom w:val="single" w:color="9DB7D1" w:sz="4"/>
              <w:right w:val="single" w:color="9DB7D1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/>
            </w:r>
          </w:p>
        </w:tc>
      </w:tr>
    </w:tbl>
    <w:p>
      <w:pPr>
        <w:pStyle w:val="Heading2"/>
        <w:spacing w:after="100" w:before="280"/>
      </w:pPr>
      <w:r>
        <w:t xml:space="preserve">B.2 Agentes y responsabilidades</w:t>
      </w:r>
    </w:p>
    <w:p>
      <w:pPr>
        <w:spacing w:after="160" w:line="276"/>
      </w:pPr>
      <w:r>
        <w:rPr>
          <w:sz w:val="22"/>
          <w:szCs w:val="22"/>
        </w:rPr>
        <w:t xml:space="preserve">Si elegiste un agente o varios, nómbralos y define la responsabilidad de cada uno en una frase. Un solo agente bien definido es una respuesta válida y frecuente; divide en varios solo cuando haya responsabilidades claramente distintas que convenga separar.</w:t>
      </w:r>
    </w:p>
    <w:p>
      <w:pPr>
        <w:spacing w:after="60"/>
      </w:pPr>
      <w:r>
        <w:rPr>
          <w:b/>
          <w:bCs/>
          <w:color w:val="2E6CA4"/>
          <w:spacing w:val="20"/>
          <w:sz w:val="16"/>
          <w:szCs w:val="16"/>
        </w:rPr>
        <w:t xml:space="preserve">EJEMPLO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7C9DD" w:sz="4"/>
              <w:left w:val="single" w:color="B7C9DD" w:sz="4"/>
              <w:bottom w:val="single" w:color="B7C9DD" w:sz="4"/>
              <w:right w:val="single" w:color="B7C9DD" w:sz="4"/>
            </w:tcBorders>
            <w:shd w:fill="2E6CA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Agente / rol</w:t>
            </w:r>
          </w:p>
        </w:tc>
        <w:tc>
          <w:tcPr>
            <w:tcW w:type="dxa" w:w="6360"/>
            <w:tcBorders>
              <w:top w:val="single" w:color="B7C9DD" w:sz="4"/>
              <w:left w:val="single" w:color="B7C9DD" w:sz="4"/>
              <w:bottom w:val="single" w:color="B7C9DD" w:sz="4"/>
              <w:right w:val="single" w:color="B7C9DD" w:sz="4"/>
            </w:tcBorders>
            <w:shd w:fill="2E6CA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dxa" w:w="300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0435A"/>
                <w:sz w:val="20"/>
                <w:szCs w:val="20"/>
              </w:rPr>
              <w:t xml:space="preserve">Asistente de soporte (agente único)</w:t>
            </w:r>
          </w:p>
        </w:tc>
        <w:tc>
          <w:tcPr>
            <w:tcW w:type="dxa" w:w="636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0435A"/>
                <w:sz w:val="20"/>
                <w:szCs w:val="20"/>
              </w:rPr>
              <w:t xml:space="preserve">Interpreta la pregunta, decide qué herramientas invocar y compone la respuesta final con sus fuentes.</w:t>
            </w:r>
          </w:p>
        </w:tc>
      </w:tr>
    </w:tbl>
    <w:p>
      <w:pPr>
        <w:spacing w:after="40" w:before="60"/>
      </w:pPr>
      <w:r>
        <w:rPr>
          <w:b/>
          <w:bCs/>
          <w:color w:val="2E6CA4"/>
          <w:spacing w:val="20"/>
          <w:sz w:val="16"/>
          <w:szCs w:val="16"/>
        </w:rPr>
        <w:t xml:space="preserve">TUS AGENTES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7C9DD" w:sz="4"/>
              <w:left w:val="single" w:color="B7C9DD" w:sz="4"/>
              <w:bottom w:val="single" w:color="B7C9DD" w:sz="4"/>
              <w:right w:val="single" w:color="B7C9DD" w:sz="4"/>
            </w:tcBorders>
            <w:shd w:fill="2E6CA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Agente / rol</w:t>
            </w:r>
          </w:p>
        </w:tc>
        <w:tc>
          <w:tcPr>
            <w:tcW w:type="dxa" w:w="6360"/>
            <w:tcBorders>
              <w:top w:val="single" w:color="B7C9DD" w:sz="4"/>
              <w:left w:val="single" w:color="B7C9DD" w:sz="4"/>
              <w:bottom w:val="single" w:color="B7C9DD" w:sz="4"/>
              <w:right w:val="single" w:color="B7C9DD" w:sz="4"/>
            </w:tcBorders>
            <w:shd w:fill="2E6CA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rPr>
          <w:trHeight w:val="480" w:hRule="atLeast"/>
        </w:trPr>
        <w:tc>
          <w:tcPr>
            <w:tcW w:type="dxa" w:w="3000"/>
            <w:tcBorders>
              <w:top w:val="single" w:color="9DB7D1" w:sz="4"/>
              <w:left w:val="single" w:color="9DB7D1" w:sz="4"/>
              <w:bottom w:val="single" w:color="9DB7D1" w:sz="4"/>
              <w:right w:val="single" w:color="9DB7D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6360"/>
            <w:tcBorders>
              <w:top w:val="single" w:color="9DB7D1" w:sz="4"/>
              <w:left w:val="single" w:color="9DB7D1" w:sz="4"/>
              <w:bottom w:val="single" w:color="9DB7D1" w:sz="4"/>
              <w:right w:val="single" w:color="9DB7D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000"/>
            <w:tcBorders>
              <w:top w:val="single" w:color="9DB7D1" w:sz="4"/>
              <w:left w:val="single" w:color="9DB7D1" w:sz="4"/>
              <w:bottom w:val="single" w:color="9DB7D1" w:sz="4"/>
              <w:right w:val="single" w:color="9DB7D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6360"/>
            <w:tcBorders>
              <w:top w:val="single" w:color="9DB7D1" w:sz="4"/>
              <w:left w:val="single" w:color="9DB7D1" w:sz="4"/>
              <w:bottom w:val="single" w:color="9DB7D1" w:sz="4"/>
              <w:right w:val="single" w:color="9DB7D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000"/>
            <w:tcBorders>
              <w:top w:val="single" w:color="9DB7D1" w:sz="4"/>
              <w:left w:val="single" w:color="9DB7D1" w:sz="4"/>
              <w:bottom w:val="single" w:color="9DB7D1" w:sz="4"/>
              <w:right w:val="single" w:color="9DB7D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6360"/>
            <w:tcBorders>
              <w:top w:val="single" w:color="9DB7D1" w:sz="4"/>
              <w:left w:val="single" w:color="9DB7D1" w:sz="4"/>
              <w:bottom w:val="single" w:color="9DB7D1" w:sz="4"/>
              <w:right w:val="single" w:color="9DB7D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000"/>
            <w:tcBorders>
              <w:top w:val="single" w:color="9DB7D1" w:sz="4"/>
              <w:left w:val="single" w:color="9DB7D1" w:sz="4"/>
              <w:bottom w:val="single" w:color="9DB7D1" w:sz="4"/>
              <w:right w:val="single" w:color="9DB7D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6360"/>
            <w:tcBorders>
              <w:top w:val="single" w:color="9DB7D1" w:sz="4"/>
              <w:left w:val="single" w:color="9DB7D1" w:sz="4"/>
              <w:bottom w:val="single" w:color="9DB7D1" w:sz="4"/>
              <w:right w:val="single" w:color="9DB7D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pStyle w:val="Heading2"/>
        <w:spacing w:after="100" w:before="280"/>
      </w:pPr>
      <w:r>
        <w:t xml:space="preserve">B.3 Herramientas y sus fuentes</w:t>
      </w:r>
    </w:p>
    <w:p>
      <w:pPr>
        <w:spacing w:after="160" w:line="276"/>
      </w:pPr>
      <w:r>
        <w:rPr>
          <w:sz w:val="22"/>
          <w:szCs w:val="22"/>
        </w:rPr>
        <w:t xml:space="preserve">Una herramienta es una acción que un agente puede invocar: buscar, consultar una API, ejecutar una query, calcular o escribir un registro. Para cada herramienta indica qué hace (qué recibe y qué devuelve) y a qué fuente concreta se conecta, porque la fuente define autenticación, latencia y permisos.</w:t>
      </w:r>
    </w:p>
    <w:p>
      <w:pPr>
        <w:spacing w:after="60"/>
      </w:pPr>
      <w:r>
        <w:rPr>
          <w:b/>
          <w:bCs/>
          <w:color w:val="2E6CA4"/>
          <w:spacing w:val="20"/>
          <w:sz w:val="16"/>
          <w:szCs w:val="16"/>
        </w:rPr>
        <w:t xml:space="preserve">EJEMPLO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rPr>
          <w:tblHeader/>
        </w:trPr>
        <w:tc>
          <w:tcPr>
            <w:tcW w:type="dxa" w:w="2400"/>
            <w:tcBorders>
              <w:top w:val="single" w:color="B7C9DD" w:sz="4"/>
              <w:left w:val="single" w:color="B7C9DD" w:sz="4"/>
              <w:bottom w:val="single" w:color="B7C9DD" w:sz="4"/>
              <w:right w:val="single" w:color="B7C9DD" w:sz="4"/>
            </w:tcBorders>
            <w:shd w:fill="2E6CA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3960"/>
            <w:tcBorders>
              <w:top w:val="single" w:color="B7C9DD" w:sz="4"/>
              <w:left w:val="single" w:color="B7C9DD" w:sz="4"/>
              <w:bottom w:val="single" w:color="B7C9DD" w:sz="4"/>
              <w:right w:val="single" w:color="B7C9DD" w:sz="4"/>
            </w:tcBorders>
            <w:shd w:fill="2E6CA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hace (recibe → devuelve)</w:t>
            </w:r>
          </w:p>
        </w:tc>
        <w:tc>
          <w:tcPr>
            <w:tcW w:type="dxa" w:w="3000"/>
            <w:tcBorders>
              <w:top w:val="single" w:color="B7C9DD" w:sz="4"/>
              <w:left w:val="single" w:color="B7C9DD" w:sz="4"/>
              <w:bottom w:val="single" w:color="B7C9DD" w:sz="4"/>
              <w:right w:val="single" w:color="B7C9DD" w:sz="4"/>
            </w:tcBorders>
            <w:shd w:fill="2E6CA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Fuente a la que se conecta</w:t>
            </w:r>
          </w:p>
        </w:tc>
      </w:tr>
      <w:tr>
        <w:tc>
          <w:tcPr>
            <w:tcW w:type="dxa" w:w="240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0435A"/>
                <w:sz w:val="20"/>
                <w:szCs w:val="20"/>
              </w:rPr>
              <w:t xml:space="preserve">buscar_kb</w:t>
            </w:r>
          </w:p>
        </w:tc>
        <w:tc>
          <w:tcPr>
            <w:tcW w:type="dxa" w:w="396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0435A"/>
                <w:sz w:val="20"/>
                <w:szCs w:val="20"/>
              </w:rPr>
              <w:t xml:space="preserve">Recibe la consulta → devuelve los fragmentos más relevantes.</w:t>
            </w:r>
          </w:p>
        </w:tc>
        <w:tc>
          <w:tcPr>
            <w:tcW w:type="dxa" w:w="300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0435A"/>
                <w:sz w:val="20"/>
                <w:szCs w:val="20"/>
              </w:rPr>
              <w:t xml:space="preserve">Vector store (pgvector) sobre la base de conocimiento.</w:t>
            </w:r>
          </w:p>
        </w:tc>
      </w:tr>
      <w:tr>
        <w:tc>
          <w:tcPr>
            <w:tcW w:type="dxa" w:w="240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0435A"/>
                <w:sz w:val="20"/>
                <w:szCs w:val="20"/>
              </w:rPr>
              <w:t xml:space="preserve">consultar_ticket</w:t>
            </w:r>
          </w:p>
        </w:tc>
        <w:tc>
          <w:tcPr>
            <w:tcW w:type="dxa" w:w="396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0435A"/>
                <w:sz w:val="20"/>
                <w:szCs w:val="20"/>
              </w:rPr>
              <w:t xml:space="preserve">Recibe un ID de ticket → devuelve su estado y detalle.</w:t>
            </w:r>
          </w:p>
        </w:tc>
        <w:tc>
          <w:tcPr>
            <w:tcW w:type="dxa" w:w="300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0435A"/>
                <w:sz w:val="20"/>
                <w:szCs w:val="20"/>
              </w:rPr>
              <w:t xml:space="preserve">API REST del sistema de tickets (auth por token).</w:t>
            </w:r>
          </w:p>
        </w:tc>
      </w:tr>
      <w:tr>
        <w:tc>
          <w:tcPr>
            <w:tcW w:type="dxa" w:w="240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0435A"/>
                <w:sz w:val="20"/>
                <w:szCs w:val="20"/>
              </w:rPr>
              <w:t xml:space="preserve">escalar_ticket</w:t>
            </w:r>
          </w:p>
        </w:tc>
        <w:tc>
          <w:tcPr>
            <w:tcW w:type="dxa" w:w="396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0435A"/>
                <w:sz w:val="20"/>
                <w:szCs w:val="20"/>
              </w:rPr>
              <w:t xml:space="preserve">Recibe ID y motivo → registra una nota de escalamiento.</w:t>
            </w:r>
          </w:p>
        </w:tc>
        <w:tc>
          <w:tcPr>
            <w:tcW w:type="dxa" w:w="300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0435A"/>
                <w:sz w:val="20"/>
                <w:szCs w:val="20"/>
              </w:rPr>
              <w:t xml:space="preserve">API REST del sistema de tickets (permiso de escritura).</w:t>
            </w:r>
          </w:p>
        </w:tc>
      </w:tr>
    </w:tbl>
    <w:p>
      <w:pPr>
        <w:spacing w:after="40" w:before="60"/>
      </w:pPr>
      <w:r>
        <w:rPr>
          <w:b/>
          <w:bCs/>
          <w:color w:val="2E6CA4"/>
          <w:spacing w:val="20"/>
          <w:sz w:val="16"/>
          <w:szCs w:val="16"/>
        </w:rPr>
        <w:t xml:space="preserve">TUS HERRAMIENTAS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rPr>
          <w:tblHeader/>
        </w:trPr>
        <w:tc>
          <w:tcPr>
            <w:tcW w:type="dxa" w:w="2400"/>
            <w:tcBorders>
              <w:top w:val="single" w:color="B7C9DD" w:sz="4"/>
              <w:left w:val="single" w:color="B7C9DD" w:sz="4"/>
              <w:bottom w:val="single" w:color="B7C9DD" w:sz="4"/>
              <w:right w:val="single" w:color="B7C9DD" w:sz="4"/>
            </w:tcBorders>
            <w:shd w:fill="2E6CA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3960"/>
            <w:tcBorders>
              <w:top w:val="single" w:color="B7C9DD" w:sz="4"/>
              <w:left w:val="single" w:color="B7C9DD" w:sz="4"/>
              <w:bottom w:val="single" w:color="B7C9DD" w:sz="4"/>
              <w:right w:val="single" w:color="B7C9DD" w:sz="4"/>
            </w:tcBorders>
            <w:shd w:fill="2E6CA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hace (recibe → devuelve)</w:t>
            </w:r>
          </w:p>
        </w:tc>
        <w:tc>
          <w:tcPr>
            <w:tcW w:type="dxa" w:w="3000"/>
            <w:tcBorders>
              <w:top w:val="single" w:color="B7C9DD" w:sz="4"/>
              <w:left w:val="single" w:color="B7C9DD" w:sz="4"/>
              <w:bottom w:val="single" w:color="B7C9DD" w:sz="4"/>
              <w:right w:val="single" w:color="B7C9DD" w:sz="4"/>
            </w:tcBorders>
            <w:shd w:fill="2E6CA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Fuente a la que se conecta</w:t>
            </w:r>
          </w:p>
        </w:tc>
      </w:tr>
      <w:tr>
        <w:trPr>
          <w:trHeight w:val="480" w:hRule="atLeast"/>
        </w:trPr>
        <w:tc>
          <w:tcPr>
            <w:tcW w:type="dxa" w:w="2400"/>
            <w:tcBorders>
              <w:top w:val="single" w:color="9DB7D1" w:sz="4"/>
              <w:left w:val="single" w:color="9DB7D1" w:sz="4"/>
              <w:bottom w:val="single" w:color="9DB7D1" w:sz="4"/>
              <w:right w:val="single" w:color="9DB7D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960"/>
            <w:tcBorders>
              <w:top w:val="single" w:color="9DB7D1" w:sz="4"/>
              <w:left w:val="single" w:color="9DB7D1" w:sz="4"/>
              <w:bottom w:val="single" w:color="9DB7D1" w:sz="4"/>
              <w:right w:val="single" w:color="9DB7D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000"/>
            <w:tcBorders>
              <w:top w:val="single" w:color="9DB7D1" w:sz="4"/>
              <w:left w:val="single" w:color="9DB7D1" w:sz="4"/>
              <w:bottom w:val="single" w:color="9DB7D1" w:sz="4"/>
              <w:right w:val="single" w:color="9DB7D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2400"/>
            <w:tcBorders>
              <w:top w:val="single" w:color="9DB7D1" w:sz="4"/>
              <w:left w:val="single" w:color="9DB7D1" w:sz="4"/>
              <w:bottom w:val="single" w:color="9DB7D1" w:sz="4"/>
              <w:right w:val="single" w:color="9DB7D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960"/>
            <w:tcBorders>
              <w:top w:val="single" w:color="9DB7D1" w:sz="4"/>
              <w:left w:val="single" w:color="9DB7D1" w:sz="4"/>
              <w:bottom w:val="single" w:color="9DB7D1" w:sz="4"/>
              <w:right w:val="single" w:color="9DB7D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000"/>
            <w:tcBorders>
              <w:top w:val="single" w:color="9DB7D1" w:sz="4"/>
              <w:left w:val="single" w:color="9DB7D1" w:sz="4"/>
              <w:bottom w:val="single" w:color="9DB7D1" w:sz="4"/>
              <w:right w:val="single" w:color="9DB7D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2400"/>
            <w:tcBorders>
              <w:top w:val="single" w:color="9DB7D1" w:sz="4"/>
              <w:left w:val="single" w:color="9DB7D1" w:sz="4"/>
              <w:bottom w:val="single" w:color="9DB7D1" w:sz="4"/>
              <w:right w:val="single" w:color="9DB7D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960"/>
            <w:tcBorders>
              <w:top w:val="single" w:color="9DB7D1" w:sz="4"/>
              <w:left w:val="single" w:color="9DB7D1" w:sz="4"/>
              <w:bottom w:val="single" w:color="9DB7D1" w:sz="4"/>
              <w:right w:val="single" w:color="9DB7D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000"/>
            <w:tcBorders>
              <w:top w:val="single" w:color="9DB7D1" w:sz="4"/>
              <w:left w:val="single" w:color="9DB7D1" w:sz="4"/>
              <w:bottom w:val="single" w:color="9DB7D1" w:sz="4"/>
              <w:right w:val="single" w:color="9DB7D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2400"/>
            <w:tcBorders>
              <w:top w:val="single" w:color="9DB7D1" w:sz="4"/>
              <w:left w:val="single" w:color="9DB7D1" w:sz="4"/>
              <w:bottom w:val="single" w:color="9DB7D1" w:sz="4"/>
              <w:right w:val="single" w:color="9DB7D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960"/>
            <w:tcBorders>
              <w:top w:val="single" w:color="9DB7D1" w:sz="4"/>
              <w:left w:val="single" w:color="9DB7D1" w:sz="4"/>
              <w:bottom w:val="single" w:color="9DB7D1" w:sz="4"/>
              <w:right w:val="single" w:color="9DB7D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000"/>
            <w:tcBorders>
              <w:top w:val="single" w:color="9DB7D1" w:sz="4"/>
              <w:left w:val="single" w:color="9DB7D1" w:sz="4"/>
              <w:bottom w:val="single" w:color="9DB7D1" w:sz="4"/>
              <w:right w:val="single" w:color="9DB7D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2400"/>
            <w:tcBorders>
              <w:top w:val="single" w:color="9DB7D1" w:sz="4"/>
              <w:left w:val="single" w:color="9DB7D1" w:sz="4"/>
              <w:bottom w:val="single" w:color="9DB7D1" w:sz="4"/>
              <w:right w:val="single" w:color="9DB7D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960"/>
            <w:tcBorders>
              <w:top w:val="single" w:color="9DB7D1" w:sz="4"/>
              <w:left w:val="single" w:color="9DB7D1" w:sz="4"/>
              <w:bottom w:val="single" w:color="9DB7D1" w:sz="4"/>
              <w:right w:val="single" w:color="9DB7D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000"/>
            <w:tcBorders>
              <w:top w:val="single" w:color="9DB7D1" w:sz="4"/>
              <w:left w:val="single" w:color="9DB7D1" w:sz="4"/>
              <w:bottom w:val="single" w:color="9DB7D1" w:sz="4"/>
              <w:right w:val="single" w:color="9DB7D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pStyle w:val="Heading2"/>
        <w:spacing w:after="100" w:before="280"/>
      </w:pPr>
      <w:r>
        <w:t xml:space="preserve">B.4 Mapa de la arquitectura cognitiva</w:t>
      </w:r>
    </w:p>
    <w:p>
      <w:pPr>
        <w:spacing w:after="160" w:line="276"/>
      </w:pPr>
      <w:r>
        <w:rPr>
          <w:sz w:val="22"/>
          <w:szCs w:val="22"/>
        </w:rPr>
        <w:t xml:space="preserve">Reúne todo en un solo mapa. Asigna a cada agente las herramientas que usa y dibuja el flujo: quién recibe la entrada, cómo decide, en qué orden llama a las herramientas y cómo compone la salida. Este diagrama es el entregable que guiará la construcción en las próximas sesiones.</w:t>
      </w:r>
    </w:p>
    <w:p>
      <w:pPr>
        <w:spacing w:after="60"/>
      </w:pPr>
      <w:r>
        <w:rPr>
          <w:b/>
          <w:bCs/>
          <w:color w:val="2E6CA4"/>
          <w:spacing w:val="20"/>
          <w:sz w:val="16"/>
          <w:szCs w:val="16"/>
        </w:rPr>
        <w:t xml:space="preserve">EJEMPLO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7C9DD" w:sz="4"/>
              <w:left w:val="single" w:color="B7C9DD" w:sz="4"/>
              <w:bottom w:val="single" w:color="B7C9DD" w:sz="4"/>
              <w:right w:val="single" w:color="B7C9DD" w:sz="4"/>
            </w:tcBorders>
            <w:shd w:fill="2E6CA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Agente / rol</w:t>
            </w:r>
          </w:p>
        </w:tc>
        <w:tc>
          <w:tcPr>
            <w:tcW w:type="dxa" w:w="6360"/>
            <w:tcBorders>
              <w:top w:val="single" w:color="B7C9DD" w:sz="4"/>
              <w:left w:val="single" w:color="B7C9DD" w:sz="4"/>
              <w:bottom w:val="single" w:color="B7C9DD" w:sz="4"/>
              <w:right w:val="single" w:color="B7C9DD" w:sz="4"/>
            </w:tcBorders>
            <w:shd w:fill="2E6CA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Herramientas que usa</w:t>
            </w:r>
          </w:p>
        </w:tc>
      </w:tr>
      <w:tr>
        <w:tc>
          <w:tcPr>
            <w:tcW w:type="dxa" w:w="300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0435A"/>
                <w:sz w:val="20"/>
                <w:szCs w:val="20"/>
              </w:rPr>
              <w:t xml:space="preserve">Asistente de soporte</w:t>
            </w:r>
          </w:p>
        </w:tc>
        <w:tc>
          <w:tcPr>
            <w:tcW w:type="dxa" w:w="636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0435A"/>
                <w:sz w:val="20"/>
                <w:szCs w:val="20"/>
              </w:rPr>
              <w:t xml:space="preserve">buscar_kb, consultar_ticket, escalar_ticket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D6EA" w:sz="4"/>
              <w:left w:val="single" w:color="C4D6EA" w:sz="4"/>
              <w:bottom w:val="single" w:color="C4D6EA" w:sz="4"/>
              <w:right w:val="single" w:color="C4D6EA" w:sz="4"/>
            </w:tcBorders>
            <w:shd w:fill="EAF1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4"/>
            </w:pPr>
            <w:r>
              <w:rPr>
                <w:color w:val="30435A"/>
                <w:sz w:val="21"/>
                <w:szCs w:val="21"/>
              </w:rPr>
              <w:t xml:space="preserve">Flujo: el agente de soporte envía la pregunta al Asistente; el Asistente decide qué necesita, invoca buscar_kb o consultar_ticket (o ambas), compone la respuesta con las fuentes citadas y la devuelve; si no puede resolver, usa escalar_ticket para derivar el caso.</w:t>
            </w:r>
          </w:p>
        </w:tc>
      </w:tr>
    </w:tbl>
    <w:p>
      <w:pPr>
        <w:spacing w:after="40" w:before="60"/>
      </w:pPr>
      <w:r>
        <w:rPr>
          <w:b/>
          <w:bCs/>
          <w:color w:val="2E6CA4"/>
          <w:spacing w:val="20"/>
          <w:sz w:val="16"/>
          <w:szCs w:val="16"/>
        </w:rPr>
        <w:t xml:space="preserve">TU MAPA: ASIGNACIÓN DE HERRAMIENTAS POR AGENTE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7C9DD" w:sz="4"/>
              <w:left w:val="single" w:color="B7C9DD" w:sz="4"/>
              <w:bottom w:val="single" w:color="B7C9DD" w:sz="4"/>
              <w:right w:val="single" w:color="B7C9DD" w:sz="4"/>
            </w:tcBorders>
            <w:shd w:fill="2E6CA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Agente / rol</w:t>
            </w:r>
          </w:p>
        </w:tc>
        <w:tc>
          <w:tcPr>
            <w:tcW w:type="dxa" w:w="6360"/>
            <w:tcBorders>
              <w:top w:val="single" w:color="B7C9DD" w:sz="4"/>
              <w:left w:val="single" w:color="B7C9DD" w:sz="4"/>
              <w:bottom w:val="single" w:color="B7C9DD" w:sz="4"/>
              <w:right w:val="single" w:color="B7C9DD" w:sz="4"/>
            </w:tcBorders>
            <w:shd w:fill="2E6CA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Herramientas que usa</w:t>
            </w:r>
          </w:p>
        </w:tc>
      </w:tr>
      <w:tr>
        <w:trPr>
          <w:trHeight w:val="480" w:hRule="atLeast"/>
        </w:trPr>
        <w:tc>
          <w:tcPr>
            <w:tcW w:type="dxa" w:w="3000"/>
            <w:tcBorders>
              <w:top w:val="single" w:color="9DB7D1" w:sz="4"/>
              <w:left w:val="single" w:color="9DB7D1" w:sz="4"/>
              <w:bottom w:val="single" w:color="9DB7D1" w:sz="4"/>
              <w:right w:val="single" w:color="9DB7D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6360"/>
            <w:tcBorders>
              <w:top w:val="single" w:color="9DB7D1" w:sz="4"/>
              <w:left w:val="single" w:color="9DB7D1" w:sz="4"/>
              <w:bottom w:val="single" w:color="9DB7D1" w:sz="4"/>
              <w:right w:val="single" w:color="9DB7D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000"/>
            <w:tcBorders>
              <w:top w:val="single" w:color="9DB7D1" w:sz="4"/>
              <w:left w:val="single" w:color="9DB7D1" w:sz="4"/>
              <w:bottom w:val="single" w:color="9DB7D1" w:sz="4"/>
              <w:right w:val="single" w:color="9DB7D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6360"/>
            <w:tcBorders>
              <w:top w:val="single" w:color="9DB7D1" w:sz="4"/>
              <w:left w:val="single" w:color="9DB7D1" w:sz="4"/>
              <w:bottom w:val="single" w:color="9DB7D1" w:sz="4"/>
              <w:right w:val="single" w:color="9DB7D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000"/>
            <w:tcBorders>
              <w:top w:val="single" w:color="9DB7D1" w:sz="4"/>
              <w:left w:val="single" w:color="9DB7D1" w:sz="4"/>
              <w:bottom w:val="single" w:color="9DB7D1" w:sz="4"/>
              <w:right w:val="single" w:color="9DB7D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6360"/>
            <w:tcBorders>
              <w:top w:val="single" w:color="9DB7D1" w:sz="4"/>
              <w:left w:val="single" w:color="9DB7D1" w:sz="4"/>
              <w:bottom w:val="single" w:color="9DB7D1" w:sz="4"/>
              <w:right w:val="single" w:color="9DB7D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40" w:before="60"/>
      </w:pPr>
      <w:r>
        <w:rPr>
          <w:b/>
          <w:bCs/>
          <w:color w:val="2E6CA4"/>
          <w:spacing w:val="20"/>
          <w:sz w:val="16"/>
          <w:szCs w:val="16"/>
        </w:rPr>
        <w:t xml:space="preserve">TU DIAGRAMA DE FLUJO (DIBÚJALO AQUÍ)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900" w:hRule="atLeast"/>
        </w:trPr>
        <w:tc>
          <w:tcPr>
            <w:tcW w:type="dxa" w:w="9360"/>
            <w:tcBorders>
              <w:top w:val="single" w:color="9DB7D1" w:sz="4"/>
              <w:left w:val="single" w:color="9DB7D1" w:sz="4"/>
              <w:bottom w:val="single" w:color="9DB7D1" w:sz="4"/>
              <w:right w:val="single" w:color="9DB7D1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/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07070"/>
        <w:sz w:val="16"/>
        <w:szCs w:val="16"/>
      </w:rPr>
      <w:t xml:space="preserve">Sesión 2 · Arquitectura cognitiva — AI Data Engineer · BSG Institute    |    Página </w:t>
    </w:r>
    <w:r>
      <w:rPr>
        <w:color w:val="7070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4D6EA" w:sz="8" w:space="6"/>
      </w:pBdr>
      <w:spacing w:after="140" w:before="280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6CA4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2026-08-11T17:14:16.848Z</dcterms:created>
  <dcterms:modified xsi:type="dcterms:W3CDTF">2026-08-11T17:14:16.864Z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