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left"/>
      </w:pPr>
      <w:r>
        <w:rPr>
          <w:rFonts w:ascii="Calibri" w:cs="Calibri" w:eastAsia="Calibri" w:hAnsi="Calibri"/>
          <w:b/>
          <w:bCs/>
          <w:color w:val="1F2933"/>
          <w:sz w:val="56"/>
          <w:szCs w:val="56"/>
        </w:rPr>
        <w:t xml:space="preserve">Guía práctica</w:t>
      </w:r>
    </w:p>
    <w:p>
      <w:pPr>
        <w:spacing w:after="300"/>
      </w:pPr>
      <w:r>
        <w:rPr>
          <w:rFonts w:ascii="Calibri" w:cs="Calibri" w:eastAsia="Calibri" w:hAnsi="Calibri"/>
          <w:b/>
          <w:bCs/>
          <w:color w:val="3B5BDB"/>
          <w:sz w:val="36"/>
          <w:szCs w:val="36"/>
        </w:rPr>
        <w:t xml:space="preserve">Crea y conecta tus propias tools MCP</w:t>
      </w:r>
    </w:p>
    <w:p>
      <w:pPr>
        <w:spacing w:after="180" w:line="300"/>
        <w:jc w:val="both"/>
      </w:pPr>
      <w:r>
        <w:rPr>
          <w:rFonts w:ascii="Calibri" w:cs="Calibri" w:eastAsia="Calibri" w:hAnsi="Calibri"/>
          <w:sz w:val="22"/>
          <w:szCs w:val="22"/>
        </w:rPr>
        <w:t xml:space="preserve">Cómo modificar el notebook “LangChain + FastMCP + SQLite + OpenRouter” para agregar tools propias o conectar servidores MCP que ya existen en la red, sin romper el resto del laboratorio.</w:t>
      </w:r>
    </w:p>
    <w:p>
      <w:pPr>
        <w:spacing w:after="600" w:before="100"/>
      </w:pPr>
      <w:r>
        <w:rPr>
          <w:rFonts w:ascii="Calibri" w:cs="Calibri" w:eastAsia="Calibri" w:hAnsi="Calibri"/>
          <w:i/>
          <w:iCs/>
          <w:color w:val="667085"/>
          <w:sz w:val="20"/>
          <w:szCs w:val="20"/>
        </w:rPr>
        <w:t xml:space="preserve">Material de clase — Complemento práctico MCP Clase 2</w:t>
      </w:r>
    </w:p>
    <w:p>
      <w:pPr>
        <w:pStyle w:val="Heading1"/>
        <w:spacing w:after="200" w:before="400"/>
      </w:pPr>
      <w:r>
        <w:t xml:space="preserve">1. Antes de empezar</w:t>
      </w:r>
    </w:p>
    <w:p>
      <w:pPr>
        <w:spacing w:after="180" w:line="300"/>
        <w:jc w:val="both"/>
      </w:pPr>
      <w:r>
        <w:rPr>
          <w:rFonts w:ascii="Calibri" w:cs="Calibri" w:eastAsia="Calibri" w:hAnsi="Calibri"/>
          <w:sz w:val="22"/>
          <w:szCs w:val="22"/>
        </w:rPr>
        <w:t xml:space="preserve">El notebook base ya te mostró el patrón completo: una pregunta de negocio se resuelve con una tool MCP, esa tool encapsula una consulta SQL concreta y parametrizada, la consulta corre contra SQLite, el resultado vuelve como JSON y el agente de LangChain lo usa para redactar una respuesta. Cada tool que ya existe — buscar_clientes, resumen_consumo_cliente, ordenes_recientes_cliente, consumo_por_categoria, metricas_experiencia_cliente y ranking_ventas_por_pais — sigue exactamente esa misma forma: una función decorada con @mcp.tool(), un docstring que explica qué preguntas resuelve, argumentos tipados que se convierten en el schema que ve el LLM, y su propia consulta SQL de solo lectura.</w:t>
      </w:r>
    </w:p>
    <w:p>
      <w:pPr>
        <w:spacing w:after="180" w:line="300"/>
        <w:jc w:val="both"/>
      </w:pPr>
      <w:r>
        <w:rPr>
          <w:rFonts w:ascii="Calibri" w:cs="Calibri" w:eastAsia="Calibri" w:hAnsi="Calibri"/>
          <w:sz w:val="22"/>
          <w:szCs w:val="22"/>
        </w:rPr>
        <w:t xml:space="preserve">Esta guía no repite esa introducción; se enfoca en cómo tú, como estudiante, puedes intervenir el notebook para ampliar lo que el agente puede hacer. Hay dos caminos, y ambos terminan modificando exactamente las mismas dos celdas del notebook: la que descubre las tools disponibles (Paso 7) y la que crea el agente (Paso 9).</w:t>
      </w:r>
    </w:p>
    <w:p>
      <w:pPr>
        <w:pStyle w:val="Heading1"/>
        <w:spacing w:after="200" w:before="400"/>
      </w:pPr>
      <w:r>
        <w:t xml:space="preserve">2. Dos caminos, un mismo agente</w:t>
      </w:r>
    </w:p>
    <w:p>
      <w:pPr>
        <w:spacing w:after="180" w:line="300"/>
        <w:jc w:val="both"/>
      </w:pPr>
      <w:r>
        <w:rPr>
          <w:rFonts w:ascii="Calibri" w:cs="Calibri" w:eastAsia="Calibri" w:hAnsi="Calibri"/>
          <w:sz w:val="22"/>
          <w:szCs w:val="22"/>
        </w:rPr>
        <w:t xml:space="preserve">El agente que crea create_agent() no distingue de dónde viene cada tool: recibe una lista plana llamada tools y listo. Esa lista puede combinar tools que tú mismo escribiste en tu servidor FastMCP con tools publicadas por servidores MCP completamente distintos, porque MultiServerMCPClient está diseñado justamente para hablar con varios servidores a la vez y devolver todas sus tools en una sola lista unificada.</w:t>
      </w:r>
    </w:p>
    <w:p>
      <w:pPr>
        <w:spacing w:after="180" w:line="300"/>
        <w:jc w:val="both"/>
      </w:pPr>
      <w:r>
        <w:rPr>
          <w:rFonts w:ascii="Calibri" w:cs="Calibri" w:eastAsia="Calibri" w:hAnsi="Calibri"/>
          <w:sz w:val="22"/>
          <w:szCs w:val="22"/>
        </w:rPr>
        <w:t xml:space="preserve">Por eso, ampliar el agente siempre se reduce a dos decisiones: ¿la capacidad que necesitas ya existe en algún servidor MCP publicado en la red, o tienes que escribirla tú mismo porque depende de tu propia base de datos? La sección 3 cubre el segundo caso (crear tu propia tool) y la sección 4 cubre el primero (conectar un servidor externo). Puedes usar ambos caminos al mismo tiempo sin conflicto.</w:t>
      </w:r>
    </w:p>
    <w:p>
      <w:pPr>
        <w:pStyle w:val="Heading1"/>
        <w:spacing w:after="200" w:before="400"/>
      </w:pPr>
      <w:r>
        <w:t xml:space="preserve">3. Camino A — Diseña tu propia tool en el servidor FastMCP</w:t>
      </w:r>
    </w:p>
    <w:p>
      <w:pPr>
        <w:pStyle w:val="Heading2"/>
        <w:spacing w:after="150" w:before="300"/>
      </w:pPr>
      <w:r>
        <w:t xml:space="preserve">3.1 Qué convierte una función en una tool</w:t>
      </w:r>
    </w:p>
    <w:p>
      <w:pPr>
        <w:spacing w:after="180" w:line="300"/>
        <w:jc w:val="both"/>
      </w:pPr>
      <w:r>
        <w:rPr>
          <w:rFonts w:ascii="Calibri" w:cs="Calibri" w:eastAsia="Calibri" w:hAnsi="Calibri"/>
          <w:sz w:val="22"/>
          <w:szCs w:val="22"/>
        </w:rPr>
        <w:t xml:space="preserve">Dentro de ecommerce_mcp_server.py, el decorador @mcp.tool() es lo único que convierte una función Python normal en una capacidad que el agente puede invocar. A partir de ahí, tres elementos hacen que la tool sea útil y segura: el docstring, porque es literalmente el texto que el LLM lee para decidir si esa tool sirve para la pregunta del usuario; los argumentos tipados, porque LangChain los traduce automáticamente en el JSON Schema que el modelo debe respetar al llamarla; y la consulta SQL propia, escrita a mano dentro de la función, que es la única forma en que esa tool toca la base de datos — el LLM nunca ve ni redacta SQL directamente.</w:t>
      </w:r>
    </w:p>
    <w:p>
      <w:pPr>
        <w:pStyle w:val="Heading2"/>
        <w:spacing w:after="150" w:before="300"/>
      </w:pPr>
      <w:r>
        <w:t xml:space="preserve">3.2 Paso a paso para agregar una tool nueva</w:t>
      </w:r>
    </w:p>
    <w:p>
      <w:pPr>
        <w:pStyle w:val="ListParagraph"/>
        <w:numPr>
          <w:ilvl w:val="0"/>
          <w:numId w:val="2"/>
        </w:numPr>
        <w:spacing w:after="140" w:line="280"/>
      </w:pPr>
      <w:r>
        <w:rPr>
          <w:rFonts w:ascii="Calibri" w:cs="Calibri" w:eastAsia="Calibri" w:hAnsi="Calibri"/>
          <w:sz w:val="22"/>
          <w:szCs w:val="22"/>
        </w:rPr>
        <w:t xml:space="preserve">Elige una pregunta de negocio que ninguna tool actual resuelva todavía. El dataset trae columnas que el notebook no explota aún, como Discount_Percent, Coupon_Used, Membership_Status, Warehouse_Region, Traffic_Source, Device_Type, Season o High_Value_Order — son buen punto de partida.</w:t>
      </w:r>
    </w:p>
    <w:p>
      <w:pPr>
        <w:pStyle w:val="ListParagraph"/>
        <w:numPr>
          <w:ilvl w:val="0"/>
          <w:numId w:val="2"/>
        </w:numPr>
        <w:spacing w:after="140" w:line="280"/>
      </w:pPr>
      <w:r>
        <w:rPr>
          <w:rFonts w:ascii="Calibri" w:cs="Calibri" w:eastAsia="Calibri" w:hAnsi="Calibri"/>
          <w:sz w:val="22"/>
          <w:szCs w:val="22"/>
        </w:rPr>
        <w:t xml:space="preserve">Abre la celda del Paso 5 (la que empieza con %%writefile /content/ecommerce_mcp_server.py) y agrega tu función nueva antes de la línea if __name__ == "__main__":, siguiendo el mismo patrón que las tools existentes: decorador, docstring con ejemplos de preguntas, argumentos acotados y su propio bloque SQL comentado.</w:t>
      </w:r>
    </w:p>
    <w:p>
      <w:pPr>
        <w:pStyle w:val="ListParagraph"/>
        <w:numPr>
          <w:ilvl w:val="0"/>
          <w:numId w:val="2"/>
        </w:numPr>
        <w:spacing w:after="140" w:line="280"/>
      </w:pPr>
      <w:r>
        <w:rPr>
          <w:rFonts w:ascii="Calibri" w:cs="Calibri" w:eastAsia="Calibri" w:hAnsi="Calibri"/>
          <w:sz w:val="22"/>
          <w:szCs w:val="22"/>
        </w:rPr>
        <w:t xml:space="preserve">Vuelve a ejecutar esa celda completa. Como usa %%writefile, esto reescribe el archivo .py en disco con tu función incluida — todavía no reinicia el servidor.</w:t>
      </w:r>
    </w:p>
    <w:p>
      <w:pPr>
        <w:pStyle w:val="ListParagraph"/>
        <w:numPr>
          <w:ilvl w:val="0"/>
          <w:numId w:val="2"/>
        </w:numPr>
        <w:spacing w:after="140" w:line="280"/>
      </w:pPr>
      <w:r>
        <w:rPr>
          <w:rFonts w:ascii="Calibri" w:cs="Calibri" w:eastAsia="Calibri" w:hAnsi="Calibri"/>
          <w:sz w:val="22"/>
          <w:szCs w:val="22"/>
        </w:rPr>
        <w:t xml:space="preserve">Vuelve a ejecutar la celda del Paso 6. Esa celda mata cualquier proceso que siga escuchando en el puerto 8000 (fuser -k 8000/tcp) y levanta un servidor nuevo a partir del archivo que acabas de reescribir, así que es el paso que realmente pone en marcha tu tool nueva.</w:t>
      </w:r>
    </w:p>
    <w:p>
      <w:pPr>
        <w:pStyle w:val="ListParagraph"/>
        <w:numPr>
          <w:ilvl w:val="0"/>
          <w:numId w:val="2"/>
        </w:numPr>
        <w:spacing w:after="140" w:line="280"/>
      </w:pPr>
      <w:r>
        <w:rPr>
          <w:rFonts w:ascii="Calibri" w:cs="Calibri" w:eastAsia="Calibri" w:hAnsi="Calibri"/>
          <w:sz w:val="22"/>
          <w:szCs w:val="22"/>
        </w:rPr>
        <w:t xml:space="preserve">Vuelve a ejecutar la celda del Paso 7 (la que crea MultiServerMCPClient y llama a mcp_client.get_tools()). Deberías ver una tool más en el listado impreso, con su descripción y su schema.</w:t>
      </w:r>
    </w:p>
    <w:p>
      <w:pPr>
        <w:pStyle w:val="ListParagraph"/>
        <w:numPr>
          <w:ilvl w:val="0"/>
          <w:numId w:val="2"/>
        </w:numPr>
        <w:spacing w:after="140" w:line="280"/>
      </w:pPr>
      <w:r>
        <w:rPr>
          <w:rFonts w:ascii="Calibri" w:cs="Calibri" w:eastAsia="Calibri" w:hAnsi="Calibri"/>
          <w:sz w:val="22"/>
          <w:szCs w:val="22"/>
        </w:rPr>
        <w:t xml:space="preserve">Pruébala aislada, igual que en el Paso 8, usando tools_por_nombre["tu_tool"].ainvoke({...}) con algunos argumentos de ejemplo. Verifica el resultado antes de dársela al agente — es mucho más fácil depurar una tool sola que depurarla dentro de una conversación completa.</w:t>
      </w:r>
    </w:p>
    <w:p>
      <w:pPr>
        <w:pStyle w:val="ListParagraph"/>
        <w:numPr>
          <w:ilvl w:val="0"/>
          <w:numId w:val="2"/>
        </w:numPr>
        <w:spacing w:after="140" w:line="280"/>
      </w:pPr>
      <w:r>
        <w:rPr>
          <w:rFonts w:ascii="Calibri" w:cs="Calibri" w:eastAsia="Calibri" w:hAnsi="Calibri"/>
          <w:sz w:val="22"/>
          <w:szCs w:val="22"/>
        </w:rPr>
        <w:t xml:space="preserve">Si el resultado es correcto, agrega una regla nueva al SYSTEM_PROMPT del Paso 9 indicando cuándo debe usarse esa tool, y vuelve a ejecutar esa celda para recrear el agente con la lista de tools actualizada.</w:t>
      </w:r>
    </w:p>
    <w:p>
      <w:pPr>
        <w:pStyle w:val="Heading2"/>
        <w:spacing w:after="150" w:before="300"/>
      </w:pPr>
      <w:r>
        <w:t xml:space="preserve">3.3 Ejemplo completo: una tool nueva</w:t>
      </w:r>
    </w:p>
    <w:p>
      <w:pPr>
        <w:spacing w:after="180" w:line="300"/>
        <w:jc w:val="both"/>
      </w:pPr>
      <w:r>
        <w:rPr>
          <w:rFonts w:ascii="Calibri" w:cs="Calibri" w:eastAsia="Calibri" w:hAnsi="Calibri"/>
          <w:sz w:val="22"/>
          <w:szCs w:val="22"/>
        </w:rPr>
        <w:t xml:space="preserve">El siguiente ejemplo agrega clientes_alto_valor, que responde “¿quiénes son mis clientes de mayor valor?” apoyándose en la columna High_Value_Order que el dataset ya trae y que ninguna tool actual utiliza. Cópialo dentro de la celda del Paso 5, justo antes del bloque if __name__:</w:t>
      </w:r>
    </w:p>
    <w:p>
      <w:pPr>
        <w:pBdr>
          <w:top w:val="single" w:color="D0D5DD" w:sz="4" w:space="4"/>
          <w:left w:val="single" w:color="D0D5DD" w:sz="4" w:space="4"/>
          <w:right w:val="single" w:color="D0D5DD" w:sz="4" w:space="4"/>
        </w:pBdr>
        <w:shd w:fill="F2F4F7" w:val="clear"/>
        <w:spacing w:after="0" w:before="100" w:line="240"/>
      </w:pPr>
      <w:r>
        <w:rPr>
          <w:rFonts w:ascii="Consolas" w:cs="Consolas" w:eastAsia="Consolas" w:hAnsi="Consolas"/>
          <w:color w:val="1F2933"/>
          <w:sz w:val="18"/>
          <w:szCs w:val="18"/>
        </w:rPr>
        <w:t xml:space="preserve">@mcp.tool()</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def clientes_alto_valor(limite: int = 10) -&gt; str:</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Lista los clientes con más órdenes marcadas como alto valor.</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Pregunta que resuelve:</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 "¿Quiénes son mis clientes de mayor valor?"</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 "¿A quién debería priorizar en un programa de retención?"</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Args:</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limite: Máximo de clientes a devolver. Entre 1 y 25.</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limite = max(1, min(limite, 25))</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 CONSULTA SQL ASOCIADA A ESTA TOOL:</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sql =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SELECT</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Customer_ID,</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MAX(Membership_Status) AS Membership_Status,</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COUNT(*) AS Total_Orders,</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SUM(CASE WHEN High_Value_Order = 'Yes' THEN 1 ELSE 0 END)</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AS High_Value_Orders,</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ROUND(SUM(Order_Amount), 2) AS Total_Spent</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FROM orders</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GROUP BY Customer_ID</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HAVING High_Value_Orders &gt; 0</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ORDER BY High_Value_Orders DESC, Total_Spent DESC</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LIMIT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filas = ejecutar_sql(sql, (limite,))</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return json.dumps(</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filas or [{"message": "No se encontraron clientes de alto valor"}],</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ensure_ascii=False,</w:t>
      </w:r>
    </w:p>
    <w:p>
      <w:pPr>
        <w:pBdr>
          <w:bottom w:val="single" w:color="D0D5DD" w:sz="4" w:space="4"/>
          <w:left w:val="single" w:color="D0D5DD" w:sz="4" w:space="4"/>
          <w:right w:val="single" w:color="D0D5DD" w:sz="4" w:space="4"/>
        </w:pBdr>
        <w:shd w:fill="F2F4F7" w:val="clear"/>
        <w:spacing w:after="200" w:before="0" w:line="240"/>
      </w:pPr>
      <w:r>
        <w:rPr>
          <w:rFonts w:ascii="Consolas" w:cs="Consolas" w:eastAsia="Consolas" w:hAnsi="Consolas"/>
          <w:color w:val="1F2933"/>
          <w:sz w:val="18"/>
          <w:szCs w:val="18"/>
        </w:rPr>
        <w:t xml:space="preserve">    )</w:t>
      </w:r>
    </w:p>
    <w:p>
      <w:pPr>
        <w:pStyle w:val="Heading2"/>
        <w:spacing w:after="150" w:before="300"/>
      </w:pPr>
      <w:r>
        <w:t xml:space="preserve">3.4 Buenas prácticas al diseñar una tool</w:t>
      </w:r>
    </w:p>
    <w:p>
      <w:pPr>
        <w:spacing w:after="180" w:line="300"/>
        <w:jc w:val="both"/>
      </w:pPr>
      <w:r>
        <w:rPr>
          <w:rFonts w:ascii="Calibri" w:cs="Calibri" w:eastAsia="Calibri" w:hAnsi="Calibri"/>
          <w:sz w:val="22"/>
          <w:szCs w:val="22"/>
        </w:rPr>
        <w:t xml:space="preserve">El nombre debe describir la capacidad de negocio, no la tabla ni la columna que toca — clientes_alto_valor comunica mucho más que consulta_2. El docstring es, en la práctica, el único lugar donde el LLM “lee” qué hace la tool, así que vale la pena incluir dos o tres preguntas de ejemplo redactadas como las haría un usuario real, no como especificación técnica. Cada tool debería resolver una sola responsabilidad: si notas que estás combinando dos preguntas de negocio distintas en una misma función, probablemente conviene dividirla en dos tools. Los parámetros numéricos que controlan cuántas filas se devuelven deben acotarse dentro de la función, tal como hacen limite = max(1, min(limite, 25)) en los ejemplos, para que el modelo no pueda pedir accidentalmente miles de filas. Y, igual que en todas las tools existentes, la consulta debe ser siempre de solo lectura: nunca INSERT, UPDATE, DELETE ni DROP dentro de una tool MCP en este laboratorio.</w:t>
      </w:r>
    </w:p>
    <w:p>
      <w:pPr>
        <w:pStyle w:val="Heading1"/>
        <w:spacing w:after="200" w:before="400"/>
      </w:pPr>
      <w:r>
        <w:t xml:space="preserve">4. Camino B — Conecta servidores MCP que ya existen en la red</w:t>
      </w:r>
    </w:p>
    <w:p>
      <w:pPr>
        <w:pStyle w:val="Heading2"/>
        <w:spacing w:after="150" w:before="300"/>
      </w:pPr>
      <w:r>
        <w:t xml:space="preserve">4.1 Qué son y dónde se encuentran</w:t>
      </w:r>
    </w:p>
    <w:p>
      <w:pPr>
        <w:spacing w:after="180" w:line="300"/>
        <w:jc w:val="both"/>
      </w:pPr>
      <w:r>
        <w:rPr>
          <w:rFonts w:ascii="Calibri" w:cs="Calibri" w:eastAsia="Calibri" w:hAnsi="Calibri"/>
          <w:sz w:val="22"/>
          <w:szCs w:val="22"/>
        </w:rPr>
        <w:t xml:space="preserve">Un servidor MCP es cualquier proceso, propio o de terceros, que hable el protocolo MCP y publique un conjunto de tools. No importa en qué lenguaje esté escrito ni quién lo mantenga: si respeta el protocolo, MultiServerMCPClient puede conectarse a él exactamente igual que se conecta a tu propio ecommerce_mcp_server.py. Existen colecciones y catálogos de servidores MCP mantenidos por la comunidad y por distintos proveedores de software, y ese ecosistema cambia con frecuencia — antes de conectar cualquiera conviene revisar su documentación oficial para confirmar que sigue disponible, qué transporte usa y qué credenciales o permisos requiere.</w:t>
      </w:r>
    </w:p>
    <w:p>
      <w:pPr>
        <w:pStyle w:val="Heading2"/>
        <w:spacing w:after="150" w:before="300"/>
      </w:pPr>
      <w:r>
        <w:t xml:space="preserve">4.2 Cómo se conecta un segundo servidor</w:t>
      </w:r>
    </w:p>
    <w:p>
      <w:pPr>
        <w:spacing w:after="180" w:line="300"/>
        <w:jc w:val="both"/>
      </w:pPr>
      <w:r>
        <w:rPr>
          <w:rFonts w:ascii="Calibri" w:cs="Calibri" w:eastAsia="Calibri" w:hAnsi="Calibri"/>
          <w:sz w:val="22"/>
          <w:szCs w:val="22"/>
        </w:rPr>
        <w:t xml:space="preserve">MultiServerMCPClient recibe un diccionario donde cada clave es un nombre que tú eliges para identificar al servidor, y cada valor describe cómo llegar a él. El notebook ya usa este patrón para conectarse a su propio servidor con transporte http; para sumar un servidor externo basta con agregar una segunda entrada al mismo diccionario, en la celda del Paso 7:</w:t>
      </w:r>
    </w:p>
    <w:p>
      <w:pPr>
        <w:pBdr>
          <w:top w:val="single" w:color="D0D5DD" w:sz="4" w:space="4"/>
          <w:left w:val="single" w:color="D0D5DD" w:sz="4" w:space="4"/>
          <w:right w:val="single" w:color="D0D5DD" w:sz="4" w:space="4"/>
        </w:pBdr>
        <w:shd w:fill="F2F4F7" w:val="clear"/>
        <w:spacing w:after="0" w:before="100" w:line="240"/>
      </w:pPr>
      <w:r>
        <w:rPr>
          <w:rFonts w:ascii="Consolas" w:cs="Consolas" w:eastAsia="Consolas" w:hAnsi="Consolas"/>
          <w:color w:val="1F2933"/>
          <w:sz w:val="18"/>
          <w:szCs w:val="18"/>
        </w:rPr>
        <w:t xml:space="preserve">mcp_client = MultiServerMCPClient(</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"ecommerce":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"transport": "http",</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"url": MCP_URL,</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"servidor_externo":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"transport": "stdio",</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"command": "npx",</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"args": ["-y", "@paquete/nombre-del-servidor"],</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"env":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"ALGUNA_API_KEY": os.environ.get("ALGUNA_API_KEY",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w:t>
      </w:r>
    </w:p>
    <w:p>
      <w:pPr>
        <w:pBdr>
          <w:left w:val="single" w:color="D0D5DD" w:sz="4" w:space="4"/>
          <w:right w:val="single" w:color="D0D5DD" w:sz="4" w:space="4"/>
        </w:pBdr>
        <w:shd w:fill="F2F4F7" w:val="clear"/>
        <w:spacing w:after="0" w:before="0" w:line="240"/>
      </w:pPr>
      <w:r>
        <w:rPr>
          <w:rFonts w:ascii="Consolas" w:cs="Consolas" w:eastAsia="Consolas" w:hAnsi="Consolas"/>
          <w:color w:val="1F2933"/>
          <w:sz w:val="18"/>
          <w:szCs w:val="18"/>
        </w:rPr>
        <w:t xml:space="preserve"> </w:t>
      </w:r>
    </w:p>
    <w:p>
      <w:pPr>
        <w:pBdr>
          <w:bottom w:val="single" w:color="D0D5DD" w:sz="4" w:space="4"/>
          <w:left w:val="single" w:color="D0D5DD" w:sz="4" w:space="4"/>
          <w:right w:val="single" w:color="D0D5DD" w:sz="4" w:space="4"/>
        </w:pBdr>
        <w:shd w:fill="F2F4F7" w:val="clear"/>
        <w:spacing w:after="200" w:before="0" w:line="240"/>
      </w:pPr>
      <w:r>
        <w:rPr>
          <w:rFonts w:ascii="Consolas" w:cs="Consolas" w:eastAsia="Consolas" w:hAnsi="Consolas"/>
          <w:color w:val="1F2933"/>
          <w:sz w:val="18"/>
          <w:szCs w:val="18"/>
        </w:rPr>
        <w:t xml:space="preserve">tools = await mcp_client.get_tools()</w:t>
      </w:r>
    </w:p>
    <w:p>
      <w:pPr>
        <w:spacing w:after="180" w:line="300"/>
        <w:jc w:val="both"/>
      </w:pPr>
      <w:r>
        <w:rPr>
          <w:rFonts w:ascii="Calibri" w:cs="Calibri" w:eastAsia="Calibri" w:hAnsi="Calibri"/>
          <w:sz w:val="22"/>
          <w:szCs w:val="22"/>
        </w:rPr>
        <w:t xml:space="preserve">Los dos transportes que verás con más frecuencia son stdio y http (o streamable_http). Con transport: "stdio" tú le pides a MultiServerMCPClient que lance un subproceso local usando command y args, y se comunica con él por entrada y salida estándar; es el patrón típico de servidores que se distribuyen como paquete instalable (por ejemplo, ejecutables invocados con npx o uvx). Con transport: "http" (el mismo que usa tu propio servidor) te conectas a un servicio que ya está corriendo en una URL, local o remota; si ese servicio requiere autenticación, normalmente se agrega un campo headers junto a url. Cuál de los dos usar no es una elección tuya: lo determina cómo esté distribuido el servidor externo, y su documentación debe indicarlo explícitamente.</w:t>
      </w:r>
    </w:p>
    <w:p>
      <w:pPr>
        <w:pStyle w:val="Heading2"/>
        <w:spacing w:after="150" w:before="300"/>
      </w:pPr>
      <w:r>
        <w:t xml:space="preserve">4.3 Fusionar las tools sin romper el resto del notebook</w:t>
      </w:r>
    </w:p>
    <w:p>
      <w:pPr>
        <w:pStyle w:val="ListParagraph"/>
        <w:numPr>
          <w:ilvl w:val="0"/>
          <w:numId w:val="3"/>
        </w:numPr>
        <w:spacing w:after="140" w:line="280"/>
      </w:pPr>
      <w:r>
        <w:rPr>
          <w:rFonts w:ascii="Calibri" w:cs="Calibri" w:eastAsia="Calibri" w:hAnsi="Calibri"/>
          <w:sz w:val="22"/>
          <w:szCs w:val="22"/>
        </w:rPr>
        <w:t xml:space="preserve">Agrega la nueva entrada al diccionario de mcp_client en la celda del Paso 7, como en el ejemplo anterior, y vuelve a ejecutar esa celda.</w:t>
      </w:r>
    </w:p>
    <w:p>
      <w:pPr>
        <w:pStyle w:val="ListParagraph"/>
        <w:numPr>
          <w:ilvl w:val="0"/>
          <w:numId w:val="3"/>
        </w:numPr>
        <w:spacing w:after="140" w:line="280"/>
      </w:pPr>
      <w:r>
        <w:rPr>
          <w:rFonts w:ascii="Calibri" w:cs="Calibri" w:eastAsia="Calibri" w:hAnsi="Calibri"/>
          <w:sz w:val="22"/>
          <w:szCs w:val="22"/>
        </w:rPr>
        <w:t xml:space="preserve">Revisa el listado impreso: tools ahora combina las tools de tu propio servidor con las del servidor externo, sin que hayas tocado ninguna otra celda todavía.</w:t>
      </w:r>
    </w:p>
    <w:p>
      <w:pPr>
        <w:pStyle w:val="ListParagraph"/>
        <w:numPr>
          <w:ilvl w:val="0"/>
          <w:numId w:val="3"/>
        </w:numPr>
        <w:spacing w:after="140" w:line="280"/>
      </w:pPr>
      <w:r>
        <w:rPr>
          <w:rFonts w:ascii="Calibri" w:cs="Calibri" w:eastAsia="Calibri" w:hAnsi="Calibri"/>
          <w:sz w:val="22"/>
          <w:szCs w:val="22"/>
        </w:rPr>
        <w:t xml:space="preserve">Repite la prueba aislada del Paso 8 usando el nombre exacto de la tool externa — aparece en el mismo print de nombre, descripción y schema que ya trae esa celda.</w:t>
      </w:r>
    </w:p>
    <w:p>
      <w:pPr>
        <w:pStyle w:val="ListParagraph"/>
        <w:numPr>
          <w:ilvl w:val="0"/>
          <w:numId w:val="3"/>
        </w:numPr>
        <w:spacing w:after="140" w:line="280"/>
      </w:pPr>
      <w:r>
        <w:rPr>
          <w:rFonts w:ascii="Calibri" w:cs="Calibri" w:eastAsia="Calibri" w:hAnsi="Calibri"/>
          <w:sz w:val="22"/>
          <w:szCs w:val="22"/>
        </w:rPr>
        <w:t xml:space="preserve">Actualiza el SYSTEM_PROMPT del Paso 9 para indicarle al agente cuándo conviene usar la tool externa, con el mismo criterio que aplicarías a una tool propia, y vuelve a ejecutar esa celda para recrear el agente.</w:t>
      </w:r>
    </w:p>
    <w:p>
      <w:pPr>
        <w:pStyle w:val="Heading2"/>
        <w:spacing w:after="150" w:before="300"/>
      </w:pPr>
      <w:r>
        <w:t xml:space="preserve">4.4 Precauciones antes de conectar algo externo</w:t>
      </w:r>
    </w:p>
    <w:p>
      <w:pPr>
        <w:spacing w:after="180" w:line="300"/>
        <w:jc w:val="both"/>
      </w:pPr>
      <w:r>
        <w:rPr>
          <w:rFonts w:ascii="Calibri" w:cs="Calibri" w:eastAsia="Calibri" w:hAnsi="Calibri"/>
          <w:sz w:val="22"/>
          <w:szCs w:val="22"/>
        </w:rPr>
        <w:t xml:space="preserve">A diferencia de las tools que tú mismo escribes — que solo hacen SELECT sobre tu propia base y cuyo código puedes leer completo — una tool publicada por un servidor externo puede ejecutar cualquier lógica que su autor haya decidido exponer, incluyendo escritura de datos, llamadas a APIs de terceros o acceso a información sensible. Antes de conectar un servidor nuevo conviene leer con cuidado la descripción de cada tool que aparece al ejecutar el Paso 7 (esa descripción la escribió el autor del servidor externo, no tú), evitar escribir credenciales directamente en el notebook y usar variables de entorno o getpass tal como se hizo con OPENROUTER_API_KEY, y probar primero con una pregunta inofensiva en el Paso 8 antes de dejar que el agente use esa tool con libertad dentro de una conversación.</w:t>
      </w:r>
    </w:p>
    <w:p>
      <w:pPr>
        <w:pStyle w:val="Heading1"/>
        <w:spacing w:after="200" w:before="400"/>
      </w:pPr>
      <w:r>
        <w:t xml:space="preserve">5. Errores comunes al experimentar</w:t>
      </w:r>
    </w:p>
    <w:p>
      <w:pPr>
        <w:spacing w:after="180" w:line="300"/>
        <w:jc w:val="both"/>
      </w:pPr>
      <w:r>
        <w:rPr>
          <w:rFonts w:ascii="Calibri" w:cs="Calibri" w:eastAsia="Calibri" w:hAnsi="Calibri"/>
          <w:b/>
          <w:bCs/>
          <w:sz w:val="22"/>
          <w:szCs w:val="22"/>
        </w:rPr>
        <w:t xml:space="preserve">El servidor no arranca de nuevo. </w:t>
      </w:r>
      <w:r>
        <w:rPr>
          <w:rFonts w:ascii="Calibri" w:cs="Calibri" w:eastAsia="Calibri" w:hAnsi="Calibri"/>
          <w:sz w:val="22"/>
          <w:szCs w:val="22"/>
        </w:rPr>
        <w:t xml:space="preserve">Casi siempre el puerto 8000 sigue ocupado por el proceso anterior. La celda del Paso 6 ya incluye fuser -k 8000/tcp 2&gt;/dev/null || true antes de levantar el servidor, así que normalmente basta con volver a ejecutarla.</w:t>
      </w:r>
    </w:p>
    <w:p>
      <w:pPr>
        <w:spacing w:after="180" w:line="300"/>
        <w:jc w:val="both"/>
      </w:pPr>
      <w:r>
        <w:rPr>
          <w:rFonts w:ascii="Calibri" w:cs="Calibri" w:eastAsia="Calibri" w:hAnsi="Calibri"/>
          <w:b/>
          <w:bCs/>
          <w:sz w:val="22"/>
          <w:szCs w:val="22"/>
        </w:rPr>
        <w:t xml:space="preserve">Mi tool nueva no aparece en la lista. </w:t>
      </w:r>
      <w:r>
        <w:rPr>
          <w:rFonts w:ascii="Calibri" w:cs="Calibri" w:eastAsia="Calibri" w:hAnsi="Calibri"/>
          <w:sz w:val="22"/>
          <w:szCs w:val="22"/>
        </w:rPr>
        <w:t xml:space="preserve">Editar el archivo .py con %%writefile no reinicia el proceso que ya está corriendo. Hay que volver a ejecutar el Paso 6 (reinicia el servidor) y después el Paso 7 (vuelve a llamar a get_tools()) en ese orden.</w:t>
      </w:r>
    </w:p>
    <w:p>
      <w:pPr>
        <w:spacing w:after="180" w:line="300"/>
        <w:jc w:val="both"/>
      </w:pPr>
      <w:r>
        <w:rPr>
          <w:rFonts w:ascii="Calibri" w:cs="Calibri" w:eastAsia="Calibri" w:hAnsi="Calibri"/>
          <w:b/>
          <w:bCs/>
          <w:sz w:val="22"/>
          <w:szCs w:val="22"/>
        </w:rPr>
        <w:t xml:space="preserve">El agente nunca elige mi tool. </w:t>
      </w:r>
      <w:r>
        <w:rPr>
          <w:rFonts w:ascii="Calibri" w:cs="Calibri" w:eastAsia="Calibri" w:hAnsi="Calibri"/>
          <w:sz w:val="22"/>
          <w:szCs w:val="22"/>
        </w:rPr>
        <w:t xml:space="preserve">Casi siempre falta mencionarla explícitamente en el SYSTEM_PROMPT del Paso 9, o su docstring no deja claro para qué preguntas sirve. El modelo elige tools comparando la pregunta del usuario contra la descripción, así que una descripción vaga produce elecciones inconsistentes.</w:t>
      </w:r>
    </w:p>
    <w:p>
      <w:pPr>
        <w:spacing w:after="180" w:line="300"/>
        <w:jc w:val="both"/>
      </w:pPr>
      <w:r>
        <w:rPr>
          <w:rFonts w:ascii="Calibri" w:cs="Calibri" w:eastAsia="Calibri" w:hAnsi="Calibri"/>
          <w:b/>
          <w:bCs/>
          <w:sz w:val="22"/>
          <w:szCs w:val="22"/>
        </w:rPr>
        <w:t xml:space="preserve">El resultado no es JSON válido o el agente se confunde con la respuesta. </w:t>
      </w:r>
      <w:r>
        <w:rPr>
          <w:rFonts w:ascii="Calibri" w:cs="Calibri" w:eastAsia="Calibri" w:hAnsi="Calibri"/>
          <w:sz w:val="22"/>
          <w:szCs w:val="22"/>
        </w:rPr>
        <w:t xml:space="preserve">Revisa que la función siempre termine en json.dumps(..., ensure_ascii=False) y que las filas devueltas por ejecutar_sql (que ya vienen convertidas a dict) no se estén envolviendo dos veces.</w:t>
      </w:r>
    </w:p>
    <w:p>
      <w:pPr>
        <w:spacing w:after="180" w:line="300"/>
        <w:jc w:val="both"/>
      </w:pPr>
      <w:r>
        <w:rPr>
          <w:rFonts w:ascii="Calibri" w:cs="Calibri" w:eastAsia="Calibri" w:hAnsi="Calibri"/>
          <w:b/>
          <w:bCs/>
          <w:sz w:val="22"/>
          <w:szCs w:val="22"/>
        </w:rPr>
        <w:t xml:space="preserve">Conecté un servidor externo y no aparece ninguna tool suya. </w:t>
      </w:r>
      <w:r>
        <w:rPr>
          <w:rFonts w:ascii="Calibri" w:cs="Calibri" w:eastAsia="Calibri" w:hAnsi="Calibri"/>
          <w:sz w:val="22"/>
          <w:szCs w:val="22"/>
        </w:rPr>
        <w:t xml:space="preserve">Revisa que el transporte (stdio o http) y los datos de conexión (command/args, o url) coincidan exactamente con lo que pide la documentación de ese servidor — un solo dato mal escrito impide que MultiServerMCPClient establezca la conexión.</w:t>
      </w:r>
    </w:p>
    <w:p>
      <w:pPr>
        <w:pStyle w:val="Heading1"/>
        <w:spacing w:after="200" w:before="400"/>
      </w:pPr>
      <w:r>
        <w:t xml:space="preserve">6. Reto para practicar</w:t>
      </w:r>
    </w:p>
    <w:p>
      <w:pPr>
        <w:spacing w:after="180" w:line="300"/>
        <w:jc w:val="both"/>
      </w:pPr>
      <w:r>
        <w:rPr>
          <w:rFonts w:ascii="Calibri" w:cs="Calibri" w:eastAsia="Calibri" w:hAnsi="Calibri"/>
          <w:sz w:val="22"/>
          <w:szCs w:val="22"/>
        </w:rPr>
        <w:t xml:space="preserve">Diseña e implementa entre dos y tres tools nuevas para ecommerce_mcp_server.py, apoyándote en columnas del dataset que ninguna tool actual utiliza todavía: Discount_Percent, Coupon_Used, Warehouse_Region, Traffic_Source, Device_Type o Season son buenos candidatos. Sigue el mismo ciclo descrito en la sección 3.2 para cada una: escribirla, reiniciar el servidor, redescubrir tools, probarla aislada y, recién al final, sumarla al SYSTEM_PROMPT del agente.</w:t>
      </w:r>
    </w:p>
    <w:p>
      <w:pPr>
        <w:spacing w:after="180" w:line="300"/>
        <w:jc w:val="both"/>
      </w:pPr>
      <w:r>
        <w:rPr>
          <w:rFonts w:ascii="Calibri" w:cs="Calibri" w:eastAsia="Calibri" w:hAnsi="Calibri"/>
          <w:sz w:val="22"/>
          <w:szCs w:val="22"/>
        </w:rPr>
        <w:t xml:space="preserve">Como parte opcional del reto, si encuentras un servidor MCP relacionado con algún interés propio (clima, finanzas, búsqueda web, control de versiones, entre otros), intenta conectarlo siguiendo la sección 4, revisando primero su documentación para confirmar transporte y credenciales. Al terminar, documenta en una celda markdown nueva del propio notebook qué tools agregaste, qué pregunta de negocio resuelve cada una y qué aprendiste del proceso de depuración.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decimal"/>
      <w:lvlText w:val="%1."/>
      <w:lvlJc w:val="start"/>
      <w:pPr>
        <w:ind w:left="450" w:hanging="300"/>
      </w:pPr>
    </w:lvl>
  </w:abstractNum>
  <w:abstractNum w:abstractNumId="4" w15:restartNumberingAfterBreak="0">
    <w:multiLevelType w:val="hybridMultilevel"/>
    <w:lvl w:ilvl="0" w15:tentative="1">
      <w:start w:val="1"/>
      <w:numFmt w:val="decimal"/>
      <w:lvlText w:val="%1."/>
      <w:lvlJc w:val="start"/>
      <w:pPr>
        <w:ind w:left="450" w:hanging="300"/>
      </w:pPr>
    </w:lvl>
  </w:abstractNum>
  <w:abstractNum w:abstractNumId="5" w15:restartNumberingAfterBreak="0">
    <w:multiLevelType w:val="hybridMultilevel"/>
    <w:lvl w:ilvl="0" w15:tentative="1">
      <w:start w:val="1"/>
      <w:numFmt w:val="decimal"/>
      <w:lvlText w:val="%1."/>
      <w:lvlJc w:val="start"/>
      <w:pPr>
        <w:ind w:left="450" w:hanging="300"/>
      </w:pPr>
    </w:lvl>
  </w:abstractNum>
  <w:abstractNum w:abstractNumId="6"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2026-08-11T17:07:01.973Z</dcterms:created>
  <dcterms:modified xsi:type="dcterms:W3CDTF">2026-08-11T17:07:01.973Z</dcterms:modified>
</cp:coreProperties>
</file>

<file path=docProps/custom.xml><?xml version="1.0" encoding="utf-8"?>
<Properties xmlns="http://schemas.openxmlformats.org/officeDocument/2006/custom-properties" xmlns:vt="http://schemas.openxmlformats.org/officeDocument/2006/docPropsVTypes"/>
</file>