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Arial" w:cs="Arial" w:eastAsia="Arial" w:hAnsi="Arial"/>
        </w:rPr>
        <w:t xml:space="preserve"/>
      </w:r>
    </w:p>
    <w:p>
      <w:pPr>
        <w:spacing w:after="120" w:before="240"/>
        <w:jc w:val="center"/>
      </w:pPr>
      <w:r>
        <w:rPr>
          <w:rFonts w:ascii="Arial" w:cs="Arial" w:eastAsia="Arial" w:hAnsi="Arial"/>
          <w:b/>
          <w:bCs/>
          <w:sz w:val="40"/>
          <w:szCs w:val="40"/>
        </w:rPr>
        <w:t xml:space="preserve">Diseño de Caso de Uso AI/LLM</w:t>
      </w:r>
    </w:p>
    <w:p>
      <w:pPr>
        <w:spacing w:after="80"/>
        <w:jc w:val="center"/>
      </w:pPr>
      <w:r>
        <w:rPr>
          <w:rFonts w:ascii="Arial" w:cs="Arial" w:eastAsia="Arial" w:hAnsi="Arial"/>
          <w:sz w:val="26"/>
          <w:szCs w:val="26"/>
        </w:rPr>
        <w:t xml:space="preserve">Guía Zero to Hero — Sesión 1</w:t>
      </w:r>
    </w:p>
    <w:p>
      <w:pPr>
        <w:spacing w:after="300"/>
      </w:pPr>
      <w:r>
        <w:rPr>
          <w:rFonts w:ascii="Arial" w:cs="Arial" w:eastAsia="Arial" w:hAnsi="Arial"/>
        </w:rPr>
        <w:t xml:space="preserve"/>
      </w:r>
    </w:p>
    <w:p>
      <w:pPr>
        <w:spacing w:after="80"/>
        <w:jc w:val="center"/>
      </w:pPr>
      <w:r>
        <w:rPr>
          <w:rFonts w:ascii="Arial" w:cs="Arial" w:eastAsia="Arial" w:hAnsi="Arial"/>
          <w:i/>
          <w:iCs/>
          <w:color w:val="555555"/>
          <w:sz w:val="20"/>
          <w:szCs w:val="20"/>
        </w:rPr>
        <w:t xml:space="preserve">Curso Proyecto Final AI Data Engineer</w:t>
      </w:r>
    </w:p>
    <w:p>
      <w:pPr>
        <w:spacing w:after="80"/>
        <w:jc w:val="center"/>
      </w:pPr>
      <w:r>
        <w:rPr>
          <w:rFonts w:ascii="Arial" w:cs="Arial" w:eastAsia="Arial" w:hAnsi="Arial"/>
          <w:i/>
          <w:iCs/>
          <w:color w:val="555555"/>
          <w:sz w:val="20"/>
          <w:szCs w:val="20"/>
        </w:rPr>
        <w:t xml:space="preserve">BSG Institute · Certi AI Data Engineer Online 2025 I Lima</w:t>
      </w:r>
    </w:p>
    <w:p>
      <w:pPr>
        <w:spacing w:after="400"/>
      </w:pPr>
      <w:r>
        <w:rPr>
          <w:rFonts w:ascii="Arial" w:cs="Arial" w:eastAsia="Arial" w:hAnsi="Arial"/>
        </w:rPr>
        <w:t xml:space="preserve"/>
      </w:r>
    </w:p>
    <w:p>
      <w:pPr>
        <w:spacing w:after="120"/>
        <w:jc w:val="center"/>
      </w:pPr>
      <w:r>
        <w:rPr>
          <w:rFonts w:ascii="Arial" w:cs="Arial" w:eastAsia="Arial" w:hAnsi="Arial"/>
          <w:sz w:val="22"/>
          <w:szCs w:val="22"/>
        </w:rPr>
        <w:t xml:space="preserve">Duración de la sesión: 3 horas cronológicas</w:t>
      </w:r>
    </w:p>
    <w:p>
      <w:pPr>
        <w:spacing w:after="120"/>
        <w:jc w:val="center"/>
      </w:pPr>
      <w:r>
        <w:rPr>
          <w:rFonts w:ascii="Arial" w:cs="Arial" w:eastAsia="Arial" w:hAnsi="Arial"/>
          <w:sz w:val="22"/>
          <w:szCs w:val="22"/>
        </w:rPr>
        <w:t xml:space="preserve">Entregable: Project Brief versión 1</w:t>
      </w:r>
    </w:p>
    <w:p>
      <w:pPr>
        <w:spacing w:after="400"/>
        <w:jc w:val="center"/>
      </w:pPr>
      <w:r>
        <w:rPr>
          <w:rFonts w:ascii="Arial" w:cs="Arial" w:eastAsia="Arial" w:hAnsi="Arial"/>
          <w:sz w:val="22"/>
          <w:szCs w:val="22"/>
        </w:rPr>
        <w:t xml:space="preserve">Material de estudio del participante</w:t>
      </w:r>
    </w:p>
    <w:p>
      <w:pPr>
        <w:pStyle w:val="Heading1"/>
        <w:spacing w:after="200" w:before="360"/>
      </w:pPr>
      <w:r>
        <w:rPr>
          <w:rFonts w:ascii="Arial" w:cs="Arial" w:eastAsia="Arial" w:hAnsi="Arial"/>
          <w:b/>
          <w:bCs/>
          <w:sz w:val="30"/>
          <w:szCs w:val="30"/>
        </w:rPr>
        <w:t xml:space="preserve">1. Por qué la sesión de diseño es la más importante del curso</w:t>
      </w:r>
    </w:p>
    <w:p>
      <w:pPr>
        <w:spacing w:after="160" w:line="300"/>
      </w:pPr>
      <w:r>
        <w:rPr>
          <w:rFonts w:ascii="Arial" w:cs="Arial" w:eastAsia="Arial" w:hAnsi="Arial"/>
          <w:sz w:val="22"/>
          <w:szCs w:val="22"/>
        </w:rPr>
        <w:t xml:space="preserve">Hay una verdad incómoda en los proyectos de IA: la mayoría no fracasan implementando, fracasan definiendo. Cuando un proyecto AI/LLM no llega a producción, rara vez es porque el equipo no supo escribir el ETL o configurar el vector store; casi siempre es porque alguien empezó a construir antes de poder responder con precisión a tres preguntas: qué problema resuelve esto, cómo sabremos que funciona, y qué datos lo hacen posible.</w:t>
      </w:r>
    </w:p>
    <w:p>
      <w:pPr>
        <w:spacing w:after="160" w:line="300"/>
      </w:pPr>
      <w:r>
        <w:rPr>
          <w:rFonts w:ascii="Arial" w:cs="Arial" w:eastAsia="Arial" w:hAnsi="Arial"/>
          <w:sz w:val="22"/>
          <w:szCs w:val="22"/>
        </w:rPr>
        <w:t xml:space="preserve">La sesión 1 existe para forzar esas respuestas antes de que el costo de cambiarlas se vuelva prohibitivo. Tres horas pueden parecer excesivas para únicamente delimitar el caso de uso, pero la economía del proyecto cambia radicalmente cuando se descubre en la sesión 5 que la fuente de datos elegida no tiene la frescura necesaria, o cuando en la sesión 7 no es posible argumentar el éxito del pipeline porque nunca se definió qué significa éxito. El trabajo de esta sesión no consiste en escribir código sino en escribir restricciones: las restricciones que harán que las decisiones técnicas posteriores tengan un norte.</w:t>
      </w:r>
    </w:p>
    <w:p>
      <w:pPr>
        <w:spacing w:after="160" w:line="300"/>
      </w:pPr>
      <w:r>
        <w:rPr>
          <w:rFonts w:ascii="Arial" w:cs="Arial" w:eastAsia="Arial" w:hAnsi="Arial"/>
          <w:sz w:val="22"/>
          <w:szCs w:val="22"/>
        </w:rPr>
        <w:t xml:space="preserve">Un equipo que termina la sesión sin claridad sobre el caso de uso terminará el curso con un pipeline que funciona pero que no resuelve nada verificable. Un equipo que termina la sesión con un caso de uso bien delimitado terminará con un pipeline cuya calidad puede ser argumentada con evidencia. Esa diferencia, que parece menor cuando se está en la sesión 1, es la que separa un proyecto académico de un sistema con valor real.</w:t>
      </w:r>
    </w:p>
    <w:p>
      <w:pPr>
        <w:pStyle w:val="Heading1"/>
        <w:spacing w:after="200" w:before="360"/>
      </w:pPr>
      <w:r>
        <w:rPr>
          <w:rFonts w:ascii="Arial" w:cs="Arial" w:eastAsia="Arial" w:hAnsi="Arial"/>
          <w:b/>
          <w:bCs/>
          <w:sz w:val="30"/>
          <w:szCs w:val="30"/>
        </w:rPr>
        <w:t xml:space="preserve">2. ¿Es esto realmente un caso de uso para AI/LLM?</w:t>
      </w:r>
    </w:p>
    <w:p>
      <w:pPr>
        <w:spacing w:after="160" w:line="300"/>
      </w:pPr>
      <w:r>
        <w:rPr>
          <w:rFonts w:ascii="Arial" w:cs="Arial" w:eastAsia="Arial" w:hAnsi="Arial"/>
          <w:sz w:val="22"/>
          <w:szCs w:val="22"/>
        </w:rPr>
        <w:t xml:space="preserve">Antes de delimitar un caso de uso AI/LLM, conviene preguntarse si AI/LLM es la herramienta adecuada. Una de las patologías más frecuentes en proyectos corporativos es el uso de LLM para problemas que se resolverían mejor con reglas determinísticas, búsqueda léxica o un modelo de machine learning clásico. La presión por tener IA lleva a soluciones técnicamente sofisticadas para problemas que no la requieren, con costos operativos desproporcionados y con una superficie de error mayor que la de la alternativa más simple.</w:t>
      </w:r>
    </w:p>
    <w:p>
      <w:pPr>
        <w:spacing w:after="160" w:line="300"/>
      </w:pPr>
      <w:r>
        <w:rPr>
          <w:rFonts w:ascii="Arial" w:cs="Arial" w:eastAsia="Arial" w:hAnsi="Arial"/>
          <w:sz w:val="22"/>
          <w:szCs w:val="22"/>
        </w:rPr>
        <w:t xml:space="preserve">Un buen filtro inicial consiste en preguntar qué tipo de tarea natural realiza bien un LLM: comprensión y generación de lenguaje natural ambiguo, síntesis de información dispersa en texto no estructurado, extracción semántica de documentos heterogéneos, conversación contextual, razonamiento sobre instrucciones complejas, y traducción entre formatos o lenguajes. Cuando el problema cae genuinamente en uno de estos territorios, el LLM aporta valor real. Cuando el problema es predecir un número a partir de variables estructuradas, clasificar transacciones financieras con etiquetas claras o ejecutar una decisión basada en reglas explícitas, el LLM es la herramienta equivocada y conviene resistir la tentación de usarlo.</w:t>
      </w:r>
    </w:p>
    <w:p>
      <w:pPr>
        <w:spacing w:after="160" w:line="300"/>
      </w:pPr>
      <w:r>
        <w:rPr>
          <w:rFonts w:ascii="Arial" w:cs="Arial" w:eastAsia="Arial" w:hAnsi="Arial"/>
          <w:sz w:val="22"/>
          <w:szCs w:val="22"/>
        </w:rPr>
        <w:t xml:space="preserve">Una segunda pregunta útil es de qué tipo concreto será el sistema: generación libre (producir contenido nuevo), recuperación aumentada o RAG (responder con información de un corpus específico), extracción (estructurar información no estructurada), clasificación semántica (etiquetar con criterios difíciles de formalizar), summarization (condensar contenido extenso) o ejecución agéntica (decidir y actuar sobre sistemas externos). La respuesta condiciona toda la arquitectura. Un pipeline para RAG es muy distinto de uno para extracción masiva de documentos, y ambos son muy distintos de uno para un agente que actúa sobre APIs. Definir el tipo en sesión 1 evita semanas de discusión arquitectónica circular en sesiones posteriores.</w:t>
      </w:r>
    </w:p>
    <w:p>
      <w:pPr>
        <w:pStyle w:val="Heading1"/>
        <w:spacing w:after="200" w:before="360"/>
      </w:pPr>
      <w:r>
        <w:rPr>
          <w:rFonts w:ascii="Arial" w:cs="Arial" w:eastAsia="Arial" w:hAnsi="Arial"/>
          <w:b/>
          <w:bCs/>
          <w:sz w:val="30"/>
          <w:szCs w:val="30"/>
        </w:rPr>
        <w:t xml:space="preserve">3. Delimitar el problema de negocio</w:t>
      </w:r>
    </w:p>
    <w:p>
      <w:pPr>
        <w:spacing w:after="160" w:line="300"/>
      </w:pPr>
      <w:r>
        <w:rPr>
          <w:rFonts w:ascii="Arial" w:cs="Arial" w:eastAsia="Arial" w:hAnsi="Arial"/>
          <w:sz w:val="22"/>
          <w:szCs w:val="22"/>
        </w:rPr>
        <w:t xml:space="preserve">El error más común al definir un caso de uso es confundir el síntoma con el problema. Un stakeholder dice necesitamos un chatbot, y esa es una solución asumida, no un problema. La tarea del ingeniero de datos en esta etapa es retroceder hasta encontrar el problema real: qué tarea humana se está haciendo hoy, cuánto tiempo o dinero consume, qué errores produce, qué decisiones quedan postergadas, qué usuarios sufren las consecuencias. La pregunta del ingeniero no es cómo construyo lo que me piden, sino qué problema están realmente tratando de resolver con lo que me piden.</w:t>
      </w:r>
    </w:p>
    <w:p>
      <w:pPr>
        <w:spacing w:after="160" w:line="300"/>
      </w:pPr>
      <w:r>
        <w:rPr>
          <w:rFonts w:ascii="Arial" w:cs="Arial" w:eastAsia="Arial" w:hAnsi="Arial"/>
          <w:sz w:val="22"/>
          <w:szCs w:val="22"/>
        </w:rPr>
        <w:t xml:space="preserve">Una técnica robusta para esta delimitación es el marco Trigger – Actor – Tarea – Dolor – Resultado deseado. Para cada caso de uso candidato se completa: qué evento dispara la necesidad (trigger), quién es la persona concreta que la enfrenta (actor), qué hace hoy para resolverla (tarea), qué le duele en ese proceso con magnitudes verificables (dolor), y qué resultado observable querría obtener en su lugar (resultado deseado). Si las cinco celdas no se pueden llenar con precisión, el caso de uso aún no está listo para diseño técnico y debe volver al stakeholder para más conversación.</w:t>
      </w:r>
    </w:p>
    <w:p>
      <w:pPr>
        <w:spacing w:after="160" w:line="300"/>
      </w:pPr>
      <w:r>
        <w:rPr>
          <w:rFonts w:ascii="Arial" w:cs="Arial" w:eastAsia="Arial" w:hAnsi="Arial"/>
          <w:sz w:val="22"/>
          <w:szCs w:val="22"/>
        </w:rPr>
        <w:t xml:space="preserve">Un problema bien delimitado suena así: cada vez que un cliente nuevo envía una solicitud de cotización por correo, un ejecutivo comercial revisa manualmente el correo y sus adjuntos, extrae los datos clave, y completa una ficha en el CRM; el proceso toma en promedio veintidós minutos por solicitud y produce errores de transcripción en aproximadamente el ocho por ciento de los casos; idealmente, querríamos que la ficha esté precargada con noventa por ciento de exactitud cuando el ejecutivo la abre, reduciendo el tiempo de revisión a menos de cinco minutos. Compárese con queremos automatizar el procesamiento de correos con IA: el primero es accionable y medible, el segundo no lo es.</w:t>
      </w:r>
    </w:p>
    <w:p>
      <w:pPr>
        <w:spacing w:after="160" w:line="300"/>
      </w:pPr>
      <w:r>
        <w:rPr>
          <w:rFonts w:ascii="Arial" w:cs="Arial" w:eastAsia="Arial" w:hAnsi="Arial"/>
          <w:sz w:val="22"/>
          <w:szCs w:val="22"/>
        </w:rPr>
        <w:t xml:space="preserve">La precisión del enunciado importa porque cada palabra orienta decisiones técnicas posteriores. El que el trigger sea por correo determina la fuente de datos. El que el actor sea un ejecutivo comercial define quién dará feedback de calidad. El número específico de veintidós minutos fija la métrica de negocio. La tasa del ocho por ciento define el piso que el sistema debe superar para ser útil. Sin estas magnitudes el caso de uso es retórico, no operativo.</w:t>
      </w:r>
    </w:p>
    <w:p>
      <w:pPr>
        <w:pStyle w:val="Heading1"/>
        <w:spacing w:after="200" w:before="360"/>
      </w:pPr>
      <w:r>
        <w:rPr>
          <w:rFonts w:ascii="Arial" w:cs="Arial" w:eastAsia="Arial" w:hAnsi="Arial"/>
          <w:b/>
          <w:bCs/>
          <w:sz w:val="30"/>
          <w:szCs w:val="30"/>
        </w:rPr>
        <w:t xml:space="preserve">4. Traducir el problema de negocio a un objetivo técnico</w:t>
      </w:r>
    </w:p>
    <w:p>
      <w:pPr>
        <w:spacing w:after="160" w:line="300"/>
      </w:pPr>
      <w:r>
        <w:rPr>
          <w:rFonts w:ascii="Arial" w:cs="Arial" w:eastAsia="Arial" w:hAnsi="Arial"/>
          <w:sz w:val="22"/>
          <w:szCs w:val="22"/>
        </w:rPr>
        <w:t xml:space="preserve">Una vez delimitado el problema, hay que traducirlo a una especificación técnica que pueda implementarse y medirse. Esta traducción tiene tres elementos: el tipo de tarea AI, el contrato de entrada y salida del sistema, y el umbral de calidad aceptable. Cada uno es una decisión y cada decisión cierra opciones, lo que en esta fase del proyecto es deseable porque reduce ambigüedad.</w:t>
      </w:r>
    </w:p>
    <w:p>
      <w:pPr>
        <w:spacing w:after="160" w:line="300"/>
      </w:pPr>
      <w:r>
        <w:rPr>
          <w:rFonts w:ascii="Arial" w:cs="Arial" w:eastAsia="Arial" w:hAnsi="Arial"/>
          <w:sz w:val="22"/>
          <w:szCs w:val="22"/>
        </w:rPr>
        <w:t xml:space="preserve">El tipo de tarea AI se elige del repertorio identificado en la sección anterior. Cada tipo implica patrones arquitectónicos distintos. RAG requiere un corpus indexado, una pipeline de chunking, un modelo de embeddings, un vector store y una estrategia de re-ranking; el ETL alimenta el índice y la calidad del retriever determina la calidad del sistema. Extracción estructurada requiere un esquema de salida estricto típicamente expresado en JSON Schema o Pydantic, validación post-generación, y manejo explícito de los casos donde el documento no contiene la información esperada; el ETL alimenta el procesador y el desafío está en la calibración de confianza. Clasificación semántica puede no requerir vector store pero sí un eval set robusto con etiquetas humanas. La elección del tipo de tarea no es opcional ni puede dejarse implícita, porque marca qué se construye en las sesiones tres, cuatro y cinco.</w:t>
      </w:r>
    </w:p>
    <w:p>
      <w:pPr>
        <w:spacing w:after="160" w:line="300"/>
      </w:pPr>
      <w:r>
        <w:rPr>
          <w:rFonts w:ascii="Arial" w:cs="Arial" w:eastAsia="Arial" w:hAnsi="Arial"/>
          <w:sz w:val="22"/>
          <w:szCs w:val="22"/>
        </w:rPr>
        <w:t xml:space="preserve">El contrato de entrada y salida es una definición formal de qué recibe el sistema y qué produce. Para un sistema RAG: entrada es una consulta en lenguaje natural más opcionalmente un contexto de usuario; salida es una respuesta textual acompañada por un conjunto de citas a fuentes. Para extracción: entrada es un documento con su tipo y formato; salida es un objeto estructurado con campos tipados y un score de confianza por campo. Este contrato es lo que más adelante guiará el diseño del esquema de almacenamiento, el formato de los embeddings, las validaciones del pipeline y la interfaz hacia los sistemas consumidores.</w:t>
      </w:r>
    </w:p>
    <w:p>
      <w:pPr>
        <w:spacing w:after="160" w:line="300"/>
      </w:pPr>
      <w:r>
        <w:rPr>
          <w:rFonts w:ascii="Arial" w:cs="Arial" w:eastAsia="Arial" w:hAnsi="Arial"/>
          <w:sz w:val="22"/>
          <w:szCs w:val="22"/>
        </w:rPr>
        <w:t xml:space="preserve">El umbral de calidad aceptable es la respuesta a cuándo decimos que esto está listo para producción. Es una decisión negociada con el stakeholder de negocio y traducida a métricas observables. Sin este umbral, el equipo termina infinitamente en una iteración más sin un criterio de cierre. Un proyecto con criterio de éxito vago es un proyecto que nunca termina o que termina por agotamiento, no por logro.</w:t>
      </w:r>
    </w:p>
    <w:p>
      <w:pPr>
        <w:pStyle w:val="Heading1"/>
        <w:spacing w:after="200" w:before="360"/>
      </w:pPr>
      <w:r>
        <w:rPr>
          <w:rFonts w:ascii="Arial" w:cs="Arial" w:eastAsia="Arial" w:hAnsi="Arial"/>
          <w:b/>
          <w:bCs/>
          <w:sz w:val="30"/>
          <w:szCs w:val="30"/>
        </w:rPr>
        <w:t xml:space="preserve">5. Definir métricas de éxito en cuatro niveles</w:t>
      </w:r>
    </w:p>
    <w:p>
      <w:pPr>
        <w:spacing w:after="160" w:line="300"/>
      </w:pPr>
      <w:r>
        <w:rPr>
          <w:rFonts w:ascii="Arial" w:cs="Arial" w:eastAsia="Arial" w:hAnsi="Arial"/>
          <w:sz w:val="22"/>
          <w:szCs w:val="22"/>
        </w:rPr>
        <w:t xml:space="preserve">Las métricas de éxito de un sistema AI/LLM operan en cuatro niveles que conviene mantener separados pero coherentes. La omisión de cualquiera de estos niveles produce sistemas que parecen exitosos por una métrica pero fallan por otra: un sistema con buena precisión por campo que nadie usa, un sistema rápido que arroja respuestas inútiles, un sistema preciso que cuesta más que la operación manual.</w:t>
      </w:r>
    </w:p>
    <w:p>
      <w:pPr>
        <w:spacing w:after="160" w:line="300"/>
      </w:pPr>
      <w:r>
        <w:rPr>
          <w:rFonts w:ascii="Arial" w:cs="Arial" w:eastAsia="Arial" w:hAnsi="Arial"/>
          <w:sz w:val="22"/>
          <w:szCs w:val="22"/>
        </w:rPr>
        <w:t xml:space="preserve">El nivel de negocio mide impacto en el indicador que justifica la existencia del proyecto. En el ejemplo del CRM, esto sería reducción de tiempo promedio de procesamiento por solicitud, reducción de tasa de error en transcripción, o aumento de capacidad mensual del equipo comercial. Son indicadores que el negocio ya monitorea o que querría monitorear. Sin métrica de negocio, no se sabe por qué el proyecto debería existir, y eventualmente alguien suspenderá el financiamiento porque no encontrará justificación.</w:t>
      </w:r>
    </w:p>
    <w:p>
      <w:pPr>
        <w:spacing w:after="160" w:line="300"/>
      </w:pPr>
      <w:r>
        <w:rPr>
          <w:rFonts w:ascii="Arial" w:cs="Arial" w:eastAsia="Arial" w:hAnsi="Arial"/>
          <w:sz w:val="22"/>
          <w:szCs w:val="22"/>
        </w:rPr>
        <w:t xml:space="preserve">El nivel de producto mide la experiencia del usuario del sistema. Para el caso del CRM serían la tasa de aceptación de la ficha precargada por parte del ejecutivo, el número de correcciones manuales por ficha, el tiempo entre apertura y cierre de ficha, la satisfacción del ejecutivo en encuestas internas. Estas métricas viven entre el negocio y la técnica, y suelen ser las más útiles para iterar el sistema porque están a una granularidad accionable.</w:t>
      </w:r>
    </w:p>
    <w:p>
      <w:pPr>
        <w:spacing w:after="160" w:line="300"/>
      </w:pPr>
      <w:r>
        <w:rPr>
          <w:rFonts w:ascii="Arial" w:cs="Arial" w:eastAsia="Arial" w:hAnsi="Arial"/>
          <w:sz w:val="22"/>
          <w:szCs w:val="22"/>
        </w:rPr>
        <w:t xml:space="preserve">El nivel del modelo o pipeline AI mide la calidad intrínseca de las salidas. Aquí entran métricas específicas del tipo de tarea. Para RAG: fidelidad (faithfulness, que la respuesta se sostenga en las fuentes citadas), relevancia (que la respuesta atienda efectivamente la pregunta), recall del retriever (que los chunks relevantes aparezcan en el top-k), MRR o NDCG sobre un set de preguntas etiquetadas. Para extracción: precisión y recall por campo, exactitud a nivel de documento completo, calibración del score de confianza. Para clasificación: las métricas clásicas (precisión, recall, F1, matriz de confusión). Es indispensable construir un eval set, un conjunto de ejemplos con respuestas o etiquetas correctas conocidas, sin el cual el nivel de modelo es inmedible y todas las afirmaciones de calidad quedan reducidas a intuición.</w:t>
      </w:r>
    </w:p>
    <w:p>
      <w:pPr>
        <w:spacing w:after="160" w:line="300"/>
      </w:pPr>
      <w:r>
        <w:rPr>
          <w:rFonts w:ascii="Arial" w:cs="Arial" w:eastAsia="Arial" w:hAnsi="Arial"/>
          <w:sz w:val="22"/>
          <w:szCs w:val="22"/>
        </w:rPr>
        <w:t xml:space="preserve">El nivel de infraestructura mide propiedades operativas no funcionales pero críticas: latencia p50, p95 y p99 por solicitud; throughput sostenible; costo por consulta en dólares descompuesto por componente (embeddings, generación, almacenamiento, orquestación); disponibilidad; tasa de errores de proveedor; consumo de tokens. Estas métricas determinan si el sistema es viable económicamente y si la experiencia del usuario es aceptable bajo carga real.</w:t>
      </w:r>
    </w:p>
    <w:p>
      <w:pPr>
        <w:spacing w:after="160" w:line="300"/>
      </w:pPr>
      <w:r>
        <w:rPr>
          <w:rFonts w:ascii="Arial" w:cs="Arial" w:eastAsia="Arial" w:hAnsi="Arial"/>
          <w:sz w:val="22"/>
          <w:szCs w:val="22"/>
        </w:rPr>
        <w:t xml:space="preserve">La regla práctica es que cada nivel debe tener al menos una métrica primaria con su umbral aceptable definido en esta sesión. Un proyecto que solo define métricas de modelo termina con un pipeline técnicamente correcto que el negocio no usa. Un proyecto que solo define métricas de negocio termina con un sistema que sus dueños técnicos no saben optimizar. Los cuatro niveles deben coexistir.</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999999" w:sz="4"/>
              <w:left w:val="single" w:color="999999" w:sz="4"/>
              <w:bottom w:val="single" w:color="999999" w:sz="4"/>
              <w:right w:val="single" w:color="999999" w:sz="4"/>
            </w:tcBorders>
            <w:shd w:fill="1F3A5F" w:color="auto" w:val="clear"/>
            <w:tcMar>
              <w:top w:type="dxa" w:w="100"/>
              <w:left w:type="dxa" w:w="140"/>
              <w:bottom w:type="dxa" w:w="100"/>
              <w:right w:type="dxa" w:w="140"/>
            </w:tcMar>
          </w:tcPr>
          <w:p>
            <w:r>
              <w:rPr>
                <w:rFonts w:ascii="Arial" w:cs="Arial" w:eastAsia="Arial" w:hAnsi="Arial"/>
                <w:b/>
                <w:bCs/>
                <w:color w:val="FFFFFF"/>
                <w:sz w:val="20"/>
                <w:szCs w:val="20"/>
              </w:rPr>
              <w:t xml:space="preserve">Nivel</w:t>
            </w:r>
          </w:p>
        </w:tc>
        <w:tc>
          <w:tcPr>
            <w:tcW w:type="dxa" w:w="3580"/>
            <w:tcBorders>
              <w:top w:val="single" w:color="999999" w:sz="4"/>
              <w:left w:val="single" w:color="999999" w:sz="4"/>
              <w:bottom w:val="single" w:color="999999" w:sz="4"/>
              <w:right w:val="single" w:color="999999" w:sz="4"/>
            </w:tcBorders>
            <w:shd w:fill="1F3A5F" w:color="auto" w:val="clear"/>
            <w:tcMar>
              <w:top w:type="dxa" w:w="100"/>
              <w:left w:type="dxa" w:w="140"/>
              <w:bottom w:type="dxa" w:w="100"/>
              <w:right w:type="dxa" w:w="140"/>
            </w:tcMar>
          </w:tcPr>
          <w:p>
            <w:r>
              <w:rPr>
                <w:rFonts w:ascii="Arial" w:cs="Arial" w:eastAsia="Arial" w:hAnsi="Arial"/>
                <w:b/>
                <w:bCs/>
                <w:color w:val="FFFFFF"/>
                <w:sz w:val="20"/>
                <w:szCs w:val="20"/>
              </w:rPr>
              <w:t xml:space="preserve">Qué mide</w:t>
            </w:r>
          </w:p>
        </w:tc>
        <w:tc>
          <w:tcPr>
            <w:tcW w:type="dxa" w:w="3580"/>
            <w:tcBorders>
              <w:top w:val="single" w:color="999999" w:sz="4"/>
              <w:left w:val="single" w:color="999999" w:sz="4"/>
              <w:bottom w:val="single" w:color="999999" w:sz="4"/>
              <w:right w:val="single" w:color="999999" w:sz="4"/>
            </w:tcBorders>
            <w:shd w:fill="1F3A5F" w:color="auto" w:val="clear"/>
            <w:tcMar>
              <w:top w:type="dxa" w:w="100"/>
              <w:left w:type="dxa" w:w="140"/>
              <w:bottom w:type="dxa" w:w="100"/>
              <w:right w:type="dxa" w:w="140"/>
            </w:tcMar>
          </w:tcPr>
          <w:p>
            <w:r>
              <w:rPr>
                <w:rFonts w:ascii="Arial" w:cs="Arial" w:eastAsia="Arial" w:hAnsi="Arial"/>
                <w:b/>
                <w:bCs/>
                <w:color w:val="FFFFFF"/>
                <w:sz w:val="20"/>
                <w:szCs w:val="20"/>
              </w:rPr>
              <w:t xml:space="preserve">Ejemplos de métrica primaria</w:t>
            </w:r>
          </w:p>
        </w:tc>
      </w:tr>
      <w:tr>
        <w:tc>
          <w:tcPr>
            <w:tcW w:type="dxa" w:w="22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Negocio</w:t>
            </w:r>
          </w:p>
        </w:tc>
        <w:tc>
          <w:tcPr>
            <w:tcW w:type="dxa" w:w="35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Impacto en el indicador que justifica el proyecto</w:t>
            </w:r>
          </w:p>
        </w:tc>
        <w:tc>
          <w:tcPr>
            <w:tcW w:type="dxa" w:w="35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Tiempo promedio por transacción, tasa de error operativa, capacidad mensual del equipo, ahorro en costo de operación</w:t>
            </w:r>
          </w:p>
        </w:tc>
      </w:tr>
      <w:tr>
        <w:tc>
          <w:tcPr>
            <w:tcW w:type="dxa" w:w="22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Producto</w:t>
            </w:r>
          </w:p>
        </w:tc>
        <w:tc>
          <w:tcPr>
            <w:tcW w:type="dxa" w:w="35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Experiencia del usuario del sistema</w:t>
            </w:r>
          </w:p>
        </w:tc>
        <w:tc>
          <w:tcPr>
            <w:tcW w:type="dxa" w:w="35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Tasa de aceptación de salida, correcciones manuales por interacción, NPS interno, abandono</w:t>
            </w:r>
          </w:p>
        </w:tc>
      </w:tr>
      <w:tr>
        <w:tc>
          <w:tcPr>
            <w:tcW w:type="dxa" w:w="22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Modelo / Pipeline AI</w:t>
            </w:r>
          </w:p>
        </w:tc>
        <w:tc>
          <w:tcPr>
            <w:tcW w:type="dxa" w:w="35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Calidad intrínseca de las salidas del sistema AI</w:t>
            </w:r>
          </w:p>
        </w:tc>
        <w:tc>
          <w:tcPr>
            <w:tcW w:type="dxa" w:w="35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RAG: faithfulness, relevance, recall@k, MRR. Extracción: precisión y recall por campo, calibración de confianza. Clasificación: F1, matriz de confusión</w:t>
            </w:r>
          </w:p>
        </w:tc>
      </w:tr>
      <w:tr>
        <w:tc>
          <w:tcPr>
            <w:tcW w:type="dxa" w:w="22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Infraestructura</w:t>
            </w:r>
          </w:p>
        </w:tc>
        <w:tc>
          <w:tcPr>
            <w:tcW w:type="dxa" w:w="35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Propiedades operativas no funcionales</w:t>
            </w:r>
          </w:p>
        </w:tc>
        <w:tc>
          <w:tcPr>
            <w:tcW w:type="dxa" w:w="35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Latencia p50/p95/p99, throughput, costo por consulta en USD, disponibilidad, tokens consumidos, tasa de errores de proveedor</w:t>
            </w:r>
          </w:p>
        </w:tc>
      </w:tr>
    </w:tbl>
    <w:p>
      <w:pPr>
        <w:spacing w:after="200"/>
      </w:pPr>
      <w:r>
        <w:rPr>
          <w:rFonts w:ascii="Arial" w:cs="Arial" w:eastAsia="Arial" w:hAnsi="Arial"/>
        </w:rPr>
        <w:t xml:space="preserve"/>
      </w:r>
    </w:p>
    <w:p>
      <w:pPr>
        <w:pStyle w:val="Heading1"/>
        <w:spacing w:after="200" w:before="360"/>
      </w:pPr>
      <w:r>
        <w:rPr>
          <w:rFonts w:ascii="Arial" w:cs="Arial" w:eastAsia="Arial" w:hAnsi="Arial"/>
          <w:b/>
          <w:bCs/>
          <w:sz w:val="30"/>
          <w:szCs w:val="30"/>
        </w:rPr>
        <w:t xml:space="preserve">6. Criterios de validación operativa</w:t>
      </w:r>
    </w:p>
    <w:p>
      <w:pPr>
        <w:spacing w:after="160" w:line="300"/>
      </w:pPr>
      <w:r>
        <w:rPr>
          <w:rFonts w:ascii="Arial" w:cs="Arial" w:eastAsia="Arial" w:hAnsi="Arial"/>
          <w:sz w:val="22"/>
          <w:szCs w:val="22"/>
        </w:rPr>
        <w:t xml:space="preserve">Más allá de las métricas, hay un conjunto de criterios de validación operativa que distinguen un demo de un sistema productivo. Estos criterios deben definirse en sesión 1 porque condicionan decisiones de arquitectura que serán difíciles de revertir.</w:t>
      </w:r>
    </w:p>
    <w:p>
      <w:pPr>
        <w:spacing w:after="160" w:line="300"/>
      </w:pPr>
      <w:r>
        <w:rPr>
          <w:rFonts w:ascii="Arial" w:cs="Arial" w:eastAsia="Arial" w:hAnsi="Arial"/>
          <w:sz w:val="22"/>
          <w:szCs w:val="22"/>
        </w:rPr>
        <w:t xml:space="preserve">El primero es el SLO de latencia. Cuánto puede tardar una respuesta antes de que el caso de uso pierda valor. Un chatbot interno tolera cinco segundos; una validación en línea durante una conversación de venta no tolera más de un segundo; un proceso batch nocturno tolera horas. La respuesta condiciona si el sistema puede usar modelos grandes vía API, si necesita modelos más pequeños y locales, o si conviene una arquitectura con caching agresivo y precomputación.</w:t>
      </w:r>
    </w:p>
    <w:p>
      <w:pPr>
        <w:spacing w:after="160" w:line="300"/>
      </w:pPr>
      <w:r>
        <w:rPr>
          <w:rFonts w:ascii="Arial" w:cs="Arial" w:eastAsia="Arial" w:hAnsi="Arial"/>
          <w:sz w:val="22"/>
          <w:szCs w:val="22"/>
        </w:rPr>
        <w:t xml:space="preserve">El segundo es el envelope de costo. Cuál es el costo por transacción que el negocio puede absorber. Esto se calcula a partir de la métrica de negocio: si una ficha de CRM procesada manualmente cuesta veintidós minutos multiplicados por el costo horario del ejecutivo, el costo por transacción del sistema AI debe ser una fracción suficiente para tener ROI. El envelope define qué modelos son viables, cuánto contexto se puede enviar en cada llamada, y si conviene usar modelos pequeños con prompts más elaborados o modelos grandes con prompts mínimos.</w:t>
      </w:r>
    </w:p>
    <w:p>
      <w:pPr>
        <w:spacing w:after="160" w:line="300"/>
      </w:pPr>
      <w:r>
        <w:rPr>
          <w:rFonts w:ascii="Arial" w:cs="Arial" w:eastAsia="Arial" w:hAnsi="Arial"/>
          <w:sz w:val="22"/>
          <w:szCs w:val="22"/>
        </w:rPr>
        <w:t xml:space="preserve">El tercero es el comportamiento ante incertidumbre. Qué hace el sistema cuando no está seguro. Para extracción, devolver un campo vacío con score bajo es muy distinto de inventar un valor plausible. Para RAG, responder no encuentro información sobre eso en los documentos disponibles es muy distinto de generar una respuesta sin fuentes. Definir esta política temprano evita que el sistema produzca alucinaciones aceptadas como verdad por usuarios que confían demasiado en su salida.</w:t>
      </w:r>
    </w:p>
    <w:p>
      <w:pPr>
        <w:spacing w:after="160" w:line="300"/>
      </w:pPr>
      <w:r>
        <w:rPr>
          <w:rFonts w:ascii="Arial" w:cs="Arial" w:eastAsia="Arial" w:hAnsi="Arial"/>
          <w:sz w:val="22"/>
          <w:szCs w:val="22"/>
        </w:rPr>
        <w:t xml:space="preserve">El cuarto es la observabilidad mínima. Qué se va a registrar para poder depurar y mejorar. Como mínimo: el input, el output, los chunks recuperados en sistemas RAG, el modelo y versión usados, los tokens consumidos, la latencia, los feedbacks del usuario, y un identificador de traza que permita reconstruir el ciclo completo. Sin observabilidad, el ciclo de mejora del sistema es ciego y las quejas de los usuarios se vuelven irresolubles.</w:t>
      </w:r>
    </w:p>
    <w:p>
      <w:pPr>
        <w:spacing w:after="160" w:line="300"/>
      </w:pPr>
      <w:r>
        <w:rPr>
          <w:rFonts w:ascii="Arial" w:cs="Arial" w:eastAsia="Arial" w:hAnsi="Arial"/>
          <w:sz w:val="22"/>
          <w:szCs w:val="22"/>
        </w:rPr>
        <w:t xml:space="preserve">El quinto, frecuentemente olvidado, son las restricciones legales y de seguridad. Hay datos personales. Hay datos sensibles que no pueden enviarse a APIs externas. Hay obligaciones de retención o de borrado. Esto puede invalidar decisiones tecnológicas completas y debe estar claro antes del diseño arquitectónico de la sesión 2. Descubrir en la sesión 4 que el corpus contiene datos sometidos a normativa de protección puede obligar a reescribir el pipeline entero.</w:t>
      </w:r>
    </w:p>
    <w:p>
      <w:pPr>
        <w:pStyle w:val="Heading1"/>
        <w:spacing w:after="200" w:before="360"/>
      </w:pPr>
      <w:r>
        <w:rPr>
          <w:rFonts w:ascii="Arial" w:cs="Arial" w:eastAsia="Arial" w:hAnsi="Arial"/>
          <w:b/>
          <w:bCs/>
          <w:sz w:val="30"/>
          <w:szCs w:val="30"/>
        </w:rPr>
        <w:t xml:space="preserve">7. Identificar y priorizar fuentes de datos</w:t>
      </w:r>
    </w:p>
    <w:p>
      <w:pPr>
        <w:spacing w:after="160" w:line="300"/>
      </w:pPr>
      <w:r>
        <w:rPr>
          <w:rFonts w:ascii="Arial" w:cs="Arial" w:eastAsia="Arial" w:hAnsi="Arial"/>
          <w:sz w:val="22"/>
          <w:szCs w:val="22"/>
        </w:rPr>
        <w:t xml:space="preserve">Un caso de uso AI/LLM no existe sin datos. La sesión 1 debe terminar con un mapa de las fuentes de datos disponibles, su estado y su prioridad. Conviene distinguir cuatro tipos de datos que cumplen roles distintos a lo largo del ciclo de vida del sistema.</w:t>
      </w:r>
    </w:p>
    <w:p>
      <w:pPr>
        <w:spacing w:after="160" w:line="300"/>
      </w:pPr>
      <w:r>
        <w:rPr>
          <w:rFonts w:ascii="Arial" w:cs="Arial" w:eastAsia="Arial" w:hAnsi="Arial"/>
          <w:sz w:val="22"/>
          <w:szCs w:val="22"/>
        </w:rPr>
        <w:t xml:space="preserve">Los datos de operación son los que alimentan el pipeline en producción: el corpus que un sistema RAG indexa, los documentos que un sistema de extracción procesa, las consultas que un agente recibe. Son los datos del runtime. Su volumen, velocidad de actualización, formato y calidad son determinantes para el diseño del ETL y para la elección de tecnologías de almacenamiento.</w:t>
      </w:r>
    </w:p>
    <w:p>
      <w:pPr>
        <w:spacing w:after="160" w:line="300"/>
      </w:pPr>
      <w:r>
        <w:rPr>
          <w:rFonts w:ascii="Arial" w:cs="Arial" w:eastAsia="Arial" w:hAnsi="Arial"/>
          <w:sz w:val="22"/>
          <w:szCs w:val="22"/>
        </w:rPr>
        <w:t xml:space="preserve">Los datos de evaluación son los que permiten medir el sistema: preguntas con respuestas correctas etiquetadas, documentos con extracciones esperadas, ejemplos con etiquetas humanas. Estos datos suelen no existir al inicio del proyecto y deben construirse deliberadamente. Una recomendación práctica es dedicar parte de la sesión 1 a definir cómo se construirá el eval set, porque sin él la sesión 6 (evaluación y optimización) será imposible y el equipo quedará discutiendo si el sistema funciona sin manera de probarlo.</w:t>
      </w:r>
    </w:p>
    <w:p>
      <w:pPr>
        <w:spacing w:after="160" w:line="300"/>
      </w:pPr>
      <w:r>
        <w:rPr>
          <w:rFonts w:ascii="Arial" w:cs="Arial" w:eastAsia="Arial" w:hAnsi="Arial"/>
          <w:sz w:val="22"/>
          <w:szCs w:val="22"/>
        </w:rPr>
        <w:t xml:space="preserve">Los datos de feedback son los que el sistema captura en producción para mejora continua: ratings de usuarios, correcciones manuales, indicadores implícitos de éxito o fracaso (por ejemplo, si el usuario aceptó la salida sin modificarla, si la regeneró, si abandonó la interacción). No necesitan estar listos en sesión 1, pero el diseño debe contemplar su captura desde el primer día, porque retrofittear un sistema sin instrumentación de feedback es caro.</w:t>
      </w:r>
    </w:p>
    <w:p>
      <w:pPr>
        <w:spacing w:after="160" w:line="300"/>
      </w:pPr>
      <w:r>
        <w:rPr>
          <w:rFonts w:ascii="Arial" w:cs="Arial" w:eastAsia="Arial" w:hAnsi="Arial"/>
          <w:sz w:val="22"/>
          <w:szCs w:val="22"/>
        </w:rPr>
        <w:t xml:space="preserve">Los datos auxiliares son los que enriquecen el sistema sin ser el corpus principal: bases de conocimiento estructuradas, taxonomías, listas controladas, datos maestros, glosarios internos. Suelen ser despreciados pero a menudo son lo que diferencia un sistema mediocre de uno bueno. Un sistema de extracción de pedidos que tiene acceso al catálogo de SKUs vigente resuelve ambigüedades que un sistema sin ese auxiliar no puede resolver.</w:t>
      </w:r>
    </w:p>
    <w:p>
      <w:pPr>
        <w:spacing w:after="160" w:line="300"/>
      </w:pPr>
      <w:r>
        <w:rPr>
          <w:rFonts w:ascii="Arial" w:cs="Arial" w:eastAsia="Arial" w:hAnsi="Arial"/>
          <w:sz w:val="22"/>
          <w:szCs w:val="22"/>
        </w:rPr>
        <w:t xml:space="preserve">Para cada fuente identificada conviene evaluarla en siete dimensiones. Una fuente excelente en completitud pero inaccesible legalmente es una fuente que, a efectos del proyecto, no existe; conviene saberlo en sesión 1 y no en sesión 4.</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1F3A5F" w:color="auto" w:val="clear"/>
            <w:tcMar>
              <w:top w:type="dxa" w:w="100"/>
              <w:left w:type="dxa" w:w="140"/>
              <w:bottom w:type="dxa" w:w="100"/>
              <w:right w:type="dxa" w:w="140"/>
            </w:tcMar>
          </w:tcPr>
          <w:p>
            <w:r>
              <w:rPr>
                <w:rFonts w:ascii="Arial" w:cs="Arial" w:eastAsia="Arial" w:hAnsi="Arial"/>
                <w:b/>
                <w:bCs/>
                <w:color w:val="FFFFFF"/>
                <w:sz w:val="20"/>
                <w:szCs w:val="20"/>
              </w:rPr>
              <w:t xml:space="preserve">Dimensión</w:t>
            </w:r>
          </w:p>
        </w:tc>
        <w:tc>
          <w:tcPr>
            <w:tcW w:type="dxa" w:w="7160"/>
            <w:tcBorders>
              <w:top w:val="single" w:color="999999" w:sz="4"/>
              <w:left w:val="single" w:color="999999" w:sz="4"/>
              <w:bottom w:val="single" w:color="999999" w:sz="4"/>
              <w:right w:val="single" w:color="999999" w:sz="4"/>
            </w:tcBorders>
            <w:shd w:fill="1F3A5F" w:color="auto" w:val="clear"/>
            <w:tcMar>
              <w:top w:type="dxa" w:w="100"/>
              <w:left w:type="dxa" w:w="140"/>
              <w:bottom w:type="dxa" w:w="100"/>
              <w:right w:type="dxa" w:w="140"/>
            </w:tcMar>
          </w:tcPr>
          <w:p>
            <w:r>
              <w:rPr>
                <w:rFonts w:ascii="Arial" w:cs="Arial" w:eastAsia="Arial" w:hAnsi="Arial"/>
                <w:b/>
                <w:bCs/>
                <w:color w:val="FFFFFF"/>
                <w:sz w:val="20"/>
                <w:szCs w:val="20"/>
              </w:rPr>
              <w:t xml:space="preserve">Pregunta de evaluación</w:t>
            </w:r>
          </w:p>
        </w:tc>
      </w:tr>
      <w:tr>
        <w:tc>
          <w:tcPr>
            <w:tcW w:type="dxa" w:w="22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Completitud</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¿La fuente cubre los casos relevantes del problema o tiene huecos sistemáticos en algún segmento?</w:t>
            </w:r>
          </w:p>
        </w:tc>
      </w:tr>
      <w:tr>
        <w:tc>
          <w:tcPr>
            <w:tcW w:type="dxa" w:w="22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Frescura</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¿Qué tan actualizada está y con qué cadencia se renueva? ¿Es compatible con la frecuencia que requiere el caso de uso?</w:t>
            </w:r>
          </w:p>
        </w:tc>
      </w:tr>
      <w:tr>
        <w:tc>
          <w:tcPr>
            <w:tcW w:type="dxa" w:w="22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Exactitud</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¿Qué tan confiable es la información? ¿Hay errores conocidos o registros sin validar?</w:t>
            </w:r>
          </w:p>
        </w:tc>
      </w:tr>
      <w:tr>
        <w:tc>
          <w:tcPr>
            <w:tcW w:type="dxa" w:w="22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Consistencia</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¿Los datos están en formatos uniformes o existen variaciones de codificación, unidades, esquemas?</w:t>
            </w:r>
          </w:p>
        </w:tc>
      </w:tr>
      <w:tr>
        <w:tc>
          <w:tcPr>
            <w:tcW w:type="dxa" w:w="22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Accesibilidad</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¿Hay un canal técnico viable para extraer los datos (API, base, exportación, scraping autorizado)?</w:t>
            </w:r>
          </w:p>
        </w:tc>
      </w:tr>
      <w:tr>
        <w:tc>
          <w:tcPr>
            <w:tcW w:type="dxa" w:w="22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Volumen</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¿Cuántos registros existen hoy y a qué tasa crecen? ¿El pipeline puede absorber ese volumen?</w:t>
            </w:r>
          </w:p>
        </w:tc>
      </w:tr>
      <w:tr>
        <w:tc>
          <w:tcPr>
            <w:tcW w:type="dxa" w:w="22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Legalidad</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¿Hay restricciones de uso, privacidad, propiedad intelectual o residencia de datos que limiten el procesamiento?</w:t>
            </w:r>
          </w:p>
        </w:tc>
      </w:tr>
    </w:tbl>
    <w:p>
      <w:pPr>
        <w:spacing w:after="200"/>
      </w:pPr>
      <w:r>
        <w:rPr>
          <w:rFonts w:ascii="Arial" w:cs="Arial" w:eastAsia="Arial" w:hAnsi="Arial"/>
        </w:rPr>
        <w:t xml:space="preserve"/>
      </w:r>
    </w:p>
    <w:p>
      <w:pPr>
        <w:spacing w:after="160" w:line="300"/>
      </w:pPr>
      <w:r>
        <w:rPr>
          <w:rFonts w:ascii="Arial" w:cs="Arial" w:eastAsia="Arial" w:hAnsi="Arial"/>
          <w:sz w:val="22"/>
          <w:szCs w:val="22"/>
        </w:rPr>
        <w:t xml:space="preserve">La priorización se hace con una matriz simple de valor versus factibilidad. Valor mide cuánto aporta la fuente a resolver el problema definido; factibilidad mide qué tan rápido y a qué costo puede integrarse en el horizonte del curso. Las fuentes de alto valor y alta factibilidad son las que se atacan primero. Las de alto valor y baja factibilidad se ponen en backlog para fases posteriores con un plan de habilitación. Las de bajo valor se descartan independientemente de su factibilidad, incluso cuando son tentadoras por estar disponibles. Esta priorización es lo que evita que el equipo gaste semanas integrando una fuente que aportaba poco al problema.</w:t>
      </w:r>
    </w:p>
    <w:p>
      <w:pPr>
        <w:pStyle w:val="Heading1"/>
        <w:spacing w:after="200" w:before="360"/>
      </w:pPr>
      <w:r>
        <w:rPr>
          <w:rFonts w:ascii="Arial" w:cs="Arial" w:eastAsia="Arial" w:hAnsi="Arial"/>
          <w:b/>
          <w:bCs/>
          <w:sz w:val="30"/>
          <w:szCs w:val="30"/>
        </w:rPr>
        <w:t xml:space="preserve">8. El artefacto entregable — el Project Brief</w:t>
      </w:r>
    </w:p>
    <w:p>
      <w:pPr>
        <w:spacing w:after="160" w:line="300"/>
      </w:pPr>
      <w:r>
        <w:rPr>
          <w:rFonts w:ascii="Arial" w:cs="Arial" w:eastAsia="Arial" w:hAnsi="Arial"/>
          <w:sz w:val="22"/>
          <w:szCs w:val="22"/>
        </w:rPr>
        <w:t xml:space="preserve">Al término de la sesión 1, cada equipo debe haber producido un documento de una a dos páginas, el Project Brief, que actúa como contrato técnico interno para el resto del curso. Su estructura sugerida incluye nueve elementos. El documento es vivo: se actualiza si durante las sesiones posteriores el equipo descubre que una suposición era falsa o que un umbral era inalcanzable. Pero todo cambio debe ser explícito y registrado, nunca un deslizamiento silencioso.</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999999" w:sz="4"/>
              <w:left w:val="single" w:color="999999" w:sz="4"/>
              <w:bottom w:val="single" w:color="999999" w:sz="4"/>
              <w:right w:val="single" w:color="999999" w:sz="4"/>
            </w:tcBorders>
            <w:shd w:fill="1F3A5F" w:color="auto"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700"/>
            <w:tcBorders>
              <w:top w:val="single" w:color="999999" w:sz="4"/>
              <w:left w:val="single" w:color="999999" w:sz="4"/>
              <w:bottom w:val="single" w:color="999999" w:sz="4"/>
              <w:right w:val="single" w:color="999999" w:sz="4"/>
            </w:tcBorders>
            <w:shd w:fill="1F3A5F" w:color="auto" w:val="clear"/>
            <w:tcMar>
              <w:top w:type="dxa" w:w="100"/>
              <w:left w:type="dxa" w:w="140"/>
              <w:bottom w:type="dxa" w:w="100"/>
              <w:right w:type="dxa" w:w="140"/>
            </w:tcMar>
          </w:tcPr>
          <w:p>
            <w:r>
              <w:rPr>
                <w:rFonts w:ascii="Arial" w:cs="Arial" w:eastAsia="Arial" w:hAnsi="Arial"/>
                <w:b/>
                <w:bCs/>
                <w:color w:val="FFFFFF"/>
                <w:sz w:val="20"/>
                <w:szCs w:val="20"/>
              </w:rPr>
              <w:t xml:space="preserve">Elemento</w:t>
            </w:r>
          </w:p>
        </w:tc>
        <w:tc>
          <w:tcPr>
            <w:tcW w:type="dxa" w:w="5860"/>
            <w:tcBorders>
              <w:top w:val="single" w:color="999999" w:sz="4"/>
              <w:left w:val="single" w:color="999999" w:sz="4"/>
              <w:bottom w:val="single" w:color="999999" w:sz="4"/>
              <w:right w:val="single" w:color="999999" w:sz="4"/>
            </w:tcBorders>
            <w:shd w:fill="1F3A5F" w:color="auto" w:val="clear"/>
            <w:tcMar>
              <w:top w:type="dxa" w:w="100"/>
              <w:left w:type="dxa" w:w="140"/>
              <w:bottom w:type="dxa" w:w="100"/>
              <w:right w:type="dxa" w:w="140"/>
            </w:tcMar>
          </w:tcPr>
          <w:p>
            <w:r>
              <w:rPr>
                <w:rFonts w:ascii="Arial" w:cs="Arial" w:eastAsia="Arial" w:hAnsi="Arial"/>
                <w:b/>
                <w:bCs/>
                <w:color w:val="FFFFFF"/>
                <w:sz w:val="20"/>
                <w:szCs w:val="20"/>
              </w:rPr>
              <w:t xml:space="preserve">Contenido esperado</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1</w:t>
            </w:r>
          </w:p>
        </w:tc>
        <w:tc>
          <w:tcPr>
            <w:tcW w:type="dxa" w:w="27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Declaración del problema</w:t>
            </w:r>
          </w:p>
        </w:tc>
        <w:tc>
          <w:tcPr>
            <w:tcW w:type="dxa" w:w="58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Formato Trigger – Actor – Tarea – Dolor – Resultado deseado, con magnitudes verificables</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2</w:t>
            </w:r>
          </w:p>
        </w:tc>
        <w:tc>
          <w:tcPr>
            <w:tcW w:type="dxa" w:w="27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Tipo de tarea AI</w:t>
            </w:r>
          </w:p>
        </w:tc>
        <w:tc>
          <w:tcPr>
            <w:tcW w:type="dxa" w:w="58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Generación, RAG, extracción estructurada, clasificación semántica, summarization o agente. Justificar por qué no se resuelve con técnicas más simples</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3</w:t>
            </w:r>
          </w:p>
        </w:tc>
        <w:tc>
          <w:tcPr>
            <w:tcW w:type="dxa" w:w="27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Contrato I/O</w:t>
            </w:r>
          </w:p>
        </w:tc>
        <w:tc>
          <w:tcPr>
            <w:tcW w:type="dxa" w:w="58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Entrada y salida formales del sistema, con al menos dos ejemplos concretos</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4</w:t>
            </w:r>
          </w:p>
        </w:tc>
        <w:tc>
          <w:tcPr>
            <w:tcW w:type="dxa" w:w="27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Métrica de negocio primaria</w:t>
            </w:r>
          </w:p>
        </w:tc>
        <w:tc>
          <w:tcPr>
            <w:tcW w:type="dxa" w:w="58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Una sola, con umbral aceptable y umbral aspiracional</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5</w:t>
            </w:r>
          </w:p>
        </w:tc>
        <w:tc>
          <w:tcPr>
            <w:tcW w:type="dxa" w:w="27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Métricas de producto, modelo e infraestructura</w:t>
            </w:r>
          </w:p>
        </w:tc>
        <w:tc>
          <w:tcPr>
            <w:tcW w:type="dxa" w:w="58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Al menos una métrica primaria por nivel, con umbral y método de cálculo</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6</w:t>
            </w:r>
          </w:p>
        </w:tc>
        <w:tc>
          <w:tcPr>
            <w:tcW w:type="dxa" w:w="27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Criterios operativos</w:t>
            </w:r>
          </w:p>
        </w:tc>
        <w:tc>
          <w:tcPr>
            <w:tcW w:type="dxa" w:w="58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SLO de latencia, envelope de costo, política ante incertidumbre, observabilidad mínima, restricciones legales</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7</w:t>
            </w:r>
          </w:p>
        </w:tc>
        <w:tc>
          <w:tcPr>
            <w:tcW w:type="dxa" w:w="27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Inventario y priorización de fuentes</w:t>
            </w:r>
          </w:p>
        </w:tc>
        <w:tc>
          <w:tcPr>
            <w:tcW w:type="dxa" w:w="58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Evaluación en las siete dimensiones y matriz valor × factibilidad</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8</w:t>
            </w:r>
          </w:p>
        </w:tc>
        <w:tc>
          <w:tcPr>
            <w:tcW w:type="dxa" w:w="27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Riesgos y mitigaciones</w:t>
            </w:r>
          </w:p>
        </w:tc>
        <w:tc>
          <w:tcPr>
            <w:tcW w:type="dxa" w:w="58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Los tres a cinco riesgos técnicos más probables con su mitigación planeada</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9</w:t>
            </w:r>
          </w:p>
        </w:tc>
        <w:tc>
          <w:tcPr>
            <w:tcW w:type="dxa" w:w="2700"/>
            <w:tcBorders>
              <w:top w:val="single" w:color="999999" w:sz="4"/>
              <w:left w:val="single" w:color="999999" w:sz="4"/>
              <w:bottom w:val="single" w:color="999999" w:sz="4"/>
              <w:right w:val="single" w:color="999999" w:sz="4"/>
            </w:tcBorders>
            <w:shd w:fill="EEF2F7" w:color="auto" w:val="clear"/>
            <w:tcMar>
              <w:top w:type="dxa" w:w="100"/>
              <w:left w:type="dxa" w:w="140"/>
              <w:bottom w:type="dxa" w:w="100"/>
              <w:right w:type="dxa" w:w="140"/>
            </w:tcMar>
          </w:tcPr>
          <w:p>
            <w:pPr>
              <w:spacing w:line="280"/>
            </w:pPr>
            <w:r>
              <w:rPr>
                <w:rFonts w:ascii="Arial" w:cs="Arial" w:eastAsia="Arial" w:hAnsi="Arial"/>
                <w:b/>
                <w:bCs/>
                <w:sz w:val="20"/>
                <w:szCs w:val="20"/>
              </w:rPr>
              <w:t xml:space="preserve">Suposiciones explícitas</w:t>
            </w:r>
          </w:p>
        </w:tc>
        <w:tc>
          <w:tcPr>
            <w:tcW w:type="dxa" w:w="58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80"/>
            </w:pPr>
            <w:r>
              <w:rPr>
                <w:rFonts w:ascii="Arial" w:cs="Arial" w:eastAsia="Arial" w:hAnsi="Arial"/>
                <w:sz w:val="20"/>
                <w:szCs w:val="20"/>
              </w:rPr>
              <w:t xml:space="preserve">Lo que el equipo está dando por cierto sin haber validado, para revisar en sesiones posteriores</w:t>
            </w:r>
          </w:p>
        </w:tc>
      </w:tr>
    </w:tbl>
    <w:p>
      <w:pPr>
        <w:spacing w:after="200"/>
      </w:pPr>
      <w:r>
        <w:rPr>
          <w:rFonts w:ascii="Arial" w:cs="Arial" w:eastAsia="Arial" w:hAnsi="Arial"/>
        </w:rPr>
        <w:t xml:space="preserve"/>
      </w:r>
    </w:p>
    <w:p>
      <w:pPr>
        <w:spacing w:after="160" w:line="300"/>
      </w:pPr>
      <w:r>
        <w:rPr>
          <w:rFonts w:ascii="Arial" w:cs="Arial" w:eastAsia="Arial" w:hAnsi="Arial"/>
          <w:sz w:val="22"/>
          <w:szCs w:val="22"/>
        </w:rPr>
        <w:t xml:space="preserve">La utilidad del Project Brief es triple. Hacia adentro del equipo, alinea la comprensión común del proyecto y evita que cada integrante esté construyendo en su cabeza una versión distinta del mismo sistema. Hacia el instructor, ofrece una superficie precisa de retroalimentación y evaluación. Hacia el stakeholder externo (si existe), funciona como pieza de comunicación que demuestra rigor y permite negociar expectativas en términos concretos. Un brief incompleto no es un brief malo, es un proyecto que aún no está listo para comenzar.</w:t>
      </w:r>
    </w:p>
    <w:p>
      <w:pPr>
        <w:pStyle w:val="Heading1"/>
        <w:spacing w:after="200" w:before="360"/>
      </w:pPr>
      <w:r>
        <w:rPr>
          <w:rFonts w:ascii="Arial" w:cs="Arial" w:eastAsia="Arial" w:hAnsi="Arial"/>
          <w:b/>
          <w:bCs/>
          <w:sz w:val="30"/>
          <w:szCs w:val="30"/>
        </w:rPr>
        <w:t xml:space="preserve">9. Ejemplo aplicado — Asistente de cotizaciones comerciales</w:t>
      </w:r>
    </w:p>
    <w:p>
      <w:pPr>
        <w:spacing w:after="160" w:line="300"/>
      </w:pPr>
      <w:r>
        <w:rPr>
          <w:rFonts w:ascii="Arial" w:cs="Arial" w:eastAsia="Arial" w:hAnsi="Arial"/>
          <w:sz w:val="22"/>
          <w:szCs w:val="22"/>
        </w:rPr>
        <w:t xml:space="preserve">Para ilustrar el método completo, considere el caso del CRM mencionado anteriormente, desarrollado de principio a fin tal como debería aparecer en un Project Brief.</w:t>
      </w:r>
    </w:p>
    <w:p>
      <w:pPr>
        <w:pStyle w:val="Heading2"/>
        <w:spacing w:after="160" w:before="280"/>
      </w:pPr>
      <w:r>
        <w:rPr>
          <w:rFonts w:ascii="Arial" w:cs="Arial" w:eastAsia="Arial" w:hAnsi="Arial"/>
          <w:b/>
          <w:bCs/>
          <w:sz w:val="26"/>
          <w:szCs w:val="26"/>
        </w:rPr>
        <w:t xml:space="preserve">9.1 Problema delimitado</w:t>
      </w:r>
    </w:p>
    <w:p>
      <w:pPr>
        <w:spacing w:after="160" w:line="300"/>
      </w:pPr>
      <w:r>
        <w:rPr>
          <w:rFonts w:ascii="Arial" w:cs="Arial" w:eastAsia="Arial" w:hAnsi="Arial"/>
          <w:sz w:val="22"/>
          <w:szCs w:val="22"/>
        </w:rPr>
        <w:t xml:space="preserve">Cada vez que llega una solicitud de cotización por correo (típicamente ochenta solicitudes por semana, con uno a tres adjuntos PDF cada una), un ejecutivo dedica veintidós minutos en promedio a extraer datos del correo y los adjuntos y precargar una ficha en el CRM. La tasa de error de transcripción detectada ex-post es de ocho por ciento. El equipo comercial son doce ejecutivos. El resultado deseado es reducir el tiempo de procesamiento a menos de cinco minutos por solicitud manteniendo o mejorando la tasa de error.</w:t>
      </w:r>
    </w:p>
    <w:p>
      <w:pPr>
        <w:pStyle w:val="Heading2"/>
        <w:spacing w:after="160" w:before="280"/>
      </w:pPr>
      <w:r>
        <w:rPr>
          <w:rFonts w:ascii="Arial" w:cs="Arial" w:eastAsia="Arial" w:hAnsi="Arial"/>
          <w:b/>
          <w:bCs/>
          <w:sz w:val="26"/>
          <w:szCs w:val="26"/>
        </w:rPr>
        <w:t xml:space="preserve">9.2 Tipo de tarea AI</w:t>
      </w:r>
    </w:p>
    <w:p>
      <w:pPr>
        <w:spacing w:after="160" w:line="300"/>
      </w:pPr>
      <w:r>
        <w:rPr>
          <w:rFonts w:ascii="Arial" w:cs="Arial" w:eastAsia="Arial" w:hAnsi="Arial"/>
          <w:sz w:val="22"/>
          <w:szCs w:val="22"/>
        </w:rPr>
        <w:t xml:space="preserve">Extracción estructurada de información desde documentos heterogéneos, donde la entrada es un correo más sus adjuntos y la salida es un objeto con un esquema fijo (cliente, productos solicitados, cantidades, fecha requerida, condiciones especiales). No es generación libre, no es RAG (no hay corpus que consultar), no es clasificación. Esta elección descarta arquitecturas complejas y permite enfocarse en pipeline de ingesta, parsing de PDFs, prompt de extracción con JSON Schema, validación post-generación, y carga al CRM. Una técnica más simple como regex sobre el cuerpo del correo no funcionaría porque los formatos son altamente variables y muchos datos están en PDFs adjuntos con estructura libre.</w:t>
      </w:r>
    </w:p>
    <w:p>
      <w:pPr>
        <w:pStyle w:val="Heading2"/>
        <w:spacing w:after="160" w:before="280"/>
      </w:pPr>
      <w:r>
        <w:rPr>
          <w:rFonts w:ascii="Arial" w:cs="Arial" w:eastAsia="Arial" w:hAnsi="Arial"/>
          <w:b/>
          <w:bCs/>
          <w:sz w:val="26"/>
          <w:szCs w:val="26"/>
        </w:rPr>
        <w:t xml:space="preserve">9.3 Contrato de entrada y salida</w:t>
      </w:r>
    </w:p>
    <w:p>
      <w:pPr>
        <w:spacing w:after="160" w:line="300"/>
      </w:pPr>
      <w:r>
        <w:rPr>
          <w:rFonts w:ascii="Arial" w:cs="Arial" w:eastAsia="Arial" w:hAnsi="Arial"/>
          <w:sz w:val="22"/>
          <w:szCs w:val="22"/>
        </w:rPr>
        <w:t xml:space="preserve">Entrada: un mensaje de correo con cero o más adjuntos PDF y opcionalmente imágenes, recibido vía API del servidor de correo corporativo. Salida: un objeto JSON con los campos del esquema, cada uno acompañado de un score de confianza entre cero y uno y una referencia textual (cita) a la porción del documento de origen. Los campos sin información disponible se devuelven como null con confianza cero, nunca inventados.</w:t>
      </w:r>
    </w:p>
    <w:p>
      <w:pPr>
        <w:pStyle w:val="Heading2"/>
        <w:spacing w:after="160" w:before="280"/>
      </w:pPr>
      <w:r>
        <w:rPr>
          <w:rFonts w:ascii="Arial" w:cs="Arial" w:eastAsia="Arial" w:hAnsi="Arial"/>
          <w:b/>
          <w:bCs/>
          <w:sz w:val="26"/>
          <w:szCs w:val="26"/>
        </w:rPr>
        <w:t xml:space="preserve">9.4 Métricas por nivel</w:t>
      </w:r>
    </w:p>
    <w:p>
      <w:pPr>
        <w:spacing w:after="160" w:line="300"/>
      </w:pPr>
      <w:r>
        <w:rPr>
          <w:rFonts w:ascii="Arial" w:cs="Arial" w:eastAsia="Arial" w:hAnsi="Arial"/>
          <w:sz w:val="22"/>
          <w:szCs w:val="22"/>
        </w:rPr>
        <w:t xml:space="preserve">En el nivel de negocio, la métrica primaria es reducción del tiempo promedio de procesamiento por solicitud, con umbral aceptable de cinco minutos y umbral aspiracional de tres minutos. La métrica secundaria es la tasa de error de transcripción, con umbral aceptable menor a cinco por ciento.</w:t>
      </w:r>
    </w:p>
    <w:p>
      <w:pPr>
        <w:spacing w:after="160" w:line="300"/>
      </w:pPr>
      <w:r>
        <w:rPr>
          <w:rFonts w:ascii="Arial" w:cs="Arial" w:eastAsia="Arial" w:hAnsi="Arial"/>
          <w:sz w:val="22"/>
          <w:szCs w:val="22"/>
        </w:rPr>
        <w:t xml:space="preserve">En el nivel de producto, la métrica primaria es la tasa de aceptación de la ficha precargada por el ejecutivo (porcentaje de campos que el ejecutivo no modifica), con umbral aceptable de ochenta por ciento. La métrica secundaria es el número promedio de correcciones manuales por ficha, con umbral aceptable menor a dos.</w:t>
      </w:r>
    </w:p>
    <w:p>
      <w:pPr>
        <w:spacing w:after="160" w:line="300"/>
      </w:pPr>
      <w:r>
        <w:rPr>
          <w:rFonts w:ascii="Arial" w:cs="Arial" w:eastAsia="Arial" w:hAnsi="Arial"/>
          <w:sz w:val="22"/>
          <w:szCs w:val="22"/>
        </w:rPr>
        <w:t xml:space="preserve">En el nivel de modelo, las métricas primarias son precisión por campo (umbral noventa y dos por ciento), recall por campo (umbral ochenta y ocho por ciento), y calibración del score de confianza tal que cuando el score sea mayor a 0.9 la precisión real sea superior a noventa y siete por ciento. Estas se calculan contra un eval set construido específicamente para el proyecto.</w:t>
      </w:r>
    </w:p>
    <w:p>
      <w:pPr>
        <w:spacing w:after="160" w:line="300"/>
      </w:pPr>
      <w:r>
        <w:rPr>
          <w:rFonts w:ascii="Arial" w:cs="Arial" w:eastAsia="Arial" w:hAnsi="Arial"/>
          <w:sz w:val="22"/>
          <w:szCs w:val="22"/>
        </w:rPr>
        <w:t xml:space="preserve">En el nivel de infraestructura, las métricas son latencia p95 menor a treinta segundos por solicitud (el flujo es asíncrono, no interactivo), costo por solicitud menor a 0.15 dólares incluyendo todos los componentes, y disponibilidad mensual superior a noventa y nueve por ciento.</w:t>
      </w:r>
    </w:p>
    <w:p>
      <w:pPr>
        <w:pStyle w:val="Heading2"/>
        <w:spacing w:after="160" w:before="280"/>
      </w:pPr>
      <w:r>
        <w:rPr>
          <w:rFonts w:ascii="Arial" w:cs="Arial" w:eastAsia="Arial" w:hAnsi="Arial"/>
          <w:b/>
          <w:bCs/>
          <w:sz w:val="26"/>
          <w:szCs w:val="26"/>
        </w:rPr>
        <w:t xml:space="preserve">9.5 Criterios operativos</w:t>
      </w:r>
    </w:p>
    <w:p>
      <w:pPr>
        <w:spacing w:after="160" w:line="300"/>
      </w:pPr>
      <w:r>
        <w:rPr>
          <w:rFonts w:ascii="Arial" w:cs="Arial" w:eastAsia="Arial" w:hAnsi="Arial"/>
          <w:sz w:val="22"/>
          <w:szCs w:val="22"/>
        </w:rPr>
        <w:t xml:space="preserve">La latencia tolerable es holgada porque el flujo es batch tras recepción de correo, lo que permite usar modelos más grandes y precisos sin penalidad de experiencia. El envelope de costo es generoso dada la economía de la operación manual (un ejecutivo a veintidós minutos por solicitud cuesta mucho más que 0.15 dólares). La política ante incertidumbre es estricta: campos con score bajo se dejan vacíos para que el ejecutivo los complete, nunca se inventan; esta decisión protege la confianza del usuario en el sistema. La observabilidad es completa con almacenamiento del input, del prompt usado, del output, los tokens consumidos, el modelo, la versión, y el feedback del ejecutivo al cerrar la ficha. Las restricciones legales son significativas: los correos contienen datos de empresas clientes y deben tratarse según política interna de manejo de datos, lo que orientará la decisión entre API pública y modelo en infraestructura propia o cuenta empresarial con acuerdos de no entrenamiento.</w:t>
      </w:r>
    </w:p>
    <w:p>
      <w:pPr>
        <w:pStyle w:val="Heading2"/>
        <w:spacing w:after="160" w:before="280"/>
      </w:pPr>
      <w:r>
        <w:rPr>
          <w:rFonts w:ascii="Arial" w:cs="Arial" w:eastAsia="Arial" w:hAnsi="Arial"/>
          <w:b/>
          <w:bCs/>
          <w:sz w:val="26"/>
          <w:szCs w:val="26"/>
        </w:rPr>
        <w:t xml:space="preserve">9.6 Fuentes de datos</w:t>
      </w:r>
    </w:p>
    <w:p>
      <w:pPr>
        <w:spacing w:after="160" w:line="300"/>
      </w:pPr>
      <w:r>
        <w:rPr>
          <w:rFonts w:ascii="Arial" w:cs="Arial" w:eastAsia="Arial" w:hAnsi="Arial"/>
          <w:sz w:val="22"/>
          <w:szCs w:val="22"/>
        </w:rPr>
        <w:t xml:space="preserve">El corpus operacional son los correos y sus adjuntos, accesibles vía API del servidor de correo corporativo, con volumen de ochenta por semana y formato heterogéneo. Los datos de evaluación se construirán etiquetando manualmente doscientas solicitudes históricas con sus extracciones correctas; el equipo comercial colaborará en el etiquetado bajo una guía de etiquetado definida en la sesión 2. Los datos de feedback se capturarán como correcciones del ejecutivo al cerrar la ficha, instrumentadas en el CRM. Los datos auxiliares incluyen el catálogo de productos del CRM (para resolver ambigüedades en nombres de productos vía matching difuso) y la base de clientes existentes (para resolver ambigüedades en identidad del solicitante).</w:t>
      </w:r>
    </w:p>
    <w:p>
      <w:pPr>
        <w:pStyle w:val="Heading2"/>
        <w:spacing w:after="160" w:before="280"/>
      </w:pPr>
      <w:r>
        <w:rPr>
          <w:rFonts w:ascii="Arial" w:cs="Arial" w:eastAsia="Arial" w:hAnsi="Arial"/>
          <w:b/>
          <w:bCs/>
          <w:sz w:val="26"/>
          <w:szCs w:val="26"/>
        </w:rPr>
        <w:t xml:space="preserve">9.7 Riesgos y mitigaciones</w:t>
      </w:r>
    </w:p>
    <w:p>
      <w:pPr>
        <w:spacing w:after="160" w:line="300"/>
      </w:pPr>
      <w:r>
        <w:rPr>
          <w:rFonts w:ascii="Arial" w:cs="Arial" w:eastAsia="Arial" w:hAnsi="Arial"/>
          <w:sz w:val="22"/>
          <w:szCs w:val="22"/>
        </w:rPr>
        <w:t xml:space="preserve">El primer riesgo es la variabilidad de formato en correos, que puede hacer que la extracción se degrade en correos no representados en el eval set; la mitigación es ampliar progresivamente el eval set incluyendo casos atípicos detectados en producción. El segundo es que algunos PDFs son escaneos de baja calidad que requieren OCR; la mitigación es incluir un paso de OCR explícito en el pipeline y medir su impacto en la calidad de extracción aguas abajo. El tercero es que los nombres de productos a veces son apodos internos del cliente que difieren del catálogo; la mitigación es una capa de matching difuso contra el catálogo con umbral configurable. El cuarto es la deriva temporal: si el proveedor de modelo actualiza su versión, la calidad puede cambiar; la mitigación es fijar versión específica del modelo y reevaluar el eval set antes de cualquier actualización.</w:t>
      </w:r>
    </w:p>
    <w:p>
      <w:pPr>
        <w:pStyle w:val="Heading2"/>
        <w:spacing w:after="160" w:before="280"/>
      </w:pPr>
      <w:r>
        <w:rPr>
          <w:rFonts w:ascii="Arial" w:cs="Arial" w:eastAsia="Arial" w:hAnsi="Arial"/>
          <w:b/>
          <w:bCs/>
          <w:sz w:val="26"/>
          <w:szCs w:val="26"/>
        </w:rPr>
        <w:t xml:space="preserve">9.8 Suposiciones explícitas</w:t>
      </w:r>
    </w:p>
    <w:p>
      <w:pPr>
        <w:spacing w:after="160" w:line="300"/>
      </w:pPr>
      <w:r>
        <w:rPr>
          <w:rFonts w:ascii="Arial" w:cs="Arial" w:eastAsia="Arial" w:hAnsi="Arial"/>
          <w:sz w:val="22"/>
          <w:szCs w:val="22"/>
        </w:rPr>
        <w:t xml:space="preserve">El equipo asume que ochenta por ciento de los correos tienen estructura suficientemente identificable para que la extracción funcione (a validar con el eval set), que el servidor de correo permite acceso programático sin negociación adicional (a validar con sistemas), que el equipo comercial está disponible para colaborar en el etiquetado durante la sesión 2 y 3 (a validar con el sponsor del proyecto), y que el catálogo de productos del CRM está actualizado y accesible vía API (a validar técnicamente).</w:t>
      </w:r>
    </w:p>
    <w:p>
      <w:pPr>
        <w:spacing w:after="160" w:line="300"/>
      </w:pPr>
      <w:r>
        <w:rPr>
          <w:rFonts w:ascii="Arial" w:cs="Arial" w:eastAsia="Arial" w:hAnsi="Arial"/>
          <w:sz w:val="22"/>
          <w:szCs w:val="22"/>
        </w:rPr>
        <w:t xml:space="preserve">Este nivel de claridad al final de la sesión 1 hace que las decisiones de la sesión 2 (qué herramientas usar) y la sesión 3 (cómo construir el ETL) se vuelvan casi mecánicas. Sin esa claridad, esas sesiones se convertirían en debates abiertos sin criterio de cierre.</w:t>
      </w:r>
    </w:p>
    <w:p>
      <w:pPr>
        <w:pStyle w:val="Heading1"/>
        <w:spacing w:after="200" w:before="360"/>
      </w:pPr>
      <w:r>
        <w:rPr>
          <w:rFonts w:ascii="Arial" w:cs="Arial" w:eastAsia="Arial" w:hAnsi="Arial"/>
          <w:b/>
          <w:bCs/>
          <w:sz w:val="30"/>
          <w:szCs w:val="30"/>
        </w:rPr>
        <w:t xml:space="preserve">10. Errores frecuentes en la sesión de diseño</w:t>
      </w:r>
    </w:p>
    <w:p>
      <w:pPr>
        <w:spacing w:after="160" w:line="300"/>
      </w:pPr>
      <w:r>
        <w:rPr>
          <w:rFonts w:ascii="Arial" w:cs="Arial" w:eastAsia="Arial" w:hAnsi="Arial"/>
          <w:sz w:val="22"/>
          <w:szCs w:val="22"/>
        </w:rPr>
        <w:t xml:space="preserve">Hay un repertorio de errores que se repiten en proyectos AI/LLM y que conviene anticipar para que el Project Brief no los reproduzca.</w:t>
      </w:r>
    </w:p>
    <w:p>
      <w:pPr>
        <w:spacing w:after="160" w:line="300"/>
      </w:pPr>
      <w:r>
        <w:rPr>
          <w:rFonts w:ascii="Arial" w:cs="Arial" w:eastAsia="Arial" w:hAnsi="Arial"/>
          <w:sz w:val="22"/>
          <w:szCs w:val="22"/>
        </w:rPr>
        <w:t xml:space="preserve">El primero es definir métricas que no se pueden medir. Mejorar la satisfacción del cliente sin instrumentación es una intención, no una métrica. Si la métrica no tiene un mecanismo de cálculo definido en sesión 1, no es una métrica y el equipo está engañándose. Toda métrica en el brief debe venir acompañada de cómo se va a medir, con qué frecuencia y quién es responsable de calcularla.</w:t>
      </w:r>
    </w:p>
    <w:p>
      <w:pPr>
        <w:spacing w:after="160" w:line="300"/>
      </w:pPr>
      <w:r>
        <w:rPr>
          <w:rFonts w:ascii="Arial" w:cs="Arial" w:eastAsia="Arial" w:hAnsi="Arial"/>
          <w:sz w:val="22"/>
          <w:szCs w:val="22"/>
        </w:rPr>
        <w:t xml:space="preserve">El segundo es confundir un demo con un sistema. Es trivial construir un prototipo donde un LLM responde correctamente a tres preguntas elegidas para impresionar. Es difícil construir un sistema que responda correctamente al noventa por ciento de un eval set de doscientas preguntas adversariales. El proyecto del curso debe estar diseñado para el segundo escenario, no para el primero, y eso obliga a construir el eval set como entregable de las primeras sesiones.</w:t>
      </w:r>
    </w:p>
    <w:p>
      <w:pPr>
        <w:spacing w:after="160" w:line="300"/>
      </w:pPr>
      <w:r>
        <w:rPr>
          <w:rFonts w:ascii="Arial" w:cs="Arial" w:eastAsia="Arial" w:hAnsi="Arial"/>
          <w:sz w:val="22"/>
          <w:szCs w:val="22"/>
        </w:rPr>
        <w:t xml:space="preserve">El tercero es subestimar el costo de generación. En proyectos donde el volumen es alto, el costo de tokens puede destruir el ROI antes de que el sistema llegue a producción. El cálculo de costo por transacción debe hacerse en sesión 1 con números reales del proveedor de modelo elegido, no en sesión 6 cuando ya es tarde para cambiar la arquitectura.</w:t>
      </w:r>
    </w:p>
    <w:p>
      <w:pPr>
        <w:spacing w:after="160" w:line="300"/>
      </w:pPr>
      <w:r>
        <w:rPr>
          <w:rFonts w:ascii="Arial" w:cs="Arial" w:eastAsia="Arial" w:hAnsi="Arial"/>
          <w:sz w:val="22"/>
          <w:szCs w:val="22"/>
        </w:rPr>
        <w:t xml:space="preserve">El cuarto es no separar el eval set del data set de desarrollo. Si el mismo conjunto de ejemplos se usa para refinar prompts y para medir desempeño, las métricas se inflan artificialmente y el equipo cree que el sistema es mejor de lo que es. El eval set debe estar congelado, separado y protegido del proceso de desarrollo iterativo.</w:t>
      </w:r>
    </w:p>
    <w:p>
      <w:pPr>
        <w:spacing w:after="160" w:line="300"/>
      </w:pPr>
      <w:r>
        <w:rPr>
          <w:rFonts w:ascii="Arial" w:cs="Arial" w:eastAsia="Arial" w:hAnsi="Arial"/>
          <w:sz w:val="22"/>
          <w:szCs w:val="22"/>
        </w:rPr>
        <w:t xml:space="preserve">El quinto es diseñar para el caso ideal. Los documentos reales tienen ruido, los usuarios escriben con typos, los PDFs vienen rotados, los correos vienen con firmas y disclaimers que confunden al modelo, hay encoding raros, hay caracteres no imprimibles. El diseño debe anticipar estos casos y definir comportamiento ante ellos, no descubrirlos en producción.</w:t>
      </w:r>
    </w:p>
    <w:p>
      <w:pPr>
        <w:spacing w:after="160" w:line="300"/>
      </w:pPr>
      <w:r>
        <w:rPr>
          <w:rFonts w:ascii="Arial" w:cs="Arial" w:eastAsia="Arial" w:hAnsi="Arial"/>
          <w:sz w:val="22"/>
          <w:szCs w:val="22"/>
        </w:rPr>
        <w:t xml:space="preserve">El sexto es omitir la decisión sobre modelo local versus API. Es una decisión con consecuencias en costo, latencia, seguridad, privacidad y dependencia de proveedor. No tomarla explícitamente en sesión 1 lleva a tomarla por inercia en sesión 4, cuando el equipo ya invirtió en una dirección y el costo de cambiar es alto.</w:t>
      </w:r>
    </w:p>
    <w:p>
      <w:pPr>
        <w:spacing w:after="160" w:line="300"/>
      </w:pPr>
      <w:r>
        <w:rPr>
          <w:rFonts w:ascii="Arial" w:cs="Arial" w:eastAsia="Arial" w:hAnsi="Arial"/>
          <w:sz w:val="22"/>
          <w:szCs w:val="22"/>
        </w:rPr>
        <w:t xml:space="preserve">El séptimo, sutil pero crítico, es ignorar la deriva temporal. Un sistema que funciona hoy puede degradarse en seis meses porque cambiaron los formatos de entrada, apareció una versión nueva del modelo del proveedor, el corpus se quedó atrás, o las preguntas de los usuarios evolucionaron. El diseño debe contemplar cómo se va a detectar y mitigar la deriva, con qué frecuencia se reevaluará contra el eval set, y qué dispara una reentrenamiento o reajuste de prompts.</w:t>
      </w:r>
    </w:p>
    <w:p>
      <w:pPr>
        <w:spacing w:after="160" w:line="300"/>
      </w:pPr>
      <w:r>
        <w:rPr>
          <w:rFonts w:ascii="Arial" w:cs="Arial" w:eastAsia="Arial" w:hAnsi="Arial"/>
          <w:sz w:val="22"/>
          <w:szCs w:val="22"/>
        </w:rPr>
        <w:t xml:space="preserve">El octavo, propio de equipos académicos, es confundir entusiasmo con valor. Que el equipo encuentre interesante el problema no lo hace valioso para el negocio. Que la arquitectura sea sofisticada no la hace mejor que una simple. El criterio para defender una decisión técnica debe ser siempre el problema delimitado y los umbrales del Project Brief, no la novedad o complejidad de la solución.</w:t>
      </w:r>
    </w:p>
    <w:p>
      <w:pPr>
        <w:pStyle w:val="Heading1"/>
        <w:spacing w:after="200" w:before="360"/>
      </w:pPr>
      <w:r>
        <w:rPr>
          <w:rFonts w:ascii="Arial" w:cs="Arial" w:eastAsia="Arial" w:hAnsi="Arial"/>
          <w:b/>
          <w:bCs/>
          <w:sz w:val="30"/>
          <w:szCs w:val="30"/>
        </w:rPr>
        <w:t xml:space="preserve">11. Actividad práctica y criterios de evaluación parcial</w:t>
      </w:r>
    </w:p>
    <w:p>
      <w:pPr>
        <w:spacing w:after="160" w:line="300"/>
      </w:pPr>
      <w:r>
        <w:rPr>
          <w:rFonts w:ascii="Arial" w:cs="Arial" w:eastAsia="Arial" w:hAnsi="Arial"/>
          <w:sz w:val="22"/>
          <w:szCs w:val="22"/>
        </w:rPr>
        <w:t xml:space="preserve">La sesión 1 cierra con la entrega del primer borrador del Project Brief por parte de cada equipo. El tiempo sugerido de distribución dentro de las tres horas es aproximadamente cincuenta minutos para los marcos conceptuales (secciones 1 a 7 de esta guía, presentadas en formato de diálogo dirigido), noventa minutos para trabajo en equipos elaborando el brief con acompañamiento del instructor, y cuarenta minutos para presentación cruzada entre equipos y retroalimentación.</w:t>
      </w:r>
    </w:p>
    <w:p>
      <w:pPr>
        <w:spacing w:after="160" w:line="300"/>
      </w:pPr>
      <w:r>
        <w:rPr>
          <w:rFonts w:ascii="Arial" w:cs="Arial" w:eastAsia="Arial" w:hAnsi="Arial"/>
          <w:sz w:val="22"/>
          <w:szCs w:val="22"/>
        </w:rPr>
        <w:t xml:space="preserve">Los criterios de evaluación parcial son cinco. La precisión del problema delimitado, evaluada por el cumplimiento del formato Trigger – Actor – Tarea – Dolor – Resultado deseado y por la presencia de magnitudes verificables. La pertinencia del tipo de tarea AI elegido, evaluada por la justificación de por qué AI y no otra técnica más simple. La completitud de las métricas en los cuatro niveles con umbrales explícitos y método de cálculo definido. La calidad del inventario de fuentes de datos evaluadas en las siete dimensiones con priorización argumentada. La claridad de los criterios de validación operativa, especialmente del SLO de latencia, el envelope de costo y la política ante incertidumbre.</w:t>
      </w:r>
    </w:p>
    <w:p>
      <w:pPr>
        <w:spacing w:after="160" w:line="300"/>
      </w:pPr>
      <w:r>
        <w:rPr>
          <w:rFonts w:ascii="Arial" w:cs="Arial" w:eastAsia="Arial" w:hAnsi="Arial"/>
          <w:sz w:val="22"/>
          <w:szCs w:val="22"/>
        </w:rPr>
        <w:t xml:space="preserve">Los equipos exponen brevemente su brief durante cinco a siete minutos, reciben retroalimentación cruzada de los demás equipos y del instructor, y se asignan ajustes para iterar antes de la sesión 2. El brief revisado es el insumo de entrada de la sesión 2, donde dejará de ser un documento conceptual para volverse el contrato que orienta la elección concreta de herramientas ETL, almacenamiento, procesamiento y evaluación. Un brief bien construido en sesión 1 hace que el resto del curso fluya con decisiones técnicamente sólidas; un brief débil hace que el resto del curso sea una sucesión de improvisaciones.</w:t>
      </w:r>
    </w:p>
    <w:p>
      <w:pPr>
        <w:spacing w:after="280"/>
      </w:pPr>
      <w:r>
        <w:rPr>
          <w:rFonts w:ascii="Arial" w:cs="Arial" w:eastAsia="Arial" w:hAnsi="Arial"/>
        </w:rPr>
        <w:t xml:space="preserve"/>
      </w:r>
    </w:p>
    <w:p>
      <w:pPr>
        <w:pStyle w:val="Heading1"/>
        <w:spacing w:after="200" w:before="360"/>
      </w:pPr>
      <w:r>
        <w:rPr>
          <w:rFonts w:ascii="Arial" w:cs="Arial" w:eastAsia="Arial" w:hAnsi="Arial"/>
          <w:b/>
          <w:bCs/>
          <w:sz w:val="30"/>
          <w:szCs w:val="30"/>
        </w:rPr>
        <w:t xml:space="preserve">Cierre de la guía</w:t>
      </w:r>
    </w:p>
    <w:p>
      <w:pPr>
        <w:spacing w:after="160" w:line="300"/>
      </w:pPr>
      <w:r>
        <w:rPr>
          <w:rFonts w:ascii="Arial" w:cs="Arial" w:eastAsia="Arial" w:hAnsi="Arial"/>
          <w:sz w:val="22"/>
          <w:szCs w:val="22"/>
        </w:rPr>
        <w:t xml:space="preserve">Todo el trabajo de las seis sesiones que siguen está condicionado por lo que se decida en esta primera. Esta guía busca dar al participante un marco metodológico para que la sesión 1 no sea una conversación abierta sino un proceso disciplinado con un entregable concreto, medible y útil. Cuando el Project Brief esté listo y aprobado, el resto del curso se vuelve una ejecución técnica con un norte; mientras no esté listo, cualquier código que se escriba estará apuntando al lugar equivocado.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BSG Institute · Curso Proyecto Final AI Data Engineer · Página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8"/>
        <w:szCs w:val="18"/>
      </w:rPr>
      <w:t xml:space="preserve">Diseño de Caso de Uso AI/LLM — Zero to Hero Sesión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Caso de Uso AI/LLM — Zero to Hero Sesión 1</dc:title>
  <dc:creator>Ignacio Zambrano</dc:creator>
  <dc:description>Material formativo para la sesión 1 del Proyecto Final AI Data Engineer</dc:description>
  <cp:lastModifiedBy>Un-named</cp:lastModifiedBy>
  <cp:revision>1</cp:revision>
  <dcterms:created xsi:type="dcterms:W3CDTF">2026-05-27T23:46:14.183Z</dcterms:created>
  <dcterms:modified xsi:type="dcterms:W3CDTF">2026-05-27T23:46:14.183Z</dcterms:modified>
</cp:coreProperties>
</file>

<file path=docProps/custom.xml><?xml version="1.0" encoding="utf-8"?>
<Properties xmlns="http://schemas.openxmlformats.org/officeDocument/2006/custom-properties" xmlns:vt="http://schemas.openxmlformats.org/officeDocument/2006/docPropsVTypes"/>
</file>