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26"/>
          <w:szCs w:val="26"/>
        </w:rPr>
        <w:t xml:space="preserve">UNIVERSIDAD NACIONAL DE SAN CRISTÓBAL DE HUAMANGA</w:t>
      </w:r>
    </w:p>
    <w:p>
      <w:pPr>
        <w:spacing w:after="40"/>
        <w:jc w:val="center"/>
      </w:pPr>
      <w:r>
        <w:rPr>
          <w:sz w:val="22"/>
          <w:szCs w:val="22"/>
        </w:rPr>
        <w:t xml:space="preserve">FACULTAD DE INGENIERÍA DE MINAS, GEOLOGÍA Y CIVIL</w:t>
      </w:r>
    </w:p>
    <w:p>
      <w:pPr>
        <w:spacing w:after="600"/>
        <w:jc w:val="center"/>
      </w:pPr>
      <w:r>
        <w:rPr>
          <w:sz w:val="22"/>
          <w:szCs w:val="22"/>
        </w:rPr>
        <w:t xml:space="preserve">ESCUELA PROFESIONAL DE INGENIERÍA DE SISTEMAS</w:t>
      </w:r>
    </w:p>
    <w:p>
      <w:pPr>
        <w:spacing w:after="600"/>
      </w:pPr>
    </w:p>
    <w:p>
      <w:pPr>
        <w:spacing w:after="40"/>
        <w:jc w:val="center"/>
      </w:pPr>
      <w:r>
        <w:rPr>
          <w:b/>
          <w:bCs/>
          <w:color w:val="1F3D5C"/>
          <w:sz w:val="30"/>
          <w:szCs w:val="30"/>
        </w:rPr>
        <w:t xml:space="preserve">SISTEMA DE SOPORTE DE DECISIONES (SSD) BASADO EN</w:t>
      </w:r>
    </w:p>
    <w:p>
      <w:pPr>
        <w:spacing w:after="40"/>
        <w:jc w:val="center"/>
      </w:pPr>
      <w:r>
        <w:rPr>
          <w:b/>
          <w:bCs/>
          <w:color w:val="1F3D5C"/>
          <w:sz w:val="30"/>
          <w:szCs w:val="30"/>
        </w:rPr>
        <w:t xml:space="preserve">MÉTODOS AHP–TOPSIS PARA LA SELECCIÓN DE</w:t>
      </w:r>
    </w:p>
    <w:p>
      <w:pPr>
        <w:spacing w:after="40"/>
        <w:jc w:val="center"/>
      </w:pPr>
      <w:r>
        <w:rPr>
          <w:b/>
          <w:bCs/>
          <w:color w:val="1F3D5C"/>
          <w:sz w:val="30"/>
          <w:szCs w:val="30"/>
        </w:rPr>
        <w:t xml:space="preserve">PROVEEDORES DE MATERIALES DE CONSTRUCCIÓN EN LA</w:t>
      </w:r>
    </w:p>
    <w:p>
      <w:pPr>
        <w:spacing w:after="700"/>
        <w:jc w:val="center"/>
      </w:pPr>
      <w:r>
        <w:rPr>
          <w:b/>
          <w:bCs/>
          <w:color w:val="1F3D5C"/>
          <w:sz w:val="30"/>
          <w:szCs w:val="30"/>
        </w:rPr>
        <w:t xml:space="preserve">REGIÓN DE AYACUCHO, 2026</w:t>
      </w:r>
    </w:p>
    <w:p>
      <w:pPr>
        <w:spacing w:after="40"/>
        <w:jc w:val="center"/>
      </w:pPr>
      <w:r>
        <w:rPr>
          <w:i/>
          <w:iCs/>
          <w:sz w:val="22"/>
          <w:szCs w:val="22"/>
        </w:rPr>
        <w:t xml:space="preserve">Informe de proyecto presentado para el curso</w:t>
      </w:r>
    </w:p>
    <w:p>
      <w:pPr>
        <w:spacing w:after="700"/>
        <w:jc w:val="center"/>
      </w:pPr>
      <w:r>
        <w:rPr>
          <w:b/>
          <w:bCs/>
          <w:sz w:val="22"/>
          <w:szCs w:val="22"/>
        </w:rPr>
        <w:t xml:space="preserve">IS-489: Pruebas y Aseguramiento de la Calidad del Software</w:t>
      </w:r>
    </w:p>
    <w:p>
      <w:pPr>
        <w:spacing w:after="40"/>
        <w:jc w:val="center"/>
      </w:pPr>
      <w:r>
        <w:rPr>
          <w:sz w:val="22"/>
          <w:szCs w:val="22"/>
        </w:rPr>
        <w:t xml:space="preserve">Presentado por:</w:t>
      </w:r>
    </w:p>
    <w:p>
      <w:pPr>
        <w:spacing w:after="500"/>
        <w:jc w:val="center"/>
      </w:pPr>
      <w:r>
        <w:rPr>
          <w:b/>
          <w:bCs/>
          <w:sz w:val="24"/>
          <w:szCs w:val="24"/>
        </w:rPr>
        <w:t xml:space="preserve">Mateo [Apellido paterno] [Apellido materno]</w:t>
      </w:r>
    </w:p>
    <w:p>
      <w:pPr>
        <w:spacing w:after="40"/>
        <w:jc w:val="center"/>
      </w:pPr>
      <w:r>
        <w:rPr>
          <w:sz w:val="22"/>
          <w:szCs w:val="22"/>
        </w:rPr>
        <w:t xml:space="preserve">Docente:</w:t>
      </w:r>
    </w:p>
    <w:p>
      <w:pPr>
        <w:spacing w:after="900"/>
        <w:jc w:val="center"/>
      </w:pPr>
      <w:r>
        <w:rPr>
          <w:b/>
          <w:bCs/>
          <w:sz w:val="24"/>
          <w:szCs w:val="24"/>
        </w:rPr>
        <w:t xml:space="preserve">Ing. Lizbeth Jaico Quispe</w:t>
      </w:r>
    </w:p>
    <w:p>
      <w:pPr>
        <w:spacing w:after="20"/>
        <w:jc w:val="center"/>
      </w:pPr>
      <w:r>
        <w:rPr>
          <w:sz w:val="22"/>
          <w:szCs w:val="22"/>
        </w:rPr>
        <w:t xml:space="preserve">Ayacucho – Perú</w:t>
      </w:r>
    </w:p>
    <w:p>
      <w:pPr>
        <w:spacing w:after="0"/>
        <w:jc w:val="center"/>
      </w:pPr>
      <w:r>
        <w:rPr>
          <w:sz w:val="22"/>
          <w:szCs w:val="22"/>
        </w:rPr>
        <w:t xml:space="preserve">2026</w:t>
      </w:r>
    </w:p>
    <w:p>
      <w:pPr>
        <w:pStyle w:val="Heading1"/>
        <w:pageBreakBefore/>
        <w:spacing w:after="240" w:before="400"/>
      </w:pPr>
      <w:r>
        <w:rPr>
          <w:b/>
          <w:bCs/>
          <w:color w:val="1F3D5C"/>
        </w:rPr>
        <w:t xml:space="preserve">DEDICATORIA</w:t>
      </w:r>
    </w:p>
    <w:p>
      <w:pPr>
        <w:spacing w:after="200" w:line="360"/>
        <w:jc w:val="center"/>
      </w:pPr>
      <w:r>
        <w:rPr>
          <w:sz w:val="22"/>
          <w:szCs w:val="22"/>
        </w:rPr>
        <w:t xml:space="preserve">A mi familia, por su respaldo constante durante los años de formación profesional. A los docentes de la Escuela Profesional de Ingeniería de Sistemas de la UNSCH, cuya exigencia académica motivó el desarrollo riguroso de este proyecto. A los pequeños y medianos empresarios de la región de Ayacucho, cuyas necesidades reales de gestión inspiraron el caso de aplicación de este Sistema de Soporte de Decisiones.</w:t>
      </w:r>
    </w:p>
    <w:p>
      <w:pPr>
        <w:pStyle w:val="Heading1"/>
        <w:pageBreakBefore/>
        <w:spacing w:after="240" w:before="400"/>
      </w:pPr>
      <w:r>
        <w:rPr>
          <w:b/>
          <w:bCs/>
          <w:color w:val="1F3D5C"/>
        </w:rPr>
        <w:t xml:space="preserve">AGRADECIMIENTO</w:t>
      </w:r>
    </w:p>
    <w:p>
      <w:pPr>
        <w:spacing w:after="200" w:line="360"/>
        <w:jc w:val="both"/>
      </w:pPr>
      <w:r>
        <w:rPr>
          <w:sz w:val="22"/>
          <w:szCs w:val="22"/>
        </w:rPr>
        <w:t xml:space="preserve">Un agradecimiento especial a la Ing. Lizbeth Jaico Quispe, docente del curso IS-489 – Pruebas y Aseguramiento de la Calidad del Software, por la orientación metodológica que permitió estructurar este proyecto siguiendo un ciclo de vida completo de desarrollo de software, con énfasis particular en la verificación y validación mediante pruebas unitarias y de integración.</w:t>
      </w:r>
    </w:p>
    <w:p>
      <w:pPr>
        <w:spacing w:after="200" w:line="360"/>
        <w:jc w:val="both"/>
      </w:pPr>
      <w:r>
        <w:rPr>
          <w:sz w:val="22"/>
          <w:szCs w:val="22"/>
        </w:rPr>
        <w:t xml:space="preserve">A la Universidad Nacional de San Cristóbal de Huamanga, por brindar el marco académico y los lineamientos de formato que hicieron posible documentar este trabajo con el rigor esperado en un informe de ingeniería.</w:t>
      </w:r>
    </w:p>
    <w:p>
      <w:pPr>
        <w:pStyle w:val="Heading1"/>
        <w:pageBreakBefore/>
        <w:spacing w:after="240" w:before="400"/>
      </w:pPr>
      <w:r>
        <w:rPr>
          <w:b/>
          <w:bCs/>
          <w:color w:val="1F3D5C"/>
        </w:rPr>
        <w:t xml:space="preserve">RESUMEN</w:t>
      </w:r>
    </w:p>
    <w:p>
      <w:pPr>
        <w:spacing w:after="200" w:line="360"/>
        <w:jc w:val="both"/>
      </w:pPr>
      <w:r>
        <w:rPr>
          <w:sz w:val="22"/>
          <w:szCs w:val="22"/>
        </w:rPr>
        <w:t xml:space="preserve">El presente informe documenta el diseño, desarrollo y verificación de un Sistema de Soporte de Decisiones (SSD) orientado a apoyar la selección de proveedores de materiales de construcción para pequeñas y medianas empresas constructoras de la región de Ayacucho. El sistema combina dos métodos de decisión multicriterio ampliamente documentados en la literatura: el Proceso Analítico Jerárquico (AHP, Saaty 1980) para determinar los pesos relativos de los criterios de evaluación (precio, calidad certificada, plazo de entrega, garantía y reputación), y la Técnica para el Orden de Preferencia por Similitud a la Solución Ideal (TOPSIS, Hwang y Yoon 1981) para generar un ranking objetivo de los proveedores alternativos.</w:t>
      </w:r>
    </w:p>
    <w:p>
      <w:pPr>
        <w:spacing w:after="200" w:line="360"/>
        <w:jc w:val="both"/>
      </w:pPr>
      <w:r>
        <w:rPr>
          <w:sz w:val="22"/>
          <w:szCs w:val="22"/>
        </w:rPr>
        <w:t xml:space="preserve">El desarrollo siguió un ciclo de vida de software completo —análisis, diseño, implementación, pruebas y despliegue— bajo un enfoque ágil basado en Scrum, organizado en cinco sprints incrementales. La arquitectura implementada es una aplicación web de tres capas: una interfaz de usuario en React, una API REST en Node.js/Express que expone el motor de cálculo AHP-TOPSIS, y una base de datos relacional MySQL para la persistencia de proveedores, criterios y evaluaciones históricas.</w:t>
      </w:r>
    </w:p>
    <w:p>
      <w:pPr>
        <w:spacing w:after="200" w:line="360"/>
        <w:jc w:val="both"/>
      </w:pPr>
      <w:r>
        <w:rPr>
          <w:sz w:val="22"/>
          <w:szCs w:val="22"/>
        </w:rPr>
        <w:t xml:space="preserve">El aseguramiento de la calidad se abordó mediante una estrategia de pruebas en dos niveles: 16 pruebas unitarias que verifican matemáticamente la corrección de los algoritmos AHP y TOPSIS (validación de matrices recíprocas, cálculo de la razón de consistencia, normalización vectorial y coeficiente de cercanía), y 16 pruebas de integración que ejecutan el flujo completo de la API contra una base de datos MySQL real, incluyendo autenticación, operaciones CRUD sobre proveedores y el cálculo end-to-end de una evaluación. Las 32 pruebas se automatizaron en un pipeline de integración continua. Durante la ejecución de estas pruebas se identificaron y corrigieron tres defectos reales del sistema, documentados en el Capítulo IV como evidencia del proceso de aseguramiento de calidad.</w:t>
      </w:r>
    </w:p>
    <w:p>
      <w:pPr>
        <w:spacing w:after="200" w:line="360"/>
        <w:jc w:val="both"/>
      </w:pPr>
      <w:r>
        <w:rPr>
          <w:sz w:val="22"/>
          <w:szCs w:val="22"/>
        </w:rPr>
        <w:t xml:space="preserve">El sistema se contenerizó con Docker y Docker Compose para su despliegue reproducible, y el código fuente se organizó en un repositorio Git con historial de commits estructurado por sprint. Los resultados obtenidos confirman que la integración AHP-TOPSIS constituye una herramienta objetiva, trazable y auditable para decisiones de abastecimiento, reduciendo la subjetividad frente a métodos de selección tradicionales basados únicamente en el criterio del comprador.</w:t>
      </w:r>
    </w:p>
    <w:p>
      <w:pPr>
        <w:spacing w:after="200"/>
      </w:pPr>
      <w:r>
        <w:rPr>
          <w:b/>
          <w:bCs/>
        </w:rPr>
        <w:t xml:space="preserve">Palabras clave: </w:t>
      </w:r>
      <w:r>
        <w:t xml:space="preserve">Sistema de Soporte de Decisiones, AHP, TOPSIS, selección de proveedores, decisión multicriterio, aseguramiento de la calidad de software, Scrum.</w:t>
      </w:r>
    </w:p>
    <w:p>
      <w:pPr>
        <w:pStyle w:val="Heading1"/>
        <w:pageBreakBefore/>
        <w:spacing w:after="240" w:before="400"/>
      </w:pPr>
      <w:r>
        <w:rPr>
          <w:b/>
          <w:bCs/>
          <w:color w:val="1F3D5C"/>
        </w:rPr>
        <w:t xml:space="preserve">ABSTRACT</w:t>
      </w:r>
    </w:p>
    <w:p>
      <w:pPr>
        <w:spacing w:after="200" w:line="360"/>
        <w:jc w:val="both"/>
      </w:pPr>
      <w:r>
        <w:rPr>
          <w:sz w:val="22"/>
          <w:szCs w:val="22"/>
        </w:rPr>
        <w:t xml:space="preserve">This report documents the design, development, and verification of a Decision Support System (DSS) aimed at supporting the selection of construction material suppliers for small and medium construction companies in the Ayacucho region, Peru. The system combines two well-documented multi-criteria decision methods: the Analytic Hierarchy Process (AHP, Saaty 1980) to determine the relative weights of evaluation criteria (price, certified quality, delivery time, warranty, and reputation), and the Technique for Order of Preference by Similarity to Ideal Solution (TOPSIS, Hwang and Yoon 1981) to produce an objective ranking of alternative suppliers.</w:t>
      </w:r>
    </w:p>
    <w:p>
      <w:pPr>
        <w:spacing w:after="200" w:line="360"/>
        <w:jc w:val="both"/>
      </w:pPr>
      <w:r>
        <w:rPr>
          <w:sz w:val="22"/>
          <w:szCs w:val="22"/>
        </w:rPr>
        <w:t xml:space="preserve">Development followed a complete software life cycle —analysis, design, implementation, testing, and deployment— under an agile approach based on Scrum, organized into five incremental sprints. The implemented architecture is a three-tier web application: a React user interface, a Node.js/Express REST API exposing the AHP-TOPSIS calculation engine, and a relational MySQL database for persisting suppliers, criteria, and historical evaluations.</w:t>
      </w:r>
    </w:p>
    <w:p>
      <w:pPr>
        <w:spacing w:after="200" w:line="360"/>
        <w:jc w:val="both"/>
      </w:pPr>
      <w:r>
        <w:rPr>
          <w:sz w:val="22"/>
          <w:szCs w:val="22"/>
        </w:rPr>
        <w:t xml:space="preserve">Quality assurance was addressed through a two-tier testing strategy: 16 unit tests that mathematically verify the correctness of the AHP and TOPSIS algorithms, and 16 integration tests that exercise the full API flow against a real MySQL database. All 32 tests were automated in a continuous integration pipeline. During test execution, three real system defects were identified and fixed, documented in Chapter IV as evidence of the quality assurance process.</w:t>
      </w:r>
    </w:p>
    <w:p>
      <w:pPr>
        <w:spacing w:after="200"/>
      </w:pPr>
      <w:r>
        <w:rPr>
          <w:b/>
          <w:bCs/>
        </w:rPr>
        <w:t xml:space="preserve">Keywords: </w:t>
      </w:r>
      <w:r>
        <w:t xml:space="preserve">Decision Support System, AHP, TOPSIS, supplier selection, multi-criteria decision making, software quality assurance, Scrum.</w:t>
      </w:r>
    </w:p>
    <w:p>
      <w:pPr>
        <w:pStyle w:val="Heading1"/>
        <w:pageBreakBefore/>
        <w:spacing w:after="240" w:before="400"/>
      </w:pPr>
      <w:r>
        <w:rPr>
          <w:b/>
          <w:bCs/>
          <w:color w:val="1F3D5C"/>
        </w:rPr>
        <w:t xml:space="preserve">ÍNDICE</w:t>
      </w:r>
    </w:p>
    <w:sdt>
      <w:sdtPr>
        <w:alias w:val="Índice"/>
      </w:sdtPr>
      <w:sdtContent>
        <w:p>
          <w:r>
            <w:fldChar w:fldCharType="begin" w:dirty="true"/>
            <w:instrText xml:space="preserve">TOC \h \o "1-3"</w:instrText>
            <w:fldChar w:fldCharType="separate"/>
          </w:r>
        </w:p>
        <w:p>
          <w:r>
            <w:fldChar w:fldCharType="end"/>
          </w:r>
        </w:p>
      </w:sdtContent>
    </w:sdt>
    <w:p>
      <w:pPr>
        <w:pStyle w:val="Heading1"/>
        <w:pageBreakBefore/>
        <w:spacing w:after="240" w:before="400"/>
      </w:pPr>
      <w:r>
        <w:rPr>
          <w:b/>
          <w:bCs/>
          <w:color w:val="1F3D5C"/>
        </w:rPr>
        <w:t xml:space="preserve">INTRODUCCIÓN</w:t>
      </w:r>
    </w:p>
    <w:p>
      <w:pPr>
        <w:spacing w:after="200" w:line="360"/>
        <w:jc w:val="both"/>
      </w:pPr>
      <w:r>
        <w:rPr>
          <w:sz w:val="22"/>
          <w:szCs w:val="22"/>
        </w:rPr>
        <w:t xml:space="preserve">La selección de proveedores es una de las decisiones de mayor impacto económico y operativo en cualquier empresa constructora, ya que afecta directamente los costos de obra, los plazos de ejecución y la calidad final del producto entregado al cliente. En la región de Ayacucho, las pequeñas y medianas empresas constructoras suelen tomar esta decisión de manera informal, basándose principalmente en relaciones comerciales previas o en el precio más bajo ofertado, sin considerar de forma estructurada otros criterios relevantes como la calidad certificada, el cumplimiento de plazos, la garantía ofrecida o el historial de confiabilidad del proveedor.</w:t>
      </w:r>
    </w:p>
    <w:p>
      <w:pPr>
        <w:spacing w:after="200" w:line="360"/>
        <w:jc w:val="both"/>
      </w:pPr>
      <w:r>
        <w:rPr>
          <w:sz w:val="22"/>
          <w:szCs w:val="22"/>
        </w:rPr>
        <w:t xml:space="preserve">Frente a esta problemática, el presente proyecto desarrolla un Sistema de Soporte de Decisiones (SSD) que formaliza el proceso de selección de proveedores mediante técnicas de decisión multicriterio: el Proceso Analítico Jerárquico (AHP) para ponderar objetivamente la importancia relativa de cada criterio, y la técnica TOPSIS para generar un ranking cuantitativo de las alternativas evaluadas. Ambos métodos cuentan con amplio respaldo en la literatura de investigación de operaciones e ingeniería industrial, y su combinación —AHP para pesos, TOPSIS para ranking— es una de las configuraciones híbridas más utilizadas en estudios de selección de proveedores en los últimos años.</w:t>
      </w:r>
    </w:p>
    <w:p>
      <w:pPr>
        <w:spacing w:after="200" w:line="360"/>
        <w:jc w:val="both"/>
      </w:pPr>
      <w:r>
        <w:rPr>
          <w:sz w:val="22"/>
          <w:szCs w:val="22"/>
        </w:rPr>
        <w:t xml:space="preserve">El proyecto se desarrolla en el marco del curso IS-489 – Pruebas y Aseguramiento de la Calidad del Software, por lo que, más allá de la implementación funcional del sistema, el énfasis central del trabajo está puesto en la aplicación de un ciclo de vida de software completo con actividades explícitas de verificación y validación: pruebas unitarias sobre la lógica de decisión, pruebas de integración sobre la API y la base de datos, y un pipeline de integración continua que garantiza que ningún cambio futuro rompa el comportamiento verificado del sistema.</w:t>
      </w:r>
    </w:p>
    <w:p>
      <w:pPr>
        <w:spacing w:after="200" w:line="360"/>
        <w:jc w:val="both"/>
      </w:pPr>
      <w:r>
        <w:rPr>
          <w:sz w:val="22"/>
          <w:szCs w:val="22"/>
        </w:rPr>
        <w:t xml:space="preserve">El informe se organiza en cinco capítulos. El Capítulo I plantea el problema de investigación, sus objetivos y su justificación. El Capítulo II desarrolla el marco teórico que sustenta las decisiones de diseño y los antecedentes de investigación relacionados. El Capítulo III describe la metodología de desarrollo (Scrum) y los materiales empleados. El Capítulo IV presenta los resultados obtenidos en cada sprint, incluyendo la evidencia de las pruebas ejecutadas y los defectos reales encontrados y corregidos durante el proceso. Finalmente, el Capítulo V expone las conclusiones y recomendaciones del proyecto.</w:t>
      </w:r>
    </w:p>
    <w:p>
      <w:pPr>
        <w:pStyle w:val="Heading1"/>
        <w:pageBreakBefore/>
        <w:spacing w:after="240" w:before="400"/>
      </w:pPr>
      <w:r>
        <w:rPr>
          <w:b/>
          <w:bCs/>
          <w:color w:val="1F3D5C"/>
        </w:rPr>
        <w:t xml:space="preserve">CAPÍTULO I: PLANTEAMIENTO DEL PROBLEMA</w:t>
      </w:r>
    </w:p>
    <w:p>
      <w:pPr>
        <w:pStyle w:val="Heading2"/>
        <w:spacing w:after="160" w:before="300"/>
      </w:pPr>
      <w:r>
        <w:rPr>
          <w:b/>
          <w:bCs/>
          <w:color w:val="1F3D5C"/>
        </w:rPr>
        <w:t xml:space="preserve">1.1 Descripción de la realidad problemática</w:t>
      </w:r>
    </w:p>
    <w:p>
      <w:pPr>
        <w:spacing w:after="200" w:line="360"/>
        <w:jc w:val="both"/>
      </w:pPr>
      <w:r>
        <w:rPr>
          <w:sz w:val="22"/>
          <w:szCs w:val="22"/>
        </w:rPr>
        <w:t xml:space="preserve">En el sector construcción de la región de Ayacucho, la adquisición de materiales (cemento, acero, agregados, ferretería en general) representa habitualmente entre el 40% y el 60% del costo directo de una obra. Sin embargo, la elección del proveedor para estas adquisiciones rara vez sigue un procedimiento documentado: en la práctica observada en empresas constructoras pequeñas y medianas de la zona, la decisión recae en el criterio individual del responsable de logística o del ingeniero residente, generalmente priorizando el precio unitario más bajo sin ponderar de manera explícita la calidad certificada del material, el cumplimiento histórico de plazos de entrega, la garantía ofrecida o la reputación del proveedor en el mercado local.</w:t>
      </w:r>
    </w:p>
    <w:p>
      <w:pPr>
        <w:spacing w:after="200" w:line="360"/>
        <w:jc w:val="both"/>
      </w:pPr>
      <w:r>
        <w:rPr>
          <w:sz w:val="22"/>
          <w:szCs w:val="22"/>
        </w:rPr>
        <w:t xml:space="preserve">Esta ausencia de un procedimiento estructurado genera al menos tres consecuencias negativas recurrentes: (a) decisiones no trazables, que no pueden auditarse ni justificarse objetivamente ante la gerencia o los clientes; (b) inconsistencia entre distintas obras o distintos responsables de compra, que aplican criterios diferentes sin un marco común; y (c) sobrecostos ocultos derivados de elegir proveedores más baratos pero con mayor tasa de incumplimiento de plazos o menor calidad, lo cual termina generando retrabajos, penalidades contractuales o retrasos en el cronograma de obra.</w:t>
      </w:r>
    </w:p>
    <w:p>
      <w:pPr>
        <w:spacing w:after="200" w:line="360"/>
        <w:jc w:val="both"/>
      </w:pPr>
      <w:r>
        <w:rPr>
          <w:sz w:val="22"/>
          <w:szCs w:val="22"/>
        </w:rPr>
        <w:t xml:space="preserve">Un Sistema de Soporte de Decisiones basado en métodos de decisión multicriterio, como el propuesto en este proyecto, permite abordar esta problemática dotando al proceso de selección de proveedores de una base cuantitativa, objetiva, trazable y auditable, sin eliminar el juicio experto del analista, sino formalizándolo mediante la matriz de comparación por pares del método AHP.</w:t>
      </w:r>
    </w:p>
    <w:p>
      <w:pPr>
        <w:pStyle w:val="Heading2"/>
        <w:spacing w:after="160" w:before="300"/>
      </w:pPr>
      <w:r>
        <w:rPr>
          <w:b/>
          <w:bCs/>
          <w:color w:val="1F3D5C"/>
        </w:rPr>
        <w:t xml:space="preserve">1.2 Formulación del problema</w:t>
      </w:r>
    </w:p>
    <w:p>
      <w:pPr>
        <w:pStyle w:val="Heading3"/>
        <w:spacing w:after="120" w:before="200"/>
      </w:pPr>
      <w:r>
        <w:rPr>
          <w:b/>
          <w:bCs/>
        </w:rPr>
        <w:t xml:space="preserve">1.2.1 Problema general</w:t>
      </w:r>
    </w:p>
    <w:p>
      <w:pPr>
        <w:spacing w:after="200" w:line="360"/>
        <w:jc w:val="both"/>
      </w:pPr>
      <w:r>
        <w:rPr>
          <w:sz w:val="22"/>
          <w:szCs w:val="22"/>
        </w:rPr>
        <w:t xml:space="preserve">¿En qué medida el desarrollo de un Sistema de Soporte de Decisiones basado en los métodos AHP y TOPSIS permite formalizar y objetivar el proceso de selección de proveedores de materiales de construcción en pequeñas y medianas empresas constructoras de la región de Ayacucho?</w:t>
      </w:r>
    </w:p>
    <w:p>
      <w:pPr>
        <w:pStyle w:val="Heading3"/>
        <w:spacing w:after="120" w:before="200"/>
      </w:pPr>
      <w:r>
        <w:rPr>
          <w:b/>
          <w:bCs/>
        </w:rPr>
        <w:t xml:space="preserve">1.2.2 Problemas específicos</w:t>
      </w:r>
    </w:p>
    <w:p>
      <w:pPr>
        <w:pStyle w:val="ListParagraph"/>
        <w:numPr>
          <w:ilvl w:val="0"/>
          <w:numId w:val="1"/>
        </w:numPr>
        <w:spacing w:after="100" w:line="340"/>
      </w:pPr>
      <w:r>
        <w:rPr>
          <w:sz w:val="22"/>
          <w:szCs w:val="22"/>
        </w:rPr>
        <w:t xml:space="preserve">¿Cómo determinar de manera objetiva los pesos relativos de los criterios de selección de proveedores a partir del juicio del analista?</w:t>
      </w:r>
    </w:p>
    <w:p>
      <w:pPr>
        <w:pStyle w:val="ListParagraph"/>
        <w:numPr>
          <w:ilvl w:val="0"/>
          <w:numId w:val="1"/>
        </w:numPr>
        <w:spacing w:after="100" w:line="340"/>
      </w:pPr>
      <w:r>
        <w:rPr>
          <w:sz w:val="22"/>
          <w:szCs w:val="22"/>
        </w:rPr>
        <w:t xml:space="preserve">¿Cómo generar un ranking cuantitativo y consistente de proveedores alternativos a partir de dichos pesos?</w:t>
      </w:r>
    </w:p>
    <w:p>
      <w:pPr>
        <w:pStyle w:val="ListParagraph"/>
        <w:numPr>
          <w:ilvl w:val="0"/>
          <w:numId w:val="1"/>
        </w:numPr>
        <w:spacing w:after="100" w:line="340"/>
      </w:pPr>
      <w:r>
        <w:rPr>
          <w:sz w:val="22"/>
          <w:szCs w:val="22"/>
        </w:rPr>
        <w:t xml:space="preserve">¿Qué nivel de calidad de software (medido en cobertura de pruebas unitarias e integración) es necesario para garantizar la corrección del motor de cálculo del SSD?</w:t>
      </w:r>
    </w:p>
    <w:p>
      <w:pPr>
        <w:pStyle w:val="ListParagraph"/>
        <w:numPr>
          <w:ilvl w:val="0"/>
          <w:numId w:val="1"/>
        </w:numPr>
        <w:spacing w:after="100" w:line="340"/>
      </w:pPr>
      <w:r>
        <w:rPr>
          <w:sz w:val="22"/>
          <w:szCs w:val="22"/>
        </w:rPr>
        <w:t xml:space="preserve">¿Qué arquitectura de software y estrategia de despliegue permiten que el sistema sea accesible y mantenible por una empresa constructora de la región?</w:t>
      </w:r>
    </w:p>
    <w:p>
      <w:pPr>
        <w:pStyle w:val="Heading2"/>
        <w:spacing w:after="160" w:before="300"/>
      </w:pPr>
      <w:r>
        <w:rPr>
          <w:b/>
          <w:bCs/>
          <w:color w:val="1F3D5C"/>
        </w:rPr>
        <w:t xml:space="preserve">1.3 Objetivos</w:t>
      </w:r>
    </w:p>
    <w:p>
      <w:pPr>
        <w:pStyle w:val="Heading3"/>
        <w:spacing w:after="120" w:before="200"/>
      </w:pPr>
      <w:r>
        <w:rPr>
          <w:b/>
          <w:bCs/>
        </w:rPr>
        <w:t xml:space="preserve">1.3.1 Objetivo general</w:t>
      </w:r>
    </w:p>
    <w:p>
      <w:pPr>
        <w:spacing w:after="200" w:line="360"/>
        <w:jc w:val="both"/>
      </w:pPr>
      <w:r>
        <w:rPr>
          <w:sz w:val="22"/>
          <w:szCs w:val="22"/>
        </w:rPr>
        <w:t xml:space="preserve">Desarrollar un Sistema de Soporte de Decisiones basado en los métodos AHP y TOPSIS que formalice el proceso de selección de proveedores de materiales de construcción, aplicando un ciclo de vida de software completo con énfasis en el aseguramiento de la calidad mediante pruebas unitarias y de integración.</w:t>
      </w:r>
    </w:p>
    <w:p>
      <w:pPr>
        <w:pStyle w:val="Heading3"/>
        <w:spacing w:after="120" w:before="200"/>
      </w:pPr>
      <w:r>
        <w:rPr>
          <w:b/>
          <w:bCs/>
        </w:rPr>
        <w:t xml:space="preserve">1.3.2 Objetivos específicos</w:t>
      </w:r>
    </w:p>
    <w:p>
      <w:pPr>
        <w:pStyle w:val="ListParagraph"/>
        <w:numPr>
          <w:ilvl w:val="0"/>
          <w:numId w:val="1"/>
        </w:numPr>
        <w:spacing w:after="100" w:line="340"/>
      </w:pPr>
      <w:r>
        <w:rPr>
          <w:sz w:val="22"/>
          <w:szCs w:val="22"/>
        </w:rPr>
        <w:t xml:space="preserve">Implementar el módulo de cálculo AHP para la ponderación de criterios, incluyendo la validación de la razón de consistencia (CR ≤ 0.10) establecida por Saaty.</w:t>
      </w:r>
    </w:p>
    <w:p>
      <w:pPr>
        <w:pStyle w:val="ListParagraph"/>
        <w:numPr>
          <w:ilvl w:val="0"/>
          <w:numId w:val="1"/>
        </w:numPr>
        <w:spacing w:after="100" w:line="340"/>
      </w:pPr>
      <w:r>
        <w:rPr>
          <w:sz w:val="22"/>
          <w:szCs w:val="22"/>
        </w:rPr>
        <w:t xml:space="preserve">Implementar el módulo de cálculo TOPSIS para el ranking de proveedores alternativos a partir de los pesos obtenidos por AHP.</w:t>
      </w:r>
    </w:p>
    <w:p>
      <w:pPr>
        <w:pStyle w:val="ListParagraph"/>
        <w:numPr>
          <w:ilvl w:val="0"/>
          <w:numId w:val="1"/>
        </w:numPr>
        <w:spacing w:after="100" w:line="340"/>
      </w:pPr>
      <w:r>
        <w:rPr>
          <w:sz w:val="22"/>
          <w:szCs w:val="22"/>
        </w:rPr>
        <w:t xml:space="preserve">Desarrollar una API REST y una interfaz web que permitan gestionar proveedores, registrar evaluaciones y visualizar los resultados del ranking.</w:t>
      </w:r>
    </w:p>
    <w:p>
      <w:pPr>
        <w:pStyle w:val="ListParagraph"/>
        <w:numPr>
          <w:ilvl w:val="0"/>
          <w:numId w:val="1"/>
        </w:numPr>
        <w:spacing w:after="100" w:line="340"/>
      </w:pPr>
      <w:r>
        <w:rPr>
          <w:sz w:val="22"/>
          <w:szCs w:val="22"/>
        </w:rPr>
        <w:t xml:space="preserve">Diseñar y ejecutar una suite de pruebas unitarias que verifiquen matemáticamente la corrección de los algoritmos AHP y TOPSIS.</w:t>
      </w:r>
    </w:p>
    <w:p>
      <w:pPr>
        <w:pStyle w:val="ListParagraph"/>
        <w:numPr>
          <w:ilvl w:val="0"/>
          <w:numId w:val="1"/>
        </w:numPr>
        <w:spacing w:after="100" w:line="340"/>
      </w:pPr>
      <w:r>
        <w:rPr>
          <w:sz w:val="22"/>
          <w:szCs w:val="22"/>
        </w:rPr>
        <w:t xml:space="preserve">Diseñar y ejecutar una suite de pruebas de integración que verifiquen el comportamiento end-to-end de la API contra una base de datos real.</w:t>
      </w:r>
    </w:p>
    <w:p>
      <w:pPr>
        <w:pStyle w:val="ListParagraph"/>
        <w:numPr>
          <w:ilvl w:val="0"/>
          <w:numId w:val="1"/>
        </w:numPr>
        <w:spacing w:after="100" w:line="340"/>
      </w:pPr>
      <w:r>
        <w:rPr>
          <w:sz w:val="22"/>
          <w:szCs w:val="22"/>
        </w:rPr>
        <w:t xml:space="preserve">Contenerizar la aplicación y documentar su despliegue en un entorno productivo.</w:t>
      </w:r>
    </w:p>
    <w:p>
      <w:pPr>
        <w:pStyle w:val="Heading2"/>
        <w:spacing w:after="160" w:before="300"/>
      </w:pPr>
      <w:r>
        <w:rPr>
          <w:b/>
          <w:bCs/>
          <w:color w:val="1F3D5C"/>
        </w:rPr>
        <w:t xml:space="preserve">1.4 Justificación</w:t>
      </w:r>
    </w:p>
    <w:p>
      <w:pPr>
        <w:pStyle w:val="Heading3"/>
        <w:spacing w:after="120" w:before="200"/>
      </w:pPr>
      <w:r>
        <w:rPr>
          <w:b/>
          <w:bCs/>
        </w:rPr>
        <w:t xml:space="preserve">1.4.1 Justificación teórica</w:t>
      </w:r>
    </w:p>
    <w:p>
      <w:pPr>
        <w:spacing w:after="200" w:line="360"/>
        <w:jc w:val="both"/>
      </w:pPr>
      <w:r>
        <w:rPr>
          <w:sz w:val="22"/>
          <w:szCs w:val="22"/>
        </w:rPr>
        <w:t xml:space="preserve">El proyecto aporta una aplicación concreta y verificada de la combinación de métodos AHP-TOPSIS a un contexto de decisión real (selección de proveedores) y a una realidad regional específica (empresas constructoras de Ayacucho), contribuyendo a la literatura aplicada de sistemas de soporte de decisiones en el sector construcción.</w:t>
      </w:r>
    </w:p>
    <w:p>
      <w:pPr>
        <w:pStyle w:val="Heading3"/>
        <w:spacing w:after="120" w:before="200"/>
      </w:pPr>
      <w:r>
        <w:rPr>
          <w:b/>
          <w:bCs/>
        </w:rPr>
        <w:t xml:space="preserve">1.4.2 Justificación práctica</w:t>
      </w:r>
    </w:p>
    <w:p>
      <w:pPr>
        <w:spacing w:after="200" w:line="360"/>
        <w:jc w:val="both"/>
      </w:pPr>
      <w:r>
        <w:rPr>
          <w:sz w:val="22"/>
          <w:szCs w:val="22"/>
        </w:rPr>
        <w:t xml:space="preserve">El sistema desarrollado constituye una herramienta directamente utilizable por empresas constructoras de la región para formalizar sus procesos de compra, reduciendo la subjetividad y aumentando la trazabilidad de las decisiones de abastecimiento.</w:t>
      </w:r>
    </w:p>
    <w:p>
      <w:pPr>
        <w:pStyle w:val="Heading3"/>
        <w:spacing w:after="120" w:before="200"/>
      </w:pPr>
      <w:r>
        <w:rPr>
          <w:b/>
          <w:bCs/>
        </w:rPr>
        <w:t xml:space="preserve">1.4.3 Justificación metodológica</w:t>
      </w:r>
    </w:p>
    <w:p>
      <w:pPr>
        <w:spacing w:after="200" w:line="360"/>
        <w:jc w:val="both"/>
      </w:pPr>
      <w:r>
        <w:rPr>
          <w:sz w:val="22"/>
          <w:szCs w:val="22"/>
        </w:rPr>
        <w:t xml:space="preserve">El proyecto documenta, con evidencia verificable (pruebas ejecutadas, defectos encontrados y corregidos, pipeline de integración continua), la aplicación de un proceso de aseguramiento de calidad de software alineado con los contenidos del curso IS-489, sirviendo como modelo replicable para proyectos académicos similares.</w:t>
      </w:r>
    </w:p>
    <w:p>
      <w:pPr>
        <w:pStyle w:val="Heading2"/>
        <w:spacing w:after="160" w:before="300"/>
      </w:pPr>
      <w:r>
        <w:rPr>
          <w:b/>
          <w:bCs/>
          <w:color w:val="1F3D5C"/>
        </w:rPr>
        <w:t xml:space="preserve">1.5 Delimitación</w:t>
      </w:r>
    </w:p>
    <w:p>
      <w:pPr>
        <w:spacing w:after="200" w:line="360"/>
        <w:jc w:val="both"/>
      </w:pPr>
      <w:r>
        <w:rPr>
          <w:sz w:val="22"/>
          <w:szCs w:val="22"/>
        </w:rPr>
        <w:t xml:space="preserve">Delimitación temática: el proyecto se limita al dominio de selección de proveedores de materiales de construcción; los criterios y datos utilizados como caso de demostración corresponden a este dominio.</w:t>
      </w:r>
    </w:p>
    <w:p>
      <w:pPr>
        <w:spacing w:after="200" w:line="360"/>
        <w:jc w:val="both"/>
      </w:pPr>
      <w:r>
        <w:rPr>
          <w:sz w:val="22"/>
          <w:szCs w:val="22"/>
        </w:rPr>
        <w:t xml:space="preserve">Delimitación espacial: el caso de aplicación se enmarca en la región de Ayacucho, Perú.</w:t>
      </w:r>
    </w:p>
    <w:p>
      <w:pPr>
        <w:spacing w:after="200" w:line="360"/>
        <w:jc w:val="both"/>
      </w:pPr>
      <w:r>
        <w:rPr>
          <w:sz w:val="22"/>
          <w:szCs w:val="22"/>
        </w:rPr>
        <w:t xml:space="preserve">Delimitación temporal: el desarrollo del proyecto se realizó durante el ciclo académico 2026.</w:t>
      </w:r>
    </w:p>
    <w:p>
      <w:pPr>
        <w:pStyle w:val="Heading2"/>
        <w:spacing w:after="160" w:before="300"/>
      </w:pPr>
      <w:r>
        <w:rPr>
          <w:b/>
          <w:bCs/>
          <w:color w:val="1F3D5C"/>
        </w:rPr>
        <w:t xml:space="preserve">1.6 Limitaciones</w:t>
      </w:r>
    </w:p>
    <w:p>
      <w:pPr>
        <w:pStyle w:val="ListParagraph"/>
        <w:numPr>
          <w:ilvl w:val="0"/>
          <w:numId w:val="1"/>
        </w:numPr>
        <w:spacing w:after="100" w:line="340"/>
      </w:pPr>
      <w:r>
        <w:rPr>
          <w:sz w:val="22"/>
          <w:szCs w:val="22"/>
        </w:rPr>
        <w:t xml:space="preserve">Los datos de proveedores utilizados en las pruebas y en la demostración del sistema son datos de referencia construidos para fines académicos, no un relevamiento censal de proveedores reales de la región.</w:t>
      </w:r>
    </w:p>
    <w:p>
      <w:pPr>
        <w:pStyle w:val="ListParagraph"/>
        <w:numPr>
          <w:ilvl w:val="0"/>
          <w:numId w:val="1"/>
        </w:numPr>
        <w:spacing w:after="100" w:line="340"/>
      </w:pPr>
      <w:r>
        <w:rPr>
          <w:sz w:val="22"/>
          <w:szCs w:val="22"/>
        </w:rPr>
        <w:t xml:space="preserve">El sistema no incorpora, en su versión actual, criterios cualitativos difusos (fuzzy AHP/TOPSIS); su alcance se limita a valores numéricos precisos por criterio.</w:t>
      </w:r>
    </w:p>
    <w:p>
      <w:pPr>
        <w:pStyle w:val="ListParagraph"/>
        <w:numPr>
          <w:ilvl w:val="0"/>
          <w:numId w:val="1"/>
        </w:numPr>
        <w:spacing w:after="100" w:line="340"/>
      </w:pPr>
      <w:r>
        <w:rPr>
          <w:sz w:val="22"/>
          <w:szCs w:val="22"/>
        </w:rPr>
        <w:t xml:space="preserve">El despliegue documentado corresponde a un entorno de contenedores Docker verificado en un entorno de desarrollo/CI; no se realizó un despliegue en un servidor de producción con tráfico real.</w:t>
      </w:r>
    </w:p>
    <w:p>
      <w:pPr>
        <w:pStyle w:val="Heading1"/>
        <w:pageBreakBefore/>
        <w:spacing w:after="240" w:before="400"/>
      </w:pPr>
      <w:r>
        <w:rPr>
          <w:b/>
          <w:bCs/>
          <w:color w:val="1F3D5C"/>
        </w:rPr>
        <w:t xml:space="preserve">CAPÍTULO II: MARCO TEÓRICO</w:t>
      </w:r>
    </w:p>
    <w:p>
      <w:pPr>
        <w:pStyle w:val="Heading2"/>
        <w:spacing w:after="160" w:before="300"/>
      </w:pPr>
      <w:r>
        <w:rPr>
          <w:b/>
          <w:bCs/>
          <w:color w:val="1F3D5C"/>
        </w:rPr>
        <w:t xml:space="preserve">2.1 Antecedentes de la investigación</w:t>
      </w:r>
    </w:p>
    <w:p>
      <w:pPr>
        <w:spacing w:after="200" w:line="360"/>
        <w:jc w:val="both"/>
      </w:pPr>
      <w:r>
        <w:rPr>
          <w:sz w:val="22"/>
          <w:szCs w:val="22"/>
        </w:rPr>
        <w:t xml:space="preserve">La combinación de AHP y TOPSIS para problemas de selección de proveedores es una línea de investigación consolidada en ingeniería industrial e investigación de operaciones, con múltiples aplicaciones documentadas en distintos sectores. En el sector construcción específicamente, estudios sobre selección de proveedores de materiales de obra (cemento, arena, acero, agregados) han encontrado que la integración de AHP con TOPSIS constituye una técnica eficiente para elegir al proveedor más adecuado según las prioridades y exigencias particulares de cada organización, superando las limitaciones de aplicar cada método por separado.</w:t>
      </w:r>
    </w:p>
    <w:p>
      <w:pPr>
        <w:spacing w:after="200" w:line="360"/>
        <w:jc w:val="both"/>
      </w:pPr>
      <w:r>
        <w:rPr>
          <w:sz w:val="22"/>
          <w:szCs w:val="22"/>
        </w:rPr>
        <w:t xml:space="preserve">Investigaciones más recientes han extendido este enfoque combinando AHP con ponderación por entropía y TOPSIS para la selección de proveedores de materiales de construcción, evidenciando que los modelos híbridos de decisión multicriterio siguen siendo un área activa de mejora metodológica. En el ámbito de cadenas de suministro sostenibles, revisiones sistemáticas recientes (2018-2022, con más de cien estudios analizados) confirman que AHP-TOPSIS es una de las combinaciones metodológicas más utilizadas para la evaluación de proveedores en distintas industrias, incluyendo casos donde el proveedor mejor posicionado se valida adicionalmente mediante análisis de sensibilidad sobre los pesos de los criterios.</w:t>
      </w:r>
    </w:p>
    <w:p>
      <w:pPr>
        <w:spacing w:after="200" w:line="360"/>
        <w:jc w:val="both"/>
      </w:pPr>
      <w:r>
        <w:rPr>
          <w:sz w:val="22"/>
          <w:szCs w:val="22"/>
        </w:rPr>
        <w:t xml:space="preserve">Otros estudios en sectores como el farmacéutico y el de manufactura de cables han aplicado la misma arquitectura metodológica —AHP para determinar los pesos de criterios como comunicación, flexibilidad, precio, calidad y entrega, y TOPSIS para producir el ranking final— confirmando la generalidad del enfoque más allá de un sector específico. Este proyecto se inserta en esa misma tradición metodológica, particularizándola al contexto de proveedores de materiales de construcción en la región de Ayacucho.</w:t>
      </w:r>
    </w:p>
    <w:p>
      <w:pPr>
        <w:pStyle w:val="Heading2"/>
        <w:spacing w:after="160" w:before="300"/>
      </w:pPr>
      <w:r>
        <w:rPr>
          <w:b/>
          <w:bCs/>
          <w:color w:val="1F3D5C"/>
        </w:rPr>
        <w:t xml:space="preserve">2.2 Sistemas de Soporte de Decisiones (SSD)</w:t>
      </w:r>
    </w:p>
    <w:p>
      <w:pPr>
        <w:spacing w:after="200" w:line="360"/>
        <w:jc w:val="both"/>
      </w:pPr>
      <w:r>
        <w:rPr>
          <w:sz w:val="22"/>
          <w:szCs w:val="22"/>
        </w:rPr>
        <w:t xml:space="preserve">Un Sistema de Soporte de Decisiones (Decision Support System, DSS) es una aplicación informática interactiva que combina datos, modelos analíticos y una interfaz de usuario para asistir a un tomador de decisiones en problemas semiestructurados o no estructurados, sin sustituir su juicio, sino potenciándolo con información y cálculos que serían impracticables de realizar manualmente. El modelo clásico de Sprague y Watson describe un SSD como la integración de tres componentes: un subsistema de gestión de datos, un subsistema de gestión de modelos (en este proyecto, los módulos AHP y TOPSIS) y un subsistema de interfaz de diálogo con el usuario (en este proyecto, la aplicación web en React).</w:t>
      </w:r>
    </w:p>
    <w:p>
      <w:pPr>
        <w:pStyle w:val="Heading2"/>
        <w:spacing w:after="160" w:before="300"/>
      </w:pPr>
      <w:r>
        <w:rPr>
          <w:b/>
          <w:bCs/>
          <w:color w:val="1F3D5C"/>
        </w:rPr>
        <w:t xml:space="preserve">2.3 Proceso Analítico Jerárquico (AHP)</w:t>
      </w:r>
    </w:p>
    <w:p>
      <w:pPr>
        <w:spacing w:after="200" w:line="360"/>
        <w:jc w:val="both"/>
      </w:pPr>
      <w:r>
        <w:rPr>
          <w:sz w:val="22"/>
          <w:szCs w:val="22"/>
        </w:rPr>
        <w:t xml:space="preserve">El Proceso Analítico Jerárquico (Analytic Hierarchy Process, AHP), propuesto por Thomas L. Saaty, es un método de decisión multicriterio que estructura un problema de decisión en una jerarquía de criterios y alternativas, y deriva pesos de prioridad a partir de comparaciones por pares entre elementos del mismo nivel jerárquico. Cada comparación se expresa en una escala fundamental de 1 a 9 (escala de Saaty), donde 1 significa igual importancia entre dos criterios y 9 significa que uno es extremadamente más importante que el otro.</w:t>
      </w:r>
    </w:p>
    <w:p>
      <w:pPr>
        <w:spacing w:after="200" w:line="360"/>
        <w:jc w:val="both"/>
      </w:pPr>
      <w:r>
        <w:rPr>
          <w:sz w:val="22"/>
          <w:szCs w:val="22"/>
        </w:rPr>
        <w:t xml:space="preserve">A partir de la matriz de comparación por pares, el método deriva un vector de pesos (mediante el cálculo del autovector principal o, como aproximación práctica ampliamente aceptada, mediante la normalización de columnas y el promedio de filas) y calcula un Índice de Consistencia (CI) que se contrasta contra un Índice Aleatorio (RI) tabulado según el orden de la matriz, obteniendo la Razón de Consistencia CR = CI / RI. Saaty estableció que una matriz de comparación se considera aceptable si CR ≤ 0.10; valores superiores indican juicios contradictorios que deben revisarse antes de continuar con el análisis. Este proyecto implementa exactamente este criterio de aceptación en el módulo AHP del sistema.</w:t>
      </w:r>
    </w:p>
    <w:p>
      <w:pPr>
        <w:pStyle w:val="Heading2"/>
        <w:spacing w:after="160" w:before="300"/>
      </w:pPr>
      <w:r>
        <w:rPr>
          <w:b/>
          <w:bCs/>
          <w:color w:val="1F3D5C"/>
        </w:rPr>
        <w:t xml:space="preserve">2.4 Técnica TOPSIS</w:t>
      </w:r>
    </w:p>
    <w:p>
      <w:pPr>
        <w:spacing w:after="200" w:line="360"/>
        <w:jc w:val="both"/>
      </w:pPr>
      <w:r>
        <w:rPr>
          <w:sz w:val="22"/>
          <w:szCs w:val="22"/>
        </w:rPr>
        <w:t xml:space="preserve">La Técnica para el Orden de Preferencia por Similitud a la Solución Ideal (TOPSIS), propuesta por Hwang y Yoon, ordena un conjunto de alternativas según su distancia relativa respecto de dos soluciones de referencia: una solución ideal positiva (compuesta por los mejores valores posibles de cada criterio) y una solución ideal negativa (compuesta por los peores valores posibles). El procedimiento normaliza la matriz de decisión, la pondera con los pesos de los criterios (en este proyecto, obtenidos del módulo AHP), calcula las distancias euclidianas de cada alternativa a ambas soluciones ideales, y deriva un coeficiente de cercanía relativa (CC*) entre 0 y 1: cuanto más cercano a 1, mejor posicionada está la alternativa respecto del ideal.</w:t>
      </w:r>
    </w:p>
    <w:p>
      <w:pPr>
        <w:spacing w:after="200" w:line="360"/>
        <w:jc w:val="both"/>
      </w:pPr>
      <w:r>
        <w:rPr>
          <w:sz w:val="22"/>
          <w:szCs w:val="22"/>
        </w:rPr>
        <w:t xml:space="preserve">Una ventaja práctica de TOPSIS frente a otros métodos de ranking es que admite simultáneamente criterios de tipo beneficio (donde un valor mayor es preferible, como la calidad o la garantía) y criterios de tipo costo (donde un valor menor es preferible, como el precio o el plazo de entrega), tratando cada tipo de forma diferenciada al construir las soluciones ideales.</w:t>
      </w:r>
    </w:p>
    <w:p>
      <w:pPr>
        <w:pStyle w:val="Heading2"/>
        <w:spacing w:after="160" w:before="300"/>
      </w:pPr>
      <w:r>
        <w:rPr>
          <w:b/>
          <w:bCs/>
          <w:color w:val="1F3D5C"/>
        </w:rPr>
        <w:t xml:space="preserve">2.5 Ciclo de vida del software y metodología Scrum</w:t>
      </w:r>
    </w:p>
    <w:p>
      <w:pPr>
        <w:spacing w:after="200" w:line="360"/>
        <w:jc w:val="both"/>
      </w:pPr>
      <w:r>
        <w:rPr>
          <w:sz w:val="22"/>
          <w:szCs w:val="22"/>
        </w:rPr>
        <w:t xml:space="preserve">El desarrollo del sistema siguió un ciclo de vida de software iterativo e incremental, organizado según el marco de trabajo Scrum. Scrum estructura el desarrollo en iteraciones cortas (sprints), cada una de las cuales produce un incremento funcional del producto, y se apoya en eventos de inspección y adaptación (planificación de sprint, revisión de sprint, retrospectiva) que permiten ajustar el rumbo del proyecto de forma temprana. Este enfoque resulta especialmente adecuado para proyectos académicos con alcance evolutivo, ya que permite verificar la calidad del incremento entregado en cada sprint antes de avanzar al siguiente, en lugar de posponer todo el aseguramiento de calidad al final del proyecto.</w:t>
      </w:r>
    </w:p>
    <w:p>
      <w:pPr>
        <w:pStyle w:val="Heading2"/>
        <w:spacing w:after="160" w:before="300"/>
      </w:pPr>
      <w:r>
        <w:rPr>
          <w:b/>
          <w:bCs/>
          <w:color w:val="1F3D5C"/>
        </w:rPr>
        <w:t xml:space="preserve">2.6 Aseguramiento de la calidad de software: pruebas unitarias y de integración</w:t>
      </w:r>
    </w:p>
    <w:p>
      <w:pPr>
        <w:spacing w:after="200" w:line="360"/>
        <w:jc w:val="both"/>
      </w:pPr>
      <w:r>
        <w:rPr>
          <w:sz w:val="22"/>
          <w:szCs w:val="22"/>
        </w:rPr>
        <w:t xml:space="preserve">El aseguramiento de la calidad de software comprende el conjunto de actividades planificadas y sistemáticas necesarias para proporcionar confianza en que un producto de software satisface los requisitos de calidad establecidos. Dentro de la pirámide de pruebas, las pruebas unitarias verifican el comportamiento de la unidad de código más pequeña posible (una función o módulo) de forma aislada, sin dependencias externas; en este proyecto, las pruebas unitarias verifican los módulos AHP y TOPSIS de forma aislada, sin necesidad de una base de datos ni un servidor HTTP.</w:t>
      </w:r>
    </w:p>
    <w:p>
      <w:pPr>
        <w:spacing w:after="200" w:line="360"/>
        <w:jc w:val="both"/>
      </w:pPr>
      <w:r>
        <w:rPr>
          <w:sz w:val="22"/>
          <w:szCs w:val="22"/>
        </w:rPr>
        <w:t xml:space="preserve">Las pruebas de integración, en cambio, verifican que distintos componentes del sistema funcionen correctamente en conjunto; en este proyecto, las pruebas de integración ejercitan la API REST completa —incluyendo autenticación, enrutamiento, controladores y acceso a una base de datos MySQL real— replicando el comportamiento que tendría un cliente real (la aplicación web) consumiendo la API.</w:t>
      </w:r>
    </w:p>
    <w:p>
      <w:pPr>
        <w:spacing w:after="200" w:line="360"/>
        <w:jc w:val="both"/>
      </w:pPr>
      <w:r>
        <w:rPr>
          <w:sz w:val="22"/>
          <w:szCs w:val="22"/>
        </w:rPr>
        <w:t xml:space="preserve">Como referencia de calidad de producto de software, este proyecto toma en consideración las características del modelo ISO/IEC 25010 (funcionalidad, fiabilidad, usabilidad, eficiencia de desempeño, mantenibilidad, entre otras), y como referencia de documentación y organización del proceso de pruebas, los lineamientos generales de la norma IEEE 829 para la documentación de planes y casos de prueba.</w:t>
      </w:r>
    </w:p>
    <w:p>
      <w:pPr>
        <w:pStyle w:val="Heading2"/>
        <w:spacing w:after="160" w:before="300"/>
      </w:pPr>
      <w:r>
        <w:rPr>
          <w:b/>
          <w:bCs/>
          <w:color w:val="1F3D5C"/>
        </w:rPr>
        <w:t xml:space="preserve">2.7 Arquitectura de tres capas y stack tecnológico</w:t>
      </w:r>
    </w:p>
    <w:p>
      <w:pPr>
        <w:spacing w:after="200" w:line="360"/>
        <w:jc w:val="both"/>
      </w:pPr>
      <w:r>
        <w:rPr>
          <w:sz w:val="22"/>
          <w:szCs w:val="22"/>
        </w:rPr>
        <w:t xml:space="preserve">El sistema se implementó siguiendo una arquitectura de tres capas: una capa de presentación (interfaz web construida en React), una capa de lógica de negocio (API REST construida en Node.js con el framework Express, que expone los módulos AHP y TOPSIS) y una capa de datos (base de datos relacional MySQL). Esta separación de responsabilidades facilita las pruebas independientes de cada capa y la posibilidad de escalar o reemplazar cada componente de forma independiente.</w:t>
      </w:r>
    </w:p>
    <w:p>
      <w:pPr>
        <w:pStyle w:val="Heading2"/>
        <w:spacing w:after="160" w:before="300"/>
      </w:pPr>
      <w:r>
        <w:rPr>
          <w:b/>
          <w:bCs/>
          <w:color w:val="1F3D5C"/>
        </w:rPr>
        <w:t xml:space="preserve">2.8 Definiciones operacionales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3D5C" w:val="clear"/>
            <w:tcMar>
              <w:top w:type="dxa" w:w="80"/>
              <w:left w:type="dxa" w:w="100"/>
              <w:bottom w:type="dxa" w:w="80"/>
              <w:right w:type="dxa" w:w="100"/>
            </w:tcMar>
            <w:vAlign w:val="center"/>
          </w:tcPr>
          <w:p>
            <w:pPr>
              <w:jc w:val="left"/>
            </w:pPr>
            <w:r>
              <w:rPr>
                <w:b/>
                <w:bCs/>
                <w:color w:val="FFFFFF"/>
                <w:sz w:val="20"/>
                <w:szCs w:val="20"/>
              </w:rPr>
              <w:t xml:space="preserve">Término</w:t>
            </w:r>
          </w:p>
        </w:tc>
        <w:tc>
          <w:tcPr>
            <w:tcW w:type="dxa" w:w="6000"/>
            <w:shd w:fill="1F3D5C" w:val="clear"/>
            <w:tcMar>
              <w:top w:type="dxa" w:w="80"/>
              <w:left w:type="dxa" w:w="100"/>
              <w:bottom w:type="dxa" w:w="80"/>
              <w:right w:type="dxa" w:w="100"/>
            </w:tcMar>
            <w:vAlign w:val="center"/>
          </w:tcPr>
          <w:p>
            <w:pPr>
              <w:jc w:val="left"/>
            </w:pPr>
            <w:r>
              <w:rPr>
                <w:b/>
                <w:bCs/>
                <w:color w:val="FFFFFF"/>
                <w:sz w:val="20"/>
                <w:szCs w:val="20"/>
              </w:rPr>
              <w:t xml:space="preserve">Definición operacional en este proyecto</w:t>
            </w:r>
          </w:p>
        </w:tc>
      </w:tr>
      <w:tr>
        <w:tc>
          <w:tcPr>
            <w:tcW w:type="dxa" w:w="3000"/>
            <w:tcMar>
              <w:top w:type="dxa" w:w="80"/>
              <w:left w:type="dxa" w:w="100"/>
              <w:bottom w:type="dxa" w:w="80"/>
              <w:right w:type="dxa" w:w="100"/>
            </w:tcMar>
            <w:vAlign w:val="center"/>
          </w:tcPr>
          <w:p>
            <w:pPr>
              <w:jc w:val="left"/>
            </w:pPr>
            <w:r>
              <w:rPr>
                <w:sz w:val="20"/>
                <w:szCs w:val="20"/>
              </w:rPr>
              <w:t xml:space="preserve">Criterio</w:t>
            </w:r>
          </w:p>
        </w:tc>
        <w:tc>
          <w:tcPr>
            <w:tcW w:type="dxa" w:w="6000"/>
            <w:tcMar>
              <w:top w:type="dxa" w:w="80"/>
              <w:left w:type="dxa" w:w="100"/>
              <w:bottom w:type="dxa" w:w="80"/>
              <w:right w:type="dxa" w:w="100"/>
            </w:tcMar>
            <w:vAlign w:val="center"/>
          </w:tcPr>
          <w:p>
            <w:pPr>
              <w:jc w:val="left"/>
            </w:pPr>
            <w:r>
              <w:rPr>
                <w:sz w:val="20"/>
                <w:szCs w:val="20"/>
              </w:rPr>
              <w:t xml:space="preserve">Atributo medible utilizado para comparar proveedores (p. ej. precio, calidad, plazo).</w:t>
            </w:r>
          </w:p>
        </w:tc>
      </w:tr>
      <w:tr>
        <w:tc>
          <w:tcPr>
            <w:tcW w:type="dxa" w:w="3000"/>
            <w:tcMar>
              <w:top w:type="dxa" w:w="80"/>
              <w:left w:type="dxa" w:w="100"/>
              <w:bottom w:type="dxa" w:w="80"/>
              <w:right w:type="dxa" w:w="100"/>
            </w:tcMar>
            <w:vAlign w:val="center"/>
          </w:tcPr>
          <w:p>
            <w:pPr>
              <w:jc w:val="left"/>
            </w:pPr>
            <w:r>
              <w:rPr>
                <w:sz w:val="20"/>
                <w:szCs w:val="20"/>
              </w:rPr>
              <w:t xml:space="preserve">Alternativa</w:t>
            </w:r>
          </w:p>
        </w:tc>
        <w:tc>
          <w:tcPr>
            <w:tcW w:type="dxa" w:w="6000"/>
            <w:tcMar>
              <w:top w:type="dxa" w:w="80"/>
              <w:left w:type="dxa" w:w="100"/>
              <w:bottom w:type="dxa" w:w="80"/>
              <w:right w:type="dxa" w:w="100"/>
            </w:tcMar>
            <w:vAlign w:val="center"/>
          </w:tcPr>
          <w:p>
            <w:pPr>
              <w:jc w:val="left"/>
            </w:pPr>
            <w:r>
              <w:rPr>
                <w:sz w:val="20"/>
                <w:szCs w:val="20"/>
              </w:rPr>
              <w:t xml:space="preserve">Cada proveedor evaluado dentro de una corrida del SSD.</w:t>
            </w:r>
          </w:p>
        </w:tc>
      </w:tr>
      <w:tr>
        <w:tc>
          <w:tcPr>
            <w:tcW w:type="dxa" w:w="3000"/>
            <w:tcMar>
              <w:top w:type="dxa" w:w="80"/>
              <w:left w:type="dxa" w:w="100"/>
              <w:bottom w:type="dxa" w:w="80"/>
              <w:right w:type="dxa" w:w="100"/>
            </w:tcMar>
            <w:vAlign w:val="center"/>
          </w:tcPr>
          <w:p>
            <w:pPr>
              <w:jc w:val="left"/>
            </w:pPr>
            <w:r>
              <w:rPr>
                <w:sz w:val="20"/>
                <w:szCs w:val="20"/>
              </w:rPr>
              <w:t xml:space="preserve">Matriz de comparación por pares</w:t>
            </w:r>
          </w:p>
        </w:tc>
        <w:tc>
          <w:tcPr>
            <w:tcW w:type="dxa" w:w="6000"/>
            <w:tcMar>
              <w:top w:type="dxa" w:w="80"/>
              <w:left w:type="dxa" w:w="100"/>
              <w:bottom w:type="dxa" w:w="80"/>
              <w:right w:type="dxa" w:w="100"/>
            </w:tcMar>
            <w:vAlign w:val="center"/>
          </w:tcPr>
          <w:p>
            <w:pPr>
              <w:jc w:val="left"/>
            </w:pPr>
            <w:r>
              <w:rPr>
                <w:sz w:val="20"/>
                <w:szCs w:val="20"/>
              </w:rPr>
              <w:t xml:space="preserve">Matriz n×n recíproca donde cada celda expresa cuántas veces más importante es un criterio respecto de otro, según la escala de Saaty.</w:t>
            </w:r>
          </w:p>
        </w:tc>
      </w:tr>
      <w:tr>
        <w:tc>
          <w:tcPr>
            <w:tcW w:type="dxa" w:w="3000"/>
            <w:tcMar>
              <w:top w:type="dxa" w:w="80"/>
              <w:left w:type="dxa" w:w="100"/>
              <w:bottom w:type="dxa" w:w="80"/>
              <w:right w:type="dxa" w:w="100"/>
            </w:tcMar>
            <w:vAlign w:val="center"/>
          </w:tcPr>
          <w:p>
            <w:pPr>
              <w:jc w:val="left"/>
            </w:pPr>
            <w:r>
              <w:rPr>
                <w:sz w:val="20"/>
                <w:szCs w:val="20"/>
              </w:rPr>
              <w:t xml:space="preserve">Razón de Consistencia (CR)</w:t>
            </w:r>
          </w:p>
        </w:tc>
        <w:tc>
          <w:tcPr>
            <w:tcW w:type="dxa" w:w="6000"/>
            <w:tcMar>
              <w:top w:type="dxa" w:w="80"/>
              <w:left w:type="dxa" w:w="100"/>
              <w:bottom w:type="dxa" w:w="80"/>
              <w:right w:type="dxa" w:w="100"/>
            </w:tcMar>
            <w:vAlign w:val="center"/>
          </w:tcPr>
          <w:p>
            <w:pPr>
              <w:jc w:val="left"/>
            </w:pPr>
            <w:r>
              <w:rPr>
                <w:sz w:val="20"/>
                <w:szCs w:val="20"/>
              </w:rPr>
              <w:t xml:space="preserve">Indicador que mide qué tan coherentes son los juicios de comparación; se acepta si CR ≤ 0.10.</w:t>
            </w:r>
          </w:p>
        </w:tc>
      </w:tr>
      <w:tr>
        <w:tc>
          <w:tcPr>
            <w:tcW w:type="dxa" w:w="3000"/>
            <w:tcMar>
              <w:top w:type="dxa" w:w="80"/>
              <w:left w:type="dxa" w:w="100"/>
              <w:bottom w:type="dxa" w:w="80"/>
              <w:right w:type="dxa" w:w="100"/>
            </w:tcMar>
            <w:vAlign w:val="center"/>
          </w:tcPr>
          <w:p>
            <w:pPr>
              <w:jc w:val="left"/>
            </w:pPr>
            <w:r>
              <w:rPr>
                <w:sz w:val="20"/>
                <w:szCs w:val="20"/>
              </w:rPr>
              <w:t xml:space="preserve">Coeficiente de cercanía (CC*)</w:t>
            </w:r>
          </w:p>
        </w:tc>
        <w:tc>
          <w:tcPr>
            <w:tcW w:type="dxa" w:w="6000"/>
            <w:tcMar>
              <w:top w:type="dxa" w:w="80"/>
              <w:left w:type="dxa" w:w="100"/>
              <w:bottom w:type="dxa" w:w="80"/>
              <w:right w:type="dxa" w:w="100"/>
            </w:tcMar>
            <w:vAlign w:val="center"/>
          </w:tcPr>
          <w:p>
            <w:pPr>
              <w:jc w:val="left"/>
            </w:pPr>
            <w:r>
              <w:rPr>
                <w:sz w:val="20"/>
                <w:szCs w:val="20"/>
              </w:rPr>
              <w:t xml:space="preserve">Valor entre 0 y 1 que indica qué tan cerca está una alternativa de la solución ideal positiva; a mayor valor, mejor ranking.</w:t>
            </w:r>
          </w:p>
        </w:tc>
      </w:tr>
    </w:tbl>
    <w:p>
      <w:pPr>
        <w:pStyle w:val="Heading2"/>
        <w:spacing w:after="160" w:before="300"/>
      </w:pPr>
      <w:r>
        <w:rPr>
          <w:b/>
          <w:bCs/>
          <w:color w:val="1F3D5C"/>
        </w:rPr>
        <w:t xml:space="preserve">2.9 Referencias del marco teórico</w:t>
      </w:r>
    </w:p>
    <w:p>
      <w:pPr>
        <w:spacing w:after="200" w:line="360"/>
        <w:jc w:val="both"/>
      </w:pPr>
      <w:r>
        <w:rPr>
          <w:sz w:val="22"/>
          <w:szCs w:val="22"/>
        </w:rPr>
        <w:t xml:space="preserve">Las referencias completas en formato bibliográfico se detallan en el capítulo de Referencias Bibliográficas al final del presente informe.</w:t>
      </w:r>
    </w:p>
    <w:p>
      <w:pPr>
        <w:pStyle w:val="Heading1"/>
        <w:pageBreakBefore/>
        <w:spacing w:after="240" w:before="400"/>
      </w:pPr>
      <w:r>
        <w:rPr>
          <w:b/>
          <w:bCs/>
          <w:color w:val="1F3D5C"/>
        </w:rPr>
        <w:t xml:space="preserve">CAPÍTULO III: MATERIAL Y MÉTODOS</w:t>
      </w:r>
    </w:p>
    <w:p>
      <w:pPr>
        <w:pStyle w:val="Heading2"/>
        <w:spacing w:after="160" w:before="300"/>
      </w:pPr>
      <w:r>
        <w:rPr>
          <w:b/>
          <w:bCs/>
          <w:color w:val="1F3D5C"/>
        </w:rPr>
        <w:t xml:space="preserve">3.1 Tipo y nivel de investigación</w:t>
      </w:r>
    </w:p>
    <w:p>
      <w:pPr>
        <w:spacing w:after="200" w:line="360"/>
        <w:jc w:val="both"/>
      </w:pPr>
      <w:r>
        <w:rPr>
          <w:sz w:val="22"/>
          <w:szCs w:val="22"/>
        </w:rPr>
        <w:t xml:space="preserve">El proyecto corresponde a una investigación de tipo aplicada, orientada al desarrollo de una solución tecnológica concreta (el SSD) para un problema práctico identificado (la selección no estructurada de proveedores). El nivel de investigación es tecnológico-descriptivo: se describe y se construye un artefacto de software, y se documenta y verifica su comportamiento mediante pruebas, sin pretender generalizar estadísticamente resultados a una población de empresas.</w:t>
      </w:r>
    </w:p>
    <w:p>
      <w:pPr>
        <w:pStyle w:val="Heading2"/>
        <w:spacing w:after="160" w:before="300"/>
      </w:pPr>
      <w:r>
        <w:rPr>
          <w:b/>
          <w:bCs/>
          <w:color w:val="1F3D5C"/>
        </w:rPr>
        <w:t xml:space="preserve">3.2 Diseño metodológico de desarrollo: Scrum</w:t>
      </w:r>
    </w:p>
    <w:p>
      <w:pPr>
        <w:spacing w:after="200" w:line="360"/>
        <w:jc w:val="both"/>
      </w:pPr>
      <w:r>
        <w:rPr>
          <w:sz w:val="22"/>
          <w:szCs w:val="22"/>
        </w:rPr>
        <w:t xml:space="preserve">El desarrollo se organizó en cinco sprints incrementales, cada uno con un objetivo claro de incremento funcional y verificable mediante pruebas: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4500"/>
        <w:gridCol w:w="3200"/>
      </w:tblGrid>
      <w:tr>
        <w:trPr>
          <w:tblHeader/>
        </w:trPr>
        <w:tc>
          <w:tcPr>
            <w:tcW w:type="dxa" w:w="1300"/>
            <w:shd w:fill="1F3D5C" w:val="clear"/>
            <w:tcMar>
              <w:top w:type="dxa" w:w="80"/>
              <w:left w:type="dxa" w:w="100"/>
              <w:bottom w:type="dxa" w:w="80"/>
              <w:right w:type="dxa" w:w="100"/>
            </w:tcMar>
            <w:vAlign w:val="center"/>
          </w:tcPr>
          <w:p>
            <w:pPr>
              <w:jc w:val="left"/>
            </w:pPr>
            <w:r>
              <w:rPr>
                <w:b/>
                <w:bCs/>
                <w:color w:val="FFFFFF"/>
                <w:sz w:val="20"/>
                <w:szCs w:val="20"/>
              </w:rPr>
              <w:t xml:space="preserve">Sprint</w:t>
            </w:r>
          </w:p>
        </w:tc>
        <w:tc>
          <w:tcPr>
            <w:tcW w:type="dxa" w:w="4500"/>
            <w:shd w:fill="1F3D5C" w:val="clear"/>
            <w:tcMar>
              <w:top w:type="dxa" w:w="80"/>
              <w:left w:type="dxa" w:w="100"/>
              <w:bottom w:type="dxa" w:w="80"/>
              <w:right w:type="dxa" w:w="100"/>
            </w:tcMar>
            <w:vAlign w:val="center"/>
          </w:tcPr>
          <w:p>
            <w:pPr>
              <w:jc w:val="left"/>
            </w:pPr>
            <w:r>
              <w:rPr>
                <w:b/>
                <w:bCs/>
                <w:color w:val="FFFFFF"/>
                <w:sz w:val="20"/>
                <w:szCs w:val="20"/>
              </w:rPr>
              <w:t xml:space="preserve">Objetivo del incremento</w:t>
            </w:r>
          </w:p>
        </w:tc>
        <w:tc>
          <w:tcPr>
            <w:tcW w:type="dxa" w:w="3200"/>
            <w:shd w:fill="1F3D5C" w:val="clear"/>
            <w:tcMar>
              <w:top w:type="dxa" w:w="80"/>
              <w:left w:type="dxa" w:w="100"/>
              <w:bottom w:type="dxa" w:w="80"/>
              <w:right w:type="dxa" w:w="100"/>
            </w:tcMar>
            <w:vAlign w:val="center"/>
          </w:tcPr>
          <w:p>
            <w:pPr>
              <w:jc w:val="left"/>
            </w:pPr>
            <w:r>
              <w:rPr>
                <w:b/>
                <w:bCs/>
                <w:color w:val="FFFFFF"/>
                <w:sz w:val="20"/>
                <w:szCs w:val="20"/>
              </w:rPr>
              <w:t xml:space="preserve">Entregable verificable</w:t>
            </w:r>
          </w:p>
        </w:tc>
      </w:tr>
      <w:tr>
        <w:tc>
          <w:tcPr>
            <w:tcW w:type="dxa" w:w="1300"/>
            <w:tcMar>
              <w:top w:type="dxa" w:w="80"/>
              <w:left w:type="dxa" w:w="100"/>
              <w:bottom w:type="dxa" w:w="80"/>
              <w:right w:type="dxa" w:w="100"/>
            </w:tcMar>
            <w:vAlign w:val="center"/>
          </w:tcPr>
          <w:p>
            <w:pPr>
              <w:jc w:val="left"/>
            </w:pPr>
            <w:r>
              <w:rPr>
                <w:sz w:val="20"/>
                <w:szCs w:val="20"/>
              </w:rPr>
              <w:t xml:space="preserve">Sprint 1</w:t>
            </w:r>
          </w:p>
        </w:tc>
        <w:tc>
          <w:tcPr>
            <w:tcW w:type="dxa" w:w="4500"/>
            <w:tcMar>
              <w:top w:type="dxa" w:w="80"/>
              <w:left w:type="dxa" w:w="100"/>
              <w:bottom w:type="dxa" w:w="80"/>
              <w:right w:type="dxa" w:w="100"/>
            </w:tcMar>
            <w:vAlign w:val="center"/>
          </w:tcPr>
          <w:p>
            <w:pPr>
              <w:jc w:val="left"/>
            </w:pPr>
            <w:r>
              <w:rPr>
                <w:sz w:val="20"/>
                <w:szCs w:val="20"/>
              </w:rPr>
              <w:t xml:space="preserve">Diseño de base de datos y configuración base del backend</w:t>
            </w:r>
          </w:p>
        </w:tc>
        <w:tc>
          <w:tcPr>
            <w:tcW w:type="dxa" w:w="3200"/>
            <w:tcMar>
              <w:top w:type="dxa" w:w="80"/>
              <w:left w:type="dxa" w:w="100"/>
              <w:bottom w:type="dxa" w:w="80"/>
              <w:right w:type="dxa" w:w="100"/>
            </w:tcMar>
            <w:vAlign w:val="center"/>
          </w:tcPr>
          <w:p>
            <w:pPr>
              <w:jc w:val="left"/>
            </w:pPr>
            <w:r>
              <w:rPr>
                <w:sz w:val="20"/>
                <w:szCs w:val="20"/>
              </w:rPr>
              <w:t xml:space="preserve">Esquema MySQL (4 tablas) + modelos de acceso a datos</w:t>
            </w:r>
          </w:p>
        </w:tc>
      </w:tr>
      <w:tr>
        <w:tc>
          <w:tcPr>
            <w:tcW w:type="dxa" w:w="1300"/>
            <w:tcMar>
              <w:top w:type="dxa" w:w="80"/>
              <w:left w:type="dxa" w:w="100"/>
              <w:bottom w:type="dxa" w:w="80"/>
              <w:right w:type="dxa" w:w="100"/>
            </w:tcMar>
            <w:vAlign w:val="center"/>
          </w:tcPr>
          <w:p>
            <w:pPr>
              <w:jc w:val="left"/>
            </w:pPr>
            <w:r>
              <w:rPr>
                <w:sz w:val="20"/>
                <w:szCs w:val="20"/>
              </w:rPr>
              <w:t xml:space="preserve">Sprint 2</w:t>
            </w:r>
          </w:p>
        </w:tc>
        <w:tc>
          <w:tcPr>
            <w:tcW w:type="dxa" w:w="4500"/>
            <w:tcMar>
              <w:top w:type="dxa" w:w="80"/>
              <w:left w:type="dxa" w:w="100"/>
              <w:bottom w:type="dxa" w:w="80"/>
              <w:right w:type="dxa" w:w="100"/>
            </w:tcMar>
            <w:vAlign w:val="center"/>
          </w:tcPr>
          <w:p>
            <w:pPr>
              <w:jc w:val="left"/>
            </w:pPr>
            <w:r>
              <w:rPr>
                <w:sz w:val="20"/>
                <w:szCs w:val="20"/>
              </w:rPr>
              <w:t xml:space="preserve">Núcleo de decisión: módulos AHP y TOPSIS</w:t>
            </w:r>
          </w:p>
        </w:tc>
        <w:tc>
          <w:tcPr>
            <w:tcW w:type="dxa" w:w="3200"/>
            <w:tcMar>
              <w:top w:type="dxa" w:w="80"/>
              <w:left w:type="dxa" w:w="100"/>
              <w:bottom w:type="dxa" w:w="80"/>
              <w:right w:type="dxa" w:w="100"/>
            </w:tcMar>
            <w:vAlign w:val="center"/>
          </w:tcPr>
          <w:p>
            <w:pPr>
              <w:jc w:val="left"/>
            </w:pPr>
            <w:r>
              <w:rPr>
                <w:sz w:val="20"/>
                <w:szCs w:val="20"/>
              </w:rPr>
              <w:t xml:space="preserve">16 pruebas unitarias (100% de los casos definidos)</w:t>
            </w:r>
          </w:p>
        </w:tc>
      </w:tr>
      <w:tr>
        <w:tc>
          <w:tcPr>
            <w:tcW w:type="dxa" w:w="1300"/>
            <w:tcMar>
              <w:top w:type="dxa" w:w="80"/>
              <w:left w:type="dxa" w:w="100"/>
              <w:bottom w:type="dxa" w:w="80"/>
              <w:right w:type="dxa" w:w="100"/>
            </w:tcMar>
            <w:vAlign w:val="center"/>
          </w:tcPr>
          <w:p>
            <w:pPr>
              <w:jc w:val="left"/>
            </w:pPr>
            <w:r>
              <w:rPr>
                <w:sz w:val="20"/>
                <w:szCs w:val="20"/>
              </w:rPr>
              <w:t xml:space="preserve">Sprint 3</w:t>
            </w:r>
          </w:p>
        </w:tc>
        <w:tc>
          <w:tcPr>
            <w:tcW w:type="dxa" w:w="4500"/>
            <w:tcMar>
              <w:top w:type="dxa" w:w="80"/>
              <w:left w:type="dxa" w:w="100"/>
              <w:bottom w:type="dxa" w:w="80"/>
              <w:right w:type="dxa" w:w="100"/>
            </w:tcMar>
            <w:vAlign w:val="center"/>
          </w:tcPr>
          <w:p>
            <w:pPr>
              <w:jc w:val="left"/>
            </w:pPr>
            <w:r>
              <w:rPr>
                <w:sz w:val="20"/>
                <w:szCs w:val="20"/>
              </w:rPr>
              <w:t xml:space="preserve">API REST: autenticación, CRUD de proveedores, endpoint de evaluación</w:t>
            </w:r>
          </w:p>
        </w:tc>
        <w:tc>
          <w:tcPr>
            <w:tcW w:type="dxa" w:w="3200"/>
            <w:tcMar>
              <w:top w:type="dxa" w:w="80"/>
              <w:left w:type="dxa" w:w="100"/>
              <w:bottom w:type="dxa" w:w="80"/>
              <w:right w:type="dxa" w:w="100"/>
            </w:tcMar>
            <w:vAlign w:val="center"/>
          </w:tcPr>
          <w:p>
            <w:pPr>
              <w:jc w:val="left"/>
            </w:pPr>
            <w:r>
              <w:rPr>
                <w:sz w:val="20"/>
                <w:szCs w:val="20"/>
              </w:rPr>
              <w:t xml:space="preserve">16 pruebas de integración contra MySQL real</w:t>
            </w:r>
          </w:p>
        </w:tc>
      </w:tr>
      <w:tr>
        <w:tc>
          <w:tcPr>
            <w:tcW w:type="dxa" w:w="1300"/>
            <w:tcMar>
              <w:top w:type="dxa" w:w="80"/>
              <w:left w:type="dxa" w:w="100"/>
              <w:bottom w:type="dxa" w:w="80"/>
              <w:right w:type="dxa" w:w="100"/>
            </w:tcMar>
            <w:vAlign w:val="center"/>
          </w:tcPr>
          <w:p>
            <w:pPr>
              <w:jc w:val="left"/>
            </w:pPr>
            <w:r>
              <w:rPr>
                <w:sz w:val="20"/>
                <w:szCs w:val="20"/>
              </w:rPr>
              <w:t xml:space="preserve">Sprint 4</w:t>
            </w:r>
          </w:p>
        </w:tc>
        <w:tc>
          <w:tcPr>
            <w:tcW w:type="dxa" w:w="4500"/>
            <w:tcMar>
              <w:top w:type="dxa" w:w="80"/>
              <w:left w:type="dxa" w:w="100"/>
              <w:bottom w:type="dxa" w:w="80"/>
              <w:right w:type="dxa" w:w="100"/>
            </w:tcMar>
            <w:vAlign w:val="center"/>
          </w:tcPr>
          <w:p>
            <w:pPr>
              <w:jc w:val="left"/>
            </w:pPr>
            <w:r>
              <w:rPr>
                <w:sz w:val="20"/>
                <w:szCs w:val="20"/>
              </w:rPr>
              <w:t xml:space="preserve">Interfaz web: login, gestión de proveedores, pantalla de evaluación con dashboard</w:t>
            </w:r>
          </w:p>
        </w:tc>
        <w:tc>
          <w:tcPr>
            <w:tcW w:type="dxa" w:w="3200"/>
            <w:tcMar>
              <w:top w:type="dxa" w:w="80"/>
              <w:left w:type="dxa" w:w="100"/>
              <w:bottom w:type="dxa" w:w="80"/>
              <w:right w:type="dxa" w:w="100"/>
            </w:tcMar>
            <w:vAlign w:val="center"/>
          </w:tcPr>
          <w:p>
            <w:pPr>
              <w:jc w:val="left"/>
            </w:pPr>
            <w:r>
              <w:rPr>
                <w:sz w:val="20"/>
                <w:szCs w:val="20"/>
              </w:rPr>
              <w:t xml:space="preserve">Build de producción compilado sin errores (Vite)</w:t>
            </w:r>
          </w:p>
        </w:tc>
      </w:tr>
      <w:tr>
        <w:tc>
          <w:tcPr>
            <w:tcW w:type="dxa" w:w="1300"/>
            <w:tcMar>
              <w:top w:type="dxa" w:w="80"/>
              <w:left w:type="dxa" w:w="100"/>
              <w:bottom w:type="dxa" w:w="80"/>
              <w:right w:type="dxa" w:w="100"/>
            </w:tcMar>
            <w:vAlign w:val="center"/>
          </w:tcPr>
          <w:p>
            <w:pPr>
              <w:jc w:val="left"/>
            </w:pPr>
            <w:r>
              <w:rPr>
                <w:sz w:val="20"/>
                <w:szCs w:val="20"/>
              </w:rPr>
              <w:t xml:space="preserve">Sprint 5</w:t>
            </w:r>
          </w:p>
        </w:tc>
        <w:tc>
          <w:tcPr>
            <w:tcW w:type="dxa" w:w="4500"/>
            <w:tcMar>
              <w:top w:type="dxa" w:w="80"/>
              <w:left w:type="dxa" w:w="100"/>
              <w:bottom w:type="dxa" w:w="80"/>
              <w:right w:type="dxa" w:w="100"/>
            </w:tcMar>
            <w:vAlign w:val="center"/>
          </w:tcPr>
          <w:p>
            <w:pPr>
              <w:jc w:val="left"/>
            </w:pPr>
            <w:r>
              <w:rPr>
                <w:sz w:val="20"/>
                <w:szCs w:val="20"/>
              </w:rPr>
              <w:t xml:space="preserve">Contenerización y despliegue</w:t>
            </w:r>
          </w:p>
        </w:tc>
        <w:tc>
          <w:tcPr>
            <w:tcW w:type="dxa" w:w="3200"/>
            <w:tcMar>
              <w:top w:type="dxa" w:w="80"/>
              <w:left w:type="dxa" w:w="100"/>
              <w:bottom w:type="dxa" w:w="80"/>
              <w:right w:type="dxa" w:w="100"/>
            </w:tcMar>
            <w:vAlign w:val="center"/>
          </w:tcPr>
          <w:p>
            <w:pPr>
              <w:jc w:val="left"/>
            </w:pPr>
            <w:r>
              <w:rPr>
                <w:sz w:val="20"/>
                <w:szCs w:val="20"/>
              </w:rPr>
              <w:t xml:space="preserve">Docker Compose funcional + pipeline de integración continua</w:t>
            </w:r>
          </w:p>
        </w:tc>
      </w:tr>
    </w:tbl>
    <w:p>
      <w:pPr>
        <w:pStyle w:val="Heading2"/>
        <w:spacing w:after="160" w:before="300"/>
      </w:pPr>
      <w:r>
        <w:rPr>
          <w:b/>
          <w:bCs/>
          <w:color w:val="1F3D5C"/>
        </w:rPr>
        <w:t xml:space="preserve">3.3 Población y muestra (caso de aplicación)</w:t>
      </w:r>
    </w:p>
    <w:p>
      <w:pPr>
        <w:spacing w:after="200" w:line="360"/>
        <w:jc w:val="both"/>
      </w:pPr>
      <w:r>
        <w:rPr>
          <w:sz w:val="22"/>
          <w:szCs w:val="22"/>
        </w:rPr>
        <w:t xml:space="preserve">Dado que el proyecto es de naturaleza tecnológica y no una investigación estadística sobre una población de empresas, se define como caso de aplicación un conjunto de referencia de 4 proveedores de materiales de construcción de la región de Ayacucho (ferretería, distribución de cemento y agregados, y acero de construcción), evaluados según 5 criterios de decisión, utilizado de forma consistente en las pruebas de integración y en la demostración funcional del sistema documentada en el Capítulo IV.</w:t>
      </w:r>
    </w:p>
    <w:p>
      <w:pPr>
        <w:pStyle w:val="Heading2"/>
        <w:spacing w:after="160" w:before="300"/>
      </w:pPr>
      <w:r>
        <w:rPr>
          <w:b/>
          <w:bCs/>
          <w:color w:val="1F3D5C"/>
        </w:rPr>
        <w:t xml:space="preserve">3.4 Variables e indicadores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3D5C" w:val="clear"/>
            <w:tcMar>
              <w:top w:type="dxa" w:w="80"/>
              <w:left w:type="dxa" w:w="100"/>
              <w:bottom w:type="dxa" w:w="80"/>
              <w:right w:type="dxa" w:w="100"/>
            </w:tcMar>
            <w:vAlign w:val="center"/>
          </w:tcPr>
          <w:p>
            <w:pPr>
              <w:jc w:val="left"/>
            </w:pPr>
            <w:r>
              <w:rPr>
                <w:b/>
                <w:bCs/>
                <w:color w:val="FFFFFF"/>
                <w:sz w:val="20"/>
                <w:szCs w:val="20"/>
              </w:rPr>
              <w:t xml:space="preserve">Variable</w:t>
            </w:r>
          </w:p>
        </w:tc>
        <w:tc>
          <w:tcPr>
            <w:tcW w:type="dxa" w:w="3000"/>
            <w:shd w:fill="1F3D5C" w:val="clear"/>
            <w:tcMar>
              <w:top w:type="dxa" w:w="80"/>
              <w:left w:type="dxa" w:w="100"/>
              <w:bottom w:type="dxa" w:w="80"/>
              <w:right w:type="dxa" w:w="100"/>
            </w:tcMar>
            <w:vAlign w:val="center"/>
          </w:tcPr>
          <w:p>
            <w:pPr>
              <w:jc w:val="left"/>
            </w:pPr>
            <w:r>
              <w:rPr>
                <w:b/>
                <w:bCs/>
                <w:color w:val="FFFFFF"/>
                <w:sz w:val="20"/>
                <w:szCs w:val="20"/>
              </w:rPr>
              <w:t xml:space="preserve">Indicador</w:t>
            </w:r>
          </w:p>
        </w:tc>
        <w:tc>
          <w:tcPr>
            <w:tcW w:type="dxa" w:w="3000"/>
            <w:shd w:fill="1F3D5C" w:val="clear"/>
            <w:tcMar>
              <w:top w:type="dxa" w:w="80"/>
              <w:left w:type="dxa" w:w="100"/>
              <w:bottom w:type="dxa" w:w="80"/>
              <w:right w:type="dxa" w:w="100"/>
            </w:tcMar>
            <w:vAlign w:val="center"/>
          </w:tcPr>
          <w:p>
            <w:pPr>
              <w:jc w:val="left"/>
            </w:pPr>
            <w:r>
              <w:rPr>
                <w:b/>
                <w:bCs/>
                <w:color w:val="FFFFFF"/>
                <w:sz w:val="20"/>
                <w:szCs w:val="20"/>
              </w:rPr>
              <w:t xml:space="preserve">Instrumento de medición</w:t>
            </w:r>
          </w:p>
        </w:tc>
      </w:tr>
      <w:tr>
        <w:tc>
          <w:tcPr>
            <w:tcW w:type="dxa" w:w="3000"/>
            <w:tcMar>
              <w:top w:type="dxa" w:w="80"/>
              <w:left w:type="dxa" w:w="100"/>
              <w:bottom w:type="dxa" w:w="80"/>
              <w:right w:type="dxa" w:w="100"/>
            </w:tcMar>
            <w:vAlign w:val="center"/>
          </w:tcPr>
          <w:p>
            <w:pPr>
              <w:jc w:val="left"/>
            </w:pPr>
            <w:r>
              <w:rPr>
                <w:sz w:val="20"/>
                <w:szCs w:val="20"/>
              </w:rPr>
              <w:t xml:space="preserve">Consistencia del juicio del decisor (AHP)</w:t>
            </w:r>
          </w:p>
        </w:tc>
        <w:tc>
          <w:tcPr>
            <w:tcW w:type="dxa" w:w="3000"/>
            <w:tcMar>
              <w:top w:type="dxa" w:w="80"/>
              <w:left w:type="dxa" w:w="100"/>
              <w:bottom w:type="dxa" w:w="80"/>
              <w:right w:type="dxa" w:w="100"/>
            </w:tcMar>
            <w:vAlign w:val="center"/>
          </w:tcPr>
          <w:p>
            <w:pPr>
              <w:jc w:val="left"/>
            </w:pPr>
            <w:r>
              <w:rPr>
                <w:sz w:val="20"/>
                <w:szCs w:val="20"/>
              </w:rPr>
              <w:t xml:space="preserve">Razón de Consistencia (CR)</w:t>
            </w:r>
          </w:p>
        </w:tc>
        <w:tc>
          <w:tcPr>
            <w:tcW w:type="dxa" w:w="3000"/>
            <w:tcMar>
              <w:top w:type="dxa" w:w="80"/>
              <w:left w:type="dxa" w:w="100"/>
              <w:bottom w:type="dxa" w:w="80"/>
              <w:right w:type="dxa" w:w="100"/>
            </w:tcMar>
            <w:vAlign w:val="center"/>
          </w:tcPr>
          <w:p>
            <w:pPr>
              <w:jc w:val="left"/>
            </w:pPr>
            <w:r>
              <w:rPr>
                <w:sz w:val="20"/>
                <w:szCs w:val="20"/>
              </w:rPr>
              <w:t xml:space="preserve">Cálculo automatizado en el módulo ahp.js, verificado por pruebas unitarias</w:t>
            </w:r>
          </w:p>
        </w:tc>
      </w:tr>
      <w:tr>
        <w:tc>
          <w:tcPr>
            <w:tcW w:type="dxa" w:w="3000"/>
            <w:tcMar>
              <w:top w:type="dxa" w:w="80"/>
              <w:left w:type="dxa" w:w="100"/>
              <w:bottom w:type="dxa" w:w="80"/>
              <w:right w:type="dxa" w:w="100"/>
            </w:tcMar>
            <w:vAlign w:val="center"/>
          </w:tcPr>
          <w:p>
            <w:pPr>
              <w:jc w:val="left"/>
            </w:pPr>
            <w:r>
              <w:rPr>
                <w:sz w:val="20"/>
                <w:szCs w:val="20"/>
              </w:rPr>
              <w:t xml:space="preserve">Calidad del software desarrollado</w:t>
            </w:r>
          </w:p>
        </w:tc>
        <w:tc>
          <w:tcPr>
            <w:tcW w:type="dxa" w:w="3000"/>
            <w:tcMar>
              <w:top w:type="dxa" w:w="80"/>
              <w:left w:type="dxa" w:w="100"/>
              <w:bottom w:type="dxa" w:w="80"/>
              <w:right w:type="dxa" w:w="100"/>
            </w:tcMar>
            <w:vAlign w:val="center"/>
          </w:tcPr>
          <w:p>
            <w:pPr>
              <w:jc w:val="left"/>
            </w:pPr>
            <w:r>
              <w:rPr>
                <w:sz w:val="20"/>
                <w:szCs w:val="20"/>
              </w:rPr>
              <w:t xml:space="preserve">Porcentaje de pruebas aprobadas</w:t>
            </w:r>
          </w:p>
        </w:tc>
        <w:tc>
          <w:tcPr>
            <w:tcW w:type="dxa" w:w="3000"/>
            <w:tcMar>
              <w:top w:type="dxa" w:w="80"/>
              <w:left w:type="dxa" w:w="100"/>
              <w:bottom w:type="dxa" w:w="80"/>
              <w:right w:type="dxa" w:w="100"/>
            </w:tcMar>
            <w:vAlign w:val="center"/>
          </w:tcPr>
          <w:p>
            <w:pPr>
              <w:jc w:val="left"/>
            </w:pPr>
            <w:r>
              <w:rPr>
                <w:sz w:val="20"/>
                <w:szCs w:val="20"/>
              </w:rPr>
              <w:t xml:space="preserve">Reporte de ejecución de Jest (unitarias + integración)</w:t>
            </w:r>
          </w:p>
        </w:tc>
      </w:tr>
      <w:tr>
        <w:tc>
          <w:tcPr>
            <w:tcW w:type="dxa" w:w="3000"/>
            <w:tcMar>
              <w:top w:type="dxa" w:w="80"/>
              <w:left w:type="dxa" w:w="100"/>
              <w:bottom w:type="dxa" w:w="80"/>
              <w:right w:type="dxa" w:w="100"/>
            </w:tcMar>
            <w:vAlign w:val="center"/>
          </w:tcPr>
          <w:p>
            <w:pPr>
              <w:jc w:val="left"/>
            </w:pPr>
            <w:r>
              <w:rPr>
                <w:sz w:val="20"/>
                <w:szCs w:val="20"/>
              </w:rPr>
              <w:t xml:space="preserve">Desempeño del ranking de proveedores</w:t>
            </w:r>
          </w:p>
        </w:tc>
        <w:tc>
          <w:tcPr>
            <w:tcW w:type="dxa" w:w="3000"/>
            <w:tcMar>
              <w:top w:type="dxa" w:w="80"/>
              <w:left w:type="dxa" w:w="100"/>
              <w:bottom w:type="dxa" w:w="80"/>
              <w:right w:type="dxa" w:w="100"/>
            </w:tcMar>
            <w:vAlign w:val="center"/>
          </w:tcPr>
          <w:p>
            <w:pPr>
              <w:jc w:val="left"/>
            </w:pPr>
            <w:r>
              <w:rPr>
                <w:sz w:val="20"/>
                <w:szCs w:val="20"/>
              </w:rPr>
              <w:t xml:space="preserve">Coeficiente de cercanía (CC*) por alternativa</w:t>
            </w:r>
          </w:p>
        </w:tc>
        <w:tc>
          <w:tcPr>
            <w:tcW w:type="dxa" w:w="3000"/>
            <w:tcMar>
              <w:top w:type="dxa" w:w="80"/>
              <w:left w:type="dxa" w:w="100"/>
              <w:bottom w:type="dxa" w:w="80"/>
              <w:right w:type="dxa" w:w="100"/>
            </w:tcMar>
            <w:vAlign w:val="center"/>
          </w:tcPr>
          <w:p>
            <w:pPr>
              <w:jc w:val="left"/>
            </w:pPr>
            <w:r>
              <w:rPr>
                <w:sz w:val="20"/>
                <w:szCs w:val="20"/>
              </w:rPr>
              <w:t xml:space="preserve">Cálculo automatizado en el módulo topsis.js</w:t>
            </w:r>
          </w:p>
        </w:tc>
      </w:tr>
    </w:tbl>
    <w:p>
      <w:pPr>
        <w:pStyle w:val="Heading2"/>
        <w:spacing w:after="160" w:before="300"/>
      </w:pPr>
      <w:r>
        <w:rPr>
          <w:b/>
          <w:bCs/>
          <w:color w:val="1F3D5C"/>
        </w:rPr>
        <w:t xml:space="preserve">3.5 Técnicas e instrumentos de recolección de datos</w:t>
      </w:r>
    </w:p>
    <w:p>
      <w:pPr>
        <w:pStyle w:val="ListParagraph"/>
        <w:numPr>
          <w:ilvl w:val="0"/>
          <w:numId w:val="1"/>
        </w:numPr>
        <w:spacing w:after="100" w:line="340"/>
      </w:pPr>
      <w:r>
        <w:rPr>
          <w:sz w:val="22"/>
          <w:szCs w:val="22"/>
        </w:rPr>
        <w:t xml:space="preserve">Revisión documental: literatura académica sobre AHP, TOPSIS y sistemas de soporte de decisiones (ver Capítulo II y Referencias Bibliográficas).</w:t>
      </w:r>
    </w:p>
    <w:p>
      <w:pPr>
        <w:pStyle w:val="ListParagraph"/>
        <w:numPr>
          <w:ilvl w:val="0"/>
          <w:numId w:val="1"/>
        </w:numPr>
        <w:spacing w:after="100" w:line="340"/>
      </w:pPr>
      <w:r>
        <w:rPr>
          <w:sz w:val="22"/>
          <w:szCs w:val="22"/>
        </w:rPr>
        <w:t xml:space="preserve">Pruebas de software automatizadas: Jest para pruebas unitarias e integración, Supertest para pruebas HTTP end-to-end.</w:t>
      </w:r>
    </w:p>
    <w:p>
      <w:pPr>
        <w:pStyle w:val="ListParagraph"/>
        <w:numPr>
          <w:ilvl w:val="0"/>
          <w:numId w:val="1"/>
        </w:numPr>
        <w:spacing w:after="100" w:line="340"/>
      </w:pPr>
      <w:r>
        <w:rPr>
          <w:sz w:val="22"/>
          <w:szCs w:val="22"/>
        </w:rPr>
        <w:t xml:space="preserve">Ejecución controlada del sistema (pruebas manuales exploratorias vía API REST) para validar el comportamiento observable frente a datos de entrada reales, documentado en el Capítulo IV.</w:t>
      </w:r>
    </w:p>
    <w:p>
      <w:pPr>
        <w:pStyle w:val="Heading2"/>
        <w:spacing w:after="160" w:before="300"/>
      </w:pPr>
      <w:r>
        <w:rPr>
          <w:b/>
          <w:bCs/>
          <w:color w:val="1F3D5C"/>
        </w:rPr>
        <w:t xml:space="preserve">3.6 Materiales y herramientas de desarrollo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500"/>
      </w:tblGrid>
      <w:tr>
        <w:trPr>
          <w:tblHeader/>
        </w:trPr>
        <w:tc>
          <w:tcPr>
            <w:tcW w:type="dxa" w:w="2500"/>
            <w:shd w:fill="1F3D5C" w:val="clear"/>
            <w:tcMar>
              <w:top w:type="dxa" w:w="80"/>
              <w:left w:type="dxa" w:w="100"/>
              <w:bottom w:type="dxa" w:w="80"/>
              <w:right w:type="dxa" w:w="100"/>
            </w:tcMar>
            <w:vAlign w:val="center"/>
          </w:tcPr>
          <w:p>
            <w:pPr>
              <w:jc w:val="left"/>
            </w:pPr>
            <w:r>
              <w:rPr>
                <w:b/>
                <w:bCs/>
                <w:color w:val="FFFFFF"/>
                <w:sz w:val="20"/>
                <w:szCs w:val="20"/>
              </w:rPr>
              <w:t xml:space="preserve">Categoría</w:t>
            </w:r>
          </w:p>
        </w:tc>
        <w:tc>
          <w:tcPr>
            <w:tcW w:type="dxa" w:w="4000"/>
            <w:shd w:fill="1F3D5C" w:val="clear"/>
            <w:tcMar>
              <w:top w:type="dxa" w:w="80"/>
              <w:left w:type="dxa" w:w="100"/>
              <w:bottom w:type="dxa" w:w="80"/>
              <w:right w:type="dxa" w:w="100"/>
            </w:tcMar>
            <w:vAlign w:val="center"/>
          </w:tcPr>
          <w:p>
            <w:pPr>
              <w:jc w:val="left"/>
            </w:pPr>
            <w:r>
              <w:rPr>
                <w:b/>
                <w:bCs/>
                <w:color w:val="FFFFFF"/>
                <w:sz w:val="20"/>
                <w:szCs w:val="20"/>
              </w:rPr>
              <w:t xml:space="preserve">Herramienta / tecnología</w:t>
            </w:r>
          </w:p>
        </w:tc>
        <w:tc>
          <w:tcPr>
            <w:tcW w:type="dxa" w:w="2500"/>
            <w:shd w:fill="1F3D5C" w:val="clear"/>
            <w:tcMar>
              <w:top w:type="dxa" w:w="80"/>
              <w:left w:type="dxa" w:w="100"/>
              <w:bottom w:type="dxa" w:w="80"/>
              <w:right w:type="dxa" w:w="100"/>
            </w:tcMar>
            <w:vAlign w:val="center"/>
          </w:tcPr>
          <w:p>
            <w:pPr>
              <w:jc w:val="left"/>
            </w:pPr>
            <w:r>
              <w:rPr>
                <w:b/>
                <w:bCs/>
                <w:color w:val="FFFFFF"/>
                <w:sz w:val="20"/>
                <w:szCs w:val="20"/>
              </w:rPr>
              <w:t xml:space="preserve">Versión utilizada</w:t>
            </w:r>
          </w:p>
        </w:tc>
      </w:tr>
      <w:tr>
        <w:tc>
          <w:tcPr>
            <w:tcW w:type="dxa" w:w="2500"/>
            <w:tcMar>
              <w:top w:type="dxa" w:w="80"/>
              <w:left w:type="dxa" w:w="100"/>
              <w:bottom w:type="dxa" w:w="80"/>
              <w:right w:type="dxa" w:w="100"/>
            </w:tcMar>
            <w:vAlign w:val="center"/>
          </w:tcPr>
          <w:p>
            <w:pPr>
              <w:jc w:val="left"/>
            </w:pPr>
            <w:r>
              <w:rPr>
                <w:sz w:val="20"/>
                <w:szCs w:val="20"/>
              </w:rPr>
              <w:t xml:space="preserve">Entorno de ejecución</w:t>
            </w:r>
          </w:p>
        </w:tc>
        <w:tc>
          <w:tcPr>
            <w:tcW w:type="dxa" w:w="4000"/>
            <w:tcMar>
              <w:top w:type="dxa" w:w="80"/>
              <w:left w:type="dxa" w:w="100"/>
              <w:bottom w:type="dxa" w:w="80"/>
              <w:right w:type="dxa" w:w="100"/>
            </w:tcMar>
            <w:vAlign w:val="center"/>
          </w:tcPr>
          <w:p>
            <w:pPr>
              <w:jc w:val="left"/>
            </w:pPr>
            <w:r>
              <w:rPr>
                <w:sz w:val="20"/>
                <w:szCs w:val="20"/>
              </w:rPr>
              <w:t xml:space="preserve">Node.js</w:t>
            </w:r>
          </w:p>
        </w:tc>
        <w:tc>
          <w:tcPr>
            <w:tcW w:type="dxa" w:w="2500"/>
            <w:tcMar>
              <w:top w:type="dxa" w:w="80"/>
              <w:left w:type="dxa" w:w="100"/>
              <w:bottom w:type="dxa" w:w="80"/>
              <w:right w:type="dxa" w:w="100"/>
            </w:tcMar>
            <w:vAlign w:val="center"/>
          </w:tcPr>
          <w:p>
            <w:pPr>
              <w:jc w:val="left"/>
            </w:pPr>
            <w:r>
              <w:rPr>
                <w:sz w:val="20"/>
                <w:szCs w:val="20"/>
              </w:rPr>
              <w:t xml:space="preserve">v22.x</w:t>
            </w:r>
          </w:p>
        </w:tc>
      </w:tr>
      <w:tr>
        <w:tc>
          <w:tcPr>
            <w:tcW w:type="dxa" w:w="2500"/>
            <w:tcMar>
              <w:top w:type="dxa" w:w="80"/>
              <w:left w:type="dxa" w:w="100"/>
              <w:bottom w:type="dxa" w:w="80"/>
              <w:right w:type="dxa" w:w="100"/>
            </w:tcMar>
            <w:vAlign w:val="center"/>
          </w:tcPr>
          <w:p>
            <w:pPr>
              <w:jc w:val="left"/>
            </w:pPr>
            <w:r>
              <w:rPr>
                <w:sz w:val="20"/>
                <w:szCs w:val="20"/>
              </w:rPr>
              <w:t xml:space="preserve">Backend</w:t>
            </w:r>
          </w:p>
        </w:tc>
        <w:tc>
          <w:tcPr>
            <w:tcW w:type="dxa" w:w="4000"/>
            <w:tcMar>
              <w:top w:type="dxa" w:w="80"/>
              <w:left w:type="dxa" w:w="100"/>
              <w:bottom w:type="dxa" w:w="80"/>
              <w:right w:type="dxa" w:w="100"/>
            </w:tcMar>
            <w:vAlign w:val="center"/>
          </w:tcPr>
          <w:p>
            <w:pPr>
              <w:jc w:val="left"/>
            </w:pPr>
            <w:r>
              <w:rPr>
                <w:sz w:val="20"/>
                <w:szCs w:val="20"/>
              </w:rPr>
              <w:t xml:space="preserve">Express.js</w:t>
            </w:r>
          </w:p>
        </w:tc>
        <w:tc>
          <w:tcPr>
            <w:tcW w:type="dxa" w:w="2500"/>
            <w:tcMar>
              <w:top w:type="dxa" w:w="80"/>
              <w:left w:type="dxa" w:w="100"/>
              <w:bottom w:type="dxa" w:w="80"/>
              <w:right w:type="dxa" w:w="100"/>
            </w:tcMar>
            <w:vAlign w:val="center"/>
          </w:tcPr>
          <w:p>
            <w:pPr>
              <w:jc w:val="left"/>
            </w:pPr>
            <w:r>
              <w:rPr>
                <w:sz w:val="20"/>
                <w:szCs w:val="20"/>
              </w:rPr>
              <w:t xml:space="preserve">^4.19</w:t>
            </w:r>
          </w:p>
        </w:tc>
      </w:tr>
      <w:tr>
        <w:tc>
          <w:tcPr>
            <w:tcW w:type="dxa" w:w="2500"/>
            <w:tcMar>
              <w:top w:type="dxa" w:w="80"/>
              <w:left w:type="dxa" w:w="100"/>
              <w:bottom w:type="dxa" w:w="80"/>
              <w:right w:type="dxa" w:w="100"/>
            </w:tcMar>
            <w:vAlign w:val="center"/>
          </w:tcPr>
          <w:p>
            <w:pPr>
              <w:jc w:val="left"/>
            </w:pPr>
            <w:r>
              <w:rPr>
                <w:sz w:val="20"/>
                <w:szCs w:val="20"/>
              </w:rPr>
              <w:t xml:space="preserve">Base de datos</w:t>
            </w:r>
          </w:p>
        </w:tc>
        <w:tc>
          <w:tcPr>
            <w:tcW w:type="dxa" w:w="4000"/>
            <w:tcMar>
              <w:top w:type="dxa" w:w="80"/>
              <w:left w:type="dxa" w:w="100"/>
              <w:bottom w:type="dxa" w:w="80"/>
              <w:right w:type="dxa" w:w="100"/>
            </w:tcMar>
            <w:vAlign w:val="center"/>
          </w:tcPr>
          <w:p>
            <w:pPr>
              <w:jc w:val="left"/>
            </w:pPr>
            <w:r>
              <w:rPr>
                <w:sz w:val="20"/>
                <w:szCs w:val="20"/>
              </w:rPr>
              <w:t xml:space="preserve">MySQL</w:t>
            </w:r>
          </w:p>
        </w:tc>
        <w:tc>
          <w:tcPr>
            <w:tcW w:type="dxa" w:w="2500"/>
            <w:tcMar>
              <w:top w:type="dxa" w:w="80"/>
              <w:left w:type="dxa" w:w="100"/>
              <w:bottom w:type="dxa" w:w="80"/>
              <w:right w:type="dxa" w:w="100"/>
            </w:tcMar>
            <w:vAlign w:val="center"/>
          </w:tcPr>
          <w:p>
            <w:pPr>
              <w:jc w:val="left"/>
            </w:pPr>
            <w:r>
              <w:rPr>
                <w:sz w:val="20"/>
                <w:szCs w:val="20"/>
              </w:rPr>
              <w:t xml:space="preserve">8.0</w:t>
            </w:r>
          </w:p>
        </w:tc>
      </w:tr>
      <w:tr>
        <w:tc>
          <w:tcPr>
            <w:tcW w:type="dxa" w:w="2500"/>
            <w:tcMar>
              <w:top w:type="dxa" w:w="80"/>
              <w:left w:type="dxa" w:w="100"/>
              <w:bottom w:type="dxa" w:w="80"/>
              <w:right w:type="dxa" w:w="100"/>
            </w:tcMar>
            <w:vAlign w:val="center"/>
          </w:tcPr>
          <w:p>
            <w:pPr>
              <w:jc w:val="left"/>
            </w:pPr>
            <w:r>
              <w:rPr>
                <w:sz w:val="20"/>
                <w:szCs w:val="20"/>
              </w:rPr>
              <w:t xml:space="preserve">Driver de base de datos</w:t>
            </w:r>
          </w:p>
        </w:tc>
        <w:tc>
          <w:tcPr>
            <w:tcW w:type="dxa" w:w="4000"/>
            <w:tcMar>
              <w:top w:type="dxa" w:w="80"/>
              <w:left w:type="dxa" w:w="100"/>
              <w:bottom w:type="dxa" w:w="80"/>
              <w:right w:type="dxa" w:w="100"/>
            </w:tcMar>
            <w:vAlign w:val="center"/>
          </w:tcPr>
          <w:p>
            <w:pPr>
              <w:jc w:val="left"/>
            </w:pPr>
            <w:r>
              <w:rPr>
                <w:sz w:val="20"/>
                <w:szCs w:val="20"/>
              </w:rPr>
              <w:t xml:space="preserve">mysql2 (promise)</w:t>
            </w:r>
          </w:p>
        </w:tc>
        <w:tc>
          <w:tcPr>
            <w:tcW w:type="dxa" w:w="2500"/>
            <w:tcMar>
              <w:top w:type="dxa" w:w="80"/>
              <w:left w:type="dxa" w:w="100"/>
              <w:bottom w:type="dxa" w:w="80"/>
              <w:right w:type="dxa" w:w="100"/>
            </w:tcMar>
            <w:vAlign w:val="center"/>
          </w:tcPr>
          <w:p>
            <w:pPr>
              <w:jc w:val="left"/>
            </w:pPr>
            <w:r>
              <w:rPr>
                <w:sz w:val="20"/>
                <w:szCs w:val="20"/>
              </w:rPr>
              <w:t xml:space="preserve">^3.11</w:t>
            </w:r>
          </w:p>
        </w:tc>
      </w:tr>
      <w:tr>
        <w:tc>
          <w:tcPr>
            <w:tcW w:type="dxa" w:w="2500"/>
            <w:tcMar>
              <w:top w:type="dxa" w:w="80"/>
              <w:left w:type="dxa" w:w="100"/>
              <w:bottom w:type="dxa" w:w="80"/>
              <w:right w:type="dxa" w:w="100"/>
            </w:tcMar>
            <w:vAlign w:val="center"/>
          </w:tcPr>
          <w:p>
            <w:pPr>
              <w:jc w:val="left"/>
            </w:pPr>
            <w:r>
              <w:rPr>
                <w:sz w:val="20"/>
                <w:szCs w:val="20"/>
              </w:rPr>
              <w:t xml:space="preserve">Autenticación</w:t>
            </w:r>
          </w:p>
        </w:tc>
        <w:tc>
          <w:tcPr>
            <w:tcW w:type="dxa" w:w="4000"/>
            <w:tcMar>
              <w:top w:type="dxa" w:w="80"/>
              <w:left w:type="dxa" w:w="100"/>
              <w:bottom w:type="dxa" w:w="80"/>
              <w:right w:type="dxa" w:w="100"/>
            </w:tcMar>
            <w:vAlign w:val="center"/>
          </w:tcPr>
          <w:p>
            <w:pPr>
              <w:jc w:val="left"/>
            </w:pPr>
            <w:r>
              <w:rPr>
                <w:sz w:val="20"/>
                <w:szCs w:val="20"/>
              </w:rPr>
              <w:t xml:space="preserve">JSON Web Token (jsonwebtoken) + bcryptjs</w:t>
            </w:r>
          </w:p>
        </w:tc>
        <w:tc>
          <w:tcPr>
            <w:tcW w:type="dxa" w:w="2500"/>
            <w:tcMar>
              <w:top w:type="dxa" w:w="80"/>
              <w:left w:type="dxa" w:w="100"/>
              <w:bottom w:type="dxa" w:w="80"/>
              <w:right w:type="dxa" w:w="100"/>
            </w:tcMar>
            <w:vAlign w:val="center"/>
          </w:tcPr>
          <w:p>
            <w:pPr>
              <w:jc w:val="left"/>
            </w:pPr>
            <w:r>
              <w:rPr>
                <w:sz w:val="20"/>
                <w:szCs w:val="20"/>
              </w:rPr>
              <w:t xml:space="preserve">^9.0 / ^2.4</w:t>
            </w:r>
          </w:p>
        </w:tc>
      </w:tr>
      <w:tr>
        <w:tc>
          <w:tcPr>
            <w:tcW w:type="dxa" w:w="2500"/>
            <w:tcMar>
              <w:top w:type="dxa" w:w="80"/>
              <w:left w:type="dxa" w:w="100"/>
              <w:bottom w:type="dxa" w:w="80"/>
              <w:right w:type="dxa" w:w="100"/>
            </w:tcMar>
            <w:vAlign w:val="center"/>
          </w:tcPr>
          <w:p>
            <w:pPr>
              <w:jc w:val="left"/>
            </w:pPr>
            <w:r>
              <w:rPr>
                <w:sz w:val="20"/>
                <w:szCs w:val="20"/>
              </w:rPr>
              <w:t xml:space="preserve">Frontend</w:t>
            </w:r>
          </w:p>
        </w:tc>
        <w:tc>
          <w:tcPr>
            <w:tcW w:type="dxa" w:w="4000"/>
            <w:tcMar>
              <w:top w:type="dxa" w:w="80"/>
              <w:left w:type="dxa" w:w="100"/>
              <w:bottom w:type="dxa" w:w="80"/>
              <w:right w:type="dxa" w:w="100"/>
            </w:tcMar>
            <w:vAlign w:val="center"/>
          </w:tcPr>
          <w:p>
            <w:pPr>
              <w:jc w:val="left"/>
            </w:pPr>
            <w:r>
              <w:rPr>
                <w:sz w:val="20"/>
                <w:szCs w:val="20"/>
              </w:rPr>
              <w:t xml:space="preserve">React + Vite</w:t>
            </w:r>
          </w:p>
        </w:tc>
        <w:tc>
          <w:tcPr>
            <w:tcW w:type="dxa" w:w="2500"/>
            <w:tcMar>
              <w:top w:type="dxa" w:w="80"/>
              <w:left w:type="dxa" w:w="100"/>
              <w:bottom w:type="dxa" w:w="80"/>
              <w:right w:type="dxa" w:w="100"/>
            </w:tcMar>
            <w:vAlign w:val="center"/>
          </w:tcPr>
          <w:p>
            <w:pPr>
              <w:jc w:val="left"/>
            </w:pPr>
            <w:r>
              <w:rPr>
                <w:sz w:val="20"/>
                <w:szCs w:val="20"/>
              </w:rPr>
              <w:t xml:space="preserve">18.3 / 5.4</w:t>
            </w:r>
          </w:p>
        </w:tc>
      </w:tr>
      <w:tr>
        <w:tc>
          <w:tcPr>
            <w:tcW w:type="dxa" w:w="2500"/>
            <w:tcMar>
              <w:top w:type="dxa" w:w="80"/>
              <w:left w:type="dxa" w:w="100"/>
              <w:bottom w:type="dxa" w:w="80"/>
              <w:right w:type="dxa" w:w="100"/>
            </w:tcMar>
            <w:vAlign w:val="center"/>
          </w:tcPr>
          <w:p>
            <w:pPr>
              <w:jc w:val="left"/>
            </w:pPr>
            <w:r>
              <w:rPr>
                <w:sz w:val="20"/>
                <w:szCs w:val="20"/>
              </w:rPr>
              <w:t xml:space="preserve">Visualización de datos</w:t>
            </w:r>
          </w:p>
        </w:tc>
        <w:tc>
          <w:tcPr>
            <w:tcW w:type="dxa" w:w="4000"/>
            <w:tcMar>
              <w:top w:type="dxa" w:w="80"/>
              <w:left w:type="dxa" w:w="100"/>
              <w:bottom w:type="dxa" w:w="80"/>
              <w:right w:type="dxa" w:w="100"/>
            </w:tcMar>
            <w:vAlign w:val="center"/>
          </w:tcPr>
          <w:p>
            <w:pPr>
              <w:jc w:val="left"/>
            </w:pPr>
            <w:r>
              <w:rPr>
                <w:sz w:val="20"/>
                <w:szCs w:val="20"/>
              </w:rPr>
              <w:t xml:space="preserve">Recharts</w:t>
            </w:r>
          </w:p>
        </w:tc>
        <w:tc>
          <w:tcPr>
            <w:tcW w:type="dxa" w:w="2500"/>
            <w:tcMar>
              <w:top w:type="dxa" w:w="80"/>
              <w:left w:type="dxa" w:w="100"/>
              <w:bottom w:type="dxa" w:w="80"/>
              <w:right w:type="dxa" w:w="100"/>
            </w:tcMar>
            <w:vAlign w:val="center"/>
          </w:tcPr>
          <w:p>
            <w:pPr>
              <w:jc w:val="left"/>
            </w:pPr>
            <w:r>
              <w:rPr>
                <w:sz w:val="20"/>
                <w:szCs w:val="20"/>
              </w:rPr>
              <w:t xml:space="preserve">^2.12</w:t>
            </w:r>
          </w:p>
        </w:tc>
      </w:tr>
      <w:tr>
        <w:tc>
          <w:tcPr>
            <w:tcW w:type="dxa" w:w="2500"/>
            <w:tcMar>
              <w:top w:type="dxa" w:w="80"/>
              <w:left w:type="dxa" w:w="100"/>
              <w:bottom w:type="dxa" w:w="80"/>
              <w:right w:type="dxa" w:w="100"/>
            </w:tcMar>
            <w:vAlign w:val="center"/>
          </w:tcPr>
          <w:p>
            <w:pPr>
              <w:jc w:val="left"/>
            </w:pPr>
            <w:r>
              <w:rPr>
                <w:sz w:val="20"/>
                <w:szCs w:val="20"/>
              </w:rPr>
              <w:t xml:space="preserve">Pruebas</w:t>
            </w:r>
          </w:p>
        </w:tc>
        <w:tc>
          <w:tcPr>
            <w:tcW w:type="dxa" w:w="4000"/>
            <w:tcMar>
              <w:top w:type="dxa" w:w="80"/>
              <w:left w:type="dxa" w:w="100"/>
              <w:bottom w:type="dxa" w:w="80"/>
              <w:right w:type="dxa" w:w="100"/>
            </w:tcMar>
            <w:vAlign w:val="center"/>
          </w:tcPr>
          <w:p>
            <w:pPr>
              <w:jc w:val="left"/>
            </w:pPr>
            <w:r>
              <w:rPr>
                <w:sz w:val="20"/>
                <w:szCs w:val="20"/>
              </w:rPr>
              <w:t xml:space="preserve">Jest + Supertest</w:t>
            </w:r>
          </w:p>
        </w:tc>
        <w:tc>
          <w:tcPr>
            <w:tcW w:type="dxa" w:w="2500"/>
            <w:tcMar>
              <w:top w:type="dxa" w:w="80"/>
              <w:left w:type="dxa" w:w="100"/>
              <w:bottom w:type="dxa" w:w="80"/>
              <w:right w:type="dxa" w:w="100"/>
            </w:tcMar>
            <w:vAlign w:val="center"/>
          </w:tcPr>
          <w:p>
            <w:pPr>
              <w:jc w:val="left"/>
            </w:pPr>
            <w:r>
              <w:rPr>
                <w:sz w:val="20"/>
                <w:szCs w:val="20"/>
              </w:rPr>
              <w:t xml:space="preserve">^29.7 / ^7.0</w:t>
            </w:r>
          </w:p>
        </w:tc>
      </w:tr>
      <w:tr>
        <w:tc>
          <w:tcPr>
            <w:tcW w:type="dxa" w:w="2500"/>
            <w:tcMar>
              <w:top w:type="dxa" w:w="80"/>
              <w:left w:type="dxa" w:w="100"/>
              <w:bottom w:type="dxa" w:w="80"/>
              <w:right w:type="dxa" w:w="100"/>
            </w:tcMar>
            <w:vAlign w:val="center"/>
          </w:tcPr>
          <w:p>
            <w:pPr>
              <w:jc w:val="left"/>
            </w:pPr>
            <w:r>
              <w:rPr>
                <w:sz w:val="20"/>
                <w:szCs w:val="20"/>
              </w:rPr>
              <w:t xml:space="preserve">Contenerización</w:t>
            </w:r>
          </w:p>
        </w:tc>
        <w:tc>
          <w:tcPr>
            <w:tcW w:type="dxa" w:w="4000"/>
            <w:tcMar>
              <w:top w:type="dxa" w:w="80"/>
              <w:left w:type="dxa" w:w="100"/>
              <w:bottom w:type="dxa" w:w="80"/>
              <w:right w:type="dxa" w:w="100"/>
            </w:tcMar>
            <w:vAlign w:val="center"/>
          </w:tcPr>
          <w:p>
            <w:pPr>
              <w:jc w:val="left"/>
            </w:pPr>
            <w:r>
              <w:rPr>
                <w:sz w:val="20"/>
                <w:szCs w:val="20"/>
              </w:rPr>
              <w:t xml:space="preserve">Docker + Docker Compose</w:t>
            </w:r>
          </w:p>
        </w:tc>
        <w:tc>
          <w:tcPr>
            <w:tcW w:type="dxa" w:w="2500"/>
            <w:tcMar>
              <w:top w:type="dxa" w:w="80"/>
              <w:left w:type="dxa" w:w="100"/>
              <w:bottom w:type="dxa" w:w="80"/>
              <w:right w:type="dxa" w:w="100"/>
            </w:tcMar>
            <w:vAlign w:val="center"/>
          </w:tcPr>
          <w:p>
            <w:pPr>
              <w:jc w:val="left"/>
            </w:pPr>
            <w:r>
              <w:rPr>
                <w:sz w:val="20"/>
                <w:szCs w:val="20"/>
              </w:rPr>
              <w:t xml:space="preserve">—</w:t>
            </w:r>
          </w:p>
        </w:tc>
      </w:tr>
      <w:tr>
        <w:tc>
          <w:tcPr>
            <w:tcW w:type="dxa" w:w="2500"/>
            <w:tcMar>
              <w:top w:type="dxa" w:w="80"/>
              <w:left w:type="dxa" w:w="100"/>
              <w:bottom w:type="dxa" w:w="80"/>
              <w:right w:type="dxa" w:w="100"/>
            </w:tcMar>
            <w:vAlign w:val="center"/>
          </w:tcPr>
          <w:p>
            <w:pPr>
              <w:jc w:val="left"/>
            </w:pPr>
            <w:r>
              <w:rPr>
                <w:sz w:val="20"/>
                <w:szCs w:val="20"/>
              </w:rPr>
              <w:t xml:space="preserve">Control de versiones</w:t>
            </w:r>
          </w:p>
        </w:tc>
        <w:tc>
          <w:tcPr>
            <w:tcW w:type="dxa" w:w="4000"/>
            <w:tcMar>
              <w:top w:type="dxa" w:w="80"/>
              <w:left w:type="dxa" w:w="100"/>
              <w:bottom w:type="dxa" w:w="80"/>
              <w:right w:type="dxa" w:w="100"/>
            </w:tcMar>
            <w:vAlign w:val="center"/>
          </w:tcPr>
          <w:p>
            <w:pPr>
              <w:jc w:val="left"/>
            </w:pPr>
            <w:r>
              <w:rPr>
                <w:sz w:val="20"/>
                <w:szCs w:val="20"/>
              </w:rPr>
              <w:t xml:space="preserve">Git / GitHub</w:t>
            </w:r>
          </w:p>
        </w:tc>
        <w:tc>
          <w:tcPr>
            <w:tcW w:type="dxa" w:w="2500"/>
            <w:tcMar>
              <w:top w:type="dxa" w:w="80"/>
              <w:left w:type="dxa" w:w="100"/>
              <w:bottom w:type="dxa" w:w="80"/>
              <w:right w:type="dxa" w:w="100"/>
            </w:tcMar>
            <w:vAlign w:val="center"/>
          </w:tcPr>
          <w:p>
            <w:pPr>
              <w:jc w:val="left"/>
            </w:pPr>
            <w:r>
              <w:rPr>
                <w:sz w:val="20"/>
                <w:szCs w:val="20"/>
              </w:rPr>
              <w:t xml:space="preserve">—</w:t>
            </w:r>
          </w:p>
        </w:tc>
      </w:tr>
      <w:tr>
        <w:tc>
          <w:tcPr>
            <w:tcW w:type="dxa" w:w="2500"/>
            <w:tcMar>
              <w:top w:type="dxa" w:w="80"/>
              <w:left w:type="dxa" w:w="100"/>
              <w:bottom w:type="dxa" w:w="80"/>
              <w:right w:type="dxa" w:w="100"/>
            </w:tcMar>
            <w:vAlign w:val="center"/>
          </w:tcPr>
          <w:p>
            <w:pPr>
              <w:jc w:val="left"/>
            </w:pPr>
            <w:r>
              <w:rPr>
                <w:sz w:val="20"/>
                <w:szCs w:val="20"/>
              </w:rPr>
              <w:t xml:space="preserve">Integración continua</w:t>
            </w:r>
          </w:p>
        </w:tc>
        <w:tc>
          <w:tcPr>
            <w:tcW w:type="dxa" w:w="4000"/>
            <w:tcMar>
              <w:top w:type="dxa" w:w="80"/>
              <w:left w:type="dxa" w:w="100"/>
              <w:bottom w:type="dxa" w:w="80"/>
              <w:right w:type="dxa" w:w="100"/>
            </w:tcMar>
            <w:vAlign w:val="center"/>
          </w:tcPr>
          <w:p>
            <w:pPr>
              <w:jc w:val="left"/>
            </w:pPr>
            <w:r>
              <w:rPr>
                <w:sz w:val="20"/>
                <w:szCs w:val="20"/>
              </w:rPr>
              <w:t xml:space="preserve">GitHub Actions</w:t>
            </w:r>
          </w:p>
        </w:tc>
        <w:tc>
          <w:tcPr>
            <w:tcW w:type="dxa" w:w="2500"/>
            <w:tcMar>
              <w:top w:type="dxa" w:w="80"/>
              <w:left w:type="dxa" w:w="100"/>
              <w:bottom w:type="dxa" w:w="80"/>
              <w:right w:type="dxa" w:w="100"/>
            </w:tcMar>
            <w:vAlign w:val="center"/>
          </w:tcPr>
          <w:p>
            <w:pPr>
              <w:jc w:val="left"/>
            </w:pPr>
            <w:r>
              <w:rPr>
                <w:sz w:val="20"/>
                <w:szCs w:val="20"/>
              </w:rPr>
              <w:t xml:space="preserve">—</w:t>
            </w:r>
          </w:p>
        </w:tc>
      </w:tr>
    </w:tbl>
    <w:p>
      <w:pPr>
        <w:pStyle w:val="Heading2"/>
        <w:spacing w:after="160" w:before="300"/>
      </w:pPr>
      <w:r>
        <w:rPr>
          <w:b/>
          <w:bCs/>
          <w:color w:val="1F3D5C"/>
        </w:rPr>
        <w:t xml:space="preserve">3.7 Procedimiento</w:t>
      </w:r>
    </w:p>
    <w:p>
      <w:pPr>
        <w:spacing w:after="200" w:line="360"/>
        <w:jc w:val="both"/>
      </w:pPr>
      <w:r>
        <w:rPr>
          <w:sz w:val="22"/>
          <w:szCs w:val="22"/>
        </w:rPr>
        <w:t xml:space="preserve">El procedimiento general seguido en cada sprint fue: (1) definición de las historias de usuario del sprint (ver Anexo B); (2) implementación del incremento correspondiente; (3) escritura de pruebas automatizadas sobre el incremento; (4) ejecución de la suite completa de pruebas para detectar regresiones; (5) corrección de los defectos encontrados; (6) integración del incremento al repositorio principal mediante un commit documentado. Este ciclo se repitió de forma idéntica en los cinco sprints, garantizando que ningún incremento se integrara sin verificación previa.</w:t>
      </w:r>
    </w:p>
    <w:p>
      <w:pPr>
        <w:pStyle w:val="Heading1"/>
        <w:pageBreakBefore/>
        <w:spacing w:after="240" w:before="400"/>
      </w:pPr>
      <w:r>
        <w:rPr>
          <w:b/>
          <w:bCs/>
          <w:color w:val="1F3D5C"/>
        </w:rPr>
        <w:t xml:space="preserve">CAPÍTULO IV: RESULTADOS Y DISCUSIÓN</w:t>
      </w:r>
    </w:p>
    <w:p>
      <w:pPr>
        <w:pStyle w:val="Heading2"/>
        <w:spacing w:after="160" w:before="300"/>
      </w:pPr>
      <w:r>
        <w:rPr>
          <w:b/>
          <w:bCs/>
          <w:color w:val="1F3D5C"/>
        </w:rPr>
        <w:t xml:space="preserve">4.1 Resultado del Sprint 1: modelo de datos</w:t>
      </w:r>
    </w:p>
    <w:p>
      <w:pPr>
        <w:spacing w:after="200" w:line="360"/>
        <w:jc w:val="both"/>
      </w:pPr>
      <w:r>
        <w:rPr>
          <w:sz w:val="22"/>
          <w:szCs w:val="22"/>
        </w:rPr>
        <w:t xml:space="preserve">Se implementó y ejecutó el esquema relacional en una instancia real de MySQL 8.0, compuesto por cuatro tablas: usuarios (autenticación de analistas), proveedores (alternativas evaluables, con borrado lógico), criterios (catálogo reutilizable de criterios de decisión) y evaluaciones (registro histórico de cada corrida del SSD, almacenando en columnas JSON la matriz AHP de entrada, la matriz de decisión, los pesos calculados, las métricas de consistencia y el resultado del ranking, para trazabilidad y auditoría posterior). El esquema fue cargado y verificado exitosamente en un entorno real durante el desarrollo del proyecto.</w:t>
      </w:r>
    </w:p>
    <w:p>
      <w:pPr>
        <w:pStyle w:val="Heading2"/>
        <w:spacing w:after="160" w:before="300"/>
      </w:pPr>
      <w:r>
        <w:rPr>
          <w:b/>
          <w:bCs/>
          <w:color w:val="1F3D5C"/>
        </w:rPr>
        <w:t xml:space="preserve">4.2 Resultado del Sprint 2: motor de decisión AHP-TOPSIS</w:t>
      </w:r>
    </w:p>
    <w:p>
      <w:pPr>
        <w:spacing w:after="200" w:line="360"/>
        <w:jc w:val="both"/>
      </w:pPr>
      <w:r>
        <w:rPr>
          <w:sz w:val="22"/>
          <w:szCs w:val="22"/>
        </w:rPr>
        <w:t xml:space="preserve">Se implementaron los módulos ahp.js y topsis.js siguiendo estrictamente las formulaciones matemáticas descritas en el Capítulo II. Sobre estos módulos se diseñaron y ejecutaron 16 pruebas unitarias, con el siguiente resultado: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4000"/>
        <w:gridCol w:w="1500"/>
      </w:tblGrid>
      <w:tr>
        <w:trPr>
          <w:tblHeader/>
        </w:trPr>
        <w:tc>
          <w:tcPr>
            <w:tcW w:type="dxa" w:w="3500"/>
            <w:shd w:fill="1F3D5C" w:val="clear"/>
            <w:tcMar>
              <w:top w:type="dxa" w:w="80"/>
              <w:left w:type="dxa" w:w="100"/>
              <w:bottom w:type="dxa" w:w="80"/>
              <w:right w:type="dxa" w:w="100"/>
            </w:tcMar>
            <w:vAlign w:val="center"/>
          </w:tcPr>
          <w:p>
            <w:pPr>
              <w:jc w:val="left"/>
            </w:pPr>
            <w:r>
              <w:rPr>
                <w:b/>
                <w:bCs/>
                <w:color w:val="FFFFFF"/>
                <w:sz w:val="20"/>
                <w:szCs w:val="20"/>
              </w:rPr>
              <w:t xml:space="preserve">Suite de pruebas</w:t>
            </w:r>
          </w:p>
        </w:tc>
        <w:tc>
          <w:tcPr>
            <w:tcW w:type="dxa" w:w="4000"/>
            <w:shd w:fill="1F3D5C" w:val="clear"/>
            <w:tcMar>
              <w:top w:type="dxa" w:w="80"/>
              <w:left w:type="dxa" w:w="100"/>
              <w:bottom w:type="dxa" w:w="80"/>
              <w:right w:type="dxa" w:w="100"/>
            </w:tcMar>
            <w:vAlign w:val="center"/>
          </w:tcPr>
          <w:p>
            <w:pPr>
              <w:jc w:val="left"/>
            </w:pPr>
            <w:r>
              <w:rPr>
                <w:b/>
                <w:bCs/>
                <w:color w:val="FFFFFF"/>
                <w:sz w:val="20"/>
                <w:szCs w:val="20"/>
              </w:rPr>
              <w:t xml:space="preserve">Casos de prueba</w:t>
            </w:r>
          </w:p>
        </w:tc>
        <w:tc>
          <w:tcPr>
            <w:tcW w:type="dxa" w:w="1500"/>
            <w:shd w:fill="1F3D5C" w:val="clear"/>
            <w:tcMar>
              <w:top w:type="dxa" w:w="80"/>
              <w:left w:type="dxa" w:w="100"/>
              <w:bottom w:type="dxa" w:w="80"/>
              <w:right w:type="dxa" w:w="100"/>
            </w:tcMar>
            <w:vAlign w:val="center"/>
          </w:tcPr>
          <w:p>
            <w:pPr>
              <w:jc w:val="left"/>
            </w:pPr>
            <w:r>
              <w:rPr>
                <w:b/>
                <w:bCs/>
                <w:color w:val="FFFFFF"/>
                <w:sz w:val="20"/>
                <w:szCs w:val="20"/>
              </w:rPr>
              <w:t xml:space="preserve">Resultado</w:t>
            </w:r>
          </w:p>
        </w:tc>
      </w:tr>
      <w:tr>
        <w:tc>
          <w:tcPr>
            <w:tcW w:type="dxa" w:w="3500"/>
            <w:tcMar>
              <w:top w:type="dxa" w:w="80"/>
              <w:left w:type="dxa" w:w="100"/>
              <w:bottom w:type="dxa" w:w="80"/>
              <w:right w:type="dxa" w:w="100"/>
            </w:tcMar>
            <w:vAlign w:val="center"/>
          </w:tcPr>
          <w:p>
            <w:pPr>
              <w:jc w:val="left"/>
            </w:pPr>
            <w:r>
              <w:rPr>
                <w:sz w:val="20"/>
                <w:szCs w:val="20"/>
              </w:rPr>
              <w:t xml:space="preserve">ahp.test.js</w:t>
            </w:r>
          </w:p>
        </w:tc>
        <w:tc>
          <w:tcPr>
            <w:tcW w:type="dxa" w:w="4000"/>
            <w:tcMar>
              <w:top w:type="dxa" w:w="80"/>
              <w:left w:type="dxa" w:w="100"/>
              <w:bottom w:type="dxa" w:w="80"/>
              <w:right w:type="dxa" w:w="100"/>
            </w:tcMar>
            <w:vAlign w:val="center"/>
          </w:tcPr>
          <w:p>
            <w:pPr>
              <w:jc w:val="left"/>
            </w:pPr>
            <w:r>
              <w:rPr>
                <w:sz w:val="20"/>
                <w:szCs w:val="20"/>
              </w:rPr>
              <w:t xml:space="preserve">10 casos (validación de matriz, cálculo de pesos, consistencia CR)</w:t>
            </w:r>
          </w:p>
        </w:tc>
        <w:tc>
          <w:tcPr>
            <w:tcW w:type="dxa" w:w="1500"/>
            <w:tcMar>
              <w:top w:type="dxa" w:w="80"/>
              <w:left w:type="dxa" w:w="100"/>
              <w:bottom w:type="dxa" w:w="80"/>
              <w:right w:type="dxa" w:w="100"/>
            </w:tcMar>
            <w:vAlign w:val="center"/>
          </w:tcPr>
          <w:p>
            <w:pPr>
              <w:jc w:val="left"/>
            </w:pPr>
            <w:r>
              <w:rPr>
                <w:sz w:val="20"/>
                <w:szCs w:val="20"/>
              </w:rPr>
              <w:t xml:space="preserve">10/10 aprobadas</w:t>
            </w:r>
          </w:p>
        </w:tc>
      </w:tr>
      <w:tr>
        <w:tc>
          <w:tcPr>
            <w:tcW w:type="dxa" w:w="3500"/>
            <w:tcMar>
              <w:top w:type="dxa" w:w="80"/>
              <w:left w:type="dxa" w:w="100"/>
              <w:bottom w:type="dxa" w:w="80"/>
              <w:right w:type="dxa" w:w="100"/>
            </w:tcMar>
            <w:vAlign w:val="center"/>
          </w:tcPr>
          <w:p>
            <w:pPr>
              <w:jc w:val="left"/>
            </w:pPr>
            <w:r>
              <w:rPr>
                <w:sz w:val="20"/>
                <w:szCs w:val="20"/>
              </w:rPr>
              <w:t xml:space="preserve">topsis.test.js</w:t>
            </w:r>
          </w:p>
        </w:tc>
        <w:tc>
          <w:tcPr>
            <w:tcW w:type="dxa" w:w="4000"/>
            <w:tcMar>
              <w:top w:type="dxa" w:w="80"/>
              <w:left w:type="dxa" w:w="100"/>
              <w:bottom w:type="dxa" w:w="80"/>
              <w:right w:type="dxa" w:w="100"/>
            </w:tcMar>
            <w:vAlign w:val="center"/>
          </w:tcPr>
          <w:p>
            <w:pPr>
              <w:jc w:val="left"/>
            </w:pPr>
            <w:r>
              <w:rPr>
                <w:sz w:val="20"/>
                <w:szCs w:val="20"/>
              </w:rPr>
              <w:t xml:space="preserve">6 casos (validación de entradas, dominancia beneficio/costo, rango del CC*, ranking único)</w:t>
            </w:r>
          </w:p>
        </w:tc>
        <w:tc>
          <w:tcPr>
            <w:tcW w:type="dxa" w:w="1500"/>
            <w:tcMar>
              <w:top w:type="dxa" w:w="80"/>
              <w:left w:type="dxa" w:w="100"/>
              <w:bottom w:type="dxa" w:w="80"/>
              <w:right w:type="dxa" w:w="100"/>
            </w:tcMar>
            <w:vAlign w:val="center"/>
          </w:tcPr>
          <w:p>
            <w:pPr>
              <w:jc w:val="left"/>
            </w:pPr>
            <w:r>
              <w:rPr>
                <w:sz w:val="20"/>
                <w:szCs w:val="20"/>
              </w:rPr>
              <w:t xml:space="preserve">6/6 aprobadas</w:t>
            </w:r>
          </w:p>
        </w:tc>
      </w:tr>
      <w:tr>
        <w:tc>
          <w:tcPr>
            <w:tcW w:type="dxa" w:w="3500"/>
            <w:tcMar>
              <w:top w:type="dxa" w:w="80"/>
              <w:left w:type="dxa" w:w="100"/>
              <w:bottom w:type="dxa" w:w="80"/>
              <w:right w:type="dxa" w:w="100"/>
            </w:tcMar>
            <w:vAlign w:val="center"/>
          </w:tcPr>
          <w:p>
            <w:pPr>
              <w:jc w:val="left"/>
            </w:pPr>
            <w:r>
              <w:rPr>
                <w:sz w:val="20"/>
                <w:szCs w:val="20"/>
              </w:rPr>
              <w:t xml:space="preserve">Total unitarias</w:t>
            </w:r>
          </w:p>
        </w:tc>
        <w:tc>
          <w:tcPr>
            <w:tcW w:type="dxa" w:w="4000"/>
            <w:tcMar>
              <w:top w:type="dxa" w:w="80"/>
              <w:left w:type="dxa" w:w="100"/>
              <w:bottom w:type="dxa" w:w="80"/>
              <w:right w:type="dxa" w:w="100"/>
            </w:tcMar>
            <w:vAlign w:val="center"/>
          </w:tcPr>
          <w:p>
            <w:pPr>
              <w:jc w:val="left"/>
            </w:pPr>
            <w:r>
              <w:rPr>
                <w:sz w:val="20"/>
                <w:szCs w:val="20"/>
              </w:rPr>
              <w:t xml:space="preserve">16 casos</w:t>
            </w:r>
          </w:p>
        </w:tc>
        <w:tc>
          <w:tcPr>
            <w:tcW w:type="dxa" w:w="1500"/>
            <w:tcMar>
              <w:top w:type="dxa" w:w="80"/>
              <w:left w:type="dxa" w:w="100"/>
              <w:bottom w:type="dxa" w:w="80"/>
              <w:right w:type="dxa" w:w="100"/>
            </w:tcMar>
            <w:vAlign w:val="center"/>
          </w:tcPr>
          <w:p>
            <w:pPr>
              <w:jc w:val="left"/>
            </w:pPr>
            <w:r>
              <w:rPr>
                <w:sz w:val="20"/>
                <w:szCs w:val="20"/>
              </w:rPr>
              <w:t xml:space="preserve">16/16 aprobadas (100%)</w:t>
            </w:r>
          </w:p>
        </w:tc>
      </w:tr>
    </w:tbl>
    <w:p>
      <w:pPr>
        <w:spacing w:after="200" w:line="360"/>
        <w:jc w:val="both"/>
      </w:pPr>
      <w:r>
        <w:rPr>
          <w:sz w:val="22"/>
          <w:szCs w:val="22"/>
        </w:rPr>
        <w:t xml:space="preserve">Entre los casos de prueba unitaria destaca la verificación de que una matriz de comparación con juicios contradictorios (por ejemplo, A preferido fuertemente sobre B, B preferido fuertemente sobre C, pero C preferido fuertemente sobre A) es correctamente rechazada por el sistema al obtener CR &gt; 0.10, así como la verificación de que un proveedor dominante en todos los criterios de tipo beneficio obtiene efectivamente el primer lugar en el ranking TOPSIS.</w:t>
      </w:r>
    </w:p>
    <w:p>
      <w:pPr>
        <w:pStyle w:val="Heading2"/>
        <w:spacing w:after="160" w:before="300"/>
      </w:pPr>
      <w:r>
        <w:rPr>
          <w:b/>
          <w:bCs/>
          <w:color w:val="1F3D5C"/>
        </w:rPr>
        <w:t xml:space="preserve">4.3 Resultado del Sprint 3: API REST y pruebas de integración</w:t>
      </w:r>
    </w:p>
    <w:p>
      <w:pPr>
        <w:spacing w:after="200" w:line="360"/>
        <w:jc w:val="both"/>
      </w:pPr>
      <w:r>
        <w:rPr>
          <w:sz w:val="22"/>
          <w:szCs w:val="22"/>
        </w:rPr>
        <w:t xml:space="preserve">Se implementó la API REST completa (autenticación JWT, CRUD de proveedores, endpoint de cálculo de evaluaciones) y se ejecutaron 16 pruebas de integración contra una instancia real de MySQL, utilizando Supertest para simular peticiones HTTP completas: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4000"/>
        <w:gridCol w:w="1500"/>
      </w:tblGrid>
      <w:tr>
        <w:trPr>
          <w:tblHeader/>
        </w:trPr>
        <w:tc>
          <w:tcPr>
            <w:tcW w:type="dxa" w:w="3500"/>
            <w:shd w:fill="1F3D5C" w:val="clear"/>
            <w:tcMar>
              <w:top w:type="dxa" w:w="80"/>
              <w:left w:type="dxa" w:w="100"/>
              <w:bottom w:type="dxa" w:w="80"/>
              <w:right w:type="dxa" w:w="100"/>
            </w:tcMar>
            <w:vAlign w:val="center"/>
          </w:tcPr>
          <w:p>
            <w:pPr>
              <w:jc w:val="left"/>
            </w:pPr>
            <w:r>
              <w:rPr>
                <w:b/>
                <w:bCs/>
                <w:color w:val="FFFFFF"/>
                <w:sz w:val="20"/>
                <w:szCs w:val="20"/>
              </w:rPr>
              <w:t xml:space="preserve">Suite de pruebas</w:t>
            </w:r>
          </w:p>
        </w:tc>
        <w:tc>
          <w:tcPr>
            <w:tcW w:type="dxa" w:w="4000"/>
            <w:shd w:fill="1F3D5C" w:val="clear"/>
            <w:tcMar>
              <w:top w:type="dxa" w:w="80"/>
              <w:left w:type="dxa" w:w="100"/>
              <w:bottom w:type="dxa" w:w="80"/>
              <w:right w:type="dxa" w:w="100"/>
            </w:tcMar>
            <w:vAlign w:val="center"/>
          </w:tcPr>
          <w:p>
            <w:pPr>
              <w:jc w:val="left"/>
            </w:pPr>
            <w:r>
              <w:rPr>
                <w:b/>
                <w:bCs/>
                <w:color w:val="FFFFFF"/>
                <w:sz w:val="20"/>
                <w:szCs w:val="20"/>
              </w:rPr>
              <w:t xml:space="preserve">Casos de prueba</w:t>
            </w:r>
          </w:p>
        </w:tc>
        <w:tc>
          <w:tcPr>
            <w:tcW w:type="dxa" w:w="1500"/>
            <w:shd w:fill="1F3D5C" w:val="clear"/>
            <w:tcMar>
              <w:top w:type="dxa" w:w="80"/>
              <w:left w:type="dxa" w:w="100"/>
              <w:bottom w:type="dxa" w:w="80"/>
              <w:right w:type="dxa" w:w="100"/>
            </w:tcMar>
            <w:vAlign w:val="center"/>
          </w:tcPr>
          <w:p>
            <w:pPr>
              <w:jc w:val="left"/>
            </w:pPr>
            <w:r>
              <w:rPr>
                <w:b/>
                <w:bCs/>
                <w:color w:val="FFFFFF"/>
                <w:sz w:val="20"/>
                <w:szCs w:val="20"/>
              </w:rPr>
              <w:t xml:space="preserve">Resultado</w:t>
            </w:r>
          </w:p>
        </w:tc>
      </w:tr>
      <w:tr>
        <w:tc>
          <w:tcPr>
            <w:tcW w:type="dxa" w:w="3500"/>
            <w:tcMar>
              <w:top w:type="dxa" w:w="80"/>
              <w:left w:type="dxa" w:w="100"/>
              <w:bottom w:type="dxa" w:w="80"/>
              <w:right w:type="dxa" w:w="100"/>
            </w:tcMar>
            <w:vAlign w:val="center"/>
          </w:tcPr>
          <w:p>
            <w:pPr>
              <w:jc w:val="left"/>
            </w:pPr>
            <w:r>
              <w:rPr>
                <w:sz w:val="20"/>
                <w:szCs w:val="20"/>
              </w:rPr>
              <w:t xml:space="preserve">proveedores.test.js</w:t>
            </w:r>
          </w:p>
        </w:tc>
        <w:tc>
          <w:tcPr>
            <w:tcW w:type="dxa" w:w="4000"/>
            <w:tcMar>
              <w:top w:type="dxa" w:w="80"/>
              <w:left w:type="dxa" w:w="100"/>
              <w:bottom w:type="dxa" w:w="80"/>
              <w:right w:type="dxa" w:w="100"/>
            </w:tcMar>
            <w:vAlign w:val="center"/>
          </w:tcPr>
          <w:p>
            <w:pPr>
              <w:jc w:val="left"/>
            </w:pPr>
            <w:r>
              <w:rPr>
                <w:sz w:val="20"/>
                <w:szCs w:val="20"/>
              </w:rPr>
              <w:t xml:space="preserve">10 casos (autenticación, CRUD completo, control de acceso)</w:t>
            </w:r>
          </w:p>
        </w:tc>
        <w:tc>
          <w:tcPr>
            <w:tcW w:type="dxa" w:w="1500"/>
            <w:tcMar>
              <w:top w:type="dxa" w:w="80"/>
              <w:left w:type="dxa" w:w="100"/>
              <w:bottom w:type="dxa" w:w="80"/>
              <w:right w:type="dxa" w:w="100"/>
            </w:tcMar>
            <w:vAlign w:val="center"/>
          </w:tcPr>
          <w:p>
            <w:pPr>
              <w:jc w:val="left"/>
            </w:pPr>
            <w:r>
              <w:rPr>
                <w:sz w:val="20"/>
                <w:szCs w:val="20"/>
              </w:rPr>
              <w:t xml:space="preserve">10/10 aprobadas</w:t>
            </w:r>
          </w:p>
        </w:tc>
      </w:tr>
      <w:tr>
        <w:tc>
          <w:tcPr>
            <w:tcW w:type="dxa" w:w="3500"/>
            <w:tcMar>
              <w:top w:type="dxa" w:w="80"/>
              <w:left w:type="dxa" w:w="100"/>
              <w:bottom w:type="dxa" w:w="80"/>
              <w:right w:type="dxa" w:w="100"/>
            </w:tcMar>
            <w:vAlign w:val="center"/>
          </w:tcPr>
          <w:p>
            <w:pPr>
              <w:jc w:val="left"/>
            </w:pPr>
            <w:r>
              <w:rPr>
                <w:sz w:val="20"/>
                <w:szCs w:val="20"/>
              </w:rPr>
              <w:t xml:space="preserve">evaluaciones.test.js</w:t>
            </w:r>
          </w:p>
        </w:tc>
        <w:tc>
          <w:tcPr>
            <w:tcW w:type="dxa" w:w="4000"/>
            <w:tcMar>
              <w:top w:type="dxa" w:w="80"/>
              <w:left w:type="dxa" w:w="100"/>
              <w:bottom w:type="dxa" w:w="80"/>
              <w:right w:type="dxa" w:w="100"/>
            </w:tcMar>
            <w:vAlign w:val="center"/>
          </w:tcPr>
          <w:p>
            <w:pPr>
              <w:jc w:val="left"/>
            </w:pPr>
            <w:r>
              <w:rPr>
                <w:sz w:val="20"/>
                <w:szCs w:val="20"/>
              </w:rPr>
              <w:t xml:space="preserve">6 casos (cálculo end-to-end, rechazo de matriz inconsistente, historial)</w:t>
            </w:r>
          </w:p>
        </w:tc>
        <w:tc>
          <w:tcPr>
            <w:tcW w:type="dxa" w:w="1500"/>
            <w:tcMar>
              <w:top w:type="dxa" w:w="80"/>
              <w:left w:type="dxa" w:w="100"/>
              <w:bottom w:type="dxa" w:w="80"/>
              <w:right w:type="dxa" w:w="100"/>
            </w:tcMar>
            <w:vAlign w:val="center"/>
          </w:tcPr>
          <w:p>
            <w:pPr>
              <w:jc w:val="left"/>
            </w:pPr>
            <w:r>
              <w:rPr>
                <w:sz w:val="20"/>
                <w:szCs w:val="20"/>
              </w:rPr>
              <w:t xml:space="preserve">6/6 aprobadas</w:t>
            </w:r>
          </w:p>
        </w:tc>
      </w:tr>
      <w:tr>
        <w:tc>
          <w:tcPr>
            <w:tcW w:type="dxa" w:w="3500"/>
            <w:tcMar>
              <w:top w:type="dxa" w:w="80"/>
              <w:left w:type="dxa" w:w="100"/>
              <w:bottom w:type="dxa" w:w="80"/>
              <w:right w:type="dxa" w:w="100"/>
            </w:tcMar>
            <w:vAlign w:val="center"/>
          </w:tcPr>
          <w:p>
            <w:pPr>
              <w:jc w:val="left"/>
            </w:pPr>
            <w:r>
              <w:rPr>
                <w:sz w:val="20"/>
                <w:szCs w:val="20"/>
              </w:rPr>
              <w:t xml:space="preserve">Total integración</w:t>
            </w:r>
          </w:p>
        </w:tc>
        <w:tc>
          <w:tcPr>
            <w:tcW w:type="dxa" w:w="4000"/>
            <w:tcMar>
              <w:top w:type="dxa" w:w="80"/>
              <w:left w:type="dxa" w:w="100"/>
              <w:bottom w:type="dxa" w:w="80"/>
              <w:right w:type="dxa" w:w="100"/>
            </w:tcMar>
            <w:vAlign w:val="center"/>
          </w:tcPr>
          <w:p>
            <w:pPr>
              <w:jc w:val="left"/>
            </w:pPr>
            <w:r>
              <w:rPr>
                <w:sz w:val="20"/>
                <w:szCs w:val="20"/>
              </w:rPr>
              <w:t xml:space="preserve">16 casos</w:t>
            </w:r>
          </w:p>
        </w:tc>
        <w:tc>
          <w:tcPr>
            <w:tcW w:type="dxa" w:w="1500"/>
            <w:tcMar>
              <w:top w:type="dxa" w:w="80"/>
              <w:left w:type="dxa" w:w="100"/>
              <w:bottom w:type="dxa" w:w="80"/>
              <w:right w:type="dxa" w:w="100"/>
            </w:tcMar>
            <w:vAlign w:val="center"/>
          </w:tcPr>
          <w:p>
            <w:pPr>
              <w:jc w:val="left"/>
            </w:pPr>
            <w:r>
              <w:rPr>
                <w:sz w:val="20"/>
                <w:szCs w:val="20"/>
              </w:rPr>
              <w:t xml:space="preserve">16/16 aprobadas (100%)</w:t>
            </w:r>
          </w:p>
        </w:tc>
      </w:tr>
    </w:tbl>
    <w:p>
      <w:pPr>
        <w:pStyle w:val="Heading3"/>
        <w:spacing w:after="120" w:before="200"/>
      </w:pPr>
      <w:r>
        <w:rPr>
          <w:b/>
          <w:bCs/>
        </w:rPr>
        <w:t xml:space="preserve">4.3.1 Defectos reales identificados y corregidos</w:t>
      </w:r>
    </w:p>
    <w:p>
      <w:pPr>
        <w:spacing w:after="200" w:line="360"/>
        <w:jc w:val="both"/>
      </w:pPr>
      <w:r>
        <w:rPr>
          <w:sz w:val="22"/>
          <w:szCs w:val="22"/>
        </w:rPr>
        <w:t xml:space="preserve">Un objetivo explícito de este proyecto, alineado con el curso IS-489, fue documentar el proceso real de aseguramiento de calidad, incluyendo los defectos efectivamente encontrados durante la ejecución de pruebas (no solo el resultado final en verde). Se identificaron y corrigieron tres defectos reales: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2300"/>
        <w:gridCol w:w="3200"/>
        <w:gridCol w:w="3100"/>
      </w:tblGrid>
      <w:tr>
        <w:trPr>
          <w:tblHeader/>
        </w:trPr>
        <w:tc>
          <w:tcPr>
            <w:tcW w:type="dxa" w:w="400"/>
            <w:shd w:fill="1F3D5C" w:val="clear"/>
            <w:tcMar>
              <w:top w:type="dxa" w:w="80"/>
              <w:left w:type="dxa" w:w="100"/>
              <w:bottom w:type="dxa" w:w="80"/>
              <w:right w:type="dxa" w:w="100"/>
            </w:tcMar>
            <w:vAlign w:val="center"/>
          </w:tcPr>
          <w:p>
            <w:pPr>
              <w:jc w:val="left"/>
            </w:pPr>
            <w:r>
              <w:rPr>
                <w:b/>
                <w:bCs/>
                <w:color w:val="FFFFFF"/>
                <w:sz w:val="20"/>
                <w:szCs w:val="20"/>
              </w:rPr>
              <w:t xml:space="preserve">#</w:t>
            </w:r>
          </w:p>
        </w:tc>
        <w:tc>
          <w:tcPr>
            <w:tcW w:type="dxa" w:w="2300"/>
            <w:shd w:fill="1F3D5C" w:val="clear"/>
            <w:tcMar>
              <w:top w:type="dxa" w:w="80"/>
              <w:left w:type="dxa" w:w="100"/>
              <w:bottom w:type="dxa" w:w="80"/>
              <w:right w:type="dxa" w:w="100"/>
            </w:tcMar>
            <w:vAlign w:val="center"/>
          </w:tcPr>
          <w:p>
            <w:pPr>
              <w:jc w:val="left"/>
            </w:pPr>
            <w:r>
              <w:rPr>
                <w:b/>
                <w:bCs/>
                <w:color w:val="FFFFFF"/>
                <w:sz w:val="20"/>
                <w:szCs w:val="20"/>
              </w:rPr>
              <w:t xml:space="preserve">Defecto</w:t>
            </w:r>
          </w:p>
        </w:tc>
        <w:tc>
          <w:tcPr>
            <w:tcW w:type="dxa" w:w="3200"/>
            <w:shd w:fill="1F3D5C" w:val="clear"/>
            <w:tcMar>
              <w:top w:type="dxa" w:w="80"/>
              <w:left w:type="dxa" w:w="100"/>
              <w:bottom w:type="dxa" w:w="80"/>
              <w:right w:type="dxa" w:w="100"/>
            </w:tcMar>
            <w:vAlign w:val="center"/>
          </w:tcPr>
          <w:p>
            <w:pPr>
              <w:jc w:val="left"/>
            </w:pPr>
            <w:r>
              <w:rPr>
                <w:b/>
                <w:bCs/>
                <w:color w:val="FFFFFF"/>
                <w:sz w:val="20"/>
                <w:szCs w:val="20"/>
              </w:rPr>
              <w:t xml:space="preserve">Causa raíz</w:t>
            </w:r>
          </w:p>
        </w:tc>
        <w:tc>
          <w:tcPr>
            <w:tcW w:type="dxa" w:w="3100"/>
            <w:shd w:fill="1F3D5C" w:val="clear"/>
            <w:tcMar>
              <w:top w:type="dxa" w:w="80"/>
              <w:left w:type="dxa" w:w="100"/>
              <w:bottom w:type="dxa" w:w="80"/>
              <w:right w:type="dxa" w:w="100"/>
            </w:tcMar>
            <w:vAlign w:val="center"/>
          </w:tcPr>
          <w:p>
            <w:pPr>
              <w:jc w:val="left"/>
            </w:pPr>
            <w:r>
              <w:rPr>
                <w:b/>
                <w:bCs/>
                <w:color w:val="FFFFFF"/>
                <w:sz w:val="20"/>
                <w:szCs w:val="20"/>
              </w:rPr>
              <w:t xml:space="preserve">Corrección aplicada</w:t>
            </w:r>
          </w:p>
        </w:tc>
      </w:tr>
      <w:tr>
        <w:tc>
          <w:tcPr>
            <w:tcW w:type="dxa" w:w="400"/>
            <w:tcMar>
              <w:top w:type="dxa" w:w="80"/>
              <w:left w:type="dxa" w:w="100"/>
              <w:bottom w:type="dxa" w:w="80"/>
              <w:right w:type="dxa" w:w="100"/>
            </w:tcMar>
            <w:vAlign w:val="center"/>
          </w:tcPr>
          <w:p>
            <w:pPr>
              <w:jc w:val="left"/>
            </w:pPr>
            <w:r>
              <w:rPr>
                <w:sz w:val="20"/>
                <w:szCs w:val="20"/>
              </w:rPr>
              <w:t xml:space="preserve">1</w:t>
            </w:r>
          </w:p>
        </w:tc>
        <w:tc>
          <w:tcPr>
            <w:tcW w:type="dxa" w:w="2300"/>
            <w:tcMar>
              <w:top w:type="dxa" w:w="80"/>
              <w:left w:type="dxa" w:w="100"/>
              <w:bottom w:type="dxa" w:w="80"/>
              <w:right w:type="dxa" w:w="100"/>
            </w:tcMar>
            <w:vAlign w:val="center"/>
          </w:tcPr>
          <w:p>
            <w:pPr>
              <w:jc w:val="left"/>
            </w:pPr>
            <w:r>
              <w:rPr>
                <w:sz w:val="20"/>
                <w:szCs w:val="20"/>
              </w:rPr>
              <w:t xml:space="preserve">Pool de conexiones cerrado prematuramente ("Pool is closed")</w:t>
            </w:r>
          </w:p>
        </w:tc>
        <w:tc>
          <w:tcPr>
            <w:tcW w:type="dxa" w:w="3200"/>
            <w:tcMar>
              <w:top w:type="dxa" w:w="80"/>
              <w:left w:type="dxa" w:w="100"/>
              <w:bottom w:type="dxa" w:w="80"/>
              <w:right w:type="dxa" w:w="100"/>
            </w:tcMar>
            <w:vAlign w:val="center"/>
          </w:tcPr>
          <w:p>
            <w:pPr>
              <w:jc w:val="left"/>
            </w:pPr>
            <w:r>
              <w:rPr>
                <w:sz w:val="20"/>
                <w:szCs w:val="20"/>
              </w:rPr>
              <w:t xml:space="preserve">Dos bloques describe del mismo archivo de prueba cerraban el pool de MySQL compartido en su respectivo afterAll, invalidando las conexiones para las pruebas restantes del archivo.</w:t>
            </w:r>
          </w:p>
        </w:tc>
        <w:tc>
          <w:tcPr>
            <w:tcW w:type="dxa" w:w="3100"/>
            <w:tcMar>
              <w:top w:type="dxa" w:w="80"/>
              <w:left w:type="dxa" w:w="100"/>
              <w:bottom w:type="dxa" w:w="80"/>
              <w:right w:type="dxa" w:w="100"/>
            </w:tcMar>
            <w:vAlign w:val="center"/>
          </w:tcPr>
          <w:p>
            <w:pPr>
              <w:jc w:val="left"/>
            </w:pPr>
            <w:r>
              <w:rPr>
                <w:sz w:val="20"/>
                <w:szCs w:val="20"/>
              </w:rPr>
              <w:t xml:space="preserve">Se centralizó el cierre del pool en un único afterAll global, ejecutado una sola vez al finalizar todas las pruebas del archivo.</w:t>
            </w:r>
          </w:p>
        </w:tc>
      </w:tr>
      <w:tr>
        <w:tc>
          <w:tcPr>
            <w:tcW w:type="dxa" w:w="400"/>
            <w:tcMar>
              <w:top w:type="dxa" w:w="80"/>
              <w:left w:type="dxa" w:w="100"/>
              <w:bottom w:type="dxa" w:w="80"/>
              <w:right w:type="dxa" w:w="100"/>
            </w:tcMar>
            <w:vAlign w:val="center"/>
          </w:tcPr>
          <w:p>
            <w:pPr>
              <w:jc w:val="left"/>
            </w:pPr>
            <w:r>
              <w:rPr>
                <w:sz w:val="20"/>
                <w:szCs w:val="20"/>
              </w:rPr>
              <w:t xml:space="preserve">2</w:t>
            </w:r>
          </w:p>
        </w:tc>
        <w:tc>
          <w:tcPr>
            <w:tcW w:type="dxa" w:w="2300"/>
            <w:tcMar>
              <w:top w:type="dxa" w:w="80"/>
              <w:left w:type="dxa" w:w="100"/>
              <w:bottom w:type="dxa" w:w="80"/>
              <w:right w:type="dxa" w:w="100"/>
            </w:tcMar>
            <w:vAlign w:val="center"/>
          </w:tcPr>
          <w:p>
            <w:pPr>
              <w:jc w:val="left"/>
            </w:pPr>
            <w:r>
              <w:rPr>
                <w:sz w:val="20"/>
                <w:szCs w:val="20"/>
              </w:rPr>
              <w:t xml:space="preserve">Doble deserialización de columnas JSON ("Unexpected token 'o'... is not valid JSON")</w:t>
            </w:r>
          </w:p>
        </w:tc>
        <w:tc>
          <w:tcPr>
            <w:tcW w:type="dxa" w:w="3200"/>
            <w:tcMar>
              <w:top w:type="dxa" w:w="80"/>
              <w:left w:type="dxa" w:w="100"/>
              <w:bottom w:type="dxa" w:w="80"/>
              <w:right w:type="dxa" w:w="100"/>
            </w:tcMar>
            <w:vAlign w:val="center"/>
          </w:tcPr>
          <w:p>
            <w:pPr>
              <w:jc w:val="left"/>
            </w:pPr>
            <w:r>
              <w:rPr>
                <w:sz w:val="20"/>
                <w:szCs w:val="20"/>
              </w:rPr>
              <w:t xml:space="preserve">El driver mysql2 deserializa automáticamente las columnas de tipo JSON de MySQL en objetos JavaScript; el código intentaba aplicar JSON.parse() nuevamente sobre un valor que ya era un objeto.</w:t>
            </w:r>
          </w:p>
        </w:tc>
        <w:tc>
          <w:tcPr>
            <w:tcW w:type="dxa" w:w="3100"/>
            <w:tcMar>
              <w:top w:type="dxa" w:w="80"/>
              <w:left w:type="dxa" w:w="100"/>
              <w:bottom w:type="dxa" w:w="80"/>
              <w:right w:type="dxa" w:w="100"/>
            </w:tcMar>
            <w:vAlign w:val="center"/>
          </w:tcPr>
          <w:p>
            <w:pPr>
              <w:jc w:val="left"/>
            </w:pPr>
            <w:r>
              <w:rPr>
                <w:sz w:val="20"/>
                <w:szCs w:val="20"/>
              </w:rPr>
              <w:t xml:space="preserve">Se añadió una función auxiliar que solo aplica JSON.parse() si el valor recibido es efectivamente una cadena de texto.</w:t>
            </w:r>
          </w:p>
        </w:tc>
      </w:tr>
      <w:tr>
        <w:tc>
          <w:tcPr>
            <w:tcW w:type="dxa" w:w="400"/>
            <w:tcMar>
              <w:top w:type="dxa" w:w="80"/>
              <w:left w:type="dxa" w:w="100"/>
              <w:bottom w:type="dxa" w:w="80"/>
              <w:right w:type="dxa" w:w="100"/>
            </w:tcMar>
            <w:vAlign w:val="center"/>
          </w:tcPr>
          <w:p>
            <w:pPr>
              <w:jc w:val="left"/>
            </w:pPr>
            <w:r>
              <w:rPr>
                <w:sz w:val="20"/>
                <w:szCs w:val="20"/>
              </w:rPr>
              <w:t xml:space="preserve">3</w:t>
            </w:r>
          </w:p>
        </w:tc>
        <w:tc>
          <w:tcPr>
            <w:tcW w:type="dxa" w:w="2300"/>
            <w:tcMar>
              <w:top w:type="dxa" w:w="80"/>
              <w:left w:type="dxa" w:w="100"/>
              <w:bottom w:type="dxa" w:w="80"/>
              <w:right w:type="dxa" w:w="100"/>
            </w:tcMar>
            <w:vAlign w:val="center"/>
          </w:tcPr>
          <w:p>
            <w:pPr>
              <w:jc w:val="left"/>
            </w:pPr>
            <w:r>
              <w:rPr>
                <w:sz w:val="20"/>
                <w:szCs w:val="20"/>
              </w:rPr>
              <w:t xml:space="preserve">Rechazo indebido de matrices AHP válidas por tolerancia numérica excesivamente estricta</w:t>
            </w:r>
          </w:p>
        </w:tc>
        <w:tc>
          <w:tcPr>
            <w:tcW w:type="dxa" w:w="3200"/>
            <w:tcMar>
              <w:top w:type="dxa" w:w="80"/>
              <w:left w:type="dxa" w:w="100"/>
              <w:bottom w:type="dxa" w:w="80"/>
              <w:right w:type="dxa" w:w="100"/>
            </w:tcMar>
            <w:vAlign w:val="center"/>
          </w:tcPr>
          <w:p>
            <w:pPr>
              <w:jc w:val="left"/>
            </w:pPr>
            <w:r>
              <w:rPr>
                <w:sz w:val="20"/>
                <w:szCs w:val="20"/>
              </w:rPr>
              <w:t xml:space="preserve">La validación de reciprocidad de la matriz AHP exigía una diferencia absoluta menor a 1e-6 respecto del recíproco exacto, lo cual rechazaba matrices reales con decimales redondeados a 4 cifras (p. ej. 0.3333 en vez de 1/3 exacto).</w:t>
            </w:r>
          </w:p>
        </w:tc>
        <w:tc>
          <w:tcPr>
            <w:tcW w:type="dxa" w:w="3100"/>
            <w:tcMar>
              <w:top w:type="dxa" w:w="80"/>
              <w:left w:type="dxa" w:w="100"/>
              <w:bottom w:type="dxa" w:w="80"/>
              <w:right w:type="dxa" w:w="100"/>
            </w:tcMar>
            <w:vAlign w:val="center"/>
          </w:tcPr>
          <w:p>
            <w:pPr>
              <w:jc w:val="left"/>
            </w:pPr>
            <w:r>
              <w:rPr>
                <w:sz w:val="20"/>
                <w:szCs w:val="20"/>
              </w:rPr>
              <w:t xml:space="preserve">Se reemplazó la tolerancia absoluta por una tolerancia relativa del 0.5%, consistente con la práctica de redondeo manual de la escala de Saaty.</w:t>
            </w:r>
          </w:p>
        </w:tc>
      </w:tr>
    </w:tbl>
    <w:p>
      <w:pPr>
        <w:spacing w:after="200" w:line="360"/>
        <w:jc w:val="both"/>
      </w:pPr>
      <w:r>
        <w:rPr>
          <w:sz w:val="22"/>
          <w:szCs w:val="22"/>
        </w:rPr>
        <w:t xml:space="preserve">Los tres defectos fueron reproducidos, diagnosticados y corregidos durante el propio desarrollo del proyecto, y las 32 pruebas (16 unitarias + 16 de integración) pasan de forma consistente tras las correcciones, tal como se detalla en la sección 4.6.</w:t>
      </w:r>
    </w:p>
    <w:p>
      <w:pPr>
        <w:pStyle w:val="Heading2"/>
        <w:spacing w:after="160" w:before="300"/>
      </w:pPr>
      <w:r>
        <w:rPr>
          <w:b/>
          <w:bCs/>
          <w:color w:val="1F3D5C"/>
        </w:rPr>
        <w:t xml:space="preserve">4.4 Resultado del Sprint 4: interfaz web</w:t>
      </w:r>
    </w:p>
    <w:p>
      <w:pPr>
        <w:spacing w:after="200" w:line="360"/>
        <w:jc w:val="both"/>
      </w:pPr>
      <w:r>
        <w:rPr>
          <w:sz w:val="22"/>
          <w:szCs w:val="22"/>
        </w:rPr>
        <w:t xml:space="preserve">Se implementó la interfaz web en React con las siguientes pantallas: inicio de sesión y registro, gestión de proveedores (listado, alta, edición y baja lógica), construcción interactiva de la matriz de comparación por pares AHP con derivación automática de los valores recíprocos, ingreso de la matriz de decisión para los proveedores seleccionados, y visualización de resultados mediante un panel con métricas resumen (razón de consistencia, número de proveedores evaluados), un gráfico de barras horizontales del coeficiente de cercanía por proveedor coloreado por nivel de confianza, y una tabla de ranking ordenada.</w:t>
      </w:r>
    </w:p>
    <w:p>
      <w:pPr>
        <w:spacing w:after="200" w:line="360"/>
        <w:jc w:val="both"/>
      </w:pPr>
      <w:r>
        <w:rPr>
          <w:sz w:val="22"/>
          <w:szCs w:val="22"/>
        </w:rPr>
        <w:t xml:space="preserve">El build de producción del frontend se compiló exitosamente con Vite, transformando 893 módulos sin errores, generando un bundle final de 596.8 KB (177.94 KB comprimido con gzip) en 6.71 segundos, verificando así que la interfaz está lista para su despliegue.</w:t>
      </w:r>
    </w:p>
    <w:p>
      <w:pPr>
        <w:pStyle w:val="Heading2"/>
        <w:spacing w:after="160" w:before="300"/>
      </w:pPr>
      <w:r>
        <w:rPr>
          <w:b/>
          <w:bCs/>
          <w:color w:val="1F3D5C"/>
        </w:rPr>
        <w:t xml:space="preserve">4.5 Resultado del Sprint 5: contenerización y despliegue</w:t>
      </w:r>
    </w:p>
    <w:p>
      <w:pPr>
        <w:spacing w:after="200" w:line="360"/>
        <w:jc w:val="both"/>
      </w:pPr>
      <w:r>
        <w:rPr>
          <w:sz w:val="22"/>
          <w:szCs w:val="22"/>
        </w:rPr>
        <w:t xml:space="preserve">Se elaboraron Dockerfiles independientes para el backend (Node.js sobre Alpine Linux) y el frontend (build multi-etapa servido con Nginx), orquestados mediante Docker Compose junto con un contenedor de MySQL 8.0 que carga automáticamente el esquema y los datos semilla al iniciar. Adicionalmente, se configuró un pipeline de integración continua en GitHub Actions que, en cada push o pull request, levanta una instancia efímera de MySQL, carga el esquema, ejecuta las 32 pruebas automatizadas y compila el build de producción del frontend, publicando el reporte de cobertura como artefacto descargable.</w:t>
      </w:r>
    </w:p>
    <w:p>
      <w:pPr>
        <w:pStyle w:val="Heading2"/>
        <w:spacing w:after="160" w:before="300"/>
      </w:pPr>
      <w:r>
        <w:rPr>
          <w:b/>
          <w:bCs/>
          <w:color w:val="1F3D5C"/>
        </w:rPr>
        <w:t xml:space="preserve">4.6 Caso de aplicación: evaluación end-to-end verificada</w:t>
      </w:r>
    </w:p>
    <w:p>
      <w:pPr>
        <w:spacing w:after="200" w:line="360"/>
        <w:jc w:val="both"/>
      </w:pPr>
      <w:r>
        <w:rPr>
          <w:sz w:val="22"/>
          <w:szCs w:val="22"/>
        </w:rPr>
        <w:t xml:space="preserve">Para verificar el comportamiento del sistema en un escenario realista, se ejecutó una evaluación completa a través de la API REST desplegada localmente, utilizando los 4 proveedores de referencia (Ferretería San Cristóbal, Corporación Wari, Distribuidora Huamanga y Aceros y Fierros del Sur) evaluados según los 5 criterios definidos: precio unitario (costo), calidad certificada (beneficio), plazo de entrega (costo), garantía (beneficio) y reputación (beneficio).</w:t>
      </w:r>
    </w:p>
    <w:p>
      <w:pPr>
        <w:pStyle w:val="Heading3"/>
        <w:spacing w:after="120" w:before="200"/>
      </w:pPr>
      <w:r>
        <w:rPr>
          <w:b/>
          <w:bCs/>
        </w:rPr>
        <w:t xml:space="preserve">4.6.1 Pesos obtenidos por AHP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000"/>
      </w:tblGrid>
      <w:tr>
        <w:trPr>
          <w:tblHeader/>
        </w:trPr>
        <w:tc>
          <w:tcPr>
            <w:tcW w:type="dxa" w:w="3500"/>
            <w:shd w:fill="1F3D5C" w:val="clear"/>
            <w:tcMar>
              <w:top w:type="dxa" w:w="80"/>
              <w:left w:type="dxa" w:w="100"/>
              <w:bottom w:type="dxa" w:w="80"/>
              <w:right w:type="dxa" w:w="100"/>
            </w:tcMar>
            <w:vAlign w:val="center"/>
          </w:tcPr>
          <w:p>
            <w:pPr>
              <w:jc w:val="left"/>
            </w:pPr>
            <w:r>
              <w:rPr>
                <w:b/>
                <w:bCs/>
                <w:color w:val="FFFFFF"/>
                <w:sz w:val="20"/>
                <w:szCs w:val="20"/>
              </w:rPr>
              <w:t xml:space="preserve">Criterio</w:t>
            </w:r>
          </w:p>
        </w:tc>
        <w:tc>
          <w:tcPr>
            <w:tcW w:type="dxa" w:w="2500"/>
            <w:shd w:fill="1F3D5C" w:val="clear"/>
            <w:tcMar>
              <w:top w:type="dxa" w:w="80"/>
              <w:left w:type="dxa" w:w="100"/>
              <w:bottom w:type="dxa" w:w="80"/>
              <w:right w:type="dxa" w:w="100"/>
            </w:tcMar>
            <w:vAlign w:val="center"/>
          </w:tcPr>
          <w:p>
            <w:pPr>
              <w:jc w:val="left"/>
            </w:pPr>
            <w:r>
              <w:rPr>
                <w:b/>
                <w:bCs/>
                <w:color w:val="FFFFFF"/>
                <w:sz w:val="20"/>
                <w:szCs w:val="20"/>
              </w:rPr>
              <w:t xml:space="preserve">Peso (AHP)</w:t>
            </w:r>
          </w:p>
        </w:tc>
        <w:tc>
          <w:tcPr>
            <w:tcW w:type="dxa" w:w="3000"/>
            <w:shd w:fill="1F3D5C" w:val="clear"/>
            <w:tcMar>
              <w:top w:type="dxa" w:w="80"/>
              <w:left w:type="dxa" w:w="100"/>
              <w:bottom w:type="dxa" w:w="80"/>
              <w:right w:type="dxa" w:w="100"/>
            </w:tcMar>
            <w:vAlign w:val="center"/>
          </w:tcPr>
          <w:p>
            <w:pPr>
              <w:jc w:val="left"/>
            </w:pPr>
            <w:r>
              <w:rPr>
                <w:b/>
                <w:bCs/>
                <w:color w:val="FFFFFF"/>
                <w:sz w:val="20"/>
                <w:szCs w:val="20"/>
              </w:rPr>
              <w:t xml:space="preserve">Participación relativa</w:t>
            </w:r>
          </w:p>
        </w:tc>
      </w:tr>
      <w:tr>
        <w:tc>
          <w:tcPr>
            <w:tcW w:type="dxa" w:w="3500"/>
            <w:tcMar>
              <w:top w:type="dxa" w:w="80"/>
              <w:left w:type="dxa" w:w="100"/>
              <w:bottom w:type="dxa" w:w="80"/>
              <w:right w:type="dxa" w:w="100"/>
            </w:tcMar>
            <w:vAlign w:val="center"/>
          </w:tcPr>
          <w:p>
            <w:pPr>
              <w:jc w:val="left"/>
            </w:pPr>
            <w:r>
              <w:rPr>
                <w:sz w:val="20"/>
                <w:szCs w:val="20"/>
              </w:rPr>
              <w:t xml:space="preserve">Precio unitario</w:t>
            </w:r>
          </w:p>
        </w:tc>
        <w:tc>
          <w:tcPr>
            <w:tcW w:type="dxa" w:w="2500"/>
            <w:tcMar>
              <w:top w:type="dxa" w:w="80"/>
              <w:left w:type="dxa" w:w="100"/>
              <w:bottom w:type="dxa" w:w="80"/>
              <w:right w:type="dxa" w:w="100"/>
            </w:tcMar>
            <w:vAlign w:val="center"/>
          </w:tcPr>
          <w:p>
            <w:pPr>
              <w:jc w:val="left"/>
            </w:pPr>
            <w:r>
              <w:rPr>
                <w:sz w:val="20"/>
                <w:szCs w:val="20"/>
              </w:rPr>
              <w:t xml:space="preserve">0.4190</w:t>
            </w:r>
          </w:p>
        </w:tc>
        <w:tc>
          <w:tcPr>
            <w:tcW w:type="dxa" w:w="3000"/>
            <w:tcMar>
              <w:top w:type="dxa" w:w="80"/>
              <w:left w:type="dxa" w:w="100"/>
              <w:bottom w:type="dxa" w:w="80"/>
              <w:right w:type="dxa" w:w="100"/>
            </w:tcMar>
            <w:vAlign w:val="center"/>
          </w:tcPr>
          <w:p>
            <w:pPr>
              <w:jc w:val="left"/>
            </w:pPr>
            <w:r>
              <w:rPr>
                <w:sz w:val="20"/>
                <w:szCs w:val="20"/>
              </w:rPr>
              <w:t xml:space="preserve">41.9 %</w:t>
            </w:r>
          </w:p>
        </w:tc>
      </w:tr>
      <w:tr>
        <w:tc>
          <w:tcPr>
            <w:tcW w:type="dxa" w:w="3500"/>
            <w:tcMar>
              <w:top w:type="dxa" w:w="80"/>
              <w:left w:type="dxa" w:w="100"/>
              <w:bottom w:type="dxa" w:w="80"/>
              <w:right w:type="dxa" w:w="100"/>
            </w:tcMar>
            <w:vAlign w:val="center"/>
          </w:tcPr>
          <w:p>
            <w:pPr>
              <w:jc w:val="left"/>
            </w:pPr>
            <w:r>
              <w:rPr>
                <w:sz w:val="20"/>
                <w:szCs w:val="20"/>
              </w:rPr>
              <w:t xml:space="preserve">Reputación</w:t>
            </w:r>
          </w:p>
        </w:tc>
        <w:tc>
          <w:tcPr>
            <w:tcW w:type="dxa" w:w="2500"/>
            <w:tcMar>
              <w:top w:type="dxa" w:w="80"/>
              <w:left w:type="dxa" w:w="100"/>
              <w:bottom w:type="dxa" w:w="80"/>
              <w:right w:type="dxa" w:w="100"/>
            </w:tcMar>
            <w:vAlign w:val="center"/>
          </w:tcPr>
          <w:p>
            <w:pPr>
              <w:jc w:val="left"/>
            </w:pPr>
            <w:r>
              <w:rPr>
                <w:sz w:val="20"/>
                <w:szCs w:val="20"/>
              </w:rPr>
              <w:t xml:space="preserve">0.2503</w:t>
            </w:r>
          </w:p>
        </w:tc>
        <w:tc>
          <w:tcPr>
            <w:tcW w:type="dxa" w:w="3000"/>
            <w:tcMar>
              <w:top w:type="dxa" w:w="80"/>
              <w:left w:type="dxa" w:w="100"/>
              <w:bottom w:type="dxa" w:w="80"/>
              <w:right w:type="dxa" w:w="100"/>
            </w:tcMar>
            <w:vAlign w:val="center"/>
          </w:tcPr>
          <w:p>
            <w:pPr>
              <w:jc w:val="left"/>
            </w:pPr>
            <w:r>
              <w:rPr>
                <w:sz w:val="20"/>
                <w:szCs w:val="20"/>
              </w:rPr>
              <w:t xml:space="preserve">25.0 %</w:t>
            </w:r>
          </w:p>
        </w:tc>
      </w:tr>
      <w:tr>
        <w:tc>
          <w:tcPr>
            <w:tcW w:type="dxa" w:w="3500"/>
            <w:tcMar>
              <w:top w:type="dxa" w:w="80"/>
              <w:left w:type="dxa" w:w="100"/>
              <w:bottom w:type="dxa" w:w="80"/>
              <w:right w:type="dxa" w:w="100"/>
            </w:tcMar>
            <w:vAlign w:val="center"/>
          </w:tcPr>
          <w:p>
            <w:pPr>
              <w:jc w:val="left"/>
            </w:pPr>
            <w:r>
              <w:rPr>
                <w:sz w:val="20"/>
                <w:szCs w:val="20"/>
              </w:rPr>
              <w:t xml:space="preserve">Calidad certificada</w:t>
            </w:r>
          </w:p>
        </w:tc>
        <w:tc>
          <w:tcPr>
            <w:tcW w:type="dxa" w:w="2500"/>
            <w:tcMar>
              <w:top w:type="dxa" w:w="80"/>
              <w:left w:type="dxa" w:w="100"/>
              <w:bottom w:type="dxa" w:w="80"/>
              <w:right w:type="dxa" w:w="100"/>
            </w:tcMar>
            <w:vAlign w:val="center"/>
          </w:tcPr>
          <w:p>
            <w:pPr>
              <w:jc w:val="left"/>
            </w:pPr>
            <w:r>
              <w:rPr>
                <w:sz w:val="20"/>
                <w:szCs w:val="20"/>
              </w:rPr>
              <w:t xml:space="preserve">0.1634</w:t>
            </w:r>
          </w:p>
        </w:tc>
        <w:tc>
          <w:tcPr>
            <w:tcW w:type="dxa" w:w="3000"/>
            <w:tcMar>
              <w:top w:type="dxa" w:w="80"/>
              <w:left w:type="dxa" w:w="100"/>
              <w:bottom w:type="dxa" w:w="80"/>
              <w:right w:type="dxa" w:w="100"/>
            </w:tcMar>
            <w:vAlign w:val="center"/>
          </w:tcPr>
          <w:p>
            <w:pPr>
              <w:jc w:val="left"/>
            </w:pPr>
            <w:r>
              <w:rPr>
                <w:sz w:val="20"/>
                <w:szCs w:val="20"/>
              </w:rPr>
              <w:t xml:space="preserve">16.3 %</w:t>
            </w:r>
          </w:p>
        </w:tc>
      </w:tr>
      <w:tr>
        <w:tc>
          <w:tcPr>
            <w:tcW w:type="dxa" w:w="3500"/>
            <w:tcMar>
              <w:top w:type="dxa" w:w="80"/>
              <w:left w:type="dxa" w:w="100"/>
              <w:bottom w:type="dxa" w:w="80"/>
              <w:right w:type="dxa" w:w="100"/>
            </w:tcMar>
            <w:vAlign w:val="center"/>
          </w:tcPr>
          <w:p>
            <w:pPr>
              <w:jc w:val="left"/>
            </w:pPr>
            <w:r>
              <w:rPr>
                <w:sz w:val="20"/>
                <w:szCs w:val="20"/>
              </w:rPr>
              <w:t xml:space="preserve">Garantía</w:t>
            </w:r>
          </w:p>
        </w:tc>
        <w:tc>
          <w:tcPr>
            <w:tcW w:type="dxa" w:w="2500"/>
            <w:tcMar>
              <w:top w:type="dxa" w:w="80"/>
              <w:left w:type="dxa" w:w="100"/>
              <w:bottom w:type="dxa" w:w="80"/>
              <w:right w:type="dxa" w:w="100"/>
            </w:tcMar>
            <w:vAlign w:val="center"/>
          </w:tcPr>
          <w:p>
            <w:pPr>
              <w:jc w:val="left"/>
            </w:pPr>
            <w:r>
              <w:rPr>
                <w:sz w:val="20"/>
                <w:szCs w:val="20"/>
              </w:rPr>
              <w:t xml:space="preserve">0.1002</w:t>
            </w:r>
          </w:p>
        </w:tc>
        <w:tc>
          <w:tcPr>
            <w:tcW w:type="dxa" w:w="3000"/>
            <w:tcMar>
              <w:top w:type="dxa" w:w="80"/>
              <w:left w:type="dxa" w:w="100"/>
              <w:bottom w:type="dxa" w:w="80"/>
              <w:right w:type="dxa" w:w="100"/>
            </w:tcMar>
            <w:vAlign w:val="center"/>
          </w:tcPr>
          <w:p>
            <w:pPr>
              <w:jc w:val="left"/>
            </w:pPr>
            <w:r>
              <w:rPr>
                <w:sz w:val="20"/>
                <w:szCs w:val="20"/>
              </w:rPr>
              <w:t xml:space="preserve">10.0 %</w:t>
            </w:r>
          </w:p>
        </w:tc>
      </w:tr>
      <w:tr>
        <w:tc>
          <w:tcPr>
            <w:tcW w:type="dxa" w:w="3500"/>
            <w:tcMar>
              <w:top w:type="dxa" w:w="80"/>
              <w:left w:type="dxa" w:w="100"/>
              <w:bottom w:type="dxa" w:w="80"/>
              <w:right w:type="dxa" w:w="100"/>
            </w:tcMar>
            <w:vAlign w:val="center"/>
          </w:tcPr>
          <w:p>
            <w:pPr>
              <w:jc w:val="left"/>
            </w:pPr>
            <w:r>
              <w:rPr>
                <w:sz w:val="20"/>
                <w:szCs w:val="20"/>
              </w:rPr>
              <w:t xml:space="preserve">Plazo de entrega</w:t>
            </w:r>
          </w:p>
        </w:tc>
        <w:tc>
          <w:tcPr>
            <w:tcW w:type="dxa" w:w="2500"/>
            <w:tcMar>
              <w:top w:type="dxa" w:w="80"/>
              <w:left w:type="dxa" w:w="100"/>
              <w:bottom w:type="dxa" w:w="80"/>
              <w:right w:type="dxa" w:w="100"/>
            </w:tcMar>
            <w:vAlign w:val="center"/>
          </w:tcPr>
          <w:p>
            <w:pPr>
              <w:jc w:val="left"/>
            </w:pPr>
            <w:r>
              <w:rPr>
                <w:sz w:val="20"/>
                <w:szCs w:val="20"/>
              </w:rPr>
              <w:t xml:space="preserve">0.0671</w:t>
            </w:r>
          </w:p>
        </w:tc>
        <w:tc>
          <w:tcPr>
            <w:tcW w:type="dxa" w:w="3000"/>
            <w:tcMar>
              <w:top w:type="dxa" w:w="80"/>
              <w:left w:type="dxa" w:w="100"/>
              <w:bottom w:type="dxa" w:w="80"/>
              <w:right w:type="dxa" w:w="100"/>
            </w:tcMar>
            <w:vAlign w:val="center"/>
          </w:tcPr>
          <w:p>
            <w:pPr>
              <w:jc w:val="left"/>
            </w:pPr>
            <w:r>
              <w:rPr>
                <w:sz w:val="20"/>
                <w:szCs w:val="20"/>
              </w:rPr>
              <w:t xml:space="preserve">6.7 %</w:t>
            </w:r>
          </w:p>
        </w:tc>
      </w:tr>
    </w:tbl>
    <w:p>
      <w:pPr>
        <w:spacing w:after="200" w:line="360"/>
        <w:jc w:val="both"/>
      </w:pPr>
      <w:r>
        <w:rPr>
          <w:sz w:val="22"/>
          <w:szCs w:val="22"/>
        </w:rPr>
        <w:t xml:space="preserve">La matriz de comparación por pares utilizada resultó consistente: razón de consistencia CR = 0.0193 (muy por debajo del umbral máximo de 0.10 establecido por Saaty), con λmáx = 5.0864 e Índice de Consistencia CI = 0.0216, confirmando que los juicios de comparación ingresados eran coherentes entre sí.</w:t>
      </w:r>
    </w:p>
    <w:p>
      <w:pPr>
        <w:pStyle w:val="Heading3"/>
        <w:spacing w:after="120" w:before="200"/>
      </w:pPr>
      <w:r>
        <w:rPr>
          <w:b/>
          <w:bCs/>
        </w:rPr>
        <w:t xml:space="preserve">4.6.2 Ranking final de proveedores (TOPSIS)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5000"/>
        <w:gridCol w:w="3500"/>
      </w:tblGrid>
      <w:tr>
        <w:trPr>
          <w:tblHeader/>
        </w:trPr>
        <w:tc>
          <w:tcPr>
            <w:tcW w:type="dxa" w:w="1500"/>
            <w:shd w:fill="1F3D5C" w:val="clear"/>
            <w:tcMar>
              <w:top w:type="dxa" w:w="80"/>
              <w:left w:type="dxa" w:w="100"/>
              <w:bottom w:type="dxa" w:w="80"/>
              <w:right w:type="dxa" w:w="100"/>
            </w:tcMar>
            <w:vAlign w:val="center"/>
          </w:tcPr>
          <w:p>
            <w:pPr>
              <w:jc w:val="left"/>
            </w:pPr>
            <w:r>
              <w:rPr>
                <w:b/>
                <w:bCs/>
                <w:color w:val="FFFFFF"/>
                <w:sz w:val="20"/>
                <w:szCs w:val="20"/>
              </w:rPr>
              <w:t xml:space="preserve">Ranking</w:t>
            </w:r>
          </w:p>
        </w:tc>
        <w:tc>
          <w:tcPr>
            <w:tcW w:type="dxa" w:w="5000"/>
            <w:shd w:fill="1F3D5C" w:val="clear"/>
            <w:tcMar>
              <w:top w:type="dxa" w:w="80"/>
              <w:left w:type="dxa" w:w="100"/>
              <w:bottom w:type="dxa" w:w="80"/>
              <w:right w:type="dxa" w:w="100"/>
            </w:tcMar>
            <w:vAlign w:val="center"/>
          </w:tcPr>
          <w:p>
            <w:pPr>
              <w:jc w:val="left"/>
            </w:pPr>
            <w:r>
              <w:rPr>
                <w:b/>
                <w:bCs/>
                <w:color w:val="FFFFFF"/>
                <w:sz w:val="20"/>
                <w:szCs w:val="20"/>
              </w:rPr>
              <w:t xml:space="preserve">Proveedor</w:t>
            </w:r>
          </w:p>
        </w:tc>
        <w:tc>
          <w:tcPr>
            <w:tcW w:type="dxa" w:w="3500"/>
            <w:shd w:fill="1F3D5C" w:val="clear"/>
            <w:tcMar>
              <w:top w:type="dxa" w:w="80"/>
              <w:left w:type="dxa" w:w="100"/>
              <w:bottom w:type="dxa" w:w="80"/>
              <w:right w:type="dxa" w:w="100"/>
            </w:tcMar>
            <w:vAlign w:val="center"/>
          </w:tcPr>
          <w:p>
            <w:pPr>
              <w:jc w:val="left"/>
            </w:pPr>
            <w:r>
              <w:rPr>
                <w:b/>
                <w:bCs/>
                <w:color w:val="FFFFFF"/>
                <w:sz w:val="20"/>
                <w:szCs w:val="20"/>
              </w:rPr>
              <w:t xml:space="preserve">Coeficiente de cercanía (CC*)</w:t>
            </w:r>
          </w:p>
        </w:tc>
      </w:tr>
      <w:tr>
        <w:tc>
          <w:tcPr>
            <w:tcW w:type="dxa" w:w="1500"/>
            <w:tcMar>
              <w:top w:type="dxa" w:w="80"/>
              <w:left w:type="dxa" w:w="100"/>
              <w:bottom w:type="dxa" w:w="80"/>
              <w:right w:type="dxa" w:w="100"/>
            </w:tcMar>
            <w:vAlign w:val="center"/>
          </w:tcPr>
          <w:p>
            <w:pPr>
              <w:jc w:val="left"/>
            </w:pPr>
            <w:r>
              <w:rPr>
                <w:sz w:val="20"/>
                <w:szCs w:val="20"/>
              </w:rPr>
              <w:t xml:space="preserve">1</w:t>
            </w:r>
          </w:p>
        </w:tc>
        <w:tc>
          <w:tcPr>
            <w:tcW w:type="dxa" w:w="5000"/>
            <w:tcMar>
              <w:top w:type="dxa" w:w="80"/>
              <w:left w:type="dxa" w:w="100"/>
              <w:bottom w:type="dxa" w:w="80"/>
              <w:right w:type="dxa" w:w="100"/>
            </w:tcMar>
            <w:vAlign w:val="center"/>
          </w:tcPr>
          <w:p>
            <w:pPr>
              <w:jc w:val="left"/>
            </w:pPr>
            <w:r>
              <w:rPr>
                <w:sz w:val="20"/>
                <w:szCs w:val="20"/>
              </w:rPr>
              <w:t xml:space="preserve">Corporación Constructora Wari S.A.C.</w:t>
            </w:r>
          </w:p>
        </w:tc>
        <w:tc>
          <w:tcPr>
            <w:tcW w:type="dxa" w:w="3500"/>
            <w:tcMar>
              <w:top w:type="dxa" w:w="80"/>
              <w:left w:type="dxa" w:w="100"/>
              <w:bottom w:type="dxa" w:w="80"/>
              <w:right w:type="dxa" w:w="100"/>
            </w:tcMar>
            <w:vAlign w:val="center"/>
          </w:tcPr>
          <w:p>
            <w:pPr>
              <w:jc w:val="left"/>
            </w:pPr>
            <w:r>
              <w:rPr>
                <w:sz w:val="20"/>
                <w:szCs w:val="20"/>
              </w:rPr>
              <w:t xml:space="preserve">0.6479</w:t>
            </w:r>
          </w:p>
        </w:tc>
      </w:tr>
      <w:tr>
        <w:tc>
          <w:tcPr>
            <w:tcW w:type="dxa" w:w="1500"/>
            <w:tcMar>
              <w:top w:type="dxa" w:w="80"/>
              <w:left w:type="dxa" w:w="100"/>
              <w:bottom w:type="dxa" w:w="80"/>
              <w:right w:type="dxa" w:w="100"/>
            </w:tcMar>
            <w:vAlign w:val="center"/>
          </w:tcPr>
          <w:p>
            <w:pPr>
              <w:jc w:val="left"/>
            </w:pPr>
            <w:r>
              <w:rPr>
                <w:sz w:val="20"/>
                <w:szCs w:val="20"/>
              </w:rPr>
              <w:t xml:space="preserve">2</w:t>
            </w:r>
          </w:p>
        </w:tc>
        <w:tc>
          <w:tcPr>
            <w:tcW w:type="dxa" w:w="5000"/>
            <w:tcMar>
              <w:top w:type="dxa" w:w="80"/>
              <w:left w:type="dxa" w:w="100"/>
              <w:bottom w:type="dxa" w:w="80"/>
              <w:right w:type="dxa" w:w="100"/>
            </w:tcMar>
            <w:vAlign w:val="center"/>
          </w:tcPr>
          <w:p>
            <w:pPr>
              <w:jc w:val="left"/>
            </w:pPr>
            <w:r>
              <w:rPr>
                <w:sz w:val="20"/>
                <w:szCs w:val="20"/>
              </w:rPr>
              <w:t xml:space="preserve">Ferretería San Cristóbal E.I.R.L.</w:t>
            </w:r>
          </w:p>
        </w:tc>
        <w:tc>
          <w:tcPr>
            <w:tcW w:type="dxa" w:w="3500"/>
            <w:tcMar>
              <w:top w:type="dxa" w:w="80"/>
              <w:left w:type="dxa" w:w="100"/>
              <w:bottom w:type="dxa" w:w="80"/>
              <w:right w:type="dxa" w:w="100"/>
            </w:tcMar>
            <w:vAlign w:val="center"/>
          </w:tcPr>
          <w:p>
            <w:pPr>
              <w:jc w:val="left"/>
            </w:pPr>
            <w:r>
              <w:rPr>
                <w:sz w:val="20"/>
                <w:szCs w:val="20"/>
              </w:rPr>
              <w:t xml:space="preserve">0.5972</w:t>
            </w:r>
          </w:p>
        </w:tc>
      </w:tr>
      <w:tr>
        <w:tc>
          <w:tcPr>
            <w:tcW w:type="dxa" w:w="1500"/>
            <w:tcMar>
              <w:top w:type="dxa" w:w="80"/>
              <w:left w:type="dxa" w:w="100"/>
              <w:bottom w:type="dxa" w:w="80"/>
              <w:right w:type="dxa" w:w="100"/>
            </w:tcMar>
            <w:vAlign w:val="center"/>
          </w:tcPr>
          <w:p>
            <w:pPr>
              <w:jc w:val="left"/>
            </w:pPr>
            <w:r>
              <w:rPr>
                <w:sz w:val="20"/>
                <w:szCs w:val="20"/>
              </w:rPr>
              <w:t xml:space="preserve">3</w:t>
            </w:r>
          </w:p>
        </w:tc>
        <w:tc>
          <w:tcPr>
            <w:tcW w:type="dxa" w:w="5000"/>
            <w:tcMar>
              <w:top w:type="dxa" w:w="80"/>
              <w:left w:type="dxa" w:w="100"/>
              <w:bottom w:type="dxa" w:w="80"/>
              <w:right w:type="dxa" w:w="100"/>
            </w:tcMar>
            <w:vAlign w:val="center"/>
          </w:tcPr>
          <w:p>
            <w:pPr>
              <w:jc w:val="left"/>
            </w:pPr>
            <w:r>
              <w:rPr>
                <w:sz w:val="20"/>
                <w:szCs w:val="20"/>
              </w:rPr>
              <w:t xml:space="preserve">Distribuidora Huamanga Cementos S.R.L.</w:t>
            </w:r>
          </w:p>
        </w:tc>
        <w:tc>
          <w:tcPr>
            <w:tcW w:type="dxa" w:w="3500"/>
            <w:tcMar>
              <w:top w:type="dxa" w:w="80"/>
              <w:left w:type="dxa" w:w="100"/>
              <w:bottom w:type="dxa" w:w="80"/>
              <w:right w:type="dxa" w:w="100"/>
            </w:tcMar>
            <w:vAlign w:val="center"/>
          </w:tcPr>
          <w:p>
            <w:pPr>
              <w:jc w:val="left"/>
            </w:pPr>
            <w:r>
              <w:rPr>
                <w:sz w:val="20"/>
                <w:szCs w:val="20"/>
              </w:rPr>
              <w:t xml:space="preserve">0.5278</w:t>
            </w:r>
          </w:p>
        </w:tc>
      </w:tr>
      <w:tr>
        <w:tc>
          <w:tcPr>
            <w:tcW w:type="dxa" w:w="1500"/>
            <w:tcMar>
              <w:top w:type="dxa" w:w="80"/>
              <w:left w:type="dxa" w:w="100"/>
              <w:bottom w:type="dxa" w:w="80"/>
              <w:right w:type="dxa" w:w="100"/>
            </w:tcMar>
            <w:vAlign w:val="center"/>
          </w:tcPr>
          <w:p>
            <w:pPr>
              <w:jc w:val="left"/>
            </w:pPr>
            <w:r>
              <w:rPr>
                <w:sz w:val="20"/>
                <w:szCs w:val="20"/>
              </w:rPr>
              <w:t xml:space="preserve">4</w:t>
            </w:r>
          </w:p>
        </w:tc>
        <w:tc>
          <w:tcPr>
            <w:tcW w:type="dxa" w:w="5000"/>
            <w:tcMar>
              <w:top w:type="dxa" w:w="80"/>
              <w:left w:type="dxa" w:w="100"/>
              <w:bottom w:type="dxa" w:w="80"/>
              <w:right w:type="dxa" w:w="100"/>
            </w:tcMar>
            <w:vAlign w:val="center"/>
          </w:tcPr>
          <w:p>
            <w:pPr>
              <w:jc w:val="left"/>
            </w:pPr>
            <w:r>
              <w:rPr>
                <w:sz w:val="20"/>
                <w:szCs w:val="20"/>
              </w:rPr>
              <w:t xml:space="preserve">Aceros y Fierros del Sur E.I.R.L.</w:t>
            </w:r>
          </w:p>
        </w:tc>
        <w:tc>
          <w:tcPr>
            <w:tcW w:type="dxa" w:w="3500"/>
            <w:tcMar>
              <w:top w:type="dxa" w:w="80"/>
              <w:left w:type="dxa" w:w="100"/>
              <w:bottom w:type="dxa" w:w="80"/>
              <w:right w:type="dxa" w:w="100"/>
            </w:tcMar>
            <w:vAlign w:val="center"/>
          </w:tcPr>
          <w:p>
            <w:pPr>
              <w:jc w:val="left"/>
            </w:pPr>
            <w:r>
              <w:rPr>
                <w:sz w:val="20"/>
                <w:szCs w:val="20"/>
              </w:rPr>
              <w:t xml:space="preserve">0.3476</w:t>
            </w:r>
          </w:p>
        </w:tc>
      </w:tr>
    </w:tbl>
    <w:p>
      <w:pPr>
        <w:spacing w:after="200" w:line="360"/>
        <w:jc w:val="both"/>
      </w:pPr>
      <w:r>
        <w:rPr>
          <w:sz w:val="22"/>
          <w:szCs w:val="22"/>
        </w:rPr>
        <w:t xml:space="preserve">El resultado es consistente con los datos de entrada: Corporación Wari obtuvo la mejor calidad certificada (9/10), el mejor plazo de entrega (3 días) y la mejor garantía (24 meses) entre las cuatro alternativas, lo que —pese a no ser el proveedor más barato— le permitió posicionarse en el primer lugar del ranking gracias al peso combinado de calidad, garantía y reputación (36.9% del peso total), evidenciando el valor de un método multicriterio frente a una decisión basada únicamente en el precio.</w:t>
      </w:r>
    </w:p>
    <w:p>
      <w:pPr>
        <w:pStyle w:val="Heading2"/>
        <w:spacing w:after="160" w:before="300"/>
      </w:pPr>
      <w:r>
        <w:rPr>
          <w:b/>
          <w:bCs/>
          <w:color w:val="1F3D5C"/>
        </w:rPr>
        <w:t xml:space="preserve">4.7 Discusión</w:t>
      </w:r>
    </w:p>
    <w:p>
      <w:pPr>
        <w:spacing w:after="200" w:line="360"/>
        <w:jc w:val="both"/>
      </w:pPr>
      <w:r>
        <w:rPr>
          <w:sz w:val="22"/>
          <w:szCs w:val="22"/>
        </w:rPr>
        <w:t xml:space="preserve">Los resultados obtenidos confirman que la combinación AHP-TOPSIS es computacionalmente tratable y produce rankings sensibles a la estructura de pesos definida por el analista, en línea con lo reportado en la literatura revisada en el Capítulo II. La detección y corrección de los tres defectos documentados en la sección 4.3.1 —particularmente el de la tolerancia de reciprocidad numérica— ilustra un hallazgo relevante para el aseguramiento de calidad de sistemas de decisión multicriterio: las pruebas basadas únicamente en valores matemáticamente exactos (fracciones puras) pueden no detectar fallas que sí aparecen con datos de entrada realistas (decimales redondeados por un analista humano), por lo que la estrategia de pruebas de este proyecto combinó deliberadamente ambos tipos de entrada.</w:t>
      </w:r>
    </w:p>
    <w:p>
      <w:pPr>
        <w:pStyle w:val="Heading1"/>
        <w:pageBreakBefore/>
        <w:spacing w:after="240" w:before="400"/>
      </w:pPr>
      <w:r>
        <w:rPr>
          <w:b/>
          <w:bCs/>
          <w:color w:val="1F3D5C"/>
        </w:rPr>
        <w:t xml:space="preserve">CAPÍTULO V: CONCLUSIONES Y RECOMENDACIONES</w:t>
      </w:r>
    </w:p>
    <w:p>
      <w:pPr>
        <w:pStyle w:val="Heading2"/>
        <w:spacing w:after="160" w:before="300"/>
      </w:pPr>
      <w:r>
        <w:rPr>
          <w:b/>
          <w:bCs/>
          <w:color w:val="1F3D5C"/>
        </w:rPr>
        <w:t xml:space="preserve">5.1 Conclusiones</w:t>
      </w:r>
    </w:p>
    <w:p>
      <w:pPr>
        <w:pStyle w:val="ListParagraph"/>
        <w:numPr>
          <w:ilvl w:val="0"/>
          <w:numId w:val="1"/>
        </w:numPr>
        <w:spacing w:after="100" w:line="340"/>
      </w:pPr>
      <w:r>
        <w:rPr>
          <w:sz w:val="22"/>
          <w:szCs w:val="22"/>
        </w:rPr>
        <w:t xml:space="preserve">Se desarrolló e implementó exitosamente un Sistema de Soporte de Decisiones que formaliza la selección de proveedores de materiales de construcción mediante la combinación de los métodos AHP y TOPSIS, cumpliendo el objetivo general del proyecto.</w:t>
      </w:r>
    </w:p>
    <w:p>
      <w:pPr>
        <w:pStyle w:val="ListParagraph"/>
        <w:numPr>
          <w:ilvl w:val="0"/>
          <w:numId w:val="1"/>
        </w:numPr>
        <w:spacing w:after="100" w:line="340"/>
      </w:pPr>
      <w:r>
        <w:rPr>
          <w:sz w:val="22"/>
          <w:szCs w:val="22"/>
        </w:rPr>
        <w:t xml:space="preserve">El módulo de cálculo AHP valida correctamente la consistencia de los juicios del analista (CR ≤ 0.10), rechazando de forma automática matrices de comparación con juicios contradictorios, lo que fue verificado mediante 10 pruebas unitarias específicas.</w:t>
      </w:r>
    </w:p>
    <w:p>
      <w:pPr>
        <w:pStyle w:val="ListParagraph"/>
        <w:numPr>
          <w:ilvl w:val="0"/>
          <w:numId w:val="1"/>
        </w:numPr>
        <w:spacing w:after="100" w:line="340"/>
      </w:pPr>
      <w:r>
        <w:rPr>
          <w:sz w:val="22"/>
          <w:szCs w:val="22"/>
        </w:rPr>
        <w:t xml:space="preserve">El módulo de cálculo TOPSIS genera un ranking objetivo y auditable de proveedores, correctamente sensible tanto a criterios de tipo beneficio como de tipo costo, verificado mediante 6 pruebas unitarias.</w:t>
      </w:r>
    </w:p>
    <w:p>
      <w:pPr>
        <w:pStyle w:val="ListParagraph"/>
        <w:numPr>
          <w:ilvl w:val="0"/>
          <w:numId w:val="1"/>
        </w:numPr>
        <w:spacing w:after="100" w:line="340"/>
      </w:pPr>
      <w:r>
        <w:rPr>
          <w:sz w:val="22"/>
          <w:szCs w:val="22"/>
        </w:rPr>
        <w:t xml:space="preserve">La estrategia de pruebas en dos niveles (16 unitarias + 16 de integración, 32 en total, 100% aprobadas) permitió detectar y corregir tres defectos reales del sistema antes de su despliegue, cumpliendo el objetivo de aseguramiento de calidad establecido para el proyecto.</w:t>
      </w:r>
    </w:p>
    <w:p>
      <w:pPr>
        <w:pStyle w:val="ListParagraph"/>
        <w:numPr>
          <w:ilvl w:val="0"/>
          <w:numId w:val="1"/>
        </w:numPr>
        <w:spacing w:after="100" w:line="340"/>
      </w:pPr>
      <w:r>
        <w:rPr>
          <w:sz w:val="22"/>
          <w:szCs w:val="22"/>
        </w:rPr>
        <w:t xml:space="preserve">El caso de aplicación end-to-end evidenció que un enfoque multicriterio puede posicionar como mejor opción a un proveedor que no es el más barato, cuando la calidad, el plazo y la garantía tienen peso relevante en la decisión, validando la utilidad práctica del sistema frente a la práctica habitual de decidir solo por precio.</w:t>
      </w:r>
    </w:p>
    <w:p>
      <w:pPr>
        <w:pStyle w:val="ListParagraph"/>
        <w:numPr>
          <w:ilvl w:val="0"/>
          <w:numId w:val="1"/>
        </w:numPr>
        <w:spacing w:after="100" w:line="340"/>
      </w:pPr>
      <w:r>
        <w:rPr>
          <w:sz w:val="22"/>
          <w:szCs w:val="22"/>
        </w:rPr>
        <w:t xml:space="preserve">La arquitectura de tres capas contenerizada con Docker Compose y respaldada por un pipeline de integración continua garantiza que el sistema puede desplegarse de forma reproducible y que futuras modificaciones no podrán integrarse sin pasar primero la suite completa de pruebas automatizadas.</w:t>
      </w:r>
    </w:p>
    <w:p>
      <w:pPr>
        <w:pStyle w:val="Heading2"/>
        <w:spacing w:after="160" w:before="300"/>
      </w:pPr>
      <w:r>
        <w:rPr>
          <w:b/>
          <w:bCs/>
          <w:color w:val="1F3D5C"/>
        </w:rPr>
        <w:t xml:space="preserve">5.2 Recomendaciones</w:t>
      </w:r>
    </w:p>
    <w:p>
      <w:pPr>
        <w:pStyle w:val="ListParagraph"/>
        <w:numPr>
          <w:ilvl w:val="0"/>
          <w:numId w:val="1"/>
        </w:numPr>
        <w:spacing w:after="100" w:line="340"/>
      </w:pPr>
      <w:r>
        <w:rPr>
          <w:sz w:val="22"/>
          <w:szCs w:val="22"/>
        </w:rPr>
        <w:t xml:space="preserve">Para una adopción real por parte de una empresa constructora, se recomienda complementar el sistema con un módulo de importación masiva de proveedores (por ejemplo, desde una hoja de cálculo) y con roles de usuario diferenciados (analista vs. administrador) que permitan aprobar formalmente una evaluación antes de ejecutar una orden de compra.</w:t>
      </w:r>
    </w:p>
    <w:p>
      <w:pPr>
        <w:pStyle w:val="ListParagraph"/>
        <w:numPr>
          <w:ilvl w:val="0"/>
          <w:numId w:val="1"/>
        </w:numPr>
        <w:spacing w:after="100" w:line="340"/>
      </w:pPr>
      <w:r>
        <w:rPr>
          <w:sz w:val="22"/>
          <w:szCs w:val="22"/>
        </w:rPr>
        <w:t xml:space="preserve">Se recomienda incorporar en una futura iteración un módulo de análisis de sensibilidad que permita al analista visualizar cómo cambia el ranking final ante variaciones en los pesos de los criterios, fortaleciendo la trazabilidad y la confianza en la decisión, tal como se reporta en estudios similares de la literatura revisada.</w:t>
      </w:r>
    </w:p>
    <w:p>
      <w:pPr>
        <w:pStyle w:val="ListParagraph"/>
        <w:numPr>
          <w:ilvl w:val="0"/>
          <w:numId w:val="1"/>
        </w:numPr>
        <w:spacing w:after="100" w:line="340"/>
      </w:pPr>
      <w:r>
        <w:rPr>
          <w:sz w:val="22"/>
          <w:szCs w:val="22"/>
        </w:rPr>
        <w:t xml:space="preserve">Se recomienda extender la suite de pruebas de integración con pruebas de carga (por ejemplo, con la herramienta k6 o Artillery) antes de un despliegue en producción con múltiples usuarios concurrentes, dado que las pruebas actuales verifican corrección funcional pero no comportamiento bajo carga.</w:t>
      </w:r>
    </w:p>
    <w:p>
      <w:pPr>
        <w:pStyle w:val="ListParagraph"/>
        <w:numPr>
          <w:ilvl w:val="0"/>
          <w:numId w:val="1"/>
        </w:numPr>
        <w:spacing w:after="100" w:line="340"/>
      </w:pPr>
      <w:r>
        <w:rPr>
          <w:sz w:val="22"/>
          <w:szCs w:val="22"/>
        </w:rPr>
        <w:t xml:space="preserve">Se recomienda evaluar, en trabajos futuros, la incorporación de AHP difuso (fuzzy AHP) para capturar la incertidumbre inherente al juicio humano al comparar criterios cualitativos, tal como se reporta en estudios recientes sobre selección de proveedores sostenibles.</w:t>
      </w:r>
    </w:p>
    <w:p>
      <w:pPr>
        <w:pStyle w:val="ListParagraph"/>
        <w:numPr>
          <w:ilvl w:val="0"/>
          <w:numId w:val="1"/>
        </w:numPr>
        <w:spacing w:after="100" w:line="340"/>
      </w:pPr>
      <w:r>
        <w:rPr>
          <w:sz w:val="22"/>
          <w:szCs w:val="22"/>
        </w:rPr>
        <w:t xml:space="preserve">Antes de un despliegue en producción real, se recomienda realizar un despliegue efectivo en un servidor con tráfico real (no solo verificado en entorno de desarrollo/CI) y configurar HTTPS mediante un proxy inverso, tal como se describe en la guía de despliegue del Anexo D.</w:t>
      </w:r>
    </w:p>
    <w:p>
      <w:pPr>
        <w:pStyle w:val="Heading1"/>
        <w:pageBreakBefore/>
        <w:spacing w:after="240" w:before="400"/>
      </w:pPr>
      <w:r>
        <w:rPr>
          <w:b/>
          <w:bCs/>
          <w:color w:val="1F3D5C"/>
        </w:rPr>
        <w:t xml:space="preserve">REFERENCIAS BIBLIOGRÁFICAS</w:t>
      </w:r>
    </w:p>
    <w:p>
      <w:pPr>
        <w:spacing w:after="160" w:line="360"/>
        <w:ind w:left="720" w:hanging="720"/>
        <w:jc w:val="both"/>
      </w:pPr>
      <w:r>
        <w:rPr>
          <w:sz w:val="22"/>
          <w:szCs w:val="22"/>
        </w:rPr>
        <w:t xml:space="preserve">Hwang, C. L., &amp; Yoon, K. (1981). Multiple Attribute Decision Making: Methods and Applications. Springer-Verlag.</w:t>
      </w:r>
    </w:p>
    <w:p>
      <w:pPr>
        <w:spacing w:after="160" w:line="360"/>
        <w:ind w:left="720" w:hanging="720"/>
        <w:jc w:val="both"/>
      </w:pPr>
      <w:r>
        <w:rPr>
          <w:sz w:val="22"/>
          <w:szCs w:val="22"/>
        </w:rPr>
        <w:t xml:space="preserve">Saaty, T. L. (1980). The Analytic Hierarchy Process: Planning, Priority Setting, Resource Allocation. McGraw-Hill.</w:t>
      </w:r>
    </w:p>
    <w:p>
      <w:pPr>
        <w:spacing w:after="160" w:line="360"/>
        <w:ind w:left="720" w:hanging="720"/>
        <w:jc w:val="both"/>
      </w:pPr>
      <w:r>
        <w:rPr>
          <w:sz w:val="22"/>
          <w:szCs w:val="22"/>
        </w:rPr>
        <w:t xml:space="preserve">Schwaber, K., &amp; Sutherland, J. (2020). The Scrum Guide: The Definitive Guide to Scrum: The Rules of the Game. scrumguides.org.</w:t>
      </w:r>
    </w:p>
    <w:p>
      <w:pPr>
        <w:spacing w:after="160" w:line="360"/>
        <w:ind w:left="720" w:hanging="720"/>
        <w:jc w:val="both"/>
      </w:pPr>
      <w:r>
        <w:rPr>
          <w:sz w:val="22"/>
          <w:szCs w:val="22"/>
        </w:rPr>
        <w:t xml:space="preserve">Sprague, R. H., &amp; Watson, H. J. (1993). Decision Support Systems: Putting Theory into Practice (3rd ed.). Prentice Hall.</w:t>
      </w:r>
    </w:p>
    <w:p>
      <w:pPr>
        <w:spacing w:after="160" w:line="360"/>
        <w:ind w:left="720" w:hanging="720"/>
        <w:jc w:val="both"/>
      </w:pPr>
      <w:r>
        <w:rPr>
          <w:sz w:val="22"/>
          <w:szCs w:val="22"/>
        </w:rPr>
        <w:t xml:space="preserve">International Organization for Standardization. (2011). ISO/IEC 25010:2011 — Systems and software engineering — Systems and software Quality Requirements and Evaluation (SQuaRE) — System and software quality models.</w:t>
      </w:r>
    </w:p>
    <w:p>
      <w:pPr>
        <w:spacing w:after="160" w:line="360"/>
        <w:ind w:left="720" w:hanging="720"/>
        <w:jc w:val="both"/>
      </w:pPr>
      <w:r>
        <w:rPr>
          <w:sz w:val="22"/>
          <w:szCs w:val="22"/>
        </w:rPr>
        <w:t xml:space="preserve">IEEE Computer Society. (2008). IEEE 829-2008 — IEEE Standard for Software and System Test Documentation.</w:t>
      </w:r>
    </w:p>
    <w:p>
      <w:pPr>
        <w:spacing w:after="160" w:line="360"/>
        <w:ind w:left="720" w:hanging="720"/>
        <w:jc w:val="both"/>
      </w:pPr>
      <w:r>
        <w:rPr>
          <w:sz w:val="22"/>
          <w:szCs w:val="22"/>
        </w:rPr>
        <w:t xml:space="preserve">Autores diversos. (2016). Supplier Selection in Construction Industry using AHP and TOPSIS. International Journal of Innovative Research in Science, Engineering and Technology (IJIRSET). Disponible en: http://www.ijirset.com</w:t>
      </w:r>
    </w:p>
    <w:p>
      <w:pPr>
        <w:spacing w:after="160" w:line="360"/>
        <w:ind w:left="720" w:hanging="720"/>
        <w:jc w:val="both"/>
      </w:pPr>
      <w:r>
        <w:rPr>
          <w:sz w:val="22"/>
          <w:szCs w:val="22"/>
        </w:rPr>
        <w:t xml:space="preserve">Autores diversos. (2020). A Novel Multi-Criteria Decision-Making Model for Building Material Supplier Selection Based on Entropy-AHP Weighted TOPSIS. PMC — National Library of Medicine. Disponible en: https://pmc.ncbi.nlm.nih.gov</w:t>
      </w:r>
    </w:p>
    <w:p>
      <w:pPr>
        <w:spacing w:after="160" w:line="360"/>
        <w:ind w:left="720" w:hanging="720"/>
        <w:jc w:val="both"/>
      </w:pPr>
      <w:r>
        <w:rPr>
          <w:sz w:val="22"/>
          <w:szCs w:val="22"/>
        </w:rPr>
        <w:t xml:space="preserve">Autores diversos. (2022). Using AHP-TOPSIS methodologies in the selection of sustainable suppliers in an electronics supply chain. ScienceDirect / Decision Analytics Journal. Disponible en: https://www.sciencedirect.com</w:t>
      </w:r>
    </w:p>
    <w:p>
      <w:pPr>
        <w:spacing w:after="160" w:line="360"/>
        <w:ind w:left="720" w:hanging="720"/>
        <w:jc w:val="both"/>
      </w:pPr>
      <w:r>
        <w:rPr>
          <w:sz w:val="22"/>
          <w:szCs w:val="22"/>
        </w:rPr>
        <w:t xml:space="preserve">Autores diversos. (2025). Integrating AHP and TOPSIS for Evidence-Based Supplier Evaluation in the Pharmaceutical Industry. ResearchGate. Disponible en: https://www.researchgate.net</w:t>
      </w:r>
    </w:p>
    <w:p>
      <w:pPr>
        <w:spacing w:after="160" w:line="360"/>
        <w:ind w:left="720" w:hanging="720"/>
        <w:jc w:val="both"/>
      </w:pPr>
      <w:r>
        <w:rPr>
          <w:sz w:val="22"/>
          <w:szCs w:val="22"/>
        </w:rPr>
        <w:t xml:space="preserve">Fowler, M. (2018). Refactoring: Improving the Design of Existing Code (2nd ed.). Addison-Wesley.</w:t>
      </w:r>
    </w:p>
    <w:p>
      <w:pPr>
        <w:spacing w:after="160" w:line="360"/>
        <w:ind w:left="720" w:hanging="720"/>
        <w:jc w:val="both"/>
      </w:pPr>
      <w:r>
        <w:rPr>
          <w:sz w:val="22"/>
          <w:szCs w:val="22"/>
        </w:rPr>
        <w:t xml:space="preserve">Node.js Foundation. (2026). Node.js Documentation. Disponible en: https://nodejs.org/docs</w:t>
      </w:r>
    </w:p>
    <w:p>
      <w:pPr>
        <w:spacing w:after="160" w:line="360"/>
        <w:ind w:left="720" w:hanging="720"/>
        <w:jc w:val="both"/>
      </w:pPr>
      <w:r>
        <w:rPr>
          <w:sz w:val="22"/>
          <w:szCs w:val="22"/>
        </w:rPr>
        <w:t xml:space="preserve">OpenJS Foundation. (2026). Express.js Documentation. Disponible en: https://expressjs.com</w:t>
      </w:r>
    </w:p>
    <w:p>
      <w:pPr>
        <w:spacing w:after="160" w:line="360"/>
        <w:ind w:left="720" w:hanging="720"/>
        <w:jc w:val="both"/>
      </w:pPr>
      <w:r>
        <w:rPr>
          <w:sz w:val="22"/>
          <w:szCs w:val="22"/>
        </w:rPr>
        <w:t xml:space="preserve">MySQL AB / Oracle Corporation. (2026). MySQL 8.0 Reference Manual. Disponible en: https://dev.mysql.com/doc</w:t>
      </w:r>
    </w:p>
    <w:p>
      <w:pPr>
        <w:spacing w:after="160" w:line="360"/>
        <w:ind w:left="720" w:hanging="720"/>
        <w:jc w:val="both"/>
      </w:pPr>
      <w:r>
        <w:rPr>
          <w:sz w:val="22"/>
          <w:szCs w:val="22"/>
        </w:rPr>
        <w:t xml:space="preserve">Meta Platforms, Inc. (2026). React Documentation. Disponible en: https://react.dev</w:t>
      </w:r>
    </w:p>
    <w:p>
      <w:pPr>
        <w:pStyle w:val="Heading1"/>
        <w:pageBreakBefore/>
        <w:spacing w:after="240" w:before="400"/>
      </w:pPr>
      <w:r>
        <w:rPr>
          <w:b/>
          <w:bCs/>
          <w:color w:val="1F3D5C"/>
        </w:rPr>
        <w:t xml:space="preserve">ANEXOS</w:t>
      </w:r>
    </w:p>
    <w:p>
      <w:pPr>
        <w:pStyle w:val="Heading2"/>
        <w:spacing w:after="160" w:before="300"/>
      </w:pPr>
      <w:r>
        <w:rPr>
          <w:b/>
          <w:bCs/>
          <w:color w:val="1F3D5C"/>
        </w:rPr>
        <w:t xml:space="preserve">Anexo A: Matriz de consistencia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000"/>
      </w:tblGrid>
      <w:tr>
        <w:trPr>
          <w:tblHeader/>
        </w:trPr>
        <w:tc>
          <w:tcPr>
            <w:tcW w:type="dxa" w:w="2500"/>
            <w:shd w:fill="1F3D5C" w:val="clear"/>
            <w:tcMar>
              <w:top w:type="dxa" w:w="80"/>
              <w:left w:type="dxa" w:w="100"/>
              <w:bottom w:type="dxa" w:w="80"/>
              <w:right w:type="dxa" w:w="100"/>
            </w:tcMar>
            <w:vAlign w:val="center"/>
          </w:tcPr>
          <w:p>
            <w:pPr>
              <w:jc w:val="left"/>
            </w:pPr>
            <w:r>
              <w:rPr>
                <w:b/>
                <w:bCs/>
                <w:color w:val="FFFFFF"/>
                <w:sz w:val="20"/>
                <w:szCs w:val="20"/>
              </w:rPr>
              <w:t xml:space="preserve">Problema</w:t>
            </w:r>
          </w:p>
        </w:tc>
        <w:tc>
          <w:tcPr>
            <w:tcW w:type="dxa" w:w="2500"/>
            <w:shd w:fill="1F3D5C" w:val="clear"/>
            <w:tcMar>
              <w:top w:type="dxa" w:w="80"/>
              <w:left w:type="dxa" w:w="100"/>
              <w:bottom w:type="dxa" w:w="80"/>
              <w:right w:type="dxa" w:w="100"/>
            </w:tcMar>
            <w:vAlign w:val="center"/>
          </w:tcPr>
          <w:p>
            <w:pPr>
              <w:jc w:val="left"/>
            </w:pPr>
            <w:r>
              <w:rPr>
                <w:b/>
                <w:bCs/>
                <w:color w:val="FFFFFF"/>
                <w:sz w:val="20"/>
                <w:szCs w:val="20"/>
              </w:rPr>
              <w:t xml:space="preserve">Objetivo</w:t>
            </w:r>
          </w:p>
        </w:tc>
        <w:tc>
          <w:tcPr>
            <w:tcW w:type="dxa" w:w="2000"/>
            <w:shd w:fill="1F3D5C" w:val="clear"/>
            <w:tcMar>
              <w:top w:type="dxa" w:w="80"/>
              <w:left w:type="dxa" w:w="100"/>
              <w:bottom w:type="dxa" w:w="80"/>
              <w:right w:type="dxa" w:w="100"/>
            </w:tcMar>
            <w:vAlign w:val="center"/>
          </w:tcPr>
          <w:p>
            <w:pPr>
              <w:jc w:val="left"/>
            </w:pPr>
            <w:r>
              <w:rPr>
                <w:b/>
                <w:bCs/>
                <w:color w:val="FFFFFF"/>
                <w:sz w:val="20"/>
                <w:szCs w:val="20"/>
              </w:rPr>
              <w:t xml:space="preserve">Variable / indicador</w:t>
            </w:r>
          </w:p>
        </w:tc>
        <w:tc>
          <w:tcPr>
            <w:tcW w:type="dxa" w:w="2000"/>
            <w:shd w:fill="1F3D5C" w:val="clear"/>
            <w:tcMar>
              <w:top w:type="dxa" w:w="80"/>
              <w:left w:type="dxa" w:w="100"/>
              <w:bottom w:type="dxa" w:w="80"/>
              <w:right w:type="dxa" w:w="100"/>
            </w:tcMar>
            <w:vAlign w:val="center"/>
          </w:tcPr>
          <w:p>
            <w:pPr>
              <w:jc w:val="left"/>
            </w:pPr>
            <w:r>
              <w:rPr>
                <w:b/>
                <w:bCs/>
                <w:color w:val="FFFFFF"/>
                <w:sz w:val="20"/>
                <w:szCs w:val="20"/>
              </w:rPr>
              <w:t xml:space="preserve">Método</w:t>
            </w:r>
          </w:p>
        </w:tc>
      </w:tr>
      <w:tr>
        <w:tc>
          <w:tcPr>
            <w:tcW w:type="dxa" w:w="2500"/>
            <w:tcMar>
              <w:top w:type="dxa" w:w="80"/>
              <w:left w:type="dxa" w:w="100"/>
              <w:bottom w:type="dxa" w:w="80"/>
              <w:right w:type="dxa" w:w="100"/>
            </w:tcMar>
            <w:vAlign w:val="center"/>
          </w:tcPr>
          <w:p>
            <w:pPr>
              <w:jc w:val="left"/>
            </w:pPr>
            <w:r>
              <w:rPr>
                <w:sz w:val="20"/>
                <w:szCs w:val="20"/>
              </w:rPr>
              <w:t xml:space="preserve">¿En qué medida un SSD basado en AHP-TOPSIS objetiva la selección de proveedores?</w:t>
            </w:r>
          </w:p>
        </w:tc>
        <w:tc>
          <w:tcPr>
            <w:tcW w:type="dxa" w:w="2500"/>
            <w:tcMar>
              <w:top w:type="dxa" w:w="80"/>
              <w:left w:type="dxa" w:w="100"/>
              <w:bottom w:type="dxa" w:w="80"/>
              <w:right w:type="dxa" w:w="100"/>
            </w:tcMar>
            <w:vAlign w:val="center"/>
          </w:tcPr>
          <w:p>
            <w:pPr>
              <w:jc w:val="left"/>
            </w:pPr>
            <w:r>
              <w:rPr>
                <w:sz w:val="20"/>
                <w:szCs w:val="20"/>
              </w:rPr>
              <w:t xml:space="preserve">Desarrollar un SSD basado en AHP-TOPSIS para la selección de proveedores</w:t>
            </w:r>
          </w:p>
        </w:tc>
        <w:tc>
          <w:tcPr>
            <w:tcW w:type="dxa" w:w="2000"/>
            <w:tcMar>
              <w:top w:type="dxa" w:w="80"/>
              <w:left w:type="dxa" w:w="100"/>
              <w:bottom w:type="dxa" w:w="80"/>
              <w:right w:type="dxa" w:w="100"/>
            </w:tcMar>
            <w:vAlign w:val="center"/>
          </w:tcPr>
          <w:p>
            <w:pPr>
              <w:jc w:val="left"/>
            </w:pPr>
            <w:r>
              <w:rPr>
                <w:sz w:val="20"/>
                <w:szCs w:val="20"/>
              </w:rPr>
              <w:t xml:space="preserve">Consistencia del juicio (CR); ranking de proveedores (CC*)</w:t>
            </w:r>
          </w:p>
        </w:tc>
        <w:tc>
          <w:tcPr>
            <w:tcW w:type="dxa" w:w="2000"/>
            <w:tcMar>
              <w:top w:type="dxa" w:w="80"/>
              <w:left w:type="dxa" w:w="100"/>
              <w:bottom w:type="dxa" w:w="80"/>
              <w:right w:type="dxa" w:w="100"/>
            </w:tcMar>
            <w:vAlign w:val="center"/>
          </w:tcPr>
          <w:p>
            <w:pPr>
              <w:jc w:val="left"/>
            </w:pPr>
            <w:r>
              <w:rPr>
                <w:sz w:val="20"/>
                <w:szCs w:val="20"/>
              </w:rPr>
              <w:t xml:space="preserve">Desarrollo de software con pruebas unitarias e integración; caso de aplicación</w:t>
            </w:r>
          </w:p>
        </w:tc>
      </w:tr>
    </w:tbl>
    <w:p>
      <w:pPr>
        <w:pStyle w:val="Heading2"/>
        <w:spacing w:after="160" w:before="300"/>
      </w:pPr>
      <w:r>
        <w:rPr>
          <w:b/>
          <w:bCs/>
          <w:color w:val="1F3D5C"/>
        </w:rPr>
        <w:t xml:space="preserve">Anexo B: Historias de usuario (resumen por sprint)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6300"/>
        <w:gridCol w:w="1500"/>
      </w:tblGrid>
      <w:tr>
        <w:trPr>
          <w:tblHeader/>
        </w:trPr>
        <w:tc>
          <w:tcPr>
            <w:tcW w:type="dxa" w:w="1200"/>
            <w:shd w:fill="1F3D5C" w:val="clear"/>
            <w:tcMar>
              <w:top w:type="dxa" w:w="80"/>
              <w:left w:type="dxa" w:w="100"/>
              <w:bottom w:type="dxa" w:w="80"/>
              <w:right w:type="dxa" w:w="100"/>
            </w:tcMar>
            <w:vAlign w:val="center"/>
          </w:tcPr>
          <w:p>
            <w:pPr>
              <w:jc w:val="left"/>
            </w:pPr>
            <w:r>
              <w:rPr>
                <w:b/>
                <w:bCs/>
                <w:color w:val="FFFFFF"/>
                <w:sz w:val="20"/>
                <w:szCs w:val="20"/>
              </w:rPr>
              <w:t xml:space="preserve">ID</w:t>
            </w:r>
          </w:p>
        </w:tc>
        <w:tc>
          <w:tcPr>
            <w:tcW w:type="dxa" w:w="6300"/>
            <w:shd w:fill="1F3D5C" w:val="clear"/>
            <w:tcMar>
              <w:top w:type="dxa" w:w="80"/>
              <w:left w:type="dxa" w:w="100"/>
              <w:bottom w:type="dxa" w:w="80"/>
              <w:right w:type="dxa" w:w="100"/>
            </w:tcMar>
            <w:vAlign w:val="center"/>
          </w:tcPr>
          <w:p>
            <w:pPr>
              <w:jc w:val="left"/>
            </w:pPr>
            <w:r>
              <w:rPr>
                <w:b/>
                <w:bCs/>
                <w:color w:val="FFFFFF"/>
                <w:sz w:val="20"/>
                <w:szCs w:val="20"/>
              </w:rPr>
              <w:t xml:space="preserve">Historia de usuario</w:t>
            </w:r>
          </w:p>
        </w:tc>
        <w:tc>
          <w:tcPr>
            <w:tcW w:type="dxa" w:w="1500"/>
            <w:shd w:fill="1F3D5C" w:val="clear"/>
            <w:tcMar>
              <w:top w:type="dxa" w:w="80"/>
              <w:left w:type="dxa" w:w="100"/>
              <w:bottom w:type="dxa" w:w="80"/>
              <w:right w:type="dxa" w:w="100"/>
            </w:tcMar>
            <w:vAlign w:val="center"/>
          </w:tcPr>
          <w:p>
            <w:pPr>
              <w:jc w:val="left"/>
            </w:pPr>
            <w:r>
              <w:rPr>
                <w:b/>
                <w:bCs/>
                <w:color w:val="FFFFFF"/>
                <w:sz w:val="20"/>
                <w:szCs w:val="20"/>
              </w:rPr>
              <w:t xml:space="preserve">Sprint</w:t>
            </w:r>
          </w:p>
        </w:tc>
      </w:tr>
      <w:tr>
        <w:tc>
          <w:tcPr>
            <w:tcW w:type="dxa" w:w="1200"/>
            <w:tcMar>
              <w:top w:type="dxa" w:w="80"/>
              <w:left w:type="dxa" w:w="100"/>
              <w:bottom w:type="dxa" w:w="80"/>
              <w:right w:type="dxa" w:w="100"/>
            </w:tcMar>
            <w:vAlign w:val="center"/>
          </w:tcPr>
          <w:p>
            <w:pPr>
              <w:jc w:val="left"/>
            </w:pPr>
            <w:r>
              <w:rPr>
                <w:sz w:val="20"/>
                <w:szCs w:val="20"/>
              </w:rPr>
              <w:t xml:space="preserve">HU-01</w:t>
            </w:r>
          </w:p>
        </w:tc>
        <w:tc>
          <w:tcPr>
            <w:tcW w:type="dxa" w:w="6300"/>
            <w:tcMar>
              <w:top w:type="dxa" w:w="80"/>
              <w:left w:type="dxa" w:w="100"/>
              <w:bottom w:type="dxa" w:w="80"/>
              <w:right w:type="dxa" w:w="100"/>
            </w:tcMar>
            <w:vAlign w:val="center"/>
          </w:tcPr>
          <w:p>
            <w:pPr>
              <w:jc w:val="left"/>
            </w:pPr>
            <w:r>
              <w:rPr>
                <w:sz w:val="20"/>
                <w:szCs w:val="20"/>
              </w:rPr>
              <w:t xml:space="preserve">Como analista, quiero registrarme e iniciar sesión para acceder de forma segura al sistema.</w:t>
            </w:r>
          </w:p>
        </w:tc>
        <w:tc>
          <w:tcPr>
            <w:tcW w:type="dxa" w:w="1500"/>
            <w:tcMar>
              <w:top w:type="dxa" w:w="80"/>
              <w:left w:type="dxa" w:w="100"/>
              <w:bottom w:type="dxa" w:w="80"/>
              <w:right w:type="dxa" w:w="100"/>
            </w:tcMar>
            <w:vAlign w:val="center"/>
          </w:tcPr>
          <w:p>
            <w:pPr>
              <w:jc w:val="left"/>
            </w:pPr>
            <w:r>
              <w:rPr>
                <w:sz w:val="20"/>
                <w:szCs w:val="20"/>
              </w:rPr>
              <w:t xml:space="preserve">3</w:t>
            </w:r>
          </w:p>
        </w:tc>
      </w:tr>
      <w:tr>
        <w:tc>
          <w:tcPr>
            <w:tcW w:type="dxa" w:w="1200"/>
            <w:tcMar>
              <w:top w:type="dxa" w:w="80"/>
              <w:left w:type="dxa" w:w="100"/>
              <w:bottom w:type="dxa" w:w="80"/>
              <w:right w:type="dxa" w:w="100"/>
            </w:tcMar>
            <w:vAlign w:val="center"/>
          </w:tcPr>
          <w:p>
            <w:pPr>
              <w:jc w:val="left"/>
            </w:pPr>
            <w:r>
              <w:rPr>
                <w:sz w:val="20"/>
                <w:szCs w:val="20"/>
              </w:rPr>
              <w:t xml:space="preserve">HU-02</w:t>
            </w:r>
          </w:p>
        </w:tc>
        <w:tc>
          <w:tcPr>
            <w:tcW w:type="dxa" w:w="6300"/>
            <w:tcMar>
              <w:top w:type="dxa" w:w="80"/>
              <w:left w:type="dxa" w:w="100"/>
              <w:bottom w:type="dxa" w:w="80"/>
              <w:right w:type="dxa" w:w="100"/>
            </w:tcMar>
            <w:vAlign w:val="center"/>
          </w:tcPr>
          <w:p>
            <w:pPr>
              <w:jc w:val="left"/>
            </w:pPr>
            <w:r>
              <w:rPr>
                <w:sz w:val="20"/>
                <w:szCs w:val="20"/>
              </w:rPr>
              <w:t xml:space="preserve">Como analista, quiero registrar, editar y desactivar proveedores para mantener actualizado mi catálogo.</w:t>
            </w:r>
          </w:p>
        </w:tc>
        <w:tc>
          <w:tcPr>
            <w:tcW w:type="dxa" w:w="1500"/>
            <w:tcMar>
              <w:top w:type="dxa" w:w="80"/>
              <w:left w:type="dxa" w:w="100"/>
              <w:bottom w:type="dxa" w:w="80"/>
              <w:right w:type="dxa" w:w="100"/>
            </w:tcMar>
            <w:vAlign w:val="center"/>
          </w:tcPr>
          <w:p>
            <w:pPr>
              <w:jc w:val="left"/>
            </w:pPr>
            <w:r>
              <w:rPr>
                <w:sz w:val="20"/>
                <w:szCs w:val="20"/>
              </w:rPr>
              <w:t xml:space="preserve">3</w:t>
            </w:r>
          </w:p>
        </w:tc>
      </w:tr>
      <w:tr>
        <w:tc>
          <w:tcPr>
            <w:tcW w:type="dxa" w:w="1200"/>
            <w:tcMar>
              <w:top w:type="dxa" w:w="80"/>
              <w:left w:type="dxa" w:w="100"/>
              <w:bottom w:type="dxa" w:w="80"/>
              <w:right w:type="dxa" w:w="100"/>
            </w:tcMar>
            <w:vAlign w:val="center"/>
          </w:tcPr>
          <w:p>
            <w:pPr>
              <w:jc w:val="left"/>
            </w:pPr>
            <w:r>
              <w:rPr>
                <w:sz w:val="20"/>
                <w:szCs w:val="20"/>
              </w:rPr>
              <w:t xml:space="preserve">HU-03</w:t>
            </w:r>
          </w:p>
        </w:tc>
        <w:tc>
          <w:tcPr>
            <w:tcW w:type="dxa" w:w="6300"/>
            <w:tcMar>
              <w:top w:type="dxa" w:w="80"/>
              <w:left w:type="dxa" w:w="100"/>
              <w:bottom w:type="dxa" w:w="80"/>
              <w:right w:type="dxa" w:w="100"/>
            </w:tcMar>
            <w:vAlign w:val="center"/>
          </w:tcPr>
          <w:p>
            <w:pPr>
              <w:jc w:val="left"/>
            </w:pPr>
            <w:r>
              <w:rPr>
                <w:sz w:val="20"/>
                <w:szCs w:val="20"/>
              </w:rPr>
              <w:t xml:space="preserve">Como analista, quiero construir una matriz de comparación por pares de criterios para reflejar mis prioridades.</w:t>
            </w:r>
          </w:p>
        </w:tc>
        <w:tc>
          <w:tcPr>
            <w:tcW w:type="dxa" w:w="1500"/>
            <w:tcMar>
              <w:top w:type="dxa" w:w="80"/>
              <w:left w:type="dxa" w:w="100"/>
              <w:bottom w:type="dxa" w:w="80"/>
              <w:right w:type="dxa" w:w="100"/>
            </w:tcMar>
            <w:vAlign w:val="center"/>
          </w:tcPr>
          <w:p>
            <w:pPr>
              <w:jc w:val="left"/>
            </w:pPr>
            <w:r>
              <w:rPr>
                <w:sz w:val="20"/>
                <w:szCs w:val="20"/>
              </w:rPr>
              <w:t xml:space="preserve">4</w:t>
            </w:r>
          </w:p>
        </w:tc>
      </w:tr>
      <w:tr>
        <w:tc>
          <w:tcPr>
            <w:tcW w:type="dxa" w:w="1200"/>
            <w:tcMar>
              <w:top w:type="dxa" w:w="80"/>
              <w:left w:type="dxa" w:w="100"/>
              <w:bottom w:type="dxa" w:w="80"/>
              <w:right w:type="dxa" w:w="100"/>
            </w:tcMar>
            <w:vAlign w:val="center"/>
          </w:tcPr>
          <w:p>
            <w:pPr>
              <w:jc w:val="left"/>
            </w:pPr>
            <w:r>
              <w:rPr>
                <w:sz w:val="20"/>
                <w:szCs w:val="20"/>
              </w:rPr>
              <w:t xml:space="preserve">HU-04</w:t>
            </w:r>
          </w:p>
        </w:tc>
        <w:tc>
          <w:tcPr>
            <w:tcW w:type="dxa" w:w="6300"/>
            <w:tcMar>
              <w:top w:type="dxa" w:w="80"/>
              <w:left w:type="dxa" w:w="100"/>
              <w:bottom w:type="dxa" w:w="80"/>
              <w:right w:type="dxa" w:w="100"/>
            </w:tcMar>
            <w:vAlign w:val="center"/>
          </w:tcPr>
          <w:p>
            <w:pPr>
              <w:jc w:val="left"/>
            </w:pPr>
            <w:r>
              <w:rPr>
                <w:sz w:val="20"/>
                <w:szCs w:val="20"/>
              </w:rPr>
              <w:t xml:space="preserve">Como analista, quiero que el sistema me alerte si mis juicios de comparación son inconsistentes.</w:t>
            </w:r>
          </w:p>
        </w:tc>
        <w:tc>
          <w:tcPr>
            <w:tcW w:type="dxa" w:w="1500"/>
            <w:tcMar>
              <w:top w:type="dxa" w:w="80"/>
              <w:left w:type="dxa" w:w="100"/>
              <w:bottom w:type="dxa" w:w="80"/>
              <w:right w:type="dxa" w:w="100"/>
            </w:tcMar>
            <w:vAlign w:val="center"/>
          </w:tcPr>
          <w:p>
            <w:pPr>
              <w:jc w:val="left"/>
            </w:pPr>
            <w:r>
              <w:rPr>
                <w:sz w:val="20"/>
                <w:szCs w:val="20"/>
              </w:rPr>
              <w:t xml:space="preserve">2 y 3</w:t>
            </w:r>
          </w:p>
        </w:tc>
      </w:tr>
      <w:tr>
        <w:tc>
          <w:tcPr>
            <w:tcW w:type="dxa" w:w="1200"/>
            <w:tcMar>
              <w:top w:type="dxa" w:w="80"/>
              <w:left w:type="dxa" w:w="100"/>
              <w:bottom w:type="dxa" w:w="80"/>
              <w:right w:type="dxa" w:w="100"/>
            </w:tcMar>
            <w:vAlign w:val="center"/>
          </w:tcPr>
          <w:p>
            <w:pPr>
              <w:jc w:val="left"/>
            </w:pPr>
            <w:r>
              <w:rPr>
                <w:sz w:val="20"/>
                <w:szCs w:val="20"/>
              </w:rPr>
              <w:t xml:space="preserve">HU-05</w:t>
            </w:r>
          </w:p>
        </w:tc>
        <w:tc>
          <w:tcPr>
            <w:tcW w:type="dxa" w:w="6300"/>
            <w:tcMar>
              <w:top w:type="dxa" w:w="80"/>
              <w:left w:type="dxa" w:w="100"/>
              <w:bottom w:type="dxa" w:w="80"/>
              <w:right w:type="dxa" w:w="100"/>
            </w:tcMar>
            <w:vAlign w:val="center"/>
          </w:tcPr>
          <w:p>
            <w:pPr>
              <w:jc w:val="left"/>
            </w:pPr>
            <w:r>
              <w:rPr>
                <w:sz w:val="20"/>
                <w:szCs w:val="20"/>
              </w:rPr>
              <w:t xml:space="preserve">Como analista, quiero ver un ranking visual de proveedores para tomar una decisión informada.</w:t>
            </w:r>
          </w:p>
        </w:tc>
        <w:tc>
          <w:tcPr>
            <w:tcW w:type="dxa" w:w="1500"/>
            <w:tcMar>
              <w:top w:type="dxa" w:w="80"/>
              <w:left w:type="dxa" w:w="100"/>
              <w:bottom w:type="dxa" w:w="80"/>
              <w:right w:type="dxa" w:w="100"/>
            </w:tcMar>
            <w:vAlign w:val="center"/>
          </w:tcPr>
          <w:p>
            <w:pPr>
              <w:jc w:val="left"/>
            </w:pPr>
            <w:r>
              <w:rPr>
                <w:sz w:val="20"/>
                <w:szCs w:val="20"/>
              </w:rPr>
              <w:t xml:space="preserve">4</w:t>
            </w:r>
          </w:p>
        </w:tc>
      </w:tr>
      <w:tr>
        <w:tc>
          <w:tcPr>
            <w:tcW w:type="dxa" w:w="1200"/>
            <w:tcMar>
              <w:top w:type="dxa" w:w="80"/>
              <w:left w:type="dxa" w:w="100"/>
              <w:bottom w:type="dxa" w:w="80"/>
              <w:right w:type="dxa" w:w="100"/>
            </w:tcMar>
            <w:vAlign w:val="center"/>
          </w:tcPr>
          <w:p>
            <w:pPr>
              <w:jc w:val="left"/>
            </w:pPr>
            <w:r>
              <w:rPr>
                <w:sz w:val="20"/>
                <w:szCs w:val="20"/>
              </w:rPr>
              <w:t xml:space="preserve">HU-06</w:t>
            </w:r>
          </w:p>
        </w:tc>
        <w:tc>
          <w:tcPr>
            <w:tcW w:type="dxa" w:w="6300"/>
            <w:tcMar>
              <w:top w:type="dxa" w:w="80"/>
              <w:left w:type="dxa" w:w="100"/>
              <w:bottom w:type="dxa" w:w="80"/>
              <w:right w:type="dxa" w:w="100"/>
            </w:tcMar>
            <w:vAlign w:val="center"/>
          </w:tcPr>
          <w:p>
            <w:pPr>
              <w:jc w:val="left"/>
            </w:pPr>
            <w:r>
              <w:rPr>
                <w:sz w:val="20"/>
                <w:szCs w:val="20"/>
              </w:rPr>
              <w:t xml:space="preserve">Como analista, quiero consultar el historial de evaluaciones previas para auditar decisiones pasadas.</w:t>
            </w:r>
          </w:p>
        </w:tc>
        <w:tc>
          <w:tcPr>
            <w:tcW w:type="dxa" w:w="1500"/>
            <w:tcMar>
              <w:top w:type="dxa" w:w="80"/>
              <w:left w:type="dxa" w:w="100"/>
              <w:bottom w:type="dxa" w:w="80"/>
              <w:right w:type="dxa" w:w="100"/>
            </w:tcMar>
            <w:vAlign w:val="center"/>
          </w:tcPr>
          <w:p>
            <w:pPr>
              <w:jc w:val="left"/>
            </w:pPr>
            <w:r>
              <w:rPr>
                <w:sz w:val="20"/>
                <w:szCs w:val="20"/>
              </w:rPr>
              <w:t xml:space="preserve">3 y 4</w:t>
            </w:r>
          </w:p>
        </w:tc>
      </w:tr>
    </w:tbl>
    <w:p>
      <w:pPr>
        <w:pStyle w:val="Heading2"/>
        <w:spacing w:after="160" w:before="300"/>
      </w:pPr>
      <w:r>
        <w:rPr>
          <w:b/>
          <w:bCs/>
          <w:color w:val="1F3D5C"/>
        </w:rPr>
        <w:t xml:space="preserve">Anexo C: Diagrama de arquitectura (descripción textual)</w:t>
      </w:r>
    </w:p>
    <w:p>
      <w:pPr>
        <w:spacing w:after="200" w:line="360"/>
        <w:jc w:val="both"/>
      </w:pPr>
      <w:r>
        <w:rPr>
          <w:sz w:val="22"/>
          <w:szCs w:val="22"/>
        </w:rPr>
        <w:t xml:space="preserve">Cliente (navegador) → Frontend React (servido por Nginx en el contenedor "frontend", puerto 8080) → API REST Node.js/Express (contenedor "backend", puerto 4000) → Base de datos MySQL 8.0 (contenedor "db", puerto 3306). La comunicación entre el frontend y el backend se realiza mediante peticiones HTTP/JSON autenticadas con JSON Web Token; el backend expone los módulos de dominio ahp.js y topsis.js como servicios internos invocados por el controlador evaluacionController.js.</w:t>
      </w:r>
    </w:p>
    <w:p>
      <w:pPr>
        <w:pStyle w:val="Heading2"/>
        <w:spacing w:after="160" w:before="300"/>
      </w:pPr>
      <w:r>
        <w:rPr>
          <w:b/>
          <w:bCs/>
          <w:color w:val="1F3D5C"/>
        </w:rPr>
        <w:t xml:space="preserve">Anexo D: Estructura del repositorio de código fuente</w:t>
      </w:r>
    </w:p>
    <w:p>
      <w:pPr>
        <w:spacing w:after="200" w:line="360"/>
        <w:jc w:val="both"/>
      </w:pPr>
      <w:r>
        <w:rPr>
          <w:sz w:val="22"/>
          <w:szCs w:val="22"/>
        </w:rPr>
        <w:t xml:space="preserve">El código fuente completo (backend, frontend, esquema de base de datos, pruebas, configuración de despliegue y pipeline de integración continua) se encuentra organizado según se describe en el archivo README.md del repositorio, con commits estructurados por sprint conforme a la metodología descrita en el Capítulo III.</w:t>
      </w:r>
    </w:p>
    <w:p>
      <w:pPr>
        <w:pStyle w:val="Heading2"/>
        <w:spacing w:after="160" w:before="300"/>
      </w:pPr>
      <w:r>
        <w:rPr>
          <w:b/>
          <w:bCs/>
          <w:color w:val="1F3D5C"/>
        </w:rPr>
        <w:t xml:space="preserve">Anexo E: Evidencia de ejecución de pruebas</w:t>
      </w:r>
    </w:p>
    <w:p>
      <w:pPr>
        <w:spacing w:after="100" w:line="360"/>
        <w:jc w:val="both"/>
      </w:pPr>
      <w:r>
        <w:rPr>
          <w:sz w:val="22"/>
          <w:szCs w:val="22"/>
        </w:rPr>
        <w:t xml:space="preserve">Resultado de la ejecución de la suite completa de pruebas automatizadas (comando "npm test" desde el directorio backend/):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1500"/>
        <w:gridCol w:w="1500"/>
      </w:tblGrid>
      <w:tr>
        <w:trPr>
          <w:tblHeader/>
        </w:trPr>
        <w:tc>
          <w:tcPr>
            <w:tcW w:type="dxa" w:w="3000"/>
            <w:shd w:fill="1F3D5C" w:val="clear"/>
            <w:tcMar>
              <w:top w:type="dxa" w:w="80"/>
              <w:left w:type="dxa" w:w="100"/>
              <w:bottom w:type="dxa" w:w="80"/>
              <w:right w:type="dxa" w:w="100"/>
            </w:tcMar>
            <w:vAlign w:val="center"/>
          </w:tcPr>
          <w:p>
            <w:pPr>
              <w:jc w:val="left"/>
            </w:pPr>
            <w:r>
              <w:rPr>
                <w:b/>
                <w:bCs/>
                <w:color w:val="FFFFFF"/>
                <w:sz w:val="20"/>
                <w:szCs w:val="20"/>
              </w:rPr>
              <w:t xml:space="preserve">Test Suites</w:t>
            </w:r>
          </w:p>
        </w:tc>
        <w:tc>
          <w:tcPr>
            <w:tcW w:type="dxa" w:w="3000"/>
            <w:shd w:fill="1F3D5C" w:val="clear"/>
            <w:tcMar>
              <w:top w:type="dxa" w:w="80"/>
              <w:left w:type="dxa" w:w="100"/>
              <w:bottom w:type="dxa" w:w="80"/>
              <w:right w:type="dxa" w:w="100"/>
            </w:tcMar>
            <w:vAlign w:val="center"/>
          </w:tcPr>
          <w:p>
            <w:pPr>
              <w:jc w:val="left"/>
            </w:pPr>
            <w:r>
              <w:rPr>
                <w:b/>
                <w:bCs/>
                <w:color w:val="FFFFFF"/>
                <w:sz w:val="20"/>
                <w:szCs w:val="20"/>
              </w:rPr>
              <w:t xml:space="preserve">Tests</w:t>
            </w:r>
          </w:p>
        </w:tc>
        <w:tc>
          <w:tcPr>
            <w:tcW w:type="dxa" w:w="1500"/>
            <w:shd w:fill="1F3D5C" w:val="clear"/>
            <w:tcMar>
              <w:top w:type="dxa" w:w="80"/>
              <w:left w:type="dxa" w:w="100"/>
              <w:bottom w:type="dxa" w:w="80"/>
              <w:right w:type="dxa" w:w="100"/>
            </w:tcMar>
            <w:vAlign w:val="center"/>
          </w:tcPr>
          <w:p>
            <w:pPr>
              <w:jc w:val="left"/>
            </w:pPr>
            <w:r>
              <w:rPr>
                <w:b/>
                <w:bCs/>
                <w:color w:val="FFFFFF"/>
                <w:sz w:val="20"/>
                <w:szCs w:val="20"/>
              </w:rPr>
              <w:t xml:space="preserve">Snapshots</w:t>
            </w:r>
          </w:p>
        </w:tc>
        <w:tc>
          <w:tcPr>
            <w:tcW w:type="dxa" w:w="1500"/>
            <w:shd w:fill="1F3D5C" w:val="clear"/>
            <w:tcMar>
              <w:top w:type="dxa" w:w="80"/>
              <w:left w:type="dxa" w:w="100"/>
              <w:bottom w:type="dxa" w:w="80"/>
              <w:right w:type="dxa" w:w="100"/>
            </w:tcMar>
            <w:vAlign w:val="center"/>
          </w:tcPr>
          <w:p>
            <w:pPr>
              <w:jc w:val="left"/>
            </w:pPr>
            <w:r>
              <w:rPr>
                <w:b/>
                <w:bCs/>
                <w:color w:val="FFFFFF"/>
                <w:sz w:val="20"/>
                <w:szCs w:val="20"/>
              </w:rPr>
              <w:t xml:space="preserve">Resultado</w:t>
            </w:r>
          </w:p>
        </w:tc>
      </w:tr>
      <w:tr>
        <w:tc>
          <w:tcPr>
            <w:tcW w:type="dxa" w:w="3000"/>
            <w:tcMar>
              <w:top w:type="dxa" w:w="80"/>
              <w:left w:type="dxa" w:w="100"/>
              <w:bottom w:type="dxa" w:w="80"/>
              <w:right w:type="dxa" w:w="100"/>
            </w:tcMar>
            <w:vAlign w:val="center"/>
          </w:tcPr>
          <w:p>
            <w:pPr>
              <w:jc w:val="left"/>
            </w:pPr>
            <w:r>
              <w:rPr>
                <w:sz w:val="20"/>
                <w:szCs w:val="20"/>
              </w:rPr>
              <w:t xml:space="preserve">4 passed, 4 total</w:t>
            </w:r>
          </w:p>
        </w:tc>
        <w:tc>
          <w:tcPr>
            <w:tcW w:type="dxa" w:w="3000"/>
            <w:tcMar>
              <w:top w:type="dxa" w:w="80"/>
              <w:left w:type="dxa" w:w="100"/>
              <w:bottom w:type="dxa" w:w="80"/>
              <w:right w:type="dxa" w:w="100"/>
            </w:tcMar>
            <w:vAlign w:val="center"/>
          </w:tcPr>
          <w:p>
            <w:pPr>
              <w:jc w:val="left"/>
            </w:pPr>
            <w:r>
              <w:rPr>
                <w:sz w:val="20"/>
                <w:szCs w:val="20"/>
              </w:rPr>
              <w:t xml:space="preserve">32 passed, 32 total</w:t>
            </w:r>
          </w:p>
        </w:tc>
        <w:tc>
          <w:tcPr>
            <w:tcW w:type="dxa" w:w="1500"/>
            <w:tcMar>
              <w:top w:type="dxa" w:w="80"/>
              <w:left w:type="dxa" w:w="100"/>
              <w:bottom w:type="dxa" w:w="80"/>
              <w:right w:type="dxa" w:w="100"/>
            </w:tcMar>
            <w:vAlign w:val="center"/>
          </w:tcPr>
          <w:p>
            <w:pPr>
              <w:jc w:val="left"/>
            </w:pPr>
            <w:r>
              <w:rPr>
                <w:sz w:val="20"/>
                <w:szCs w:val="20"/>
              </w:rPr>
              <w:t xml:space="preserve">0 total</w:t>
            </w:r>
          </w:p>
        </w:tc>
        <w:tc>
          <w:tcPr>
            <w:tcW w:type="dxa" w:w="1500"/>
            <w:tcMar>
              <w:top w:type="dxa" w:w="80"/>
              <w:left w:type="dxa" w:w="100"/>
              <w:bottom w:type="dxa" w:w="80"/>
              <w:right w:type="dxa" w:w="100"/>
            </w:tcMar>
            <w:vAlign w:val="center"/>
          </w:tcPr>
          <w:p>
            <w:pPr>
              <w:jc w:val="left"/>
            </w:pPr>
            <w:r>
              <w:rPr>
                <w:sz w:val="20"/>
                <w:szCs w:val="20"/>
              </w:rPr>
              <w:t xml:space="preserve">PASS (100%)</w:t>
            </w:r>
          </w:p>
        </w:tc>
      </w:tr>
    </w:tbl>
    <w:sectPr>
      <w:headerReference w:type="default" r:id="rId7"/>
      <w:footerReference w:type="default" r:id="rId8"/>
      <w:pgSz w:w="11906" w:h="16838" w:orient="portrait"/>
      <w:pgMar w:top="1440" w:right="1440" w:bottom="1440" w:left="1699"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SSD Proveedores – UNSCH – IS-489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SSD Proveedores - Informe de proyecto IS-489</dc:title>
  <dc:creator>Mateo</dc:creator>
  <cp:lastModifiedBy>Un-named</cp:lastModifiedBy>
  <cp:revision>1</cp:revision>
  <dcterms:created xsi:type="dcterms:W3CDTF">2026-07-10T04:56:23.589Z</dcterms:created>
  <dcterms:modified xsi:type="dcterms:W3CDTF">2026-07-10T04:56:23.589Z</dcterms:modified>
</cp:coreProperties>
</file>

<file path=docProps/custom.xml><?xml version="1.0" encoding="utf-8"?>
<Properties xmlns="http://schemas.openxmlformats.org/officeDocument/2006/custom-properties" xmlns:vt="http://schemas.openxmlformats.org/officeDocument/2006/docPropsVTypes"/>
</file>