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32"/>
          <w:szCs w:val="32"/>
        </w:rPr>
        <w:t xml:space="preserve">Sentiment Analysis with Neural Networks</w:t>
      </w:r>
    </w:p>
    <w:p>
      <w:pPr>
        <w:spacing w:after="80" w:before="0"/>
        <w:jc w:val="center"/>
      </w:pPr>
      <w:r>
        <w:rPr>
          <w:rFonts w:ascii="Arial" w:cs="Arial" w:eastAsia="Arial" w:hAnsi="Arial"/>
          <w:color w:val="2E75B6"/>
          <w:sz w:val="22"/>
          <w:szCs w:val="22"/>
        </w:rPr>
        <w:t xml:space="preserve">Integrative Task 2 — Computación y Estructuras Discretas III (2026-1)</w:t>
      </w:r>
    </w:p>
    <w:p>
      <w:pPr>
        <w:spacing w:after="60" w:before="0"/>
        <w:jc w:val="center"/>
      </w:pPr>
      <w:r>
        <w:rPr>
          <w:rFonts w:ascii="Arial" w:cs="Arial" w:eastAsia="Arial" w:hAnsi="Arial"/>
          <w:color w:val="555555"/>
          <w:sz w:val="20"/>
          <w:szCs w:val="20"/>
        </w:rPr>
        <w:t xml:space="preserve">Estefany Villamarin · Miguel Perez · Andres Fajardo</w:t>
      </w:r>
    </w:p>
    <w:p>
      <w:pPr>
        <w:spacing w:after="200" w:before="0"/>
        <w:jc w:val="center"/>
      </w:pPr>
      <w:r>
        <w:rPr>
          <w:rFonts w:ascii="Arial" w:cs="Arial" w:eastAsia="Arial" w:hAnsi="Arial"/>
          <w:color w:val="555555"/>
          <w:sz w:val="20"/>
          <w:szCs w:val="20"/>
        </w:rPr>
        <w:t xml:space="preserve">Universidad ICESI · June 2026</w:t>
      </w:r>
    </w:p>
    <w:p>
      <w:pPr>
        <w:pBdr>
          <w:bottom w:val="single" w:color="2E75B6" w:sz="6" w:space="1"/>
        </w:pBdr>
        <w:spacing w:after="200" w:before="0"/>
      </w:pPr>
      <w:r>
        <w:t xml:space="preserve"/>
      </w:r>
    </w:p>
    <w:p>
      <w:pPr>
        <w:pStyle w:val="Heading1"/>
        <w:spacing w:after="100" w:before="280"/>
      </w:pPr>
      <w:r>
        <w:rPr>
          <w:rFonts w:ascii="Arial" w:cs="Arial" w:eastAsia="Arial" w:hAnsi="Arial"/>
          <w:b/>
          <w:bCs/>
          <w:color w:val="1F4E79"/>
          <w:sz w:val="28"/>
          <w:szCs w:val="28"/>
        </w:rPr>
        <w:t xml:space="preserve">1. Introduction and Objectives</w:t>
      </w:r>
    </w:p>
    <w:p>
      <w:pPr>
        <w:spacing w:after="120" w:before="60"/>
        <w:jc w:val="both"/>
      </w:pPr>
      <w:r>
        <w:rPr>
          <w:rFonts w:ascii="Arial" w:cs="Arial" w:eastAsia="Arial" w:hAnsi="Arial"/>
          <w:sz w:val="22"/>
          <w:szCs w:val="22"/>
        </w:rPr>
        <w:t xml:space="preserve">Sentiment analysis </w:t>
      </w:r>
      <w:r>
        <w:rPr>
          <w:rFonts w:ascii="Arial" w:cs="Arial" w:eastAsia="Arial" w:hAnsi="Arial"/>
          <w:b w:val="false"/>
          <w:bCs w:val="false"/>
          <w:sz w:val="22"/>
          <w:szCs w:val="22"/>
        </w:rPr>
        <w:t xml:space="preserve">—</w:t>
      </w:r>
      <w:r>
        <w:rPr>
          <w:rFonts w:ascii="Arial" w:cs="Arial" w:eastAsia="Arial" w:hAnsi="Arial"/>
          <w:sz w:val="22"/>
          <w:szCs w:val="22"/>
        </w:rPr>
        <w:t xml:space="preserve"> the automated identification of subjective opinions in text </w:t>
      </w:r>
      <w:r>
        <w:rPr>
          <w:rFonts w:ascii="Arial" w:cs="Arial" w:eastAsia="Arial" w:hAnsi="Arial"/>
          <w:b w:val="false"/>
          <w:bCs w:val="false"/>
          <w:sz w:val="22"/>
          <w:szCs w:val="22"/>
        </w:rPr>
        <w:t xml:space="preserve">—</w:t>
      </w:r>
      <w:r>
        <w:rPr>
          <w:rFonts w:ascii="Arial" w:cs="Arial" w:eastAsia="Arial" w:hAnsi="Arial"/>
          <w:sz w:val="22"/>
          <w:szCs w:val="22"/>
        </w:rPr>
        <w:t xml:space="preserve"> is a fundamental task in natural language processing (NLP). Social media platforms such as Twitter produce millions of short, informal, and emotionally charged messages daily, making them a rich but challenging domain for sentiment classifiers.</w:t>
      </w:r>
    </w:p>
    <w:p>
      <w:pPr>
        <w:spacing w:after="120" w:before="60"/>
        <w:jc w:val="both"/>
      </w:pPr>
      <w:r>
        <w:rPr>
          <w:rFonts w:ascii="Arial" w:cs="Arial" w:eastAsia="Arial" w:hAnsi="Arial"/>
          <w:sz w:val="22"/>
          <w:szCs w:val="22"/>
        </w:rPr>
        <w:t xml:space="preserve">This project builds a binary sentiment analysis pipeline applied to airline-related tweets. We systematically compare five architectures </w:t>
      </w:r>
      <w:r>
        <w:rPr>
          <w:rFonts w:ascii="Arial" w:cs="Arial" w:eastAsia="Arial" w:hAnsi="Arial"/>
          <w:b w:val="false"/>
          <w:bCs w:val="false"/>
          <w:sz w:val="22"/>
          <w:szCs w:val="22"/>
        </w:rPr>
        <w:t xml:space="preserve">—</w:t>
      </w:r>
      <w:r>
        <w:rPr>
          <w:rFonts w:ascii="Arial" w:cs="Arial" w:eastAsia="Arial" w:hAnsi="Arial"/>
          <w:sz w:val="22"/>
          <w:szCs w:val="22"/>
        </w:rPr>
        <w:t xml:space="preserve"> a baseline DummyClassifier, a Dense Neural Network, a vanilla Recurrent Neural Network (RNN), a Long Short-Term Memory network (LSTM), and DistilBERT (a Transformer-based model) </w:t>
      </w:r>
      <w:r>
        <w:rPr>
          <w:rFonts w:ascii="Arial" w:cs="Arial" w:eastAsia="Arial" w:hAnsi="Arial"/>
          <w:b w:val="false"/>
          <w:bCs w:val="false"/>
          <w:sz w:val="22"/>
          <w:szCs w:val="22"/>
        </w:rPr>
        <w:t xml:space="preserve">—</w:t>
      </w:r>
      <w:r>
        <w:rPr>
          <w:rFonts w:ascii="Arial" w:cs="Arial" w:eastAsia="Arial" w:hAnsi="Arial"/>
          <w:sz w:val="22"/>
          <w:szCs w:val="22"/>
        </w:rPr>
        <w:t xml:space="preserve"> and connect their computational capabilities to the formal theory of Turing Machines.</w:t>
      </w:r>
    </w:p>
    <w:p>
      <w:pPr>
        <w:spacing w:after="40" w:before="80"/>
      </w:pPr>
      <w:r>
        <w:rPr>
          <w:rFonts w:ascii="Arial" w:cs="Arial" w:eastAsia="Arial" w:hAnsi="Arial"/>
          <w:b/>
          <w:bCs/>
          <w:sz w:val="22"/>
          <w:szCs w:val="22"/>
        </w:rPr>
        <w:t xml:space="preserve">Specific objectives:</w:t>
      </w:r>
    </w:p>
    <w:p>
      <w:pPr>
        <w:pStyle w:val="ListParagraph"/>
        <w:numPr>
          <w:ilvl w:val="0"/>
          <w:numId w:val="2"/>
        </w:numPr>
        <w:spacing w:after="40" w:before="40"/>
      </w:pPr>
      <w:r>
        <w:rPr>
          <w:rFonts w:ascii="Arial" w:cs="Arial" w:eastAsia="Arial" w:hAnsi="Arial"/>
          <w:sz w:val="22"/>
          <w:szCs w:val="22"/>
        </w:rPr>
        <w:t xml:space="preserve">OE3.3 – Understand the core concepts of supervised learning, NLP, and neural networks.</w:t>
      </w:r>
    </w:p>
    <w:p>
      <w:pPr>
        <w:pStyle w:val="ListParagraph"/>
        <w:numPr>
          <w:ilvl w:val="0"/>
          <w:numId w:val="2"/>
        </w:numPr>
        <w:spacing w:after="40" w:before="40"/>
      </w:pPr>
      <w:r>
        <w:rPr>
          <w:rFonts w:ascii="Arial" w:cs="Arial" w:eastAsia="Arial" w:hAnsi="Arial"/>
          <w:sz w:val="22"/>
          <w:szCs w:val="22"/>
        </w:rPr>
        <w:t xml:space="preserve">OE3.4 – Apply RNN, LSTM, and Transformer architectures to a real-world NLP classification task.</w:t>
      </w:r>
    </w:p>
    <w:p>
      <w:pPr>
        <w:pStyle w:val="ListParagraph"/>
        <w:numPr>
          <w:ilvl w:val="0"/>
          <w:numId w:val="2"/>
        </w:numPr>
        <w:spacing w:after="40" w:before="40"/>
      </w:pPr>
      <w:r>
        <w:rPr>
          <w:rFonts w:ascii="Arial" w:cs="Arial" w:eastAsia="Arial" w:hAnsi="Arial"/>
          <w:sz w:val="22"/>
          <w:szCs w:val="22"/>
        </w:rPr>
        <w:t xml:space="preserve">OE3.5 – Relate each neural architecture to a level of computational power in the Chomsky–Turing hierarchy.</w:t>
      </w:r>
    </w:p>
    <w:p>
      <w:pPr>
        <w:pStyle w:val="ListParagraph"/>
        <w:numPr>
          <w:ilvl w:val="0"/>
          <w:numId w:val="2"/>
        </w:numPr>
        <w:spacing w:after="40" w:before="40"/>
      </w:pPr>
      <w:r>
        <w:rPr>
          <w:rFonts w:ascii="Arial" w:cs="Arial" w:eastAsia="Arial" w:hAnsi="Arial"/>
          <w:sz w:val="22"/>
          <w:szCs w:val="22"/>
        </w:rPr>
        <w:t xml:space="preserve">OE3.6 – Recognize the expressiveness of different machine classes through empirical comparison.</w:t>
      </w:r>
    </w:p>
    <w:p>
      <w:pPr>
        <w:spacing w:after="60" w:before="0"/>
      </w:pPr>
      <w:r>
        <w:t xml:space="preserve"/>
      </w:r>
    </w:p>
    <w:p>
      <w:pPr>
        <w:pStyle w:val="Heading1"/>
        <w:spacing w:after="100" w:before="280"/>
      </w:pPr>
      <w:r>
        <w:rPr>
          <w:rFonts w:ascii="Arial" w:cs="Arial" w:eastAsia="Arial" w:hAnsi="Arial"/>
          <w:b/>
          <w:bCs/>
          <w:color w:val="1F4E79"/>
          <w:sz w:val="28"/>
          <w:szCs w:val="28"/>
        </w:rPr>
        <w:t xml:space="preserve">2. Dataset Description and Preprocessing</w:t>
      </w:r>
    </w:p>
    <w:p>
      <w:pPr>
        <w:pStyle w:val="Heading2"/>
        <w:spacing w:after="80" w:before="180"/>
      </w:pPr>
      <w:r>
        <w:rPr>
          <w:rFonts w:ascii="Arial" w:cs="Arial" w:eastAsia="Arial" w:hAnsi="Arial"/>
          <w:b/>
          <w:bCs/>
          <w:color w:val="2E75B6"/>
          <w:sz w:val="24"/>
          <w:szCs w:val="24"/>
        </w:rPr>
        <w:t xml:space="preserve">2.1 Dataset</w:t>
      </w:r>
    </w:p>
    <w:p>
      <w:pPr>
        <w:spacing w:after="120" w:before="60"/>
        <w:jc w:val="both"/>
      </w:pPr>
      <w:r>
        <w:rPr>
          <w:rFonts w:ascii="Arial" w:cs="Arial" w:eastAsia="Arial" w:hAnsi="Arial"/>
          <w:sz w:val="22"/>
          <w:szCs w:val="22"/>
        </w:rPr>
        <w:t xml:space="preserve">We used the </w:t>
      </w:r>
      <w:r>
        <w:rPr>
          <w:rFonts w:ascii="Arial" w:cs="Arial" w:eastAsia="Arial" w:hAnsi="Arial"/>
          <w:b/>
          <w:bCs/>
          <w:sz w:val="22"/>
          <w:szCs w:val="22"/>
        </w:rPr>
        <w:t xml:space="preserve">Twitter US Airline Sentiment</w:t>
      </w:r>
      <w:r>
        <w:rPr>
          <w:rFonts w:ascii="Arial" w:cs="Arial" w:eastAsia="Arial" w:hAnsi="Arial"/>
          <w:sz w:val="22"/>
          <w:szCs w:val="22"/>
        </w:rPr>
        <w:t xml:space="preserve"> dataset (Crowdflower / Kaggle, 2015), comprising tweets directed at major US airlines collected in February 2015. Each tweet is originally labeled as </w:t>
      </w:r>
      <w:r>
        <w:rPr>
          <w:rFonts w:ascii="Arial" w:cs="Arial" w:eastAsia="Arial" w:hAnsi="Arial"/>
          <w:sz w:val="22"/>
          <w:szCs w:val="22"/>
        </w:rPr>
        <w:t xml:space="preserve">positive</w:t>
      </w:r>
      <w:r>
        <w:rPr>
          <w:rFonts w:ascii="Arial" w:cs="Arial" w:eastAsia="Arial" w:hAnsi="Arial"/>
          <w:sz w:val="22"/>
          <w:szCs w:val="22"/>
        </w:rPr>
        <w:t xml:space="preserve">, </w:t>
      </w:r>
      <w:r>
        <w:rPr>
          <w:rFonts w:ascii="Arial" w:cs="Arial" w:eastAsia="Arial" w:hAnsi="Arial"/>
          <w:sz w:val="22"/>
          <w:szCs w:val="22"/>
        </w:rPr>
        <w:t xml:space="preserve">negative</w:t>
      </w:r>
      <w:r>
        <w:rPr>
          <w:rFonts w:ascii="Arial" w:cs="Arial" w:eastAsia="Arial" w:hAnsi="Arial"/>
          <w:sz w:val="22"/>
          <w:szCs w:val="22"/>
        </w:rPr>
        <w:t xml:space="preserve">, or </w:t>
      </w:r>
      <w:r>
        <w:rPr>
          <w:rFonts w:ascii="Arial" w:cs="Arial" w:eastAsia="Arial" w:hAnsi="Arial"/>
          <w:sz w:val="22"/>
          <w:szCs w:val="22"/>
        </w:rPr>
        <w:t xml:space="preserve">neutral</w:t>
      </w:r>
      <w:r>
        <w:rPr>
          <w:rFonts w:ascii="Arial" w:cs="Arial" w:eastAsia="Arial" w:hAnsi="Arial"/>
          <w:sz w:val="22"/>
          <w:szCs w:val="22"/>
        </w:rPr>
        <w:t xml:space="preserve"> (14,640 total).</w:t>
      </w:r>
    </w:p>
    <w:p>
      <w:pPr>
        <w:spacing w:after="120" w:before="60"/>
        <w:jc w:val="both"/>
      </w:pPr>
      <w:r>
        <w:rPr>
          <w:rFonts w:ascii="Arial" w:cs="Arial" w:eastAsia="Arial" w:hAnsi="Arial"/>
          <w:sz w:val="22"/>
          <w:szCs w:val="22"/>
        </w:rPr>
        <w:t xml:space="preserve">For this project, only positive and negative classes were retained. We randomly sampled </w:t>
      </w:r>
      <w:r>
        <w:rPr>
          <w:rFonts w:ascii="Arial" w:cs="Arial" w:eastAsia="Arial" w:hAnsi="Arial"/>
          <w:b/>
          <w:bCs/>
          <w:sz w:val="22"/>
          <w:szCs w:val="22"/>
        </w:rPr>
        <w:t xml:space="preserve">500 positive + 500 negative tweets</w:t>
      </w:r>
      <w:r>
        <w:rPr>
          <w:rFonts w:ascii="Arial" w:cs="Arial" w:eastAsia="Arial" w:hAnsi="Arial"/>
          <w:sz w:val="22"/>
          <w:szCs w:val="22"/>
        </w:rPr>
        <w:t xml:space="preserve"> (random_state=42) to construct a </w:t>
      </w:r>
      <w:r>
        <w:rPr>
          <w:rFonts w:ascii="Arial" w:cs="Arial" w:eastAsia="Arial" w:hAnsi="Arial"/>
          <w:b/>
          <w:bCs/>
          <w:sz w:val="22"/>
          <w:szCs w:val="22"/>
        </w:rPr>
        <w:t xml:space="preserve">perfectly balanced dataset of 1,000 tweets</w:t>
      </w:r>
      <w:r>
        <w:rPr>
          <w:rFonts w:ascii="Arial" w:cs="Arial" w:eastAsia="Arial" w:hAnsi="Arial"/>
          <w:sz w:val="22"/>
          <w:szCs w:val="22"/>
        </w:rPr>
        <w:t xml:space="preserve">. The dataset was split 80/20 in a stratified manner: 800 training samples (400 positive + 400 negative) and 200 test samples (100 positive + 100 negative).</w:t>
      </w:r>
    </w:p>
    <w:p>
      <w:pPr>
        <w:pStyle w:val="Heading2"/>
        <w:spacing w:after="80" w:before="180"/>
      </w:pPr>
      <w:r>
        <w:rPr>
          <w:rFonts w:ascii="Arial" w:cs="Arial" w:eastAsia="Arial" w:hAnsi="Arial"/>
          <w:b/>
          <w:bCs/>
          <w:color w:val="2E75B6"/>
          <w:sz w:val="24"/>
          <w:szCs w:val="24"/>
        </w:rPr>
        <w:t xml:space="preserve">2.2 Exploratory Data Analysis (EDA)</w:t>
      </w:r>
    </w:p>
    <w:p>
      <w:pPr>
        <w:spacing w:after="120" w:before="60"/>
        <w:jc w:val="both"/>
      </w:pPr>
      <w:r>
        <w:rPr>
          <w:rFonts w:ascii="Arial" w:cs="Arial" w:eastAsia="Arial" w:hAnsi="Arial"/>
          <w:sz w:val="22"/>
          <w:szCs w:val="22"/>
        </w:rPr>
        <w:t xml:space="preserve">Class distribution is exactly 50/50 both in the full dataset and in each split, confirming perfect balance. Analysis of token-length distribution after cleaning revealed a </w:t>
      </w:r>
      <w:r>
        <w:rPr>
          <w:rFonts w:ascii="Arial" w:cs="Arial" w:eastAsia="Arial" w:hAnsi="Arial"/>
          <w:b/>
          <w:bCs/>
          <w:sz w:val="22"/>
          <w:szCs w:val="22"/>
        </w:rPr>
        <w:t xml:space="preserve">mean of 15 tokens and a maximum of 29 tokens</w:t>
      </w:r>
      <w:r>
        <w:rPr>
          <w:rFonts w:ascii="Arial" w:cs="Arial" w:eastAsia="Arial" w:hAnsi="Arial"/>
          <w:sz w:val="22"/>
          <w:szCs w:val="22"/>
        </w:rPr>
        <w:t xml:space="preserve"> per tweet, confirming that these are very short texts. This finding directly justified setting the maximum sequence length to 50 tokens (covering 100% of the distribution with a comfortable margin).</w:t>
      </w:r>
    </w:p>
    <w:p>
      <w:pPr>
        <w:spacing w:after="120" w:before="60"/>
        <w:jc w:val="both"/>
      </w:pPr>
      <w:r>
        <w:rPr>
          <w:rFonts w:ascii="Arial" w:cs="Arial" w:eastAsia="Arial" w:hAnsi="Arial"/>
          <w:sz w:val="22"/>
          <w:szCs w:val="22"/>
        </w:rPr>
        <w:t xml:space="preserve">A word-frequency analysis showed that negation words such as </w:t>
      </w:r>
      <w:r>
        <w:rPr>
          <w:rFonts w:ascii="Arial" w:cs="Arial" w:eastAsia="Arial" w:hAnsi="Arial"/>
          <w:sz w:val="22"/>
          <w:szCs w:val="22"/>
        </w:rPr>
        <w:t xml:space="preserve">not, never, no</w:t>
      </w:r>
      <w:r>
        <w:rPr>
          <w:rFonts w:ascii="Arial" w:cs="Arial" w:eastAsia="Arial" w:hAnsi="Arial"/>
          <w:sz w:val="22"/>
          <w:szCs w:val="22"/>
        </w:rPr>
        <w:t xml:space="preserve"> appear frequently in negative tweets but also in positive contexts (e.g., "no issues"). This observation was critical for the stopword removal decision described below.</w:t>
      </w:r>
    </w:p>
    <w:p>
      <w:pPr>
        <w:pStyle w:val="Heading2"/>
        <w:spacing w:after="80" w:before="180"/>
      </w:pPr>
      <w:r>
        <w:rPr>
          <w:rFonts w:ascii="Arial" w:cs="Arial" w:eastAsia="Arial" w:hAnsi="Arial"/>
          <w:b/>
          <w:bCs/>
          <w:color w:val="2E75B6"/>
          <w:sz w:val="24"/>
          <w:szCs w:val="24"/>
        </w:rPr>
        <w:t xml:space="preserve">2.3 Preprocessing Pipeline</w:t>
      </w:r>
    </w:p>
    <w:p>
      <w:pPr>
        <w:spacing w:after="120" w:before="60"/>
        <w:jc w:val="both"/>
      </w:pPr>
      <w:r>
        <w:rPr>
          <w:rFonts w:ascii="Arial" w:cs="Arial" w:eastAsia="Arial" w:hAnsi="Arial"/>
          <w:sz w:val="22"/>
          <w:szCs w:val="22"/>
        </w:rPr>
        <w:t xml:space="preserve">Tweets are noisy text requiring domain-specific cleaning. We applied the following pipeline to all models except DistilBERT:</w:t>
      </w:r>
    </w:p>
    <w:p>
      <w:pPr>
        <w:pStyle w:val="ListParagraph"/>
        <w:numPr>
          <w:ilvl w:val="0"/>
          <w:numId w:val="3"/>
        </w:numPr>
        <w:spacing w:after="40" w:before="40"/>
      </w:pPr>
      <w:r>
        <w:rPr>
          <w:rFonts w:ascii="Arial" w:cs="Arial" w:eastAsia="Arial" w:hAnsi="Arial"/>
          <w:sz w:val="22"/>
          <w:szCs w:val="22"/>
        </w:rPr>
        <w:t xml:space="preserve">Remove URLs (http://, www...).</w:t>
      </w:r>
    </w:p>
    <w:p>
      <w:pPr>
        <w:pStyle w:val="ListParagraph"/>
        <w:numPr>
          <w:ilvl w:val="0"/>
          <w:numId w:val="3"/>
        </w:numPr>
        <w:spacing w:after="40" w:before="40"/>
      </w:pPr>
      <w:r>
        <w:rPr>
          <w:rFonts w:ascii="Arial" w:cs="Arial" w:eastAsia="Arial" w:hAnsi="Arial"/>
          <w:sz w:val="22"/>
          <w:szCs w:val="22"/>
        </w:rPr>
        <w:t xml:space="preserve">Remove @mentions (e.g., @SouthwestAir → deleted).</w:t>
      </w:r>
    </w:p>
    <w:p>
      <w:pPr>
        <w:pStyle w:val="ListParagraph"/>
        <w:numPr>
          <w:ilvl w:val="0"/>
          <w:numId w:val="3"/>
        </w:numPr>
        <w:spacing w:after="40" w:before="40"/>
      </w:pPr>
      <w:r>
        <w:rPr>
          <w:rFonts w:ascii="Arial" w:cs="Arial" w:eastAsia="Arial" w:hAnsi="Arial"/>
          <w:sz w:val="22"/>
          <w:szCs w:val="22"/>
        </w:rPr>
        <w:t xml:space="preserve">Expand hashtags (#great → great).</w:t>
      </w:r>
    </w:p>
    <w:p>
      <w:pPr>
        <w:pStyle w:val="ListParagraph"/>
        <w:numPr>
          <w:ilvl w:val="0"/>
          <w:numId w:val="3"/>
        </w:numPr>
        <w:spacing w:after="40" w:before="40"/>
      </w:pPr>
      <w:r>
        <w:rPr>
          <w:rFonts w:ascii="Arial" w:cs="Arial" w:eastAsia="Arial" w:hAnsi="Arial"/>
          <w:sz w:val="22"/>
          <w:szCs w:val="22"/>
        </w:rPr>
        <w:t xml:space="preserve">Remove HTML entities (&amp;amp;, &amp;lt;, etc.).</w:t>
      </w:r>
    </w:p>
    <w:p>
      <w:pPr>
        <w:pStyle w:val="ListParagraph"/>
        <w:numPr>
          <w:ilvl w:val="0"/>
          <w:numId w:val="3"/>
        </w:numPr>
        <w:spacing w:after="40" w:before="40"/>
      </w:pPr>
      <w:r>
        <w:rPr>
          <w:rFonts w:ascii="Arial" w:cs="Arial" w:eastAsia="Arial" w:hAnsi="Arial"/>
          <w:sz w:val="22"/>
          <w:szCs w:val="22"/>
        </w:rPr>
        <w:t xml:space="preserve">Convert to lowercase.</w:t>
      </w:r>
    </w:p>
    <w:p>
      <w:pPr>
        <w:pStyle w:val="ListParagraph"/>
        <w:numPr>
          <w:ilvl w:val="0"/>
          <w:numId w:val="3"/>
        </w:numPr>
        <w:spacing w:after="40" w:before="40"/>
      </w:pPr>
      <w:r>
        <w:rPr>
          <w:rFonts w:ascii="Arial" w:cs="Arial" w:eastAsia="Arial" w:hAnsi="Arial"/>
          <w:sz w:val="22"/>
          <w:szCs w:val="22"/>
        </w:rPr>
        <w:t xml:space="preserve">Remove punctuation (retain only [a-z\s]).</w:t>
      </w:r>
    </w:p>
    <w:p>
      <w:pPr>
        <w:pStyle w:val="ListParagraph"/>
        <w:numPr>
          <w:ilvl w:val="0"/>
          <w:numId w:val="3"/>
        </w:numPr>
        <w:spacing w:after="40" w:before="40"/>
      </w:pPr>
      <w:r>
        <w:rPr>
          <w:rFonts w:ascii="Arial" w:cs="Arial" w:eastAsia="Arial" w:hAnsi="Arial"/>
          <w:sz w:val="22"/>
          <w:szCs w:val="22"/>
        </w:rPr>
        <w:t xml:space="preserve">Preserve stopwords — negation words (not, never, no, nor) are critical sentiment signals and were empirically tested to be more harmful when removed.</w:t>
      </w:r>
    </w:p>
    <w:p>
      <w:pPr>
        <w:pStyle w:val="ListParagraph"/>
        <w:numPr>
          <w:ilvl w:val="0"/>
          <w:numId w:val="3"/>
        </w:numPr>
        <w:spacing w:after="40" w:before="40"/>
      </w:pPr>
      <w:r>
        <w:rPr>
          <w:rFonts w:ascii="Arial" w:cs="Arial" w:eastAsia="Arial" w:hAnsi="Arial"/>
          <w:sz w:val="22"/>
          <w:szCs w:val="22"/>
        </w:rPr>
        <w:t xml:space="preserve">Tokenize with Keras Tokenizer (vocab_size = 5,000; OOV token = &lt;OOV&gt;).</w:t>
      </w:r>
    </w:p>
    <w:p>
      <w:pPr>
        <w:pStyle w:val="ListParagraph"/>
        <w:numPr>
          <w:ilvl w:val="0"/>
          <w:numId w:val="3"/>
        </w:numPr>
        <w:spacing w:after="40" w:before="40"/>
      </w:pPr>
      <w:r>
        <w:rPr>
          <w:rFonts w:ascii="Arial" w:cs="Arial" w:eastAsia="Arial" w:hAnsi="Arial"/>
          <w:sz w:val="22"/>
          <w:szCs w:val="22"/>
        </w:rPr>
        <w:t xml:space="preserve">Pad/truncate sequences to MAX_SEQ_LEN = 50 (padding="post", truncating="post").</w:t>
      </w:r>
    </w:p>
    <w:p>
      <w:pPr>
        <w:spacing w:after="120" w:before="60"/>
        <w:jc w:val="both"/>
      </w:pPr>
      <w:r>
        <w:rPr>
          <w:rFonts w:ascii="Arial" w:cs="Arial" w:eastAsia="Arial" w:hAnsi="Arial"/>
          <w:sz w:val="22"/>
          <w:szCs w:val="22"/>
        </w:rPr>
        <w:t xml:space="preserve">Stopword decision rationale: </w:t>
      </w:r>
      <w:r>
        <w:rPr>
          <w:rFonts w:ascii="Arial" w:cs="Arial" w:eastAsia="Arial" w:hAnsi="Arial"/>
          <w:b/>
          <w:bCs/>
          <w:sz w:val="22"/>
          <w:szCs w:val="22"/>
        </w:rPr>
        <w:t xml:space="preserve">Standard NLP practice removes stopwords to reduce noise. However, our EDA demonstrated that negation words (not, never, no, nor) are highly discriminative features for sentiment. Removing them produced a measurable drop in validation accuracy during prototyping. Accordingly, we set </w:t>
      </w:r>
      <w:r>
        <w:rPr>
          <w:rFonts w:ascii="Courier New" w:cs="Courier New" w:eastAsia="Courier New" w:hAnsi="Courier New"/>
          <w:b/>
          <w:bCs/>
          <w:sz w:val="22"/>
          <w:szCs w:val="22"/>
        </w:rPr>
        <w:t xml:space="preserve">remove_stopwords=False</w:t>
      </w:r>
      <w:r>
        <w:rPr>
          <w:rFonts w:ascii="Arial" w:cs="Arial" w:eastAsia="Arial" w:hAnsi="Arial"/>
          <w:b/>
          <w:bCs/>
          <w:sz w:val="22"/>
          <w:szCs w:val="22"/>
        </w:rPr>
        <w:t xml:space="preserve"> as the default.</w:t>
      </w:r>
    </w:p>
    <w:p>
      <w:pPr>
        <w:spacing w:after="120" w:before="60"/>
        <w:jc w:val="both"/>
      </w:pPr>
      <w:r>
        <w:rPr>
          <w:rFonts w:ascii="Arial" w:cs="Arial" w:eastAsia="Arial" w:hAnsi="Arial"/>
          <w:sz w:val="22"/>
          <w:szCs w:val="22"/>
        </w:rPr>
        <w:t xml:space="preserve">For DistilBERT, a lighter cleaning was applied: URL and @mention removal only. The WordPiece tokenizer and BERT’s pre-trained knowledge handle punctuation, casing, and vocabulary internally.</w:t>
      </w:r>
    </w:p>
    <w:p>
      <w:pPr>
        <w:spacing w:after="60" w:before="0"/>
      </w:pPr>
      <w:r>
        <w:t xml:space="preserve"/>
      </w:r>
    </w:p>
    <w:p>
      <w:pPr>
        <w:pStyle w:val="Heading1"/>
        <w:spacing w:after="100" w:before="280"/>
      </w:pPr>
      <w:r>
        <w:rPr>
          <w:rFonts w:ascii="Arial" w:cs="Arial" w:eastAsia="Arial" w:hAnsi="Arial"/>
          <w:b/>
          <w:bCs/>
          <w:color w:val="1F4E79"/>
          <w:sz w:val="28"/>
          <w:szCs w:val="28"/>
        </w:rPr>
        <w:t xml:space="preserve">3. Models: Architecture and Training</w:t>
      </w:r>
    </w:p>
    <w:p>
      <w:pPr>
        <w:pStyle w:val="Heading2"/>
        <w:spacing w:after="80" w:before="180"/>
      </w:pPr>
      <w:r>
        <w:rPr>
          <w:rFonts w:ascii="Arial" w:cs="Arial" w:eastAsia="Arial" w:hAnsi="Arial"/>
          <w:b/>
          <w:bCs/>
          <w:color w:val="2E75B6"/>
          <w:sz w:val="24"/>
          <w:szCs w:val="24"/>
        </w:rPr>
        <w:t xml:space="preserve">3.1 DummyClassifier (Baseline)</w:t>
      </w:r>
    </w:p>
    <w:p>
      <w:pPr>
        <w:spacing w:after="120" w:before="60"/>
        <w:jc w:val="both"/>
      </w:pPr>
      <w:r>
        <w:rPr>
          <w:rFonts w:ascii="Arial" w:cs="Arial" w:eastAsia="Arial" w:hAnsi="Arial"/>
          <w:sz w:val="22"/>
          <w:szCs w:val="22"/>
        </w:rPr>
        <w:t xml:space="preserve">Strategy: </w:t>
      </w:r>
      <w:r>
        <w:rPr>
          <w:rFonts w:ascii="Courier New" w:cs="Courier New" w:eastAsia="Courier New" w:hAnsi="Courier New"/>
          <w:sz w:val="22"/>
          <w:szCs w:val="22"/>
        </w:rPr>
        <w:t xml:space="preserve">most_frequent</w:t>
      </w:r>
      <w:r>
        <w:rPr>
          <w:rFonts w:ascii="Arial" w:cs="Arial" w:eastAsia="Arial" w:hAnsi="Arial"/>
          <w:sz w:val="22"/>
          <w:szCs w:val="22"/>
        </w:rPr>
        <w:t xml:space="preserve">. With a perfectly balanced dataset (50/50), scikit-learn’s DummyClassifier predicts the class with the lowest index (class 0 – negative) for every sample, yielding 50% accuracy and zero precision, recall, and F1. This establishes a lower bound: any model with genuine learning must substantially exceed these values.</w:t>
      </w:r>
    </w:p>
    <w:p>
      <w:pPr>
        <w:pStyle w:val="Heading2"/>
        <w:spacing w:after="80" w:before="180"/>
      </w:pPr>
      <w:r>
        <w:rPr>
          <w:rFonts w:ascii="Arial" w:cs="Arial" w:eastAsia="Arial" w:hAnsi="Arial"/>
          <w:b/>
          <w:bCs/>
          <w:color w:val="2E75B6"/>
          <w:sz w:val="24"/>
          <w:szCs w:val="24"/>
        </w:rPr>
        <w:t xml:space="preserve">3.2 Dense Neural Network</w:t>
      </w:r>
    </w:p>
    <w:p>
      <w:pPr>
        <w:spacing w:after="120" w:before="60"/>
        <w:jc w:val="both"/>
      </w:pPr>
      <w:r>
        <w:rPr>
          <w:rFonts w:ascii="Arial" w:cs="Arial" w:eastAsia="Arial" w:hAnsi="Arial"/>
          <w:b/>
          <w:bCs/>
          <w:sz w:val="22"/>
          <w:szCs w:val="22"/>
        </w:rPr>
        <w:t xml:space="preserve">Architecture: </w:t>
      </w:r>
      <w:r>
        <w:rPr>
          <w:rFonts w:ascii="Arial" w:cs="Arial" w:eastAsia="Arial" w:hAnsi="Arial"/>
          <w:sz w:val="22"/>
          <w:szCs w:val="22"/>
        </w:rPr>
        <w:t xml:space="preserve">Embedding(5000, 64) → GlobalAveragePooling1D → Dense(64, ReLU) → Dropout(0.3) → Dense(1, sigmoid).</w:t>
      </w:r>
    </w:p>
    <w:p>
      <w:pPr>
        <w:spacing w:after="120" w:before="60"/>
        <w:jc w:val="both"/>
      </w:pPr>
      <w:r>
        <w:rPr>
          <w:rFonts w:ascii="Arial" w:cs="Arial" w:eastAsia="Arial" w:hAnsi="Arial"/>
          <w:b/>
          <w:bCs/>
          <w:sz w:val="22"/>
          <w:szCs w:val="22"/>
        </w:rPr>
        <w:t xml:space="preserve">Design rationale: </w:t>
      </w:r>
      <w:r>
        <w:rPr>
          <w:rFonts w:ascii="Arial" w:cs="Arial" w:eastAsia="Arial" w:hAnsi="Arial"/>
          <w:sz w:val="22"/>
          <w:szCs w:val="22"/>
        </w:rPr>
        <w:t xml:space="preserve">Flatten over sequences of length 50 would create 3,200-dimensional vectors, producing over 204,000 parameters in the first dense layer for only 800 training samples — a recipe for severe overfitting. GlobalAveragePooling1D averages embeddings across all token positions, maintaining 64 dimensions and acting as a bag-of-words model with learned vectors.</w:t>
      </w:r>
    </w:p>
    <w:p>
      <w:pPr>
        <w:spacing w:after="120" w:before="60"/>
        <w:jc w:val="both"/>
      </w:pPr>
      <w:r>
        <w:rPr>
          <w:rFonts w:ascii="Arial" w:cs="Arial" w:eastAsia="Arial" w:hAnsi="Arial"/>
          <w:sz w:val="22"/>
          <w:szCs w:val="22"/>
        </w:rPr>
        <w:t xml:space="preserve">Hyperparameters: embed_dim=64, hidden_units=64, dropout=0.3, lr=1e-3, batch_size=32, max_epochs=30, EarlyStopping(patience=5, monitor=val_accuracy).</w:t>
      </w:r>
    </w:p>
    <w:p>
      <w:pPr>
        <w:pStyle w:val="Heading2"/>
        <w:spacing w:after="80" w:before="180"/>
      </w:pPr>
      <w:r>
        <w:rPr>
          <w:rFonts w:ascii="Arial" w:cs="Arial" w:eastAsia="Arial" w:hAnsi="Arial"/>
          <w:b/>
          <w:bCs/>
          <w:color w:val="2E75B6"/>
          <w:sz w:val="24"/>
          <w:szCs w:val="24"/>
        </w:rPr>
        <w:t xml:space="preserve">3.3 Vanilla RNN</w:t>
      </w:r>
    </w:p>
    <w:p>
      <w:pPr>
        <w:spacing w:after="120" w:before="60"/>
        <w:jc w:val="both"/>
      </w:pPr>
      <w:r>
        <w:rPr>
          <w:rFonts w:ascii="Arial" w:cs="Arial" w:eastAsia="Arial" w:hAnsi="Arial"/>
          <w:b/>
          <w:bCs/>
          <w:sz w:val="22"/>
          <w:szCs w:val="22"/>
        </w:rPr>
        <w:t xml:space="preserve">Architecture: </w:t>
      </w:r>
      <w:r>
        <w:rPr>
          <w:rFonts w:ascii="Arial" w:cs="Arial" w:eastAsia="Arial" w:hAnsi="Arial"/>
          <w:sz w:val="22"/>
          <w:szCs w:val="22"/>
        </w:rPr>
        <w:t xml:space="preserve">Embedding(5000, 64, mask_zero=True) → SimpleRNN(64) → Dropout(0.3) → Dense(1, sigmoid).</w:t>
      </w:r>
    </w:p>
    <w:p>
      <w:pPr>
        <w:spacing w:after="120" w:before="60"/>
        <w:jc w:val="both"/>
      </w:pPr>
      <w:r>
        <w:rPr>
          <w:rFonts w:ascii="Arial" w:cs="Arial" w:eastAsia="Arial" w:hAnsi="Arial"/>
          <w:b/>
          <w:bCs/>
          <w:sz w:val="22"/>
          <w:szCs w:val="22"/>
        </w:rPr>
        <w:t xml:space="preserve">Design rationale: </w:t>
      </w:r>
      <w:r>
        <w:rPr>
          <w:rFonts w:ascii="Arial" w:cs="Arial" w:eastAsia="Arial" w:hAnsi="Arial"/>
          <w:sz w:val="22"/>
          <w:szCs w:val="22"/>
        </w:rPr>
        <w:t xml:space="preserve">mask_zero=True propagates a padding mask so the RNN ignores padding tokens (index 0) rather than treating them as real content. Without this flag, padded zeros would dominate the final hidden state and corrupt the sentiment signal. The vanilla RNN maintains a fixed-size hidden state updated at each time step; it is known to suffer from vanishing gradients on longer dependencies.</w:t>
      </w:r>
    </w:p>
    <w:p>
      <w:pPr>
        <w:spacing w:after="120" w:before="60"/>
        <w:jc w:val="both"/>
      </w:pPr>
      <w:r>
        <w:rPr>
          <w:rFonts w:ascii="Arial" w:cs="Arial" w:eastAsia="Arial" w:hAnsi="Arial"/>
          <w:sz w:val="22"/>
          <w:szCs w:val="22"/>
        </w:rPr>
        <w:t xml:space="preserve">Hyperparameters: embed_dim=64, rnn_units=64, dropout=0.3, lr=1e-3.</w:t>
      </w:r>
    </w:p>
    <w:p>
      <w:pPr>
        <w:pStyle w:val="Heading2"/>
        <w:spacing w:after="80" w:before="180"/>
      </w:pPr>
      <w:r>
        <w:rPr>
          <w:rFonts w:ascii="Arial" w:cs="Arial" w:eastAsia="Arial" w:hAnsi="Arial"/>
          <w:b/>
          <w:bCs/>
          <w:color w:val="2E75B6"/>
          <w:sz w:val="24"/>
          <w:szCs w:val="24"/>
        </w:rPr>
        <w:t xml:space="preserve">3.4 LSTM</w:t>
      </w:r>
    </w:p>
    <w:p>
      <w:pPr>
        <w:spacing w:after="120" w:before="60"/>
        <w:jc w:val="both"/>
      </w:pPr>
      <w:r>
        <w:rPr>
          <w:rFonts w:ascii="Arial" w:cs="Arial" w:eastAsia="Arial" w:hAnsi="Arial"/>
          <w:b/>
          <w:bCs/>
          <w:sz w:val="22"/>
          <w:szCs w:val="22"/>
        </w:rPr>
        <w:t xml:space="preserve">Architecture: </w:t>
      </w:r>
      <w:r>
        <w:rPr>
          <w:rFonts w:ascii="Arial" w:cs="Arial" w:eastAsia="Arial" w:hAnsi="Arial"/>
          <w:sz w:val="22"/>
          <w:szCs w:val="22"/>
        </w:rPr>
        <w:t xml:space="preserve">Embedding(5000, 64, mask_zero=True) → LSTM(64) → Dropout(0.3) → Dense(1, sigmoid).</w:t>
      </w:r>
    </w:p>
    <w:p>
      <w:pPr>
        <w:spacing w:after="120" w:before="60"/>
        <w:jc w:val="both"/>
      </w:pPr>
      <w:r>
        <w:rPr>
          <w:rFonts w:ascii="Arial" w:cs="Arial" w:eastAsia="Arial" w:hAnsi="Arial"/>
          <w:b/>
          <w:bCs/>
          <w:sz w:val="22"/>
          <w:szCs w:val="22"/>
        </w:rPr>
        <w:t xml:space="preserve">Design rationale: </w:t>
      </w:r>
      <w:r>
        <w:rPr>
          <w:rFonts w:ascii="Arial" w:cs="Arial" w:eastAsia="Arial" w:hAnsi="Arial"/>
          <w:sz w:val="22"/>
          <w:szCs w:val="22"/>
        </w:rPr>
        <w:t xml:space="preserve">The LSTM’s three gates (input, forget, output) selectively control information flow. The cell state acts as a bounded read/write tape, enabling the model to capture long-range dependencies such as a negation word at the start of a tweet affecting the sentiment at the end — a pattern the vanilla RNN struggles with due to gradient attenuation.</w:t>
      </w:r>
    </w:p>
    <w:p>
      <w:pPr>
        <w:spacing w:after="120" w:before="60"/>
        <w:jc w:val="both"/>
      </w:pPr>
      <w:r>
        <w:rPr>
          <w:rFonts w:ascii="Arial" w:cs="Arial" w:eastAsia="Arial" w:hAnsi="Arial"/>
          <w:b/>
          <w:bCs/>
          <w:sz w:val="22"/>
          <w:szCs w:val="22"/>
        </w:rPr>
        <w:t xml:space="preserve">Hyperparameter search: </w:t>
      </w:r>
      <w:r>
        <w:rPr>
          <w:rFonts w:ascii="Arial" w:cs="Arial" w:eastAsia="Arial" w:hAnsi="Arial"/>
          <w:sz w:val="22"/>
          <w:szCs w:val="22"/>
        </w:rPr>
        <w:t xml:space="preserve">A 12-combination grid search was performed over lstm_units ∈ {32, 64, 128}, dropout ∈ {0.2, 0.4}, and lr ∈ {1e-3, 5e-4}. The best configuration was lstm_units=32, dropout=0.2, lr=5e-4. Notably, the default configuration (lstm_units=64) yielded lower performance than the tuned version, suggesting mild overfitting with larger units on an 800-sample dataset.</w:t>
      </w:r>
    </w:p>
    <w:p>
      <w:pPr>
        <w:pStyle w:val="Heading2"/>
        <w:spacing w:after="80" w:before="180"/>
      </w:pPr>
      <w:r>
        <w:rPr>
          <w:rFonts w:ascii="Arial" w:cs="Arial" w:eastAsia="Arial" w:hAnsi="Arial"/>
          <w:b/>
          <w:bCs/>
          <w:color w:val="2E75B6"/>
          <w:sz w:val="24"/>
          <w:szCs w:val="24"/>
        </w:rPr>
        <w:t xml:space="preserve">3.5 DistilBERT (Transformer Extension)</w:t>
      </w:r>
    </w:p>
    <w:p>
      <w:pPr>
        <w:spacing w:after="120" w:before="60"/>
        <w:jc w:val="both"/>
      </w:pPr>
      <w:r>
        <w:rPr>
          <w:rFonts w:ascii="Arial" w:cs="Arial" w:eastAsia="Arial" w:hAnsi="Arial"/>
          <w:b/>
          <w:bCs/>
          <w:sz w:val="22"/>
          <w:szCs w:val="22"/>
        </w:rPr>
        <w:t xml:space="preserve">Model: </w:t>
      </w:r>
      <w:r>
        <w:rPr>
          <w:rFonts w:ascii="Courier New" w:cs="Courier New" w:eastAsia="Courier New" w:hAnsi="Courier New"/>
          <w:sz w:val="22"/>
          <w:szCs w:val="22"/>
        </w:rPr>
        <w:t xml:space="preserve">distilbert-base-uncased</w:t>
      </w:r>
      <w:r>
        <w:rPr>
          <w:rFonts w:ascii="Arial" w:cs="Arial" w:eastAsia="Arial" w:hAnsi="Arial"/>
          <w:sz w:val="22"/>
          <w:szCs w:val="22"/>
        </w:rPr>
        <w:t xml:space="preserve"> (Sanh et al., 2019). DistilBERT is a distilled version of BERT retaining 97% of its performance with 40% fewer parameters and 60% faster inference.</w:t>
      </w:r>
    </w:p>
    <w:p>
      <w:pPr>
        <w:spacing w:after="120" w:before="60"/>
        <w:jc w:val="both"/>
      </w:pPr>
      <w:r>
        <w:rPr>
          <w:rFonts w:ascii="Arial" w:cs="Arial" w:eastAsia="Arial" w:hAnsi="Arial"/>
          <w:b/>
          <w:bCs/>
          <w:sz w:val="22"/>
          <w:szCs w:val="22"/>
        </w:rPr>
        <w:t xml:space="preserve">Strategy: </w:t>
      </w:r>
      <w:r>
        <w:rPr>
          <w:rFonts w:ascii="Arial" w:cs="Arial" w:eastAsia="Arial" w:hAnsi="Arial"/>
          <w:sz w:val="22"/>
          <w:szCs w:val="22"/>
        </w:rPr>
        <w:t xml:space="preserve">Full fine-tuning. All weights — including the six Transformer encoder layers and the added classification head — are updated during training. This is feasible because the model was pre-trained on BookCorpus + Wikipedia (billions of tokens), encoding rich linguistic knowledge that requires only slight adaptation to the airline tweet domain.</w:t>
      </w:r>
    </w:p>
    <w:p>
      <w:pPr>
        <w:spacing w:after="120" w:before="60"/>
        <w:jc w:val="both"/>
      </w:pPr>
      <w:r>
        <w:rPr>
          <w:rFonts w:ascii="Arial" w:cs="Arial" w:eastAsia="Arial" w:hAnsi="Arial"/>
          <w:b/>
          <w:bCs/>
          <w:sz w:val="22"/>
          <w:szCs w:val="22"/>
        </w:rPr>
        <w:t xml:space="preserve">Tokenization: </w:t>
      </w:r>
      <w:r>
        <w:rPr>
          <w:rFonts w:ascii="Arial" w:cs="Arial" w:eastAsia="Arial" w:hAnsi="Arial"/>
          <w:sz w:val="22"/>
          <w:szCs w:val="22"/>
        </w:rPr>
        <w:t xml:space="preserve">WordPiece subword tokenization. Out-of-vocabulary words are split into known sub-units (e.g., “delayed” → [“del”, “##ayed”]), preventing information loss for Twitter-specific vocabulary. Special tokens [CLS] (prepended; its final state is used for classification) and [SEP] (end-of-sequence) are added automatically. Padding is handled via an attention mask (1 = real token, 0 = padding) rather than a learned embedding.</w:t>
      </w:r>
    </w:p>
    <w:p>
      <w:pPr>
        <w:spacing w:after="120" w:before="60"/>
        <w:jc w:val="both"/>
      </w:pPr>
      <w:r>
        <w:rPr>
          <w:rFonts w:ascii="Arial" w:cs="Arial" w:eastAsia="Arial" w:hAnsi="Arial"/>
          <w:b/>
          <w:bCs/>
          <w:sz w:val="22"/>
          <w:szCs w:val="22"/>
        </w:rPr>
        <w:t xml:space="preserve">Attention mechanism: </w:t>
      </w:r>
      <w:r>
        <w:rPr>
          <w:rFonts w:ascii="Arial" w:cs="Arial" w:eastAsia="Arial" w:hAnsi="Arial"/>
          <w:sz w:val="22"/>
          <w:szCs w:val="22"/>
        </w:rPr>
        <w:t xml:space="preserve">Self-attention allows every token to directly attend to every other token in a single operation, regardless of their positional distance. This is fundamentally different from recurrent models, which process tokens sequentially and may lose early context by the time it is needed. For the tweet “not great service”, DistilBERT attends to “not” and “great” simultaneously; an LSTM must carry “not” through hidden states until it reaches “great”.</w:t>
      </w:r>
    </w:p>
    <w:p>
      <w:pPr>
        <w:spacing w:after="120" w:before="60"/>
        <w:jc w:val="both"/>
      </w:pPr>
      <w:r>
        <w:rPr>
          <w:rFonts w:ascii="Arial" w:cs="Arial" w:eastAsia="Arial" w:hAnsi="Arial"/>
          <w:b/>
          <w:bCs/>
          <w:sz w:val="22"/>
          <w:szCs w:val="22"/>
        </w:rPr>
        <w:t xml:space="preserve">Attention visualization: </w:t>
      </w:r>
      <w:r>
        <w:rPr>
          <w:rFonts w:ascii="Arial" w:cs="Arial" w:eastAsia="Arial" w:hAnsi="Arial"/>
          <w:sz w:val="22"/>
          <w:szCs w:val="22"/>
        </w:rPr>
        <w:t xml:space="preserve">We extracted the attention matrix from layer 5, head 0 for representative positive and negative tweets. The heatmaps confirm that sentiment-relevant tokens (“great”, “not”, “worst”) receive high mutual attention values, validating that the model learns to focus on emotionally charged words.</w:t>
      </w:r>
    </w:p>
    <w:p>
      <w:pPr>
        <w:spacing w:after="120" w:before="60"/>
        <w:jc w:val="both"/>
      </w:pPr>
      <w:r>
        <w:rPr>
          <w:rFonts w:ascii="Arial" w:cs="Arial" w:eastAsia="Arial" w:hAnsi="Arial"/>
          <w:sz w:val="22"/>
          <w:szCs w:val="22"/>
        </w:rPr>
        <w:t xml:space="preserve">Hyperparameters: MAX_LEN=64, batch_size=16, epochs=3, lr=2e-5, linear warmup=10% of total steps, weight_decay=0.01. Total parameters: ~67 million. Implementation: PyTorch + Hugging Face Transformers.</w:t>
      </w:r>
    </w:p>
    <w:p>
      <w:pPr>
        <w:spacing w:after="60" w:before="0"/>
      </w:pPr>
      <w:r>
        <w:t xml:space="preserve"/>
      </w:r>
    </w:p>
    <w:p>
      <w:pPr>
        <w:pStyle w:val="Heading1"/>
        <w:spacing w:after="100" w:before="280"/>
      </w:pPr>
      <w:r>
        <w:rPr>
          <w:rFonts w:ascii="Arial" w:cs="Arial" w:eastAsia="Arial" w:hAnsi="Arial"/>
          <w:b/>
          <w:bCs/>
          <w:color w:val="1F4E79"/>
          <w:sz w:val="28"/>
          <w:szCs w:val="28"/>
        </w:rPr>
        <w:t xml:space="preserve">4. Results and Evaluation</w:t>
      </w:r>
    </w:p>
    <w:p>
      <w:pPr>
        <w:spacing w:after="120" w:before="60"/>
        <w:jc w:val="both"/>
      </w:pPr>
      <w:r>
        <w:rPr>
          <w:rFonts w:ascii="Arial" w:cs="Arial" w:eastAsia="Arial" w:hAnsi="Arial"/>
          <w:sz w:val="22"/>
          <w:szCs w:val="22"/>
        </w:rPr>
        <w:t xml:space="preserve">All metrics are computed on the held-out test set (200 samples: 100 positive + 100 negative). We report accuracy, precision, recall, F1-score, and Cohen’s Kappa. Kappa is particularly informative with balanced classes: it measures agreement between predictions and true labels beyond what is expected by chance. Kappa = 0 indicates no learning above chance; kappa ≥ 0.80 indicates “almost perfect” agreement (Landis &amp; Koch, 1977).</w:t>
      </w:r>
    </w:p>
    <w:p>
      <w:pPr>
        <w:spacing w:after="60" w:before="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400"/>
        <w:gridCol w:w="1400"/>
        <w:gridCol w:w="1400"/>
        <w:gridCol w:w="1400"/>
      </w:tblGrid>
      <w:tr>
        <w:trPr>
          <w:tblHeader/>
        </w:trPr>
        <w:tc>
          <w:tcPr>
            <w:tcW w:type="dxa" w:w="21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Accuracy</w:t>
            </w:r>
          </w:p>
        </w:tc>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Precision</w:t>
            </w:r>
          </w:p>
        </w:tc>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Recall</w:t>
            </w:r>
          </w:p>
        </w:tc>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F1-Score</w:t>
            </w:r>
          </w:p>
        </w:tc>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Kappa</w:t>
            </w:r>
          </w:p>
        </w:tc>
      </w:tr>
      <w:tr>
        <w:tc>
          <w:tcPr>
            <w:tcW w:type="dxa" w:w="21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DummyClassifier</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0.5000</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0.0000</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0.0000</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0.0000</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0.0000</w:t>
            </w:r>
          </w:p>
        </w:tc>
      </w:tr>
      <w:tr>
        <w:tc>
          <w:tcPr>
            <w:tcW w:type="dxa" w:w="21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Dense NN</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0.8400</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0.8148</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0.8800</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0.8462</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0.6800</w:t>
            </w:r>
          </w:p>
        </w:tc>
      </w:tr>
      <w:tr>
        <w:tc>
          <w:tcPr>
            <w:tcW w:type="dxa" w:w="21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Vanilla RNN</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0.8150</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0.8621</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0.7500</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0.8021</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0.6300</w:t>
            </w:r>
          </w:p>
        </w:tc>
      </w:tr>
      <w:tr>
        <w:tc>
          <w:tcPr>
            <w:tcW w:type="dxa" w:w="21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LSTM (default)</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0.7950</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0.7757</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0.8300</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0.8019</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0.5900</w:t>
            </w:r>
          </w:p>
        </w:tc>
      </w:tr>
      <w:tr>
        <w:tc>
          <w:tcPr>
            <w:tcW w:type="dxa" w:w="21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LSTM (tuned)</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0.8350</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0.8851</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0.7700</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0.8235</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0.6700</w:t>
            </w:r>
          </w:p>
        </w:tc>
      </w:tr>
      <w:tr>
        <w:tc>
          <w:tcPr>
            <w:tcW w:type="dxa" w:w="21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tcPr>
          <w:p>
            <w:pPr>
              <w:jc w:val="center"/>
            </w:pPr>
            <w:r>
              <w:rPr>
                <w:rFonts w:ascii="Arial" w:cs="Arial" w:eastAsia="Arial" w:hAnsi="Arial"/>
                <w:b/>
                <w:bCs/>
                <w:sz w:val="18"/>
                <w:szCs w:val="18"/>
              </w:rPr>
              <w:t xml:space="preserve">DistilBERT</w:t>
            </w:r>
          </w:p>
        </w:tc>
        <w:tc>
          <w:tcPr>
            <w:tcW w:type="dxa" w:w="14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tcPr>
          <w:p>
            <w:pPr>
              <w:jc w:val="center"/>
            </w:pPr>
            <w:r>
              <w:rPr>
                <w:rFonts w:ascii="Arial" w:cs="Arial" w:eastAsia="Arial" w:hAnsi="Arial"/>
                <w:b/>
                <w:bCs/>
                <w:sz w:val="18"/>
                <w:szCs w:val="18"/>
              </w:rPr>
              <w:t xml:space="preserve">0.9200</w:t>
            </w:r>
          </w:p>
        </w:tc>
        <w:tc>
          <w:tcPr>
            <w:tcW w:type="dxa" w:w="14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tcPr>
          <w:p>
            <w:pPr>
              <w:jc w:val="center"/>
            </w:pPr>
            <w:r>
              <w:rPr>
                <w:rFonts w:ascii="Arial" w:cs="Arial" w:eastAsia="Arial" w:hAnsi="Arial"/>
                <w:b/>
                <w:bCs/>
                <w:sz w:val="18"/>
                <w:szCs w:val="18"/>
              </w:rPr>
              <w:t xml:space="preserve">0.9286</w:t>
            </w:r>
          </w:p>
        </w:tc>
        <w:tc>
          <w:tcPr>
            <w:tcW w:type="dxa" w:w="14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tcPr>
          <w:p>
            <w:pPr>
              <w:jc w:val="center"/>
            </w:pPr>
            <w:r>
              <w:rPr>
                <w:rFonts w:ascii="Arial" w:cs="Arial" w:eastAsia="Arial" w:hAnsi="Arial"/>
                <w:b/>
                <w:bCs/>
                <w:sz w:val="18"/>
                <w:szCs w:val="18"/>
              </w:rPr>
              <w:t xml:space="preserve">0.9100</w:t>
            </w:r>
          </w:p>
        </w:tc>
        <w:tc>
          <w:tcPr>
            <w:tcW w:type="dxa" w:w="14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tcPr>
          <w:p>
            <w:pPr>
              <w:jc w:val="center"/>
            </w:pPr>
            <w:r>
              <w:rPr>
                <w:rFonts w:ascii="Arial" w:cs="Arial" w:eastAsia="Arial" w:hAnsi="Arial"/>
                <w:b/>
                <w:bCs/>
                <w:sz w:val="18"/>
                <w:szCs w:val="18"/>
              </w:rPr>
              <w:t xml:space="preserve">0.9192</w:t>
            </w:r>
          </w:p>
        </w:tc>
        <w:tc>
          <w:tcPr>
            <w:tcW w:type="dxa" w:w="14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tcPr>
          <w:p>
            <w:pPr>
              <w:jc w:val="center"/>
            </w:pPr>
            <w:r>
              <w:rPr>
                <w:rFonts w:ascii="Arial" w:cs="Arial" w:eastAsia="Arial" w:hAnsi="Arial"/>
                <w:b/>
                <w:bCs/>
                <w:sz w:val="18"/>
                <w:szCs w:val="18"/>
              </w:rPr>
              <w:t xml:space="preserve">0.8400</w:t>
            </w:r>
          </w:p>
        </w:tc>
      </w:tr>
    </w:tbl>
    <w:p>
      <w:pPr>
        <w:spacing w:after="160" w:before="60"/>
        <w:jc w:val="center"/>
      </w:pPr>
      <w:r>
        <w:rPr>
          <w:rFonts w:ascii="Arial" w:cs="Arial" w:eastAsia="Arial" w:hAnsi="Arial"/>
          <w:color w:val="555555"/>
          <w:sz w:val="18"/>
          <w:szCs w:val="18"/>
        </w:rPr>
        <w:t xml:space="preserve">Table 1. Comparative performance on the test set (n = 200). Best values in bold (shaded row).</w:t>
      </w:r>
    </w:p>
    <w:p>
      <w:pPr>
        <w:spacing w:after="60" w:before="0"/>
      </w:pPr>
      <w:r>
        <w:t xml:space="preserve"/>
      </w:r>
    </w:p>
    <w:p>
      <w:pPr>
        <w:pStyle w:val="Heading1"/>
        <w:spacing w:after="100" w:before="280"/>
      </w:pPr>
      <w:r>
        <w:rPr>
          <w:rFonts w:ascii="Arial" w:cs="Arial" w:eastAsia="Arial" w:hAnsi="Arial"/>
          <w:b/>
          <w:bCs/>
          <w:color w:val="1F4E79"/>
          <w:sz w:val="28"/>
          <w:szCs w:val="28"/>
        </w:rPr>
        <w:t xml:space="preserve">5. Comparative Analysis</w:t>
      </w:r>
    </w:p>
    <w:p>
      <w:pPr>
        <w:pStyle w:val="Heading2"/>
        <w:spacing w:after="80" w:before="180"/>
      </w:pPr>
      <w:r>
        <w:rPr>
          <w:rFonts w:ascii="Arial" w:cs="Arial" w:eastAsia="Arial" w:hAnsi="Arial"/>
          <w:b/>
          <w:bCs/>
          <w:color w:val="2E75B6"/>
          <w:sz w:val="24"/>
          <w:szCs w:val="24"/>
        </w:rPr>
        <w:t xml:space="preserve">5.1 Dense NN vs. Sequential Models</w:t>
      </w:r>
    </w:p>
    <w:p>
      <w:pPr>
        <w:spacing w:after="120" w:before="60"/>
        <w:jc w:val="both"/>
      </w:pPr>
      <w:r>
        <w:rPr>
          <w:rFonts w:ascii="Arial" w:cs="Arial" w:eastAsia="Arial" w:hAnsi="Arial"/>
          <w:sz w:val="22"/>
          <w:szCs w:val="22"/>
        </w:rPr>
        <w:t xml:space="preserve">The Dense NN achieved an accuracy of 0.8400 and kappa of 0.6800, outperforming both the vanilla RNN (accuracy 0.8150, kappa 0.6300) and the default LSTM (accuracy 0.7950, kappa 0.5900). This is a noteworthy result, as the Dense NN has no sequential awareness. The explanation lies in tweet length: with a maximum of 29 tokens, long-range dependencies are rare, and GlobalAveragePooling1D captures the average sentiment polarity effectively. In short-text classification, bag-of-words-style models often remain competitive with recurrent alternatives.</w:t>
      </w:r>
    </w:p>
    <w:p>
      <w:pPr>
        <w:pStyle w:val="Heading2"/>
        <w:spacing w:after="80" w:before="180"/>
      </w:pPr>
      <w:r>
        <w:rPr>
          <w:rFonts w:ascii="Arial" w:cs="Arial" w:eastAsia="Arial" w:hAnsi="Arial"/>
          <w:b/>
          <w:bCs/>
          <w:color w:val="2E75B6"/>
          <w:sz w:val="24"/>
          <w:szCs w:val="24"/>
        </w:rPr>
        <w:t xml:space="preserve">5.2 Vanilla RNN vs. LSTM</w:t>
      </w:r>
    </w:p>
    <w:p>
      <w:pPr>
        <w:spacing w:after="120" w:before="60"/>
        <w:jc w:val="both"/>
      </w:pPr>
      <w:r>
        <w:rPr>
          <w:rFonts w:ascii="Arial" w:cs="Arial" w:eastAsia="Arial" w:hAnsi="Arial"/>
          <w:sz w:val="22"/>
          <w:szCs w:val="22"/>
        </w:rPr>
        <w:t xml:space="preserve">The RNN achieves higher precision (0.8621 vs. 0.7757 for default LSTM) but lower recall (0.7500 vs. 0.8300). This suggests the RNN is more conservative — it predicts positive sentiment less often but is more accurate when it does. The default LSTM’s lower kappa (0.5900) likely reflects mild overfitting with lstm_units=64 on only 800 samples. Hyperparameter tuning reduces units to 32 and lowers the learning rate, correcting overfitting: the tuned LSTM reaches accuracy 0.8350 and kappa 0.6700, placing it second overall behind DistilBERT.</w:t>
      </w:r>
    </w:p>
    <w:p>
      <w:pPr>
        <w:pStyle w:val="Heading2"/>
        <w:spacing w:after="80" w:before="180"/>
      </w:pPr>
      <w:r>
        <w:rPr>
          <w:rFonts w:ascii="Arial" w:cs="Arial" w:eastAsia="Arial" w:hAnsi="Arial"/>
          <w:b/>
          <w:bCs/>
          <w:color w:val="2E75B6"/>
          <w:sz w:val="24"/>
          <w:szCs w:val="24"/>
        </w:rPr>
        <w:t xml:space="preserve">5.3 DistilBERT vs. All Recurrent Models</w:t>
      </w:r>
    </w:p>
    <w:p>
      <w:pPr>
        <w:spacing w:after="120" w:before="60"/>
        <w:jc w:val="both"/>
      </w:pPr>
      <w:r>
        <w:rPr>
          <w:rFonts w:ascii="Arial" w:cs="Arial" w:eastAsia="Arial" w:hAnsi="Arial"/>
          <w:sz w:val="22"/>
          <w:szCs w:val="22"/>
        </w:rPr>
        <w:t xml:space="preserve">DistilBERT outperforms all other models by a substantial margin: accuracy 0.9200 (+8 percentage points over Dense NN), F1-score 0.9192, and kappa 0.8400 (“almost perfect”). The performance gap is explained by </w:t>
      </w:r>
      <w:r>
        <w:rPr>
          <w:rFonts w:ascii="Arial" w:cs="Arial" w:eastAsia="Arial" w:hAnsi="Arial"/>
          <w:b/>
          <w:bCs/>
          <w:sz w:val="22"/>
          <w:szCs w:val="22"/>
        </w:rPr>
        <w:t xml:space="preserve">transfer learning</w:t>
      </w:r>
      <w:r>
        <w:rPr>
          <w:rFonts w:ascii="Arial" w:cs="Arial" w:eastAsia="Arial" w:hAnsi="Arial"/>
          <w:sz w:val="22"/>
          <w:szCs w:val="22"/>
        </w:rPr>
        <w:t xml:space="preserve">: DistilBERT arrives pre-trained on billions of tokens and already understands negation, sarcasm, and contextual relationships. Fine-tuning for 3 epochs is sufficient to adapt this knowledge to the airline tweet domain.</w:t>
      </w:r>
    </w:p>
    <w:p>
      <w:pPr>
        <w:spacing w:after="120" w:before="60"/>
        <w:jc w:val="both"/>
      </w:pPr>
      <w:r>
        <w:rPr>
          <w:rFonts w:ascii="Arial" w:cs="Arial" w:eastAsia="Arial" w:hAnsi="Arial"/>
          <w:sz w:val="22"/>
          <w:szCs w:val="22"/>
        </w:rPr>
        <w:t xml:space="preserve">The self-attention mechanism is fundamental to this advantage. Recurrent models process tokens left-to-right; information at early positions may be diluted by the time later tokens are processed. DistilBERT’s self-attention creates direct, position-independent connections between all tokens in a single layer pass, making it far more capable of capturing the nuanced, emotionally charged language typical of Twitter.</w:t>
      </w:r>
    </w:p>
    <w:p>
      <w:pPr>
        <w:pStyle w:val="Heading2"/>
        <w:spacing w:after="80" w:before="180"/>
      </w:pPr>
      <w:r>
        <w:rPr>
          <w:rFonts w:ascii="Arial" w:cs="Arial" w:eastAsia="Arial" w:hAnsi="Arial"/>
          <w:b/>
          <w:bCs/>
          <w:color w:val="2E75B6"/>
          <w:sz w:val="24"/>
          <w:szCs w:val="24"/>
        </w:rPr>
        <w:t xml:space="preserve">5.4 Turing Machine Connections</w:t>
      </w:r>
    </w:p>
    <w:p>
      <w:pPr>
        <w:spacing w:after="120" w:before="60"/>
        <w:jc w:val="both"/>
      </w:pPr>
      <w:r>
        <w:rPr>
          <w:rFonts w:ascii="Arial" w:cs="Arial" w:eastAsia="Arial" w:hAnsi="Arial"/>
          <w:sz w:val="22"/>
          <w:szCs w:val="22"/>
        </w:rPr>
        <w:t xml:space="preserve">Each architecture can be mapped to a class in the computational hierarchy: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300"/>
      </w:tblGrid>
      <w:tr>
        <w:trPr>
          <w:tblHeader/>
        </w:trPr>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Architecture</w:t>
            </w:r>
          </w:p>
        </w:tc>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TM Analogy</w:t>
            </w:r>
          </w:p>
        </w:tc>
        <w:tc>
          <w:tcPr>
            <w:tcW w:type="dxa" w:w="43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Justification</w:t>
            </w:r>
          </w:p>
        </w:tc>
      </w:tr>
      <w:tr>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sz w:val="18"/>
                <w:szCs w:val="18"/>
              </w:rPr>
              <w:t xml:space="preserve">Dense NN</w:t>
            </w:r>
          </w:p>
        </w:tc>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sz w:val="18"/>
                <w:szCs w:val="18"/>
              </w:rPr>
              <w:t xml:space="preserve">Finite Transducer</w:t>
            </w:r>
          </w:p>
        </w:tc>
        <w:tc>
          <w:tcPr>
            <w:tcW w:type="dxa" w:w="43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sz w:val="18"/>
                <w:szCs w:val="18"/>
              </w:rPr>
              <w:t xml:space="preserve">Reads all symbols simultaneously; no positional memory; analogous to a finite automaton transducer.</w:t>
            </w:r>
          </w:p>
        </w:tc>
      </w:tr>
      <w:tr>
        <w:tc>
          <w:tcPr>
            <w:tcW w:type="dxa" w:w="2000"/>
            <w:tcBorders>
              <w:top w:val="single" w:color="B8CCE4" w:sz="4"/>
              <w:left w:val="single" w:color="B8CCE4" w:sz="4"/>
              <w:bottom w:val="single" w:color="B8CCE4" w:sz="4"/>
              <w:right w:val="single" w:color="B8CCE4" w:sz="4"/>
            </w:tcBorders>
            <w:shd w:fill="F0F6FF" w:val="clear"/>
            <w:tcMar>
              <w:top w:type="dxa" w:w="80"/>
              <w:left w:type="dxa" w:w="120"/>
              <w:bottom w:type="dxa" w:w="80"/>
              <w:right w:type="dxa" w:w="120"/>
            </w:tcMar>
          </w:tcPr>
          <w:p>
            <w:r>
              <w:rPr>
                <w:rFonts w:ascii="Arial" w:cs="Arial" w:eastAsia="Arial" w:hAnsi="Arial"/>
                <w:sz w:val="18"/>
                <w:szCs w:val="18"/>
              </w:rPr>
              <w:t xml:space="preserve">Vanilla RNN</w:t>
            </w:r>
          </w:p>
        </w:tc>
        <w:tc>
          <w:tcPr>
            <w:tcW w:type="dxa" w:w="2800"/>
            <w:tcBorders>
              <w:top w:val="single" w:color="B8CCE4" w:sz="4"/>
              <w:left w:val="single" w:color="B8CCE4" w:sz="4"/>
              <w:bottom w:val="single" w:color="B8CCE4" w:sz="4"/>
              <w:right w:val="single" w:color="B8CCE4" w:sz="4"/>
            </w:tcBorders>
            <w:shd w:fill="F0F6FF" w:val="clear"/>
            <w:tcMar>
              <w:top w:type="dxa" w:w="80"/>
              <w:left w:type="dxa" w:w="120"/>
              <w:bottom w:type="dxa" w:w="80"/>
              <w:right w:type="dxa" w:w="120"/>
            </w:tcMar>
          </w:tcPr>
          <w:p>
            <w:r>
              <w:rPr>
                <w:rFonts w:ascii="Arial" w:cs="Arial" w:eastAsia="Arial" w:hAnsi="Arial"/>
                <w:sz w:val="18"/>
                <w:szCs w:val="18"/>
              </w:rPr>
              <w:t xml:space="preserve">Bounded-Memory Automaton</w:t>
            </w:r>
          </w:p>
        </w:tc>
        <w:tc>
          <w:tcPr>
            <w:tcW w:type="dxa" w:w="4300"/>
            <w:tcBorders>
              <w:top w:val="single" w:color="B8CCE4" w:sz="4"/>
              <w:left w:val="single" w:color="B8CCE4" w:sz="4"/>
              <w:bottom w:val="single" w:color="B8CCE4" w:sz="4"/>
              <w:right w:val="single" w:color="B8CCE4" w:sz="4"/>
            </w:tcBorders>
            <w:shd w:fill="F0F6FF" w:val="clear"/>
            <w:tcMar>
              <w:top w:type="dxa" w:w="80"/>
              <w:left w:type="dxa" w:w="120"/>
              <w:bottom w:type="dxa" w:w="80"/>
              <w:right w:type="dxa" w:w="120"/>
            </w:tcMar>
          </w:tcPr>
          <w:p>
            <w:r>
              <w:rPr>
                <w:rFonts w:ascii="Arial" w:cs="Arial" w:eastAsia="Arial" w:hAnsi="Arial"/>
                <w:sz w:val="18"/>
                <w:szCs w:val="18"/>
              </w:rPr>
              <w:t xml:space="preserve">Fixed-size hidden state; sequential processing; vanishing gradient limits long-range memory — analogous to a pushdown automaton with bounded stack.</w:t>
            </w:r>
          </w:p>
        </w:tc>
      </w:tr>
      <w:tr>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sz w:val="18"/>
                <w:szCs w:val="18"/>
              </w:rPr>
              <w:t xml:space="preserve">LSTM</w:t>
            </w:r>
          </w:p>
        </w:tc>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sz w:val="18"/>
                <w:szCs w:val="18"/>
              </w:rPr>
              <w:t xml:space="preserve">Linearly Bounded Automaton</w:t>
            </w:r>
          </w:p>
        </w:tc>
        <w:tc>
          <w:tcPr>
            <w:tcW w:type="dxa" w:w="43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sz w:val="18"/>
                <w:szCs w:val="18"/>
              </w:rPr>
              <w:t xml:space="preserve">Cell state acts as a bounded read/write tape; gating mechanisms control selective read/write — analogous to a linearly bounded TM.</w:t>
            </w:r>
          </w:p>
        </w:tc>
      </w:tr>
      <w:tr>
        <w:tc>
          <w:tcPr>
            <w:tcW w:type="dxa" w:w="2000"/>
            <w:tcBorders>
              <w:top w:val="single" w:color="B8CCE4" w:sz="4"/>
              <w:left w:val="single" w:color="B8CCE4" w:sz="4"/>
              <w:bottom w:val="single" w:color="B8CCE4" w:sz="4"/>
              <w:right w:val="single" w:color="B8CCE4" w:sz="4"/>
            </w:tcBorders>
            <w:shd w:fill="F0F6FF" w:val="clear"/>
            <w:tcMar>
              <w:top w:type="dxa" w:w="80"/>
              <w:left w:type="dxa" w:w="120"/>
              <w:bottom w:type="dxa" w:w="80"/>
              <w:right w:type="dxa" w:w="120"/>
            </w:tcMar>
          </w:tcPr>
          <w:p>
            <w:r>
              <w:rPr>
                <w:rFonts w:ascii="Arial" w:cs="Arial" w:eastAsia="Arial" w:hAnsi="Arial"/>
                <w:sz w:val="18"/>
                <w:szCs w:val="18"/>
              </w:rPr>
              <w:t xml:space="preserve">Transformer (DistilBERT)</w:t>
            </w:r>
          </w:p>
        </w:tc>
        <w:tc>
          <w:tcPr>
            <w:tcW w:type="dxa" w:w="2800"/>
            <w:tcBorders>
              <w:top w:val="single" w:color="B8CCE4" w:sz="4"/>
              <w:left w:val="single" w:color="B8CCE4" w:sz="4"/>
              <w:bottom w:val="single" w:color="B8CCE4" w:sz="4"/>
              <w:right w:val="single" w:color="B8CCE4" w:sz="4"/>
            </w:tcBorders>
            <w:shd w:fill="F0F6FF" w:val="clear"/>
            <w:tcMar>
              <w:top w:type="dxa" w:w="80"/>
              <w:left w:type="dxa" w:w="120"/>
              <w:bottom w:type="dxa" w:w="80"/>
              <w:right w:type="dxa" w:w="120"/>
            </w:tcMar>
          </w:tcPr>
          <w:p>
            <w:r>
              <w:rPr>
                <w:rFonts w:ascii="Arial" w:cs="Arial" w:eastAsia="Arial" w:hAnsi="Arial"/>
                <w:sz w:val="18"/>
                <w:szCs w:val="18"/>
              </w:rPr>
              <w:t xml:space="preserve">Content-Addressable Memory / Near-TM</w:t>
            </w:r>
          </w:p>
        </w:tc>
        <w:tc>
          <w:tcPr>
            <w:tcW w:type="dxa" w:w="4300"/>
            <w:tcBorders>
              <w:top w:val="single" w:color="B8CCE4" w:sz="4"/>
              <w:left w:val="single" w:color="B8CCE4" w:sz="4"/>
              <w:bottom w:val="single" w:color="B8CCE4" w:sz="4"/>
              <w:right w:val="single" w:color="B8CCE4" w:sz="4"/>
            </w:tcBorders>
            <w:shd w:fill="F0F6FF" w:val="clear"/>
            <w:tcMar>
              <w:top w:type="dxa" w:w="80"/>
              <w:left w:type="dxa" w:w="120"/>
              <w:bottom w:type="dxa" w:w="80"/>
              <w:right w:type="dxa" w:w="120"/>
            </w:tcMar>
          </w:tcPr>
          <w:p>
            <w:r>
              <w:rPr>
                <w:rFonts w:ascii="Arial" w:cs="Arial" w:eastAsia="Arial" w:hAnsi="Arial"/>
                <w:sz w:val="18"/>
                <w:szCs w:val="18"/>
              </w:rPr>
              <w:t xml:space="preserve">Self-attention accesses any tape position in O(1) steps; closest to a full TM in expressive power (Graves et al., 2014; Weiss et al., 2018).</w:t>
            </w:r>
          </w:p>
        </w:tc>
      </w:tr>
    </w:tbl>
    <w:p>
      <w:pPr>
        <w:spacing w:after="160" w:before="60"/>
        <w:jc w:val="center"/>
      </w:pPr>
      <w:r>
        <w:rPr>
          <w:rFonts w:ascii="Arial" w:cs="Arial" w:eastAsia="Arial" w:hAnsi="Arial"/>
          <w:color w:val="555555"/>
          <w:sz w:val="18"/>
          <w:szCs w:val="18"/>
        </w:rPr>
        <w:t xml:space="preserve">Table 2. Turing Machine analogies for each neural architecture.</w:t>
      </w:r>
    </w:p>
    <w:p>
      <w:pPr>
        <w:spacing w:after="60" w:before="0"/>
      </w:pPr>
      <w:r>
        <w:t xml:space="preserve"/>
      </w:r>
    </w:p>
    <w:p>
      <w:pPr>
        <w:pStyle w:val="Heading1"/>
        <w:spacing w:after="100" w:before="280"/>
      </w:pPr>
      <w:r>
        <w:rPr>
          <w:rFonts w:ascii="Arial" w:cs="Arial" w:eastAsia="Arial" w:hAnsi="Arial"/>
          <w:b/>
          <w:bCs/>
          <w:color w:val="1F4E79"/>
          <w:sz w:val="28"/>
          <w:szCs w:val="28"/>
        </w:rPr>
        <w:t xml:space="preserve">6. Conclusions and Future Work</w:t>
      </w:r>
    </w:p>
    <w:p>
      <w:pPr>
        <w:pStyle w:val="Heading2"/>
        <w:spacing w:after="80" w:before="180"/>
      </w:pPr>
      <w:r>
        <w:rPr>
          <w:rFonts w:ascii="Arial" w:cs="Arial" w:eastAsia="Arial" w:hAnsi="Arial"/>
          <w:b/>
          <w:bCs/>
          <w:color w:val="2E75B6"/>
          <w:sz w:val="24"/>
          <w:szCs w:val="24"/>
        </w:rPr>
        <w:t xml:space="preserve">6.1 Conclusions</w:t>
      </w:r>
    </w:p>
    <w:p>
      <w:pPr>
        <w:spacing w:after="120" w:before="60"/>
        <w:jc w:val="both"/>
      </w:pPr>
      <w:r>
        <w:rPr>
          <w:rFonts w:ascii="Arial" w:cs="Arial" w:eastAsia="Arial" w:hAnsi="Arial"/>
          <w:sz w:val="22"/>
          <w:szCs w:val="22"/>
        </w:rPr>
        <w:t xml:space="preserve">All neural models substantially outperform the DummyClassifier baseline (kappa = 0). The Dense NN is a strong contender for short texts, achieving kappa = 0.68 without sequential modeling. The vanilla RNN is slightly below the Dense NN on this task, but the tuned LSTM recovers the gap by correcting overfitting. DistilBERT achieves state-of-the-art performance with kappa = 0.84, confirming that transfer learning from large pre-trained models is the dominant approach for NLP tasks, even with as few as 800 training samples.</w:t>
      </w:r>
    </w:p>
    <w:p>
      <w:pPr>
        <w:spacing w:after="120" w:before="60"/>
        <w:jc w:val="both"/>
      </w:pPr>
      <w:r>
        <w:rPr>
          <w:rFonts w:ascii="Arial" w:cs="Arial" w:eastAsia="Arial" w:hAnsi="Arial"/>
          <w:sz w:val="22"/>
          <w:szCs w:val="22"/>
        </w:rPr>
        <w:t xml:space="preserve">The decision to preserve negation stopwords was empirically validated and improved model performance. The connection to Turing Machine theory is not merely formal: each architectural improvement corresponds to a genuine increase in computational expressiveness, from finite transduction (Dense NN) to bounded memory (RNN) to gated tape (LSTM) to direct content-addressable access (Transformer).</w:t>
      </w:r>
    </w:p>
    <w:p>
      <w:pPr>
        <w:pStyle w:val="Heading2"/>
        <w:spacing w:after="80" w:before="180"/>
      </w:pPr>
      <w:r>
        <w:rPr>
          <w:rFonts w:ascii="Arial" w:cs="Arial" w:eastAsia="Arial" w:hAnsi="Arial"/>
          <w:b/>
          <w:bCs/>
          <w:color w:val="2E75B6"/>
          <w:sz w:val="24"/>
          <w:szCs w:val="24"/>
        </w:rPr>
        <w:t xml:space="preserve">6.2 Future Work</w:t>
      </w:r>
    </w:p>
    <w:p>
      <w:pPr>
        <w:pStyle w:val="ListParagraph"/>
        <w:numPr>
          <w:ilvl w:val="0"/>
          <w:numId w:val="2"/>
        </w:numPr>
        <w:spacing w:after="40" w:before="40"/>
      </w:pPr>
      <w:r>
        <w:rPr>
          <w:rFonts w:ascii="Arial" w:cs="Arial" w:eastAsia="Arial" w:hAnsi="Arial"/>
          <w:sz w:val="22"/>
          <w:szCs w:val="22"/>
        </w:rPr>
        <w:t xml:space="preserve">Expand the dataset to include the neutral class as a three-way classification problem.</w:t>
      </w:r>
    </w:p>
    <w:p>
      <w:pPr>
        <w:pStyle w:val="ListParagraph"/>
        <w:numPr>
          <w:ilvl w:val="0"/>
          <w:numId w:val="2"/>
        </w:numPr>
        <w:spacing w:after="40" w:before="40"/>
      </w:pPr>
      <w:r>
        <w:rPr>
          <w:rFonts w:ascii="Arial" w:cs="Arial" w:eastAsia="Arial" w:hAnsi="Arial"/>
          <w:sz w:val="22"/>
          <w:szCs w:val="22"/>
        </w:rPr>
        <w:t xml:space="preserve">Experiment with bidirectional LSTMs (Bi-LSTM) to exploit both past and future context.</w:t>
      </w:r>
    </w:p>
    <w:p>
      <w:pPr>
        <w:pStyle w:val="ListParagraph"/>
        <w:numPr>
          <w:ilvl w:val="0"/>
          <w:numId w:val="2"/>
        </w:numPr>
        <w:spacing w:after="40" w:before="40"/>
      </w:pPr>
      <w:r>
        <w:rPr>
          <w:rFonts w:ascii="Arial" w:cs="Arial" w:eastAsia="Arial" w:hAnsi="Arial"/>
          <w:sz w:val="22"/>
          <w:szCs w:val="22"/>
        </w:rPr>
        <w:t xml:space="preserve">Apply cross-lingual Transformer models (e.g., XLM-R) to enable multilingual sentiment analysis.</w:t>
      </w:r>
    </w:p>
    <w:p>
      <w:pPr>
        <w:pStyle w:val="ListParagraph"/>
        <w:numPr>
          <w:ilvl w:val="0"/>
          <w:numId w:val="2"/>
        </w:numPr>
        <w:spacing w:after="40" w:before="40"/>
      </w:pPr>
      <w:r>
        <w:rPr>
          <w:rFonts w:ascii="Arial" w:cs="Arial" w:eastAsia="Arial" w:hAnsi="Arial"/>
          <w:sz w:val="22"/>
          <w:szCs w:val="22"/>
        </w:rPr>
        <w:t xml:space="preserve">Investigate Neural Turing Machines (NTMs) as an explicit bridge between neural learning and formal TM theory.</w:t>
      </w:r>
    </w:p>
    <w:p>
      <w:pPr>
        <w:pStyle w:val="ListParagraph"/>
        <w:numPr>
          <w:ilvl w:val="0"/>
          <w:numId w:val="2"/>
        </w:numPr>
        <w:spacing w:after="40" w:before="40"/>
      </w:pPr>
      <w:r>
        <w:rPr>
          <w:rFonts w:ascii="Arial" w:cs="Arial" w:eastAsia="Arial" w:hAnsi="Arial"/>
          <w:sz w:val="22"/>
          <w:szCs w:val="22"/>
        </w:rPr>
        <w:t xml:space="preserve">Explore explainability techniques (LIME, SHAP) to validate that DistilBERT attention patterns correspond to human-interpretable sentiment signals.</w:t>
      </w:r>
    </w:p>
    <w:p>
      <w:pPr>
        <w:spacing w:after="60" w:before="0"/>
      </w:pPr>
      <w:r>
        <w:t xml:space="preserve"/>
      </w:r>
    </w:p>
    <w:p>
      <w:pPr>
        <w:pStyle w:val="Heading1"/>
        <w:spacing w:after="100" w:before="280"/>
      </w:pPr>
      <w:r>
        <w:rPr>
          <w:rFonts w:ascii="Arial" w:cs="Arial" w:eastAsia="Arial" w:hAnsi="Arial"/>
          <w:b/>
          <w:bCs/>
          <w:color w:val="1F4E79"/>
          <w:sz w:val="28"/>
          <w:szCs w:val="28"/>
        </w:rPr>
        <w:t xml:space="preserve">References</w:t>
      </w:r>
    </w:p>
    <w:p>
      <w:pPr>
        <w:spacing w:after="60" w:before="60"/>
        <w:ind w:left="720" w:hanging="720"/>
      </w:pPr>
      <w:r>
        <w:rPr>
          <w:rFonts w:ascii="Arial" w:cs="Arial" w:eastAsia="Arial" w:hAnsi="Arial"/>
          <w:sz w:val="20"/>
          <w:szCs w:val="20"/>
        </w:rPr>
        <w:t xml:space="preserve">Cohen, J. (1960). A coefficient of agreement for nominal scales. Educational and Psychological Measurement, 20(1), 37–46.</w:t>
      </w:r>
    </w:p>
    <w:p>
      <w:pPr>
        <w:spacing w:after="60" w:before="60"/>
        <w:ind w:left="720" w:hanging="720"/>
      </w:pPr>
      <w:r>
        <w:rPr>
          <w:rFonts w:ascii="Arial" w:cs="Arial" w:eastAsia="Arial" w:hAnsi="Arial"/>
          <w:sz w:val="20"/>
          <w:szCs w:val="20"/>
        </w:rPr>
        <w:t xml:space="preserve">Crowdflower / Figure Eight. (2015). Twitter US Airline Sentiment [Dataset]. Kaggle. https://www.kaggle.com/datasets/crowdflower/twitter-airline-sentiment</w:t>
      </w:r>
    </w:p>
    <w:p>
      <w:pPr>
        <w:spacing w:after="60" w:before="60"/>
        <w:ind w:left="720" w:hanging="720"/>
      </w:pPr>
      <w:r>
        <w:rPr>
          <w:rFonts w:ascii="Arial" w:cs="Arial" w:eastAsia="Arial" w:hAnsi="Arial"/>
          <w:sz w:val="20"/>
          <w:szCs w:val="20"/>
        </w:rPr>
        <w:t xml:space="preserve">Elman, J. L. (1990). Finding structure in time. Cognitive Science, 14(2), 179–211.</w:t>
      </w:r>
    </w:p>
    <w:p>
      <w:pPr>
        <w:spacing w:after="60" w:before="60"/>
        <w:ind w:left="720" w:hanging="720"/>
      </w:pPr>
      <w:r>
        <w:rPr>
          <w:rFonts w:ascii="Arial" w:cs="Arial" w:eastAsia="Arial" w:hAnsi="Arial"/>
          <w:sz w:val="20"/>
          <w:szCs w:val="20"/>
        </w:rPr>
        <w:t xml:space="preserve">Graves, A., Wayne, G., &amp; Danihelka, I. (2014). Neural Turing Machines. arXiv preprint arXiv:1410.5401.</w:t>
      </w:r>
    </w:p>
    <w:p>
      <w:pPr>
        <w:spacing w:after="60" w:before="60"/>
        <w:ind w:left="720" w:hanging="720"/>
      </w:pPr>
      <w:r>
        <w:rPr>
          <w:rFonts w:ascii="Arial" w:cs="Arial" w:eastAsia="Arial" w:hAnsi="Arial"/>
          <w:sz w:val="20"/>
          <w:szCs w:val="20"/>
        </w:rPr>
        <w:t xml:space="preserve">Hochreiter, S., &amp; Schmidhuber, J. (1997). Long short-term memory. Neural Computation, 9(8), 1735–1780.</w:t>
      </w:r>
    </w:p>
    <w:p>
      <w:pPr>
        <w:spacing w:after="60" w:before="60"/>
        <w:ind w:left="720" w:hanging="720"/>
      </w:pPr>
      <w:r>
        <w:rPr>
          <w:rFonts w:ascii="Arial" w:cs="Arial" w:eastAsia="Arial" w:hAnsi="Arial"/>
          <w:sz w:val="20"/>
          <w:szCs w:val="20"/>
        </w:rPr>
        <w:t xml:space="preserve">Landis, J. R., &amp; Koch, G. G. (1977). The measurement of observer agreement for categorical data. Biometrics, 33(1), 159–174.</w:t>
      </w:r>
    </w:p>
    <w:p>
      <w:pPr>
        <w:spacing w:after="60" w:before="60"/>
        <w:ind w:left="720" w:hanging="720"/>
      </w:pPr>
      <w:r>
        <w:rPr>
          <w:rFonts w:ascii="Arial" w:cs="Arial" w:eastAsia="Arial" w:hAnsi="Arial"/>
          <w:sz w:val="20"/>
          <w:szCs w:val="20"/>
        </w:rPr>
        <w:t xml:space="preserve">Sanh, V., Debut, L., Chaumond, J., &amp; Wolf, T. (2019). DistilBERT, a distilled version of BERT: smaller, faster, cheaper and lighter. arXiv preprint arXiv:1910.01108.</w:t>
      </w:r>
    </w:p>
    <w:p>
      <w:pPr>
        <w:spacing w:after="60" w:before="60"/>
        <w:ind w:left="720" w:hanging="720"/>
      </w:pPr>
      <w:r>
        <w:rPr>
          <w:rFonts w:ascii="Arial" w:cs="Arial" w:eastAsia="Arial" w:hAnsi="Arial"/>
          <w:sz w:val="20"/>
          <w:szCs w:val="20"/>
        </w:rPr>
        <w:t xml:space="preserve">Vaswani, A., Shazeer, N., Parmar, N., Uszkoreit, J., Jones, L., Gomez, A. N., Kaiser, Ł., &amp; Polosukhin, I. (2017). Attention is all you need. Advances in Neural Information Processing Systems, 30.</w:t>
      </w:r>
    </w:p>
    <w:p>
      <w:pPr>
        <w:spacing w:after="60" w:before="60"/>
        <w:ind w:left="720" w:hanging="720"/>
      </w:pPr>
      <w:r>
        <w:rPr>
          <w:rFonts w:ascii="Arial" w:cs="Arial" w:eastAsia="Arial" w:hAnsi="Arial"/>
          <w:sz w:val="20"/>
          <w:szCs w:val="20"/>
        </w:rPr>
        <w:t xml:space="preserve">Weiss, G., Goldberg, Y., &amp; Yahav, E. (2018). On the practical computational power of finite precision RNNs for language recognition. arXiv preprint arXiv:1805.04908.</w:t>
      </w:r>
    </w:p>
    <w:p>
      <w:pPr>
        <w:spacing w:after="60" w:before="0"/>
      </w:pPr>
      <w:r>
        <w:t xml:space="preserve"/>
      </w:r>
    </w:p>
    <w:p>
      <w:pPr>
        <w:pBdr>
          <w:top w:val="single" w:color="CCCCCC" w:sz="4" w:space="1"/>
        </w:pBdr>
        <w:spacing w:after="40" w:before="80"/>
      </w:pPr>
      <w:r>
        <w:rPr>
          <w:rFonts w:ascii="Arial" w:cs="Arial" w:eastAsia="Arial" w:hAnsi="Arial"/>
          <w:b/>
          <w:bCs/>
          <w:color w:val="555555"/>
          <w:sz w:val="20"/>
          <w:szCs w:val="20"/>
        </w:rPr>
        <w:t xml:space="preserve">Generative AI Usage Declaration</w:t>
      </w:r>
    </w:p>
    <w:p>
      <w:pPr>
        <w:spacing w:after="120" w:before="60"/>
        <w:jc w:val="both"/>
      </w:pPr>
      <w:r>
        <w:rPr>
          <w:rFonts w:ascii="Arial" w:cs="Arial" w:eastAsia="Arial" w:hAnsi="Arial"/>
          <w:color w:val="555555"/>
          <w:sz w:val="20"/>
          <w:szCs w:val="20"/>
        </w:rPr>
        <w:t xml:space="preserve">Claude (claude.ai) was consulted in four conceptual interactions during this project: (1) RNN vs. LSTM differences and TM analogies; (2) interpretation of Cohen’s Kappa; (3) NLP preprocessing decisions for Twitter data; (4) DistilBERT fine-tuning strategy and self-attention vs. RNN comparison. All code was written independently by the team. AI-generated outputs were critically reviewed, adapted, and refined. A full interaction log is maintained in </w:t>
      </w:r>
      <w:r>
        <w:rPr>
          <w:rFonts w:ascii="Courier New" w:cs="Courier New" w:eastAsia="Courier New" w:hAnsi="Courier New"/>
          <w:color w:val="555555"/>
          <w:sz w:val="20"/>
          <w:szCs w:val="20"/>
        </w:rPr>
        <w:t xml:space="preserve">prompts/AIGen_Interactions.md</w:t>
      </w:r>
      <w:r>
        <w:rPr>
          <w:rFonts w:ascii="Arial" w:cs="Arial" w:eastAsia="Arial" w:hAnsi="Arial"/>
          <w:color w:val="555555"/>
          <w:sz w:val="20"/>
          <w:szCs w:val="20"/>
        </w:rPr>
        <w:t xml:space="preserve"> in the project repository.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2026-06-09T22:44:17.413Z</dcterms:created>
  <dcterms:modified xsi:type="dcterms:W3CDTF">2026-06-09T22:44:17.413Z</dcterms:modified>
</cp:coreProperties>
</file>

<file path=docProps/custom.xml><?xml version="1.0" encoding="utf-8"?>
<Properties xmlns="http://schemas.openxmlformats.org/officeDocument/2006/custom-properties" xmlns:vt="http://schemas.openxmlformats.org/officeDocument/2006/docPropsVTypes"/>
</file>